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A6B1" w14:textId="77777777" w:rsidR="00F267FF" w:rsidRPr="004A492F" w:rsidRDefault="00F267FF" w:rsidP="00F267FF">
      <w:pPr>
        <w:spacing w:line="260" w:lineRule="exact"/>
        <w:ind w:firstLine="708"/>
        <w:contextualSpacing/>
        <w:rPr>
          <w:rFonts w:cs="Arial"/>
          <w:b/>
          <w:szCs w:val="20"/>
          <w:lang w:val="sl-SI"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3"/>
        <w:gridCol w:w="886"/>
        <w:gridCol w:w="1410"/>
        <w:gridCol w:w="166"/>
        <w:gridCol w:w="1190"/>
        <w:gridCol w:w="483"/>
        <w:gridCol w:w="199"/>
        <w:gridCol w:w="384"/>
        <w:gridCol w:w="213"/>
        <w:gridCol w:w="89"/>
        <w:gridCol w:w="2119"/>
        <w:gridCol w:w="63"/>
      </w:tblGrid>
      <w:tr w:rsidR="00F267FF" w:rsidRPr="004A492F" w14:paraId="3EC1BBE4" w14:textId="77777777" w:rsidTr="00D03029">
        <w:trPr>
          <w:gridBefore w:val="1"/>
          <w:gridAfter w:val="6"/>
          <w:wBefore w:w="100" w:type="dxa"/>
          <w:wAfter w:w="3067" w:type="dxa"/>
        </w:trPr>
        <w:tc>
          <w:tcPr>
            <w:tcW w:w="6096" w:type="dxa"/>
            <w:gridSpan w:val="7"/>
          </w:tcPr>
          <w:p w14:paraId="6BD75416" w14:textId="2175687C" w:rsidR="00F267FF" w:rsidRPr="004A492F" w:rsidRDefault="00F267FF" w:rsidP="00F267FF">
            <w:pPr>
              <w:overflowPunct w:val="0"/>
              <w:autoSpaceDE w:val="0"/>
              <w:autoSpaceDN w:val="0"/>
              <w:adjustRightInd w:val="0"/>
              <w:spacing w:line="260" w:lineRule="exact"/>
              <w:textAlignment w:val="baseline"/>
              <w:rPr>
                <w:rFonts w:cs="Arial"/>
                <w:szCs w:val="20"/>
                <w:lang w:val="sl-SI" w:eastAsia="sl-SI"/>
              </w:rPr>
            </w:pPr>
            <w:r w:rsidRPr="004A492F">
              <w:rPr>
                <w:rFonts w:cs="Arial"/>
                <w:szCs w:val="20"/>
                <w:lang w:val="sl-SI" w:eastAsia="sl-SI"/>
              </w:rPr>
              <w:t>Številka: IPP 007-</w:t>
            </w:r>
            <w:r w:rsidR="00A4776F" w:rsidRPr="004A492F">
              <w:rPr>
                <w:rFonts w:cs="Arial"/>
                <w:szCs w:val="20"/>
                <w:lang w:val="sl-SI" w:eastAsia="sl-SI"/>
              </w:rPr>
              <w:t>1</w:t>
            </w:r>
            <w:r w:rsidR="005B354E" w:rsidRPr="004A492F">
              <w:rPr>
                <w:rFonts w:cs="Arial"/>
                <w:szCs w:val="20"/>
                <w:lang w:val="sl-SI" w:eastAsia="sl-SI"/>
              </w:rPr>
              <w:t>49</w:t>
            </w:r>
            <w:r w:rsidR="00A4776F" w:rsidRPr="004A492F">
              <w:rPr>
                <w:rFonts w:cs="Arial"/>
                <w:szCs w:val="20"/>
                <w:lang w:val="sl-SI" w:eastAsia="sl-SI"/>
              </w:rPr>
              <w:t>/2024</w:t>
            </w:r>
            <w:r w:rsidR="00C953E8" w:rsidRPr="004A492F">
              <w:rPr>
                <w:rFonts w:cs="Arial"/>
                <w:szCs w:val="20"/>
                <w:lang w:val="sl-SI" w:eastAsia="sl-SI"/>
              </w:rPr>
              <w:t>/</w:t>
            </w:r>
            <w:r w:rsidR="00C9602C">
              <w:rPr>
                <w:rFonts w:cs="Arial"/>
                <w:szCs w:val="20"/>
                <w:lang w:val="sl-SI" w:eastAsia="sl-SI"/>
              </w:rPr>
              <w:t>90</w:t>
            </w:r>
          </w:p>
        </w:tc>
      </w:tr>
      <w:tr w:rsidR="00F267FF" w:rsidRPr="004A492F" w14:paraId="4579D5C3" w14:textId="77777777" w:rsidTr="00D03029">
        <w:trPr>
          <w:gridBefore w:val="1"/>
          <w:gridAfter w:val="6"/>
          <w:wBefore w:w="100" w:type="dxa"/>
          <w:wAfter w:w="3067" w:type="dxa"/>
        </w:trPr>
        <w:tc>
          <w:tcPr>
            <w:tcW w:w="6096" w:type="dxa"/>
            <w:gridSpan w:val="7"/>
          </w:tcPr>
          <w:p w14:paraId="2951E2E3" w14:textId="5D94CA86" w:rsidR="00F267FF" w:rsidRPr="004A492F" w:rsidRDefault="00F267FF" w:rsidP="00F267FF">
            <w:pPr>
              <w:overflowPunct w:val="0"/>
              <w:autoSpaceDE w:val="0"/>
              <w:autoSpaceDN w:val="0"/>
              <w:adjustRightInd w:val="0"/>
              <w:spacing w:line="260" w:lineRule="exact"/>
              <w:textAlignment w:val="baseline"/>
              <w:rPr>
                <w:rFonts w:cs="Arial"/>
                <w:szCs w:val="20"/>
                <w:lang w:val="sl-SI" w:eastAsia="sl-SI"/>
              </w:rPr>
            </w:pPr>
            <w:r w:rsidRPr="004A492F">
              <w:rPr>
                <w:rFonts w:cs="Arial"/>
                <w:szCs w:val="20"/>
                <w:lang w:val="sl-SI" w:eastAsia="sl-SI"/>
              </w:rPr>
              <w:t xml:space="preserve">Ljubljana, dne </w:t>
            </w:r>
            <w:r w:rsidR="00931CD6">
              <w:rPr>
                <w:rFonts w:cs="Arial"/>
                <w:szCs w:val="20"/>
                <w:lang w:val="sl-SI" w:eastAsia="sl-SI"/>
              </w:rPr>
              <w:t>1</w:t>
            </w:r>
            <w:r w:rsidR="00C9602C">
              <w:rPr>
                <w:rFonts w:cs="Arial"/>
                <w:szCs w:val="20"/>
                <w:lang w:val="sl-SI" w:eastAsia="sl-SI"/>
              </w:rPr>
              <w:t>4</w:t>
            </w:r>
            <w:r w:rsidRPr="004A492F">
              <w:rPr>
                <w:rFonts w:cs="Arial"/>
                <w:szCs w:val="20"/>
                <w:lang w:val="sl-SI" w:eastAsia="sl-SI"/>
              </w:rPr>
              <w:t xml:space="preserve">. </w:t>
            </w:r>
            <w:r w:rsidR="005B354E" w:rsidRPr="004A492F">
              <w:rPr>
                <w:rFonts w:cs="Arial"/>
                <w:szCs w:val="20"/>
                <w:lang w:val="sl-SI" w:eastAsia="sl-SI"/>
              </w:rPr>
              <w:t>10</w:t>
            </w:r>
            <w:r w:rsidRPr="004A492F">
              <w:rPr>
                <w:rFonts w:cs="Arial"/>
                <w:szCs w:val="20"/>
                <w:lang w:val="sl-SI" w:eastAsia="sl-SI"/>
              </w:rPr>
              <w:t>. 202</w:t>
            </w:r>
            <w:r w:rsidR="00A4776F" w:rsidRPr="004A492F">
              <w:rPr>
                <w:rFonts w:cs="Arial"/>
                <w:szCs w:val="20"/>
                <w:lang w:val="sl-SI" w:eastAsia="sl-SI"/>
              </w:rPr>
              <w:t>5</w:t>
            </w:r>
          </w:p>
        </w:tc>
      </w:tr>
      <w:tr w:rsidR="00F267FF" w:rsidRPr="004A492F" w14:paraId="224F6886" w14:textId="77777777" w:rsidTr="00D03029">
        <w:trPr>
          <w:gridBefore w:val="1"/>
          <w:gridAfter w:val="6"/>
          <w:wBefore w:w="100" w:type="dxa"/>
          <w:wAfter w:w="3067" w:type="dxa"/>
        </w:trPr>
        <w:tc>
          <w:tcPr>
            <w:tcW w:w="6096" w:type="dxa"/>
            <w:gridSpan w:val="7"/>
          </w:tcPr>
          <w:p w14:paraId="6E0A75A0" w14:textId="2AD31CE6" w:rsidR="00F267FF" w:rsidRPr="004A492F" w:rsidRDefault="00F267FF" w:rsidP="00F267FF">
            <w:pPr>
              <w:overflowPunct w:val="0"/>
              <w:autoSpaceDE w:val="0"/>
              <w:autoSpaceDN w:val="0"/>
              <w:adjustRightInd w:val="0"/>
              <w:spacing w:line="260" w:lineRule="exact"/>
              <w:textAlignment w:val="baseline"/>
              <w:rPr>
                <w:rFonts w:cs="Arial"/>
                <w:szCs w:val="20"/>
                <w:lang w:val="sl-SI" w:eastAsia="sl-SI"/>
              </w:rPr>
            </w:pPr>
            <w:r w:rsidRPr="004A492F">
              <w:rPr>
                <w:rFonts w:cs="Arial"/>
                <w:iCs/>
                <w:szCs w:val="20"/>
                <w:lang w:val="sl-SI" w:eastAsia="sl-SI"/>
              </w:rPr>
              <w:t>EVA 20</w:t>
            </w:r>
            <w:r w:rsidR="00A4776F" w:rsidRPr="004A492F">
              <w:rPr>
                <w:rFonts w:cs="Arial"/>
                <w:iCs/>
                <w:szCs w:val="20"/>
                <w:lang w:val="sl-SI" w:eastAsia="sl-SI"/>
              </w:rPr>
              <w:t>24-2030-00</w:t>
            </w:r>
            <w:r w:rsidR="005B354E" w:rsidRPr="004A492F">
              <w:rPr>
                <w:rFonts w:cs="Arial"/>
                <w:iCs/>
                <w:szCs w:val="20"/>
                <w:lang w:val="sl-SI" w:eastAsia="sl-SI"/>
              </w:rPr>
              <w:t>31</w:t>
            </w:r>
          </w:p>
        </w:tc>
      </w:tr>
      <w:tr w:rsidR="00F267FF" w:rsidRPr="004A492F" w14:paraId="2A5A1833" w14:textId="77777777" w:rsidTr="00D03029">
        <w:trPr>
          <w:gridBefore w:val="1"/>
          <w:gridAfter w:val="6"/>
          <w:wBefore w:w="100" w:type="dxa"/>
          <w:wAfter w:w="3067" w:type="dxa"/>
        </w:trPr>
        <w:tc>
          <w:tcPr>
            <w:tcW w:w="6096" w:type="dxa"/>
            <w:gridSpan w:val="7"/>
          </w:tcPr>
          <w:p w14:paraId="5B6997A6" w14:textId="77777777" w:rsidR="00F267FF" w:rsidRPr="004A492F" w:rsidRDefault="00F267FF" w:rsidP="00F267FF">
            <w:pPr>
              <w:spacing w:line="260" w:lineRule="exact"/>
              <w:rPr>
                <w:rFonts w:cs="Arial"/>
                <w:szCs w:val="20"/>
                <w:lang w:val="sl-SI"/>
              </w:rPr>
            </w:pPr>
          </w:p>
          <w:p w14:paraId="7CEB9344" w14:textId="77777777" w:rsidR="00F267FF" w:rsidRPr="004A492F" w:rsidRDefault="00F267FF" w:rsidP="00F267FF">
            <w:pPr>
              <w:spacing w:line="260" w:lineRule="exact"/>
              <w:rPr>
                <w:rFonts w:cs="Arial"/>
                <w:szCs w:val="20"/>
                <w:lang w:val="sl-SI"/>
              </w:rPr>
            </w:pPr>
            <w:r w:rsidRPr="004A492F">
              <w:rPr>
                <w:rFonts w:cs="Arial"/>
                <w:szCs w:val="20"/>
                <w:lang w:val="sl-SI"/>
              </w:rPr>
              <w:t>GENERALNI SEKRETARIAT VLADE REPUBLIKE SLOVENIJE</w:t>
            </w:r>
          </w:p>
          <w:p w14:paraId="747DA158" w14:textId="77777777" w:rsidR="00F267FF" w:rsidRPr="004A492F" w:rsidRDefault="00F267FF" w:rsidP="00F267FF">
            <w:pPr>
              <w:spacing w:line="260" w:lineRule="exact"/>
              <w:rPr>
                <w:rFonts w:cs="Arial"/>
                <w:szCs w:val="20"/>
                <w:lang w:val="sl-SI"/>
              </w:rPr>
            </w:pPr>
            <w:hyperlink r:id="rId7" w:history="1">
              <w:r w:rsidRPr="004A492F">
                <w:rPr>
                  <w:color w:val="0000FF"/>
                  <w:szCs w:val="20"/>
                  <w:u w:val="single"/>
                  <w:lang w:val="sl-SI"/>
                </w:rPr>
                <w:t>Gp.gs@gov.si</w:t>
              </w:r>
            </w:hyperlink>
          </w:p>
          <w:p w14:paraId="12A3A0BC" w14:textId="77777777" w:rsidR="00F267FF" w:rsidRPr="004A492F" w:rsidRDefault="00F267FF" w:rsidP="00F267FF">
            <w:pPr>
              <w:spacing w:line="260" w:lineRule="exact"/>
              <w:rPr>
                <w:rFonts w:cs="Arial"/>
                <w:szCs w:val="20"/>
                <w:lang w:val="sl-SI"/>
              </w:rPr>
            </w:pPr>
          </w:p>
        </w:tc>
      </w:tr>
      <w:tr w:rsidR="00F267FF" w:rsidRPr="004A492F" w14:paraId="28B865B1" w14:textId="77777777" w:rsidTr="00D03029">
        <w:trPr>
          <w:gridBefore w:val="1"/>
          <w:wBefore w:w="100" w:type="dxa"/>
        </w:trPr>
        <w:tc>
          <w:tcPr>
            <w:tcW w:w="9163" w:type="dxa"/>
            <w:gridSpan w:val="13"/>
          </w:tcPr>
          <w:p w14:paraId="5D5F3671" w14:textId="58A3D19A" w:rsidR="00F267FF" w:rsidRPr="004A492F" w:rsidRDefault="00F267FF" w:rsidP="00F267FF">
            <w:pPr>
              <w:suppressAutoHyphens/>
              <w:overflowPunct w:val="0"/>
              <w:autoSpaceDE w:val="0"/>
              <w:autoSpaceDN w:val="0"/>
              <w:adjustRightInd w:val="0"/>
              <w:spacing w:line="260" w:lineRule="exact"/>
              <w:textAlignment w:val="baseline"/>
              <w:rPr>
                <w:rFonts w:cs="Arial"/>
                <w:b/>
                <w:szCs w:val="20"/>
                <w:lang w:val="sl-SI" w:eastAsia="sl-SI"/>
              </w:rPr>
            </w:pPr>
            <w:r w:rsidRPr="004A492F">
              <w:rPr>
                <w:rFonts w:cs="Arial"/>
                <w:b/>
                <w:szCs w:val="20"/>
                <w:lang w:val="sl-SI" w:eastAsia="sl-SI"/>
              </w:rPr>
              <w:t xml:space="preserve">ZADEVA: </w:t>
            </w:r>
            <w:r w:rsidR="00F02A4E" w:rsidRPr="004A492F">
              <w:rPr>
                <w:rFonts w:cs="Arial"/>
                <w:b/>
                <w:szCs w:val="20"/>
                <w:lang w:val="sl-SI" w:eastAsia="sl-SI"/>
              </w:rPr>
              <w:t xml:space="preserve">Predlog </w:t>
            </w:r>
            <w:r w:rsidR="00507B5D" w:rsidRPr="004A492F">
              <w:rPr>
                <w:rFonts w:cs="Arial"/>
                <w:b/>
                <w:szCs w:val="20"/>
                <w:lang w:val="sl-SI" w:eastAsia="sl-SI"/>
              </w:rPr>
              <w:t>z</w:t>
            </w:r>
            <w:r w:rsidR="00F02A4E" w:rsidRPr="004A492F">
              <w:rPr>
                <w:rFonts w:cs="Arial"/>
                <w:b/>
                <w:szCs w:val="20"/>
                <w:lang w:val="sl-SI" w:eastAsia="sl-SI"/>
              </w:rPr>
              <w:t xml:space="preserve">akona </w:t>
            </w:r>
            <w:r w:rsidR="005B354E" w:rsidRPr="004A492F">
              <w:rPr>
                <w:rFonts w:cs="Arial"/>
                <w:b/>
                <w:bCs/>
                <w:szCs w:val="20"/>
                <w:lang w:val="sl-SI" w:eastAsia="sl-SI"/>
              </w:rPr>
              <w:t>o zaščitnih ukrepih zoper strateške tožbe za onemogočanje javnega udejstvovanja</w:t>
            </w:r>
            <w:r w:rsidR="00F02A4E" w:rsidRPr="004A492F">
              <w:rPr>
                <w:rFonts w:cs="Arial"/>
                <w:b/>
                <w:szCs w:val="20"/>
                <w:lang w:val="sl-SI" w:eastAsia="sl-SI"/>
              </w:rPr>
              <w:t xml:space="preserve"> </w:t>
            </w:r>
            <w:r w:rsidR="005B354E" w:rsidRPr="004A492F">
              <w:rPr>
                <w:rFonts w:cs="Arial"/>
                <w:b/>
                <w:szCs w:val="20"/>
                <w:lang w:val="sl-SI" w:eastAsia="sl-SI"/>
              </w:rPr>
              <w:t xml:space="preserve">– redni postopek </w:t>
            </w:r>
            <w:r w:rsidR="00F02A4E" w:rsidRPr="004A492F">
              <w:rPr>
                <w:rFonts w:cs="Arial"/>
                <w:b/>
                <w:szCs w:val="20"/>
                <w:lang w:val="sl-SI" w:eastAsia="sl-SI"/>
              </w:rPr>
              <w:t xml:space="preserve">– </w:t>
            </w:r>
            <w:r w:rsidRPr="004A492F">
              <w:rPr>
                <w:rFonts w:cs="Arial"/>
                <w:b/>
                <w:szCs w:val="20"/>
                <w:lang w:val="sl-SI" w:eastAsia="sl-SI"/>
              </w:rPr>
              <w:t xml:space="preserve">predlog za obravnavo </w:t>
            </w:r>
          </w:p>
        </w:tc>
      </w:tr>
      <w:tr w:rsidR="00F267FF" w:rsidRPr="004A492F" w14:paraId="46490BA4" w14:textId="77777777" w:rsidTr="00D03029">
        <w:trPr>
          <w:gridBefore w:val="1"/>
          <w:wBefore w:w="100" w:type="dxa"/>
        </w:trPr>
        <w:tc>
          <w:tcPr>
            <w:tcW w:w="9163" w:type="dxa"/>
            <w:gridSpan w:val="13"/>
          </w:tcPr>
          <w:p w14:paraId="45220C92" w14:textId="77777777" w:rsidR="00F267FF" w:rsidRPr="004A492F" w:rsidRDefault="00F267FF" w:rsidP="00F267FF">
            <w:pPr>
              <w:suppressAutoHyphens/>
              <w:overflowPunct w:val="0"/>
              <w:autoSpaceDE w:val="0"/>
              <w:autoSpaceDN w:val="0"/>
              <w:adjustRightInd w:val="0"/>
              <w:spacing w:line="260" w:lineRule="exact"/>
              <w:textAlignment w:val="baseline"/>
              <w:outlineLvl w:val="3"/>
              <w:rPr>
                <w:rFonts w:cs="Arial"/>
                <w:b/>
                <w:szCs w:val="20"/>
                <w:lang w:val="sl-SI" w:eastAsia="sl-SI"/>
              </w:rPr>
            </w:pPr>
            <w:r w:rsidRPr="004A492F">
              <w:rPr>
                <w:rFonts w:cs="Arial"/>
                <w:b/>
                <w:szCs w:val="20"/>
                <w:lang w:val="sl-SI" w:eastAsia="sl-SI"/>
              </w:rPr>
              <w:t>1. Predlog sklepov vlade:</w:t>
            </w:r>
          </w:p>
        </w:tc>
      </w:tr>
      <w:tr w:rsidR="00F267FF" w:rsidRPr="004A492F" w14:paraId="7F95CD53" w14:textId="77777777" w:rsidTr="00D03029">
        <w:trPr>
          <w:gridBefore w:val="1"/>
          <w:wBefore w:w="100" w:type="dxa"/>
        </w:trPr>
        <w:tc>
          <w:tcPr>
            <w:tcW w:w="9163" w:type="dxa"/>
            <w:gridSpan w:val="13"/>
          </w:tcPr>
          <w:p w14:paraId="542D15F4"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6DD29375" w14:textId="551650F8"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Na podlagi drugega odstavka 2. člena Zakona o Vladi Republike Slovenije (Uradni list RS, št. 24/05 – uradno prečiščeno besedilo, 109/08, 38/10 – ZUKN, 8/12, 21/13, 47/13 – ZDU-1G, 65/14, 55/17 in 163/22) je Vlada Republike Slovenije na … seji dne … sprejela naslednji </w:t>
            </w:r>
          </w:p>
          <w:p w14:paraId="426FDBB3"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584C46F4" w14:textId="77777777" w:rsidR="00F02A4E" w:rsidRPr="004A492F" w:rsidRDefault="00F02A4E" w:rsidP="00D03029">
            <w:pPr>
              <w:overflowPunct w:val="0"/>
              <w:autoSpaceDE w:val="0"/>
              <w:autoSpaceDN w:val="0"/>
              <w:adjustRightInd w:val="0"/>
              <w:spacing w:line="260" w:lineRule="exact"/>
              <w:jc w:val="center"/>
              <w:textAlignment w:val="baseline"/>
              <w:rPr>
                <w:rFonts w:cs="Arial"/>
                <w:iCs/>
                <w:szCs w:val="20"/>
                <w:lang w:val="sl-SI" w:eastAsia="sl-SI"/>
              </w:rPr>
            </w:pPr>
            <w:r w:rsidRPr="004A492F">
              <w:rPr>
                <w:rFonts w:cs="Arial"/>
                <w:iCs/>
                <w:szCs w:val="20"/>
                <w:lang w:val="sl-SI" w:eastAsia="sl-SI"/>
              </w:rPr>
              <w:t>SKLEP:</w:t>
            </w:r>
          </w:p>
          <w:p w14:paraId="014AF22F"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3339ABFF" w14:textId="65811378"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Vlada Republike Slovenije je določila besedilo </w:t>
            </w:r>
            <w:r w:rsidR="005B354E" w:rsidRPr="004A492F">
              <w:rPr>
                <w:rFonts w:cs="Arial"/>
                <w:iCs/>
                <w:szCs w:val="20"/>
                <w:lang w:val="sl-SI" w:eastAsia="sl-SI"/>
              </w:rPr>
              <w:t xml:space="preserve">Predloga zakona o zaščitnih ukrepih zoper strateške tožbe za onemogočanje javnega udejstvovanja </w:t>
            </w:r>
            <w:r w:rsidRPr="004A492F">
              <w:rPr>
                <w:rFonts w:cs="Arial"/>
                <w:iCs/>
                <w:szCs w:val="20"/>
                <w:lang w:val="sl-SI" w:eastAsia="sl-SI"/>
              </w:rPr>
              <w:t xml:space="preserve">(EVA </w:t>
            </w:r>
            <w:r w:rsidR="00A4776F" w:rsidRPr="004A492F">
              <w:rPr>
                <w:rFonts w:cs="Arial"/>
                <w:iCs/>
                <w:szCs w:val="20"/>
                <w:lang w:val="sl-SI" w:eastAsia="sl-SI"/>
              </w:rPr>
              <w:t>2024</w:t>
            </w:r>
            <w:r w:rsidRPr="004A492F">
              <w:rPr>
                <w:rFonts w:cs="Arial"/>
                <w:iCs/>
                <w:szCs w:val="20"/>
                <w:lang w:val="sl-SI" w:eastAsia="sl-SI"/>
              </w:rPr>
              <w:t>-2030-00</w:t>
            </w:r>
            <w:r w:rsidR="005B354E" w:rsidRPr="004A492F">
              <w:rPr>
                <w:rFonts w:cs="Arial"/>
                <w:iCs/>
                <w:szCs w:val="20"/>
                <w:lang w:val="sl-SI" w:eastAsia="sl-SI"/>
              </w:rPr>
              <w:t>31</w:t>
            </w:r>
            <w:r w:rsidRPr="004A492F">
              <w:rPr>
                <w:rFonts w:cs="Arial"/>
                <w:iCs/>
                <w:szCs w:val="20"/>
                <w:lang w:val="sl-SI" w:eastAsia="sl-SI"/>
              </w:rPr>
              <w:t xml:space="preserve">) in ga pošlje Državnemu zboru Republike Slovenije v obravnavo po </w:t>
            </w:r>
            <w:r w:rsidR="007741DB">
              <w:rPr>
                <w:rFonts w:cs="Arial"/>
                <w:iCs/>
                <w:szCs w:val="20"/>
                <w:lang w:val="sl-SI" w:eastAsia="sl-SI"/>
              </w:rPr>
              <w:t>rednem</w:t>
            </w:r>
            <w:r w:rsidR="007741DB" w:rsidRPr="004A492F">
              <w:rPr>
                <w:rFonts w:cs="Arial"/>
                <w:iCs/>
                <w:szCs w:val="20"/>
                <w:lang w:val="sl-SI" w:eastAsia="sl-SI"/>
              </w:rPr>
              <w:t xml:space="preserve"> </w:t>
            </w:r>
            <w:r w:rsidRPr="004A492F">
              <w:rPr>
                <w:rFonts w:cs="Arial"/>
                <w:iCs/>
                <w:szCs w:val="20"/>
                <w:lang w:val="sl-SI" w:eastAsia="sl-SI"/>
              </w:rPr>
              <w:t>postopku.</w:t>
            </w:r>
          </w:p>
          <w:p w14:paraId="468834F2"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72640F0D"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03A253DF" w14:textId="3DB404A1" w:rsidR="00F02A4E" w:rsidRPr="004A492F" w:rsidRDefault="00F02A4E" w:rsidP="00D03029">
            <w:pPr>
              <w:overflowPunct w:val="0"/>
              <w:autoSpaceDE w:val="0"/>
              <w:autoSpaceDN w:val="0"/>
              <w:adjustRightInd w:val="0"/>
              <w:spacing w:line="260" w:lineRule="exact"/>
              <w:ind w:left="4879"/>
              <w:jc w:val="both"/>
              <w:textAlignment w:val="baseline"/>
              <w:rPr>
                <w:rFonts w:cs="Arial"/>
                <w:iCs/>
                <w:szCs w:val="20"/>
                <w:lang w:val="sl-SI" w:eastAsia="sl-SI"/>
              </w:rPr>
            </w:pPr>
            <w:r w:rsidRPr="004A492F">
              <w:rPr>
                <w:rFonts w:cs="Arial"/>
                <w:iCs/>
                <w:szCs w:val="20"/>
                <w:lang w:val="sl-SI" w:eastAsia="sl-SI"/>
              </w:rPr>
              <w:t xml:space="preserve">Barbara </w:t>
            </w:r>
            <w:r w:rsidR="00D03029" w:rsidRPr="004A492F">
              <w:rPr>
                <w:rFonts w:cs="Arial"/>
                <w:iCs/>
                <w:szCs w:val="20"/>
                <w:lang w:val="sl-SI" w:eastAsia="sl-SI"/>
              </w:rPr>
              <w:t xml:space="preserve">Kolenko </w:t>
            </w:r>
            <w:proofErr w:type="spellStart"/>
            <w:r w:rsidR="00D03029" w:rsidRPr="004A492F">
              <w:rPr>
                <w:rFonts w:cs="Arial"/>
                <w:iCs/>
                <w:szCs w:val="20"/>
                <w:lang w:val="sl-SI" w:eastAsia="sl-SI"/>
              </w:rPr>
              <w:t>Helbl</w:t>
            </w:r>
            <w:proofErr w:type="spellEnd"/>
          </w:p>
          <w:p w14:paraId="05784617" w14:textId="6BD20A16" w:rsidR="00F02A4E" w:rsidRPr="004A492F" w:rsidRDefault="00571DFF" w:rsidP="00D03029">
            <w:pPr>
              <w:overflowPunct w:val="0"/>
              <w:autoSpaceDE w:val="0"/>
              <w:autoSpaceDN w:val="0"/>
              <w:adjustRightInd w:val="0"/>
              <w:spacing w:line="260" w:lineRule="exact"/>
              <w:ind w:left="4879"/>
              <w:jc w:val="both"/>
              <w:textAlignment w:val="baseline"/>
              <w:rPr>
                <w:rFonts w:cs="Arial"/>
                <w:iCs/>
                <w:szCs w:val="20"/>
                <w:lang w:val="sl-SI" w:eastAsia="sl-SI"/>
              </w:rPr>
            </w:pPr>
            <w:r w:rsidRPr="004A492F">
              <w:rPr>
                <w:rFonts w:cs="Arial"/>
                <w:iCs/>
                <w:szCs w:val="20"/>
                <w:lang w:val="sl-SI" w:eastAsia="sl-SI"/>
              </w:rPr>
              <w:t>G</w:t>
            </w:r>
            <w:r w:rsidR="00D03029" w:rsidRPr="004A492F">
              <w:rPr>
                <w:rFonts w:cs="Arial"/>
                <w:iCs/>
                <w:szCs w:val="20"/>
                <w:lang w:val="sl-SI" w:eastAsia="sl-SI"/>
              </w:rPr>
              <w:t xml:space="preserve">eneralna sekretarka </w:t>
            </w:r>
          </w:p>
          <w:p w14:paraId="72259D0B"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p w14:paraId="2806B425" w14:textId="7777777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Sklep prejmejo:</w:t>
            </w:r>
          </w:p>
          <w:p w14:paraId="2439C0BE" w14:textId="149777EA"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r w:rsidRPr="004A492F">
              <w:rPr>
                <w:rFonts w:cs="Arial"/>
                <w:iCs/>
                <w:szCs w:val="20"/>
                <w:lang w:val="sl-SI" w:eastAsia="sl-SI"/>
              </w:rPr>
              <w:tab/>
              <w:t>Generalni sekretariat Vlade Republike Slovenije</w:t>
            </w:r>
            <w:r w:rsidR="00507B5D" w:rsidRPr="004A492F">
              <w:rPr>
                <w:rFonts w:cs="Arial"/>
                <w:iCs/>
                <w:szCs w:val="20"/>
                <w:lang w:val="sl-SI" w:eastAsia="sl-SI"/>
              </w:rPr>
              <w:t>,</w:t>
            </w:r>
          </w:p>
          <w:p w14:paraId="56A3EF92" w14:textId="667C9B81"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r w:rsidRPr="004A492F">
              <w:rPr>
                <w:rFonts w:cs="Arial"/>
                <w:iCs/>
                <w:szCs w:val="20"/>
                <w:lang w:val="sl-SI" w:eastAsia="sl-SI"/>
              </w:rPr>
              <w:tab/>
              <w:t>Državni zbor Republike Slovenije</w:t>
            </w:r>
            <w:r w:rsidR="00507B5D" w:rsidRPr="004A492F">
              <w:rPr>
                <w:rFonts w:cs="Arial"/>
                <w:iCs/>
                <w:szCs w:val="20"/>
                <w:lang w:val="sl-SI" w:eastAsia="sl-SI"/>
              </w:rPr>
              <w:t>,</w:t>
            </w:r>
          </w:p>
          <w:p w14:paraId="6A2A96DE" w14:textId="646B1C2F"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r w:rsidRPr="004A492F">
              <w:rPr>
                <w:rFonts w:cs="Arial"/>
                <w:iCs/>
                <w:szCs w:val="20"/>
                <w:lang w:val="sl-SI" w:eastAsia="sl-SI"/>
              </w:rPr>
              <w:tab/>
              <w:t>Ministrstvo za pravosodje</w:t>
            </w:r>
            <w:r w:rsidR="00507B5D" w:rsidRPr="004A492F">
              <w:rPr>
                <w:rFonts w:cs="Arial"/>
                <w:iCs/>
                <w:szCs w:val="20"/>
                <w:lang w:val="sl-SI" w:eastAsia="sl-SI"/>
              </w:rPr>
              <w:t>,</w:t>
            </w:r>
          </w:p>
          <w:p w14:paraId="7EEAB2E3" w14:textId="38CFDFA6"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r w:rsidRPr="004A492F">
              <w:rPr>
                <w:rFonts w:cs="Arial"/>
                <w:iCs/>
                <w:szCs w:val="20"/>
                <w:lang w:val="sl-SI" w:eastAsia="sl-SI"/>
              </w:rPr>
              <w:tab/>
              <w:t>vsa ostala ministrstva</w:t>
            </w:r>
            <w:r w:rsidR="00507B5D" w:rsidRPr="004A492F">
              <w:rPr>
                <w:rFonts w:cs="Arial"/>
                <w:iCs/>
                <w:szCs w:val="20"/>
                <w:lang w:val="sl-SI" w:eastAsia="sl-SI"/>
              </w:rPr>
              <w:t>,</w:t>
            </w:r>
          </w:p>
          <w:p w14:paraId="4C2F7E8A" w14:textId="591C7EEA" w:rsidR="00F267FF"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r w:rsidRPr="004A492F">
              <w:rPr>
                <w:rFonts w:cs="Arial"/>
                <w:iCs/>
                <w:szCs w:val="20"/>
                <w:lang w:val="sl-SI" w:eastAsia="sl-SI"/>
              </w:rPr>
              <w:tab/>
              <w:t>Služba Vlade Republike Slovenije za zakonodajo</w:t>
            </w:r>
            <w:r w:rsidR="00507B5D" w:rsidRPr="004A492F">
              <w:rPr>
                <w:rFonts w:cs="Arial"/>
                <w:iCs/>
                <w:szCs w:val="20"/>
                <w:lang w:val="sl-SI" w:eastAsia="sl-SI"/>
              </w:rPr>
              <w:t>.</w:t>
            </w:r>
          </w:p>
          <w:p w14:paraId="4C1C953B" w14:textId="30126167" w:rsidR="00F02A4E" w:rsidRPr="004A492F" w:rsidRDefault="00F02A4E" w:rsidP="00F02A4E">
            <w:pPr>
              <w:overflowPunct w:val="0"/>
              <w:autoSpaceDE w:val="0"/>
              <w:autoSpaceDN w:val="0"/>
              <w:adjustRightInd w:val="0"/>
              <w:spacing w:line="260" w:lineRule="exact"/>
              <w:jc w:val="both"/>
              <w:textAlignment w:val="baseline"/>
              <w:rPr>
                <w:rFonts w:cs="Arial"/>
                <w:iCs/>
                <w:szCs w:val="20"/>
                <w:lang w:val="sl-SI" w:eastAsia="sl-SI"/>
              </w:rPr>
            </w:pPr>
          </w:p>
        </w:tc>
      </w:tr>
      <w:tr w:rsidR="00F267FF" w:rsidRPr="004A492F" w14:paraId="70C7070C" w14:textId="77777777" w:rsidTr="00D03029">
        <w:trPr>
          <w:gridBefore w:val="1"/>
          <w:wBefore w:w="100" w:type="dxa"/>
        </w:trPr>
        <w:tc>
          <w:tcPr>
            <w:tcW w:w="9163" w:type="dxa"/>
            <w:gridSpan w:val="13"/>
          </w:tcPr>
          <w:p w14:paraId="30F2E1A3" w14:textId="77777777" w:rsidR="00F267FF" w:rsidRPr="004A492F" w:rsidRDefault="00F267FF" w:rsidP="00F267FF">
            <w:pPr>
              <w:overflowPunct w:val="0"/>
              <w:autoSpaceDE w:val="0"/>
              <w:autoSpaceDN w:val="0"/>
              <w:adjustRightInd w:val="0"/>
              <w:spacing w:line="260" w:lineRule="exact"/>
              <w:jc w:val="both"/>
              <w:textAlignment w:val="baseline"/>
              <w:rPr>
                <w:rFonts w:cs="Arial"/>
                <w:b/>
                <w:iCs/>
                <w:szCs w:val="20"/>
                <w:lang w:val="sl-SI" w:eastAsia="sl-SI"/>
              </w:rPr>
            </w:pPr>
            <w:r w:rsidRPr="004A492F">
              <w:rPr>
                <w:rFonts w:cs="Arial"/>
                <w:b/>
                <w:szCs w:val="20"/>
                <w:lang w:val="sl-SI" w:eastAsia="sl-SI"/>
              </w:rPr>
              <w:t>2. Predlog za obravnavo predloga zakona po nujnem ali skrajšanem postopku v državnem zboru z obrazložitvijo razlogov:</w:t>
            </w:r>
          </w:p>
        </w:tc>
      </w:tr>
      <w:tr w:rsidR="00F267FF" w:rsidRPr="004A492F" w14:paraId="57879DA4" w14:textId="77777777" w:rsidTr="00D03029">
        <w:trPr>
          <w:gridBefore w:val="1"/>
          <w:wBefore w:w="100" w:type="dxa"/>
        </w:trPr>
        <w:tc>
          <w:tcPr>
            <w:tcW w:w="9163" w:type="dxa"/>
            <w:gridSpan w:val="13"/>
          </w:tcPr>
          <w:p w14:paraId="1E665996" w14:textId="6752CD2E" w:rsidR="00F267FF" w:rsidRPr="004A492F" w:rsidRDefault="005B354E" w:rsidP="003808EA">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p>
        </w:tc>
      </w:tr>
      <w:tr w:rsidR="00F267FF" w:rsidRPr="002E1057" w14:paraId="03DEBAAC" w14:textId="77777777" w:rsidTr="00D03029">
        <w:trPr>
          <w:gridBefore w:val="1"/>
          <w:wBefore w:w="100" w:type="dxa"/>
        </w:trPr>
        <w:tc>
          <w:tcPr>
            <w:tcW w:w="9163" w:type="dxa"/>
            <w:gridSpan w:val="13"/>
          </w:tcPr>
          <w:p w14:paraId="08B787BB" w14:textId="77777777" w:rsidR="00F267FF" w:rsidRPr="004A492F" w:rsidRDefault="00F267FF" w:rsidP="00F267FF">
            <w:pPr>
              <w:overflowPunct w:val="0"/>
              <w:autoSpaceDE w:val="0"/>
              <w:autoSpaceDN w:val="0"/>
              <w:adjustRightInd w:val="0"/>
              <w:spacing w:line="260" w:lineRule="exact"/>
              <w:jc w:val="both"/>
              <w:textAlignment w:val="baseline"/>
              <w:rPr>
                <w:rFonts w:cs="Arial"/>
                <w:b/>
                <w:iCs/>
                <w:szCs w:val="20"/>
                <w:lang w:val="sl-SI" w:eastAsia="sl-SI"/>
              </w:rPr>
            </w:pPr>
            <w:r w:rsidRPr="004A492F">
              <w:rPr>
                <w:rFonts w:cs="Arial"/>
                <w:b/>
                <w:szCs w:val="20"/>
                <w:lang w:val="sl-SI" w:eastAsia="sl-SI"/>
              </w:rPr>
              <w:t>3.a Osebe, odgovorne za strokovno pripravo in usklajenost gradiva:</w:t>
            </w:r>
          </w:p>
        </w:tc>
      </w:tr>
      <w:tr w:rsidR="00F267FF" w:rsidRPr="002E1057" w14:paraId="6E538287" w14:textId="77777777" w:rsidTr="00D03029">
        <w:trPr>
          <w:gridBefore w:val="1"/>
          <w:wBefore w:w="100" w:type="dxa"/>
        </w:trPr>
        <w:tc>
          <w:tcPr>
            <w:tcW w:w="9163" w:type="dxa"/>
            <w:gridSpan w:val="13"/>
          </w:tcPr>
          <w:p w14:paraId="02E0EB69" w14:textId="050CB1C3" w:rsidR="00F02A4E" w:rsidRPr="004A492F" w:rsidRDefault="00D03029"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 </w:t>
            </w:r>
            <w:r w:rsidR="00196EF1" w:rsidRPr="004A492F">
              <w:rPr>
                <w:rFonts w:cs="Arial"/>
                <w:iCs/>
                <w:szCs w:val="20"/>
                <w:lang w:val="sl-SI" w:eastAsia="sl-SI"/>
              </w:rPr>
              <w:t>Andreja Katič</w:t>
            </w:r>
            <w:r w:rsidR="00F02A4E" w:rsidRPr="004A492F">
              <w:rPr>
                <w:rFonts w:cs="Arial"/>
                <w:iCs/>
                <w:szCs w:val="20"/>
                <w:lang w:val="sl-SI" w:eastAsia="sl-SI"/>
              </w:rPr>
              <w:t>, ministrica za pravosodje</w:t>
            </w:r>
            <w:r w:rsidR="00507B5D" w:rsidRPr="004A492F">
              <w:rPr>
                <w:rFonts w:cs="Arial"/>
                <w:iCs/>
                <w:szCs w:val="20"/>
                <w:lang w:val="sl-SI" w:eastAsia="sl-SI"/>
              </w:rPr>
              <w:t>,</w:t>
            </w:r>
          </w:p>
          <w:p w14:paraId="09B3DFEF" w14:textId="72AA201D" w:rsidR="00F02A4E" w:rsidRPr="004A492F" w:rsidRDefault="00D03029" w:rsidP="00D03029">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m</w:t>
            </w:r>
            <w:r w:rsidR="00F02A4E" w:rsidRPr="004A492F">
              <w:rPr>
                <w:rFonts w:cs="Arial"/>
                <w:iCs/>
                <w:szCs w:val="20"/>
                <w:lang w:val="sl-SI" w:eastAsia="sl-SI"/>
              </w:rPr>
              <w:t xml:space="preserve">ag. </w:t>
            </w:r>
            <w:r w:rsidR="00196EF1" w:rsidRPr="004A492F">
              <w:rPr>
                <w:rFonts w:cs="Arial"/>
                <w:iCs/>
                <w:szCs w:val="20"/>
                <w:lang w:val="sl-SI" w:eastAsia="sl-SI"/>
              </w:rPr>
              <w:t>Andreja Kokalj</w:t>
            </w:r>
            <w:r w:rsidR="00F02A4E" w:rsidRPr="004A492F">
              <w:rPr>
                <w:rFonts w:cs="Arial"/>
                <w:iCs/>
                <w:szCs w:val="20"/>
                <w:lang w:val="sl-SI" w:eastAsia="sl-SI"/>
              </w:rPr>
              <w:t>, državna sekretarka</w:t>
            </w:r>
            <w:r w:rsidRPr="004A492F">
              <w:rPr>
                <w:rFonts w:cs="Arial"/>
                <w:iCs/>
                <w:szCs w:val="20"/>
                <w:lang w:val="sl-SI" w:eastAsia="sl-SI"/>
              </w:rPr>
              <w:t>, Ministrstvo za pravosodje,</w:t>
            </w:r>
          </w:p>
          <w:p w14:paraId="12AC12A2" w14:textId="231AC63D" w:rsidR="00D03029" w:rsidRPr="004A492F" w:rsidRDefault="00D03029" w:rsidP="005B35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 </w:t>
            </w:r>
            <w:r w:rsidR="00F02A4E" w:rsidRPr="004A492F">
              <w:rPr>
                <w:rFonts w:cs="Arial"/>
                <w:iCs/>
                <w:szCs w:val="20"/>
                <w:lang w:val="sl-SI" w:eastAsia="sl-SI"/>
              </w:rPr>
              <w:t>Miha Verčko, generalni direktor Direktorata za civilno pravo</w:t>
            </w:r>
            <w:r w:rsidR="005B354E" w:rsidRPr="004A492F">
              <w:rPr>
                <w:rFonts w:cs="Arial"/>
                <w:iCs/>
                <w:szCs w:val="20"/>
                <w:lang w:val="sl-SI" w:eastAsia="sl-SI"/>
              </w:rPr>
              <w:t>.</w:t>
            </w:r>
          </w:p>
        </w:tc>
      </w:tr>
      <w:tr w:rsidR="00F267FF" w:rsidRPr="002E1057" w14:paraId="262B899A" w14:textId="77777777" w:rsidTr="00D03029">
        <w:trPr>
          <w:gridBefore w:val="1"/>
          <w:wBefore w:w="100" w:type="dxa"/>
        </w:trPr>
        <w:tc>
          <w:tcPr>
            <w:tcW w:w="9163" w:type="dxa"/>
            <w:gridSpan w:val="13"/>
          </w:tcPr>
          <w:p w14:paraId="14C35F4B" w14:textId="77777777" w:rsidR="00F267FF" w:rsidRPr="004A492F" w:rsidRDefault="00F267FF" w:rsidP="00F267FF">
            <w:pPr>
              <w:overflowPunct w:val="0"/>
              <w:autoSpaceDE w:val="0"/>
              <w:autoSpaceDN w:val="0"/>
              <w:adjustRightInd w:val="0"/>
              <w:spacing w:line="260" w:lineRule="exact"/>
              <w:jc w:val="both"/>
              <w:textAlignment w:val="baseline"/>
              <w:rPr>
                <w:rFonts w:cs="Arial"/>
                <w:b/>
                <w:iCs/>
                <w:szCs w:val="20"/>
                <w:lang w:val="sl-SI" w:eastAsia="sl-SI"/>
              </w:rPr>
            </w:pPr>
            <w:r w:rsidRPr="004A492F">
              <w:rPr>
                <w:rFonts w:cs="Arial"/>
                <w:b/>
                <w:iCs/>
                <w:szCs w:val="20"/>
                <w:lang w:val="sl-SI" w:eastAsia="sl-SI"/>
              </w:rPr>
              <w:t xml:space="preserve">3.b Zunanji strokovnjaki, ki so </w:t>
            </w:r>
            <w:r w:rsidRPr="004A492F">
              <w:rPr>
                <w:rFonts w:cs="Arial"/>
                <w:b/>
                <w:szCs w:val="20"/>
                <w:lang w:val="sl-SI" w:eastAsia="sl-SI"/>
              </w:rPr>
              <w:t>sodelovali pri pripravi dela ali celotnega gradiva:</w:t>
            </w:r>
          </w:p>
        </w:tc>
      </w:tr>
      <w:tr w:rsidR="00F267FF" w:rsidRPr="004A492F" w14:paraId="57F5817F" w14:textId="77777777" w:rsidTr="00D03029">
        <w:trPr>
          <w:gridBefore w:val="1"/>
          <w:wBefore w:w="100" w:type="dxa"/>
        </w:trPr>
        <w:tc>
          <w:tcPr>
            <w:tcW w:w="9163" w:type="dxa"/>
            <w:gridSpan w:val="13"/>
          </w:tcPr>
          <w:p w14:paraId="1EB9C634" w14:textId="007739E3" w:rsidR="00F267FF" w:rsidRPr="004A492F" w:rsidRDefault="00F02A4E" w:rsidP="00F267FF">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w:t>
            </w:r>
          </w:p>
        </w:tc>
      </w:tr>
      <w:tr w:rsidR="00F267FF" w:rsidRPr="002E1057" w14:paraId="403AADD9" w14:textId="77777777" w:rsidTr="00D03029">
        <w:trPr>
          <w:gridBefore w:val="1"/>
          <w:wBefore w:w="100" w:type="dxa"/>
        </w:trPr>
        <w:tc>
          <w:tcPr>
            <w:tcW w:w="9163" w:type="dxa"/>
            <w:gridSpan w:val="13"/>
          </w:tcPr>
          <w:p w14:paraId="0075BF5B" w14:textId="77777777" w:rsidR="00F267FF" w:rsidRPr="004A492F" w:rsidRDefault="00F267FF" w:rsidP="00F267FF">
            <w:pPr>
              <w:overflowPunct w:val="0"/>
              <w:autoSpaceDE w:val="0"/>
              <w:autoSpaceDN w:val="0"/>
              <w:adjustRightInd w:val="0"/>
              <w:spacing w:line="260" w:lineRule="exact"/>
              <w:jc w:val="both"/>
              <w:textAlignment w:val="baseline"/>
              <w:rPr>
                <w:rFonts w:cs="Arial"/>
                <w:b/>
                <w:iCs/>
                <w:szCs w:val="20"/>
                <w:lang w:val="sl-SI" w:eastAsia="sl-SI"/>
              </w:rPr>
            </w:pPr>
            <w:r w:rsidRPr="004A492F">
              <w:rPr>
                <w:rFonts w:cs="Arial"/>
                <w:b/>
                <w:szCs w:val="20"/>
                <w:lang w:val="sl-SI" w:eastAsia="sl-SI"/>
              </w:rPr>
              <w:t>4. Predstavniki vlade, ki bodo sodelovali pri delu državnega zbora:</w:t>
            </w:r>
          </w:p>
        </w:tc>
      </w:tr>
      <w:tr w:rsidR="00F267FF" w:rsidRPr="002E1057" w14:paraId="0638E2F7" w14:textId="77777777" w:rsidTr="00D03029">
        <w:trPr>
          <w:gridBefore w:val="1"/>
          <w:wBefore w:w="100" w:type="dxa"/>
        </w:trPr>
        <w:tc>
          <w:tcPr>
            <w:tcW w:w="9163" w:type="dxa"/>
            <w:gridSpan w:val="13"/>
          </w:tcPr>
          <w:p w14:paraId="1171AF59" w14:textId="2B60111B" w:rsidR="003808EA" w:rsidRPr="004A492F" w:rsidRDefault="003808EA" w:rsidP="003808EA">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lastRenderedPageBreak/>
              <w:t>– Andreja Katič, ministrica za pravosodje</w:t>
            </w:r>
            <w:r w:rsidR="00507B5D" w:rsidRPr="004A492F">
              <w:rPr>
                <w:rFonts w:cs="Arial"/>
                <w:iCs/>
                <w:szCs w:val="20"/>
                <w:lang w:val="sl-SI" w:eastAsia="sl-SI"/>
              </w:rPr>
              <w:t>,</w:t>
            </w:r>
          </w:p>
          <w:p w14:paraId="5160B16A" w14:textId="77777777" w:rsidR="003808EA" w:rsidRPr="004A492F" w:rsidRDefault="003808EA" w:rsidP="003808EA">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mag. Andreja Kokalj, državna sekretarka, Ministrstvo za pravosodje,</w:t>
            </w:r>
          </w:p>
          <w:p w14:paraId="262C229F" w14:textId="52BEA450" w:rsidR="00F267FF" w:rsidRPr="004A492F" w:rsidRDefault="003808EA" w:rsidP="00F02A4E">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Miha Verčko, generalni direktor Direktorata za civilno pravo.</w:t>
            </w:r>
          </w:p>
        </w:tc>
      </w:tr>
      <w:tr w:rsidR="00F267FF" w:rsidRPr="004A492F" w14:paraId="5C9DF241" w14:textId="77777777" w:rsidTr="00EE338F">
        <w:trPr>
          <w:gridBefore w:val="1"/>
          <w:wBefore w:w="100" w:type="dxa"/>
        </w:trPr>
        <w:tc>
          <w:tcPr>
            <w:tcW w:w="9163" w:type="dxa"/>
            <w:gridSpan w:val="13"/>
            <w:shd w:val="clear" w:color="auto" w:fill="auto"/>
          </w:tcPr>
          <w:p w14:paraId="4F67CFDB" w14:textId="77777777" w:rsidR="00F267FF" w:rsidRPr="004A492F" w:rsidRDefault="00F267FF" w:rsidP="00F267FF">
            <w:pPr>
              <w:suppressAutoHyphens/>
              <w:overflowPunct w:val="0"/>
              <w:autoSpaceDE w:val="0"/>
              <w:autoSpaceDN w:val="0"/>
              <w:adjustRightInd w:val="0"/>
              <w:spacing w:line="260" w:lineRule="exact"/>
              <w:textAlignment w:val="baseline"/>
              <w:outlineLvl w:val="3"/>
              <w:rPr>
                <w:rFonts w:cs="Arial"/>
                <w:b/>
                <w:szCs w:val="20"/>
                <w:lang w:val="sl-SI" w:eastAsia="sl-SI"/>
              </w:rPr>
            </w:pPr>
            <w:r w:rsidRPr="004A492F">
              <w:rPr>
                <w:rFonts w:cs="Arial"/>
                <w:b/>
                <w:szCs w:val="20"/>
                <w:lang w:val="sl-SI" w:eastAsia="sl-SI"/>
              </w:rPr>
              <w:t>5. Kratek povzetek gradiva:</w:t>
            </w:r>
          </w:p>
        </w:tc>
      </w:tr>
      <w:tr w:rsidR="00F267FF" w:rsidRPr="002E1057" w14:paraId="2DF715FD" w14:textId="77777777" w:rsidTr="00D03029">
        <w:trPr>
          <w:gridBefore w:val="1"/>
          <w:wBefore w:w="100" w:type="dxa"/>
        </w:trPr>
        <w:tc>
          <w:tcPr>
            <w:tcW w:w="9163" w:type="dxa"/>
            <w:gridSpan w:val="13"/>
          </w:tcPr>
          <w:p w14:paraId="6EEAA835" w14:textId="21680893" w:rsidR="00EE338F" w:rsidRPr="004A492F" w:rsidRDefault="00EE338F" w:rsidP="00EE338F">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 xml:space="preserve">Predlog zakona o zaščitnih ukrepih zoper strateške tožbe za onemogočanje javnega udejstvovanja (v nadaljnjem besedilu: predlog zakona) pomeni </w:t>
            </w:r>
            <w:r w:rsidR="00A72285">
              <w:rPr>
                <w:rFonts w:cs="Arial"/>
                <w:kern w:val="2"/>
                <w:szCs w:val="20"/>
                <w:lang w:val="sl-SI"/>
                <w14:ligatures w14:val="standardContextual"/>
              </w:rPr>
              <w:t>prenos</w:t>
            </w:r>
            <w:r w:rsidR="00A72285" w:rsidRPr="004A492F">
              <w:rPr>
                <w:rFonts w:cs="Arial"/>
                <w:kern w:val="2"/>
                <w:szCs w:val="20"/>
                <w:lang w:val="sl-SI"/>
                <w14:ligatures w14:val="standardContextual"/>
              </w:rPr>
              <w:t xml:space="preserve"> </w:t>
            </w:r>
            <w:r w:rsidRPr="004A492F">
              <w:rPr>
                <w:rFonts w:cs="Arial"/>
                <w:kern w:val="2"/>
                <w:szCs w:val="20"/>
                <w:lang w:val="sl-SI"/>
                <w14:ligatures w14:val="standardContextual"/>
              </w:rPr>
              <w:t xml:space="preserve">Direktive (EU) 2024/1069 Evropskega parlamenta in Sveta z dne 11. aprila 2024 o zaščiti oseb, ki se udejstvujejo pri udeležbi javnosti, pred očitno neutemeljenimi tožbenimi zahtevki ali zlorabljenimi sodnimi postopki (»strateške tožbe za onemogočanje udeležbe javnosti«) (v nadaljnjem besedilu: </w:t>
            </w:r>
            <w:r w:rsidR="00A72285">
              <w:rPr>
                <w:rFonts w:cs="Arial"/>
                <w:kern w:val="2"/>
                <w:szCs w:val="20"/>
                <w:lang w:val="sl-SI"/>
                <w14:ligatures w14:val="standardContextual"/>
              </w:rPr>
              <w:t>d</w:t>
            </w:r>
            <w:r w:rsidRPr="004A492F">
              <w:rPr>
                <w:rFonts w:cs="Arial"/>
                <w:kern w:val="2"/>
                <w:szCs w:val="20"/>
                <w:lang w:val="sl-SI"/>
                <w14:ligatures w14:val="standardContextual"/>
              </w:rPr>
              <w:t xml:space="preserve">irektiva). Rok za prenos </w:t>
            </w:r>
            <w:r w:rsidR="00A72285">
              <w:rPr>
                <w:rFonts w:cs="Arial"/>
                <w:kern w:val="2"/>
                <w:szCs w:val="20"/>
                <w:lang w:val="sl-SI"/>
                <w14:ligatures w14:val="standardContextual"/>
              </w:rPr>
              <w:t>d</w:t>
            </w:r>
            <w:r w:rsidRPr="004A492F">
              <w:rPr>
                <w:rFonts w:cs="Arial"/>
                <w:kern w:val="2"/>
                <w:szCs w:val="20"/>
                <w:lang w:val="sl-SI"/>
                <w14:ligatures w14:val="standardContextual"/>
              </w:rPr>
              <w:t>irektive v nacionalno zakonodajo je 7. maj 2026.</w:t>
            </w:r>
          </w:p>
          <w:p w14:paraId="62547C52" w14:textId="77777777" w:rsidR="005B354E" w:rsidRPr="004A492F" w:rsidRDefault="005B354E" w:rsidP="00FA39C4">
            <w:pPr>
              <w:spacing w:line="260" w:lineRule="exact"/>
              <w:jc w:val="both"/>
              <w:rPr>
                <w:rFonts w:cs="Arial"/>
                <w:iCs/>
                <w:szCs w:val="20"/>
                <w:lang w:val="sl-SI" w:eastAsia="sl-SI"/>
              </w:rPr>
            </w:pPr>
          </w:p>
          <w:p w14:paraId="19247ECE" w14:textId="1B7F545F" w:rsidR="00EE338F" w:rsidRPr="004A492F" w:rsidRDefault="00EE338F" w:rsidP="00EE338F">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 xml:space="preserve">Cilj predloga zakona je krepitev ustavne pravice do svobode izražanja, </w:t>
            </w:r>
            <w:r w:rsidRPr="004A492F">
              <w:rPr>
                <w:rFonts w:cs="Arial"/>
                <w:kern w:val="2"/>
                <w:szCs w:val="20"/>
                <w:shd w:val="clear" w:color="auto" w:fill="FFFFFF"/>
                <w:lang w:val="sl-SI"/>
                <w14:ligatures w14:val="standardContextual"/>
              </w:rPr>
              <w:t>temeljn</w:t>
            </w:r>
            <w:r w:rsidR="00A72285">
              <w:rPr>
                <w:rFonts w:cs="Arial"/>
                <w:kern w:val="2"/>
                <w:szCs w:val="20"/>
                <w:shd w:val="clear" w:color="auto" w:fill="FFFFFF"/>
                <w:lang w:val="sl-SI"/>
                <w14:ligatures w14:val="standardContextual"/>
              </w:rPr>
              <w:t>e</w:t>
            </w:r>
            <w:r w:rsidRPr="004A492F">
              <w:rPr>
                <w:rFonts w:cs="Arial"/>
                <w:kern w:val="2"/>
                <w:szCs w:val="20"/>
                <w:shd w:val="clear" w:color="auto" w:fill="FFFFFF"/>
                <w:lang w:val="sl-SI"/>
                <w14:ligatures w14:val="standardContextual"/>
              </w:rPr>
              <w:t xml:space="preserve"> pravic</w:t>
            </w:r>
            <w:r w:rsidR="00A72285">
              <w:rPr>
                <w:rFonts w:cs="Arial"/>
                <w:kern w:val="2"/>
                <w:szCs w:val="20"/>
                <w:shd w:val="clear" w:color="auto" w:fill="FFFFFF"/>
                <w:lang w:val="sl-SI"/>
                <w14:ligatures w14:val="standardContextual"/>
              </w:rPr>
              <w:t>e</w:t>
            </w:r>
            <w:r w:rsidRPr="004A492F">
              <w:rPr>
                <w:rFonts w:cs="Arial"/>
                <w:kern w:val="2"/>
                <w:szCs w:val="20"/>
                <w:shd w:val="clear" w:color="auto" w:fill="FFFFFF"/>
                <w:lang w:val="sl-SI"/>
                <w14:ligatures w14:val="standardContextual"/>
              </w:rPr>
              <w:t>, ki jo je treba uveljavljati skrbno in odgovorno, pri tem pa upoštevati temeljno pravico ljudi do pridobivanja nepristranskih informacij</w:t>
            </w:r>
            <w:r w:rsidR="00A72285">
              <w:rPr>
                <w:rFonts w:cs="Arial"/>
                <w:kern w:val="2"/>
                <w:szCs w:val="20"/>
                <w:shd w:val="clear" w:color="auto" w:fill="FFFFFF"/>
                <w:lang w:val="sl-SI"/>
                <w14:ligatures w14:val="standardContextual"/>
              </w:rPr>
              <w:t xml:space="preserve"> ter</w:t>
            </w:r>
            <w:r w:rsidRPr="004A492F">
              <w:rPr>
                <w:rFonts w:cs="Arial"/>
                <w:kern w:val="2"/>
                <w:szCs w:val="20"/>
                <w:shd w:val="clear" w:color="auto" w:fill="FFFFFF"/>
                <w:lang w:val="sl-SI"/>
                <w14:ligatures w14:val="standardContextual"/>
              </w:rPr>
              <w:t xml:space="preserve"> spoštovanje temeljne pravice do zaščite ugleda, varstva osebnih podatkov in zasebnosti. V primeru nasprotja med temi pravicami je treba vsaki stranki zagotoviti dostop do sodišč ob ustreznem upoštevanju načela poštenega sojenja.</w:t>
            </w:r>
          </w:p>
          <w:p w14:paraId="28215398" w14:textId="77777777" w:rsidR="00EE338F" w:rsidRPr="004A492F" w:rsidRDefault="00EE338F" w:rsidP="00EE338F">
            <w:pPr>
              <w:spacing w:line="260" w:lineRule="exact"/>
              <w:jc w:val="both"/>
              <w:rPr>
                <w:rFonts w:cs="Arial"/>
                <w:kern w:val="2"/>
                <w:szCs w:val="20"/>
                <w:lang w:val="sl-SI"/>
                <w14:ligatures w14:val="standardContextual"/>
              </w:rPr>
            </w:pPr>
          </w:p>
          <w:p w14:paraId="2190AEE2" w14:textId="30E99816" w:rsidR="00EE338F" w:rsidRPr="004A492F" w:rsidRDefault="00EE338F" w:rsidP="00EE338F">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 xml:space="preserve">Poleg tega je cilj predloga zakona </w:t>
            </w:r>
            <w:r w:rsidR="00A72285">
              <w:rPr>
                <w:rFonts w:cs="Arial"/>
                <w:kern w:val="2"/>
                <w:szCs w:val="20"/>
                <w:lang w:val="sl-SI"/>
                <w14:ligatures w14:val="standardContextual"/>
              </w:rPr>
              <w:t>zagotoviti</w:t>
            </w:r>
            <w:r w:rsidRPr="004A492F">
              <w:rPr>
                <w:rFonts w:cs="Arial"/>
                <w:kern w:val="2"/>
                <w:szCs w:val="20"/>
                <w:lang w:val="sl-SI"/>
                <w14:ligatures w14:val="standardContextual"/>
              </w:rPr>
              <w:t xml:space="preserve"> spoštovanj</w:t>
            </w:r>
            <w:r w:rsidR="00A72285">
              <w:rPr>
                <w:rFonts w:cs="Arial"/>
                <w:kern w:val="2"/>
                <w:szCs w:val="20"/>
                <w:lang w:val="sl-SI"/>
                <w14:ligatures w14:val="standardContextual"/>
              </w:rPr>
              <w:t>e</w:t>
            </w:r>
            <w:r w:rsidRPr="004A492F">
              <w:rPr>
                <w:rFonts w:cs="Arial"/>
                <w:kern w:val="2"/>
                <w:szCs w:val="20"/>
                <w:lang w:val="sl-SI"/>
                <w14:ligatures w14:val="standardContextual"/>
              </w:rPr>
              <w:t xml:space="preserve"> ustavne pravice do sodnega varstva (23. člen Ustave Republike Slovenije</w:t>
            </w:r>
            <w:r w:rsidRPr="004A492F">
              <w:rPr>
                <w:rFonts w:cs="Arial"/>
                <w:kern w:val="2"/>
                <w:szCs w:val="20"/>
                <w:vertAlign w:val="superscript"/>
                <w:lang w:val="sl-SI"/>
                <w14:ligatures w14:val="standardContextual"/>
              </w:rPr>
              <w:footnoteReference w:id="1"/>
            </w:r>
            <w:r w:rsidRPr="004A492F">
              <w:rPr>
                <w:rFonts w:cs="Arial"/>
                <w:kern w:val="2"/>
                <w:szCs w:val="20"/>
                <w:lang w:val="sl-SI"/>
                <w14:ligatures w14:val="standardContextual"/>
              </w:rPr>
              <w:t xml:space="preserve"> (v nadaljnjem besedilu: </w:t>
            </w:r>
            <w:r w:rsidR="00A72285">
              <w:rPr>
                <w:rFonts w:cs="Arial"/>
                <w:kern w:val="2"/>
                <w:szCs w:val="20"/>
                <w:lang w:val="sl-SI"/>
                <w14:ligatures w14:val="standardContextual"/>
              </w:rPr>
              <w:t>u</w:t>
            </w:r>
            <w:r w:rsidRPr="004A492F">
              <w:rPr>
                <w:rFonts w:cs="Arial"/>
                <w:kern w:val="2"/>
                <w:szCs w:val="20"/>
                <w:lang w:val="sl-SI"/>
                <w14:ligatures w14:val="standardContextual"/>
              </w:rPr>
              <w:t xml:space="preserve">stava)), osebnega dostojanstva in varnosti (34. člen </w:t>
            </w:r>
            <w:r w:rsidR="00A72285">
              <w:rPr>
                <w:rFonts w:cs="Arial"/>
                <w:kern w:val="2"/>
                <w:szCs w:val="20"/>
                <w:lang w:val="sl-SI"/>
                <w14:ligatures w14:val="standardContextual"/>
              </w:rPr>
              <w:t>u</w:t>
            </w:r>
            <w:r w:rsidRPr="004A492F">
              <w:rPr>
                <w:rFonts w:cs="Arial"/>
                <w:kern w:val="2"/>
                <w:szCs w:val="20"/>
                <w:lang w:val="sl-SI"/>
                <w14:ligatures w14:val="standardContextual"/>
              </w:rPr>
              <w:t xml:space="preserve">stave), zasebnosti in osebnostnih pravic (35. člen </w:t>
            </w:r>
            <w:r w:rsidR="00A72285">
              <w:rPr>
                <w:rFonts w:cs="Arial"/>
                <w:kern w:val="2"/>
                <w:szCs w:val="20"/>
                <w:lang w:val="sl-SI"/>
                <w14:ligatures w14:val="standardContextual"/>
              </w:rPr>
              <w:t>u</w:t>
            </w:r>
            <w:r w:rsidRPr="004A492F">
              <w:rPr>
                <w:rFonts w:cs="Arial"/>
                <w:kern w:val="2"/>
                <w:szCs w:val="20"/>
                <w:lang w:val="sl-SI"/>
                <w14:ligatures w14:val="standardContextual"/>
              </w:rPr>
              <w:t>stave) in svobode izražanja (43. člen Ustave). To se bo zagotavljalo z naslednjimi postopkovnimi jamstvi:</w:t>
            </w:r>
          </w:p>
          <w:p w14:paraId="4691E493" w14:textId="0C7C518C"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varščin</w:t>
            </w:r>
            <w:r w:rsidR="00A72285">
              <w:rPr>
                <w:rFonts w:cs="Arial"/>
                <w:szCs w:val="20"/>
                <w:shd w:val="clear" w:color="auto" w:fill="FFFFFF"/>
                <w:lang w:val="sl-SI" w:eastAsia="sl-SI"/>
              </w:rPr>
              <w:t>o</w:t>
            </w:r>
            <w:r w:rsidRPr="004A492F">
              <w:rPr>
                <w:rFonts w:cs="Arial"/>
                <w:szCs w:val="20"/>
                <w:shd w:val="clear" w:color="auto" w:fill="FFFFFF"/>
                <w:lang w:val="sl-SI" w:eastAsia="sl-SI"/>
              </w:rPr>
              <w:t>,</w:t>
            </w:r>
          </w:p>
          <w:p w14:paraId="65FAB863" w14:textId="18511B43"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podpor</w:t>
            </w:r>
            <w:r w:rsidR="00A72285">
              <w:rPr>
                <w:rFonts w:cs="Arial"/>
                <w:szCs w:val="20"/>
                <w:shd w:val="clear" w:color="auto" w:fill="FFFFFF"/>
                <w:lang w:val="sl-SI" w:eastAsia="sl-SI"/>
              </w:rPr>
              <w:t>o</w:t>
            </w:r>
            <w:r w:rsidRPr="004A492F">
              <w:rPr>
                <w:rFonts w:cs="Arial"/>
                <w:szCs w:val="20"/>
                <w:shd w:val="clear" w:color="auto" w:fill="FFFFFF"/>
                <w:lang w:val="sl-SI" w:eastAsia="sl-SI"/>
              </w:rPr>
              <w:t xml:space="preserve"> in pomoč</w:t>
            </w:r>
            <w:r w:rsidR="00A72285">
              <w:rPr>
                <w:rFonts w:cs="Arial"/>
                <w:szCs w:val="20"/>
                <w:shd w:val="clear" w:color="auto" w:fill="FFFFFF"/>
                <w:lang w:val="sl-SI" w:eastAsia="sl-SI"/>
              </w:rPr>
              <w:t>jo</w:t>
            </w:r>
            <w:r w:rsidRPr="004A492F">
              <w:rPr>
                <w:rFonts w:cs="Arial"/>
                <w:szCs w:val="20"/>
                <w:shd w:val="clear" w:color="auto" w:fill="FFFFFF"/>
                <w:lang w:val="sl-SI" w:eastAsia="sl-SI"/>
              </w:rPr>
              <w:t xml:space="preserve"> upravičencu,</w:t>
            </w:r>
          </w:p>
          <w:p w14:paraId="5E8097C3" w14:textId="3BAA629E"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hitr</w:t>
            </w:r>
            <w:r w:rsidR="00A72285">
              <w:rPr>
                <w:rFonts w:cs="Arial"/>
                <w:szCs w:val="20"/>
                <w:shd w:val="clear" w:color="auto" w:fill="FFFFFF"/>
                <w:lang w:val="sl-SI" w:eastAsia="sl-SI"/>
              </w:rPr>
              <w:t>o</w:t>
            </w:r>
            <w:r w:rsidRPr="004A492F">
              <w:rPr>
                <w:rFonts w:cs="Arial"/>
                <w:szCs w:val="20"/>
                <w:shd w:val="clear" w:color="auto" w:fill="FFFFFF"/>
                <w:lang w:val="sl-SI" w:eastAsia="sl-SI"/>
              </w:rPr>
              <w:t xml:space="preserve"> obravnav</w:t>
            </w:r>
            <w:r w:rsidR="00A72285">
              <w:rPr>
                <w:rFonts w:cs="Arial"/>
                <w:szCs w:val="20"/>
                <w:shd w:val="clear" w:color="auto" w:fill="FFFFFF"/>
                <w:lang w:val="sl-SI" w:eastAsia="sl-SI"/>
              </w:rPr>
              <w:t>o</w:t>
            </w:r>
            <w:r w:rsidRPr="004A492F">
              <w:rPr>
                <w:rFonts w:cs="Arial"/>
                <w:szCs w:val="20"/>
                <w:shd w:val="clear" w:color="auto" w:fill="FFFFFF"/>
                <w:lang w:val="sl-SI" w:eastAsia="sl-SI"/>
              </w:rPr>
              <w:t xml:space="preserve"> in zgodnj</w:t>
            </w:r>
            <w:r w:rsidR="00A72285">
              <w:rPr>
                <w:rFonts w:cs="Arial"/>
                <w:szCs w:val="20"/>
                <w:shd w:val="clear" w:color="auto" w:fill="FFFFFF"/>
                <w:lang w:val="sl-SI" w:eastAsia="sl-SI"/>
              </w:rPr>
              <w:t>o</w:t>
            </w:r>
            <w:r w:rsidRPr="004A492F">
              <w:rPr>
                <w:rFonts w:cs="Arial"/>
                <w:szCs w:val="20"/>
                <w:shd w:val="clear" w:color="auto" w:fill="FFFFFF"/>
                <w:lang w:val="sl-SI" w:eastAsia="sl-SI"/>
              </w:rPr>
              <w:t xml:space="preserve"> zavrnit</w:t>
            </w:r>
            <w:r w:rsidR="00A72285">
              <w:rPr>
                <w:rFonts w:cs="Arial"/>
                <w:szCs w:val="20"/>
                <w:shd w:val="clear" w:color="auto" w:fill="FFFFFF"/>
                <w:lang w:val="sl-SI" w:eastAsia="sl-SI"/>
              </w:rPr>
              <w:t>vijo</w:t>
            </w:r>
            <w:r w:rsidRPr="004A492F">
              <w:rPr>
                <w:rFonts w:cs="Arial"/>
                <w:szCs w:val="20"/>
                <w:shd w:val="clear" w:color="auto" w:fill="FFFFFF"/>
                <w:lang w:val="sl-SI" w:eastAsia="sl-SI"/>
              </w:rPr>
              <w:t>,</w:t>
            </w:r>
          </w:p>
          <w:p w14:paraId="064AFFF7" w14:textId="12960897"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povrnit</w:t>
            </w:r>
            <w:r w:rsidR="00A72285">
              <w:rPr>
                <w:rFonts w:cs="Arial"/>
                <w:szCs w:val="20"/>
                <w:shd w:val="clear" w:color="auto" w:fill="FFFFFF"/>
                <w:lang w:val="sl-SI" w:eastAsia="sl-SI"/>
              </w:rPr>
              <w:t>vijo</w:t>
            </w:r>
            <w:r w:rsidRPr="004A492F">
              <w:rPr>
                <w:rFonts w:cs="Arial"/>
                <w:szCs w:val="20"/>
                <w:shd w:val="clear" w:color="auto" w:fill="FFFFFF"/>
                <w:lang w:val="sl-SI" w:eastAsia="sl-SI"/>
              </w:rPr>
              <w:t xml:space="preserve"> polnih stroškov,</w:t>
            </w:r>
          </w:p>
          <w:p w14:paraId="064A5E55" w14:textId="20D43D62"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povrnit</w:t>
            </w:r>
            <w:r w:rsidR="00A72285">
              <w:rPr>
                <w:rFonts w:cs="Arial"/>
                <w:szCs w:val="20"/>
                <w:shd w:val="clear" w:color="auto" w:fill="FFFFFF"/>
                <w:lang w:val="sl-SI" w:eastAsia="sl-SI"/>
              </w:rPr>
              <w:t>vijo</w:t>
            </w:r>
            <w:r w:rsidRPr="004A492F">
              <w:rPr>
                <w:rFonts w:cs="Arial"/>
                <w:szCs w:val="20"/>
                <w:shd w:val="clear" w:color="auto" w:fill="FFFFFF"/>
                <w:lang w:val="sl-SI" w:eastAsia="sl-SI"/>
              </w:rPr>
              <w:t xml:space="preserve"> škode in</w:t>
            </w:r>
          </w:p>
          <w:p w14:paraId="6E118DCF" w14:textId="01477716" w:rsidR="00EE338F" w:rsidRPr="004A492F" w:rsidRDefault="00EE338F" w:rsidP="00EE338F">
            <w:pPr>
              <w:numPr>
                <w:ilvl w:val="0"/>
                <w:numId w:val="20"/>
              </w:numPr>
              <w:shd w:val="clear" w:color="auto" w:fill="FFFFFF"/>
              <w:spacing w:line="260" w:lineRule="exact"/>
              <w:jc w:val="both"/>
              <w:rPr>
                <w:rFonts w:cs="Arial"/>
                <w:szCs w:val="20"/>
                <w:lang w:val="sl-SI" w:eastAsia="sl-SI"/>
              </w:rPr>
            </w:pPr>
            <w:r w:rsidRPr="004A492F">
              <w:rPr>
                <w:rFonts w:cs="Arial"/>
                <w:szCs w:val="20"/>
                <w:shd w:val="clear" w:color="auto" w:fill="FFFFFF"/>
                <w:lang w:val="sl-SI" w:eastAsia="sl-SI"/>
              </w:rPr>
              <w:t>denarn</w:t>
            </w:r>
            <w:r w:rsidR="00A72285">
              <w:rPr>
                <w:rFonts w:cs="Arial"/>
                <w:szCs w:val="20"/>
                <w:shd w:val="clear" w:color="auto" w:fill="FFFFFF"/>
                <w:lang w:val="sl-SI" w:eastAsia="sl-SI"/>
              </w:rPr>
              <w:t>o</w:t>
            </w:r>
            <w:r w:rsidRPr="004A492F">
              <w:rPr>
                <w:rFonts w:cs="Arial"/>
                <w:szCs w:val="20"/>
                <w:shd w:val="clear" w:color="auto" w:fill="FFFFFF"/>
                <w:lang w:val="sl-SI" w:eastAsia="sl-SI"/>
              </w:rPr>
              <w:t xml:space="preserve"> kazn</w:t>
            </w:r>
            <w:r w:rsidR="00A72285">
              <w:rPr>
                <w:rFonts w:cs="Arial"/>
                <w:szCs w:val="20"/>
                <w:shd w:val="clear" w:color="auto" w:fill="FFFFFF"/>
                <w:lang w:val="sl-SI" w:eastAsia="sl-SI"/>
              </w:rPr>
              <w:t>ijo</w:t>
            </w:r>
            <w:r w:rsidRPr="004A492F">
              <w:rPr>
                <w:rFonts w:cs="Arial"/>
                <w:szCs w:val="20"/>
                <w:shd w:val="clear" w:color="auto" w:fill="FFFFFF"/>
                <w:lang w:val="sl-SI" w:eastAsia="sl-SI"/>
              </w:rPr>
              <w:t>.</w:t>
            </w:r>
          </w:p>
          <w:p w14:paraId="15CBB824" w14:textId="77777777" w:rsidR="00EE338F" w:rsidRPr="004A492F" w:rsidRDefault="00EE338F" w:rsidP="00FA39C4">
            <w:pPr>
              <w:spacing w:line="260" w:lineRule="exact"/>
              <w:jc w:val="both"/>
              <w:rPr>
                <w:rFonts w:cs="Arial"/>
                <w:iCs/>
                <w:szCs w:val="20"/>
                <w:lang w:val="sl-SI" w:eastAsia="sl-SI"/>
              </w:rPr>
            </w:pPr>
          </w:p>
          <w:p w14:paraId="1DD59E36" w14:textId="5BCB8A42" w:rsidR="00EE338F" w:rsidRPr="004A492F" w:rsidRDefault="00EE338F" w:rsidP="00EE338F">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 xml:space="preserve">S predlogom zakona se poleg ureditve zaščitnih ukrepov zoper strateške tožbe za onemogočanje javnega udejstvovanja v skladu z </w:t>
            </w:r>
            <w:r w:rsidR="00A72285">
              <w:rPr>
                <w:rFonts w:cs="Arial"/>
                <w:kern w:val="2"/>
                <w:szCs w:val="20"/>
                <w:lang w:val="sl-SI"/>
                <w14:ligatures w14:val="standardContextual"/>
              </w:rPr>
              <w:t>d</w:t>
            </w:r>
            <w:r w:rsidRPr="004A492F">
              <w:rPr>
                <w:rFonts w:cs="Arial"/>
                <w:kern w:val="2"/>
                <w:szCs w:val="20"/>
                <w:lang w:val="sl-SI"/>
                <w14:ligatures w14:val="standardContextual"/>
              </w:rPr>
              <w:t xml:space="preserve">irektivo v slovenski pravni red prenašajo tudi druge obveznosti, ki jih določa </w:t>
            </w:r>
            <w:r w:rsidR="00A72285">
              <w:rPr>
                <w:rFonts w:cs="Arial"/>
                <w:kern w:val="2"/>
                <w:szCs w:val="20"/>
                <w:lang w:val="sl-SI"/>
                <w14:ligatures w14:val="standardContextual"/>
              </w:rPr>
              <w:t>d</w:t>
            </w:r>
            <w:r w:rsidRPr="004A492F">
              <w:rPr>
                <w:rFonts w:cs="Arial"/>
                <w:kern w:val="2"/>
                <w:szCs w:val="20"/>
                <w:lang w:val="sl-SI"/>
                <w14:ligatures w14:val="standardContextual"/>
              </w:rPr>
              <w:t>irektiva, to je predvsem:</w:t>
            </w:r>
          </w:p>
          <w:p w14:paraId="2723354A" w14:textId="77777777" w:rsidR="00EE338F" w:rsidRPr="004A492F" w:rsidRDefault="00EE338F" w:rsidP="00EE338F">
            <w:pPr>
              <w:spacing w:line="260" w:lineRule="exact"/>
              <w:jc w:val="both"/>
              <w:rPr>
                <w:rFonts w:cs="Arial"/>
                <w:kern w:val="2"/>
                <w:szCs w:val="20"/>
                <w:lang w:val="sl-SI"/>
                <w14:ligatures w14:val="standardContextual"/>
              </w:rPr>
            </w:pPr>
          </w:p>
          <w:p w14:paraId="0CC03027" w14:textId="2A83EFE4" w:rsidR="00EE338F" w:rsidRPr="004A492F" w:rsidRDefault="00EE338F" w:rsidP="00EE338F">
            <w:pPr>
              <w:numPr>
                <w:ilvl w:val="0"/>
                <w:numId w:val="19"/>
              </w:numPr>
              <w:spacing w:line="260" w:lineRule="exact"/>
              <w:contextualSpacing/>
              <w:jc w:val="both"/>
              <w:rPr>
                <w:rFonts w:cs="Arial"/>
                <w:szCs w:val="20"/>
                <w:lang w:val="sl-SI"/>
              </w:rPr>
            </w:pPr>
            <w:bookmarkStart w:id="0" w:name="_Hlk171083979"/>
            <w:r w:rsidRPr="004A492F">
              <w:rPr>
                <w:rFonts w:cs="Arial"/>
                <w:szCs w:val="20"/>
                <w:lang w:val="sl-SI"/>
              </w:rPr>
              <w:t xml:space="preserve">vzpostavitev kontaktne točke »vse na enem mestu« </w:t>
            </w:r>
          </w:p>
          <w:bookmarkEnd w:id="0"/>
          <w:p w14:paraId="4403FA98" w14:textId="77777777" w:rsidR="00EE338F" w:rsidRPr="004A492F" w:rsidRDefault="00EE338F" w:rsidP="00EE338F">
            <w:pPr>
              <w:spacing w:line="260" w:lineRule="exact"/>
              <w:jc w:val="both"/>
              <w:rPr>
                <w:rFonts w:cs="Arial"/>
                <w:kern w:val="2"/>
                <w:szCs w:val="20"/>
                <w:lang w:val="sl-SI"/>
                <w14:ligatures w14:val="standardContextual"/>
              </w:rPr>
            </w:pPr>
          </w:p>
          <w:p w14:paraId="67B17C6C" w14:textId="44C25214" w:rsidR="00EE338F" w:rsidRPr="004A492F" w:rsidRDefault="00A72285" w:rsidP="00EE338F">
            <w:pPr>
              <w:spacing w:line="260" w:lineRule="exact"/>
              <w:jc w:val="both"/>
              <w:rPr>
                <w:rFonts w:cs="Arial"/>
                <w:kern w:val="2"/>
                <w:szCs w:val="20"/>
                <w:lang w:val="sl-SI"/>
                <w14:ligatures w14:val="standardContextual"/>
              </w:rPr>
            </w:pPr>
            <w:r>
              <w:rPr>
                <w:rFonts w:cs="Arial"/>
                <w:kern w:val="2"/>
                <w:szCs w:val="20"/>
                <w:lang w:val="sl-SI"/>
                <w14:ligatures w14:val="standardContextual"/>
              </w:rPr>
              <w:t>E</w:t>
            </w:r>
            <w:r w:rsidR="00EE338F" w:rsidRPr="004A492F">
              <w:rPr>
                <w:rFonts w:cs="Arial"/>
                <w:kern w:val="2"/>
                <w:szCs w:val="20"/>
                <w:lang w:val="sl-SI"/>
                <w14:ligatures w14:val="standardContextual"/>
              </w:rPr>
              <w:t>notn</w:t>
            </w:r>
            <w:r>
              <w:rPr>
                <w:rFonts w:cs="Arial"/>
                <w:kern w:val="2"/>
                <w:szCs w:val="20"/>
                <w:lang w:val="sl-SI"/>
                <w14:ligatures w14:val="standardContextual"/>
              </w:rPr>
              <w:t>a</w:t>
            </w:r>
            <w:r w:rsidR="00EE338F" w:rsidRPr="004A492F">
              <w:rPr>
                <w:rFonts w:cs="Arial"/>
                <w:kern w:val="2"/>
                <w:szCs w:val="20"/>
                <w:lang w:val="sl-SI"/>
                <w14:ligatures w14:val="standardContextual"/>
              </w:rPr>
              <w:t xml:space="preserve"> kontaktn</w:t>
            </w:r>
            <w:r>
              <w:rPr>
                <w:rFonts w:cs="Arial"/>
                <w:kern w:val="2"/>
                <w:szCs w:val="20"/>
                <w:lang w:val="sl-SI"/>
                <w14:ligatures w14:val="standardContextual"/>
              </w:rPr>
              <w:t>a</w:t>
            </w:r>
            <w:r w:rsidR="00EE338F" w:rsidRPr="004A492F">
              <w:rPr>
                <w:rFonts w:cs="Arial"/>
                <w:kern w:val="2"/>
                <w:szCs w:val="20"/>
                <w:lang w:val="sl-SI"/>
                <w14:ligatures w14:val="standardContextual"/>
              </w:rPr>
              <w:t xml:space="preserve"> točk</w:t>
            </w:r>
            <w:r>
              <w:rPr>
                <w:rFonts w:cs="Arial"/>
                <w:kern w:val="2"/>
                <w:szCs w:val="20"/>
                <w:lang w:val="sl-SI"/>
                <w14:ligatures w14:val="standardContextual"/>
              </w:rPr>
              <w:t>a</w:t>
            </w:r>
            <w:r w:rsidR="00EE338F" w:rsidRPr="004A492F">
              <w:rPr>
                <w:rFonts w:cs="Arial"/>
                <w:kern w:val="2"/>
                <w:szCs w:val="20"/>
                <w:lang w:val="sl-SI"/>
                <w14:ligatures w14:val="standardContextual"/>
              </w:rPr>
              <w:t xml:space="preserve"> bo zagotavljal</w:t>
            </w:r>
            <w:r>
              <w:rPr>
                <w:rFonts w:cs="Arial"/>
                <w:kern w:val="2"/>
                <w:szCs w:val="20"/>
                <w:lang w:val="sl-SI"/>
                <w14:ligatures w14:val="standardContextual"/>
              </w:rPr>
              <w:t>a</w:t>
            </w:r>
            <w:r w:rsidR="00EE338F" w:rsidRPr="004A492F">
              <w:rPr>
                <w:rFonts w:cs="Arial"/>
                <w:kern w:val="2"/>
                <w:szCs w:val="20"/>
                <w:lang w:val="sl-SI"/>
                <w14:ligatures w14:val="standardContextual"/>
              </w:rPr>
              <w:t xml:space="preserve"> dostop do informacij o razpoložljivih postopkovnih jamstvih in pravnih sredstvih ter podpornih ukrepih, kot so pravna pomoč ter finančna in psihološka podpora. Iz </w:t>
            </w:r>
            <w:r>
              <w:rPr>
                <w:rFonts w:cs="Arial"/>
                <w:kern w:val="2"/>
                <w:szCs w:val="20"/>
                <w:lang w:val="sl-SI"/>
                <w14:ligatures w14:val="standardContextual"/>
              </w:rPr>
              <w:t>d</w:t>
            </w:r>
            <w:r w:rsidR="00EE338F" w:rsidRPr="004A492F">
              <w:rPr>
                <w:rFonts w:cs="Arial"/>
                <w:kern w:val="2"/>
                <w:szCs w:val="20"/>
                <w:lang w:val="sl-SI"/>
                <w14:ligatures w14:val="standardContextual"/>
              </w:rPr>
              <w:t xml:space="preserve">irektive izhaja tudi, da naj se zagotovi objava vseh sodb pritožbenih sodišč v primerih SLAPP tožb, kar bo </w:t>
            </w:r>
            <w:r>
              <w:rPr>
                <w:rFonts w:cs="Arial"/>
                <w:kern w:val="2"/>
                <w:szCs w:val="20"/>
                <w:lang w:val="sl-SI"/>
                <w14:ligatures w14:val="standardContextual"/>
              </w:rPr>
              <w:t xml:space="preserve">naloga </w:t>
            </w:r>
            <w:r w:rsidR="00EE338F" w:rsidRPr="004A492F">
              <w:rPr>
                <w:rFonts w:cs="Arial"/>
                <w:kern w:val="2"/>
                <w:szCs w:val="20"/>
                <w:lang w:val="sl-SI"/>
                <w14:ligatures w14:val="standardContextual"/>
              </w:rPr>
              <w:t>enotn</w:t>
            </w:r>
            <w:r>
              <w:rPr>
                <w:rFonts w:cs="Arial"/>
                <w:kern w:val="2"/>
                <w:szCs w:val="20"/>
                <w:lang w:val="sl-SI"/>
                <w14:ligatures w14:val="standardContextual"/>
              </w:rPr>
              <w:t>e</w:t>
            </w:r>
            <w:r w:rsidR="00EE338F" w:rsidRPr="004A492F">
              <w:rPr>
                <w:rFonts w:cs="Arial"/>
                <w:kern w:val="2"/>
                <w:szCs w:val="20"/>
                <w:lang w:val="sl-SI"/>
                <w14:ligatures w14:val="standardContextual"/>
              </w:rPr>
              <w:t xml:space="preserve"> kontaktn</w:t>
            </w:r>
            <w:r>
              <w:rPr>
                <w:rFonts w:cs="Arial"/>
                <w:kern w:val="2"/>
                <w:szCs w:val="20"/>
                <w:lang w:val="sl-SI"/>
                <w14:ligatures w14:val="standardContextual"/>
              </w:rPr>
              <w:t>e</w:t>
            </w:r>
            <w:r w:rsidR="00EE338F" w:rsidRPr="004A492F">
              <w:rPr>
                <w:rFonts w:cs="Arial"/>
                <w:kern w:val="2"/>
                <w:szCs w:val="20"/>
                <w:lang w:val="sl-SI"/>
                <w14:ligatures w14:val="standardContextual"/>
              </w:rPr>
              <w:t xml:space="preserve"> točk</w:t>
            </w:r>
            <w:r>
              <w:rPr>
                <w:rFonts w:cs="Arial"/>
                <w:kern w:val="2"/>
                <w:szCs w:val="20"/>
                <w:lang w:val="sl-SI"/>
                <w14:ligatures w14:val="standardContextual"/>
              </w:rPr>
              <w:t>e</w:t>
            </w:r>
            <w:r w:rsidR="00EE338F" w:rsidRPr="004A492F">
              <w:rPr>
                <w:rFonts w:cs="Arial"/>
                <w:kern w:val="2"/>
                <w:szCs w:val="20"/>
                <w:lang w:val="sl-SI"/>
                <w14:ligatures w14:val="standardContextual"/>
              </w:rPr>
              <w:t xml:space="preserve">, ki jo določa ta predlog zakona. </w:t>
            </w:r>
          </w:p>
          <w:p w14:paraId="1EFF27F5" w14:textId="77777777" w:rsidR="00EE338F" w:rsidRPr="004A492F" w:rsidRDefault="00EE338F" w:rsidP="00EE338F">
            <w:pPr>
              <w:spacing w:line="260" w:lineRule="exact"/>
              <w:jc w:val="both"/>
              <w:rPr>
                <w:rFonts w:cs="Arial"/>
                <w:kern w:val="2"/>
                <w:szCs w:val="20"/>
                <w:lang w:val="sl-SI"/>
                <w14:ligatures w14:val="standardContextual"/>
              </w:rPr>
            </w:pPr>
          </w:p>
          <w:p w14:paraId="3DACAAFC" w14:textId="77777777" w:rsidR="00EE338F" w:rsidRPr="004A492F" w:rsidRDefault="00EE338F" w:rsidP="00EE338F">
            <w:pPr>
              <w:numPr>
                <w:ilvl w:val="0"/>
                <w:numId w:val="19"/>
              </w:numPr>
              <w:spacing w:line="260" w:lineRule="exact"/>
              <w:contextualSpacing/>
              <w:jc w:val="both"/>
              <w:rPr>
                <w:rFonts w:cs="Arial"/>
                <w:szCs w:val="20"/>
                <w:lang w:val="sl-SI"/>
              </w:rPr>
            </w:pPr>
            <w:r w:rsidRPr="004A492F">
              <w:rPr>
                <w:rFonts w:cs="Arial"/>
                <w:szCs w:val="20"/>
                <w:lang w:val="sl-SI"/>
              </w:rPr>
              <w:t xml:space="preserve">poročanje RS Evropski komisiji </w:t>
            </w:r>
          </w:p>
          <w:p w14:paraId="24285C3E" w14:textId="77777777" w:rsidR="00EE338F" w:rsidRPr="004A492F" w:rsidRDefault="00EE338F" w:rsidP="00EE338F">
            <w:pPr>
              <w:spacing w:line="260" w:lineRule="exact"/>
              <w:jc w:val="both"/>
              <w:rPr>
                <w:rFonts w:cs="Arial"/>
                <w:kern w:val="2"/>
                <w:szCs w:val="20"/>
                <w:u w:val="single"/>
                <w:lang w:val="sl-SI"/>
                <w14:ligatures w14:val="standardContextual"/>
              </w:rPr>
            </w:pPr>
          </w:p>
          <w:p w14:paraId="3B677012" w14:textId="28B1E1AC" w:rsidR="00EE338F" w:rsidRPr="004A492F" w:rsidRDefault="00EE338F" w:rsidP="00EE338F">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 xml:space="preserve">Do 7. maja 2030 morajo države članice </w:t>
            </w:r>
            <w:r w:rsidR="00A72285">
              <w:rPr>
                <w:rFonts w:cs="Arial"/>
                <w:kern w:val="2"/>
                <w:szCs w:val="20"/>
                <w:lang w:val="sl-SI"/>
                <w14:ligatures w14:val="standardContextual"/>
              </w:rPr>
              <w:t xml:space="preserve">EU </w:t>
            </w:r>
            <w:r w:rsidRPr="004A492F">
              <w:rPr>
                <w:rFonts w:cs="Arial"/>
                <w:kern w:val="2"/>
                <w:szCs w:val="20"/>
                <w:lang w:val="sl-SI"/>
                <w14:ligatures w14:val="standardContextual"/>
              </w:rPr>
              <w:t xml:space="preserve">zagotoviti razpoložljive podatke v zvezi z uporabo </w:t>
            </w:r>
            <w:r w:rsidR="00B5361F">
              <w:rPr>
                <w:rFonts w:cs="Arial"/>
                <w:kern w:val="2"/>
                <w:szCs w:val="20"/>
                <w:lang w:val="sl-SI"/>
                <w14:ligatures w14:val="standardContextual"/>
              </w:rPr>
              <w:t>d</w:t>
            </w:r>
            <w:r w:rsidRPr="004A492F">
              <w:rPr>
                <w:rFonts w:cs="Arial"/>
                <w:kern w:val="2"/>
                <w:szCs w:val="20"/>
                <w:lang w:val="sl-SI"/>
                <w14:ligatures w14:val="standardContextual"/>
              </w:rPr>
              <w:t xml:space="preserve">irektive, zlasti o tem, kako so osebe, zoper katere se vlagajo strateške tožbe, uporabljale zaščitne ukrepe, kar bo </w:t>
            </w:r>
            <w:r w:rsidR="00B5361F">
              <w:rPr>
                <w:rFonts w:cs="Arial"/>
                <w:kern w:val="2"/>
                <w:szCs w:val="20"/>
                <w:lang w:val="sl-SI"/>
                <w14:ligatures w14:val="standardContextual"/>
              </w:rPr>
              <w:t>naloga</w:t>
            </w:r>
            <w:r w:rsidR="00B5361F" w:rsidRPr="004A492F">
              <w:rPr>
                <w:rFonts w:cs="Arial"/>
                <w:kern w:val="2"/>
                <w:szCs w:val="20"/>
                <w:lang w:val="sl-SI"/>
                <w14:ligatures w14:val="standardContextual"/>
              </w:rPr>
              <w:t xml:space="preserve"> </w:t>
            </w:r>
            <w:r w:rsidRPr="004A492F">
              <w:rPr>
                <w:rFonts w:cs="Arial"/>
                <w:kern w:val="2"/>
                <w:szCs w:val="20"/>
                <w:lang w:val="sl-SI"/>
                <w14:ligatures w14:val="standardContextual"/>
              </w:rPr>
              <w:t>enotn</w:t>
            </w:r>
            <w:r w:rsidR="00B5361F">
              <w:rPr>
                <w:rFonts w:cs="Arial"/>
                <w:kern w:val="2"/>
                <w:szCs w:val="20"/>
                <w:lang w:val="sl-SI"/>
                <w14:ligatures w14:val="standardContextual"/>
              </w:rPr>
              <w:t>e</w:t>
            </w:r>
            <w:r w:rsidRPr="004A492F">
              <w:rPr>
                <w:rFonts w:cs="Arial"/>
                <w:kern w:val="2"/>
                <w:szCs w:val="20"/>
                <w:lang w:val="sl-SI"/>
                <w14:ligatures w14:val="standardContextual"/>
              </w:rPr>
              <w:t xml:space="preserve"> kontaktn</w:t>
            </w:r>
            <w:r w:rsidR="00B5361F">
              <w:rPr>
                <w:rFonts w:cs="Arial"/>
                <w:kern w:val="2"/>
                <w:szCs w:val="20"/>
                <w:lang w:val="sl-SI"/>
                <w14:ligatures w14:val="standardContextual"/>
              </w:rPr>
              <w:t>e</w:t>
            </w:r>
            <w:r w:rsidRPr="004A492F">
              <w:rPr>
                <w:rFonts w:cs="Arial"/>
                <w:kern w:val="2"/>
                <w:szCs w:val="20"/>
                <w:lang w:val="sl-SI"/>
                <w14:ligatures w14:val="standardContextual"/>
              </w:rPr>
              <w:t xml:space="preserve"> točk</w:t>
            </w:r>
            <w:r w:rsidR="00B5361F">
              <w:rPr>
                <w:rFonts w:cs="Arial"/>
                <w:kern w:val="2"/>
                <w:szCs w:val="20"/>
                <w:lang w:val="sl-SI"/>
                <w14:ligatures w14:val="standardContextual"/>
              </w:rPr>
              <w:t>e</w:t>
            </w:r>
            <w:r w:rsidRPr="004A492F">
              <w:rPr>
                <w:rFonts w:cs="Arial"/>
                <w:kern w:val="2"/>
                <w:szCs w:val="20"/>
                <w:lang w:val="sl-SI"/>
                <w14:ligatures w14:val="standardContextual"/>
              </w:rPr>
              <w:t>.</w:t>
            </w:r>
          </w:p>
          <w:p w14:paraId="0A432933" w14:textId="77777777" w:rsidR="00EE338F" w:rsidRPr="004A492F" w:rsidRDefault="00EE338F" w:rsidP="00EE338F">
            <w:pPr>
              <w:shd w:val="clear" w:color="auto" w:fill="FFFFFF" w:themeFill="background1"/>
              <w:spacing w:line="260" w:lineRule="exact"/>
              <w:jc w:val="both"/>
              <w:rPr>
                <w:rFonts w:cs="Arial"/>
                <w:szCs w:val="20"/>
                <w:lang w:val="sl-SI" w:eastAsia="sl-SI"/>
              </w:rPr>
            </w:pPr>
          </w:p>
          <w:p w14:paraId="4D904804" w14:textId="4B2B512F" w:rsidR="00EE338F" w:rsidRPr="004A492F" w:rsidRDefault="00EE338F" w:rsidP="00EE338F">
            <w:pPr>
              <w:shd w:val="clear" w:color="auto" w:fill="FFFFFF"/>
              <w:spacing w:line="260" w:lineRule="exact"/>
              <w:jc w:val="both"/>
              <w:rPr>
                <w:rFonts w:cs="Arial"/>
                <w:szCs w:val="20"/>
                <w:shd w:val="clear" w:color="auto" w:fill="FFFFFF"/>
                <w:lang w:val="sl-SI" w:eastAsia="sl-SI"/>
              </w:rPr>
            </w:pPr>
            <w:r w:rsidRPr="004A492F">
              <w:rPr>
                <w:rFonts w:cs="Arial"/>
                <w:szCs w:val="20"/>
                <w:lang w:val="sl-SI" w:eastAsia="sl-SI"/>
              </w:rPr>
              <w:t xml:space="preserve">Direktiva predvideva tudi letno poročanje Evropski komisiji, ki je po predlogu zakona tudi v pristojnosti enotne kontaktne točke in zajema vsakoletno predložitev podatkov o </w:t>
            </w:r>
            <w:r w:rsidRPr="004A492F">
              <w:rPr>
                <w:rFonts w:cs="Arial"/>
                <w:szCs w:val="20"/>
                <w:shd w:val="clear" w:color="auto" w:fill="FFFFFF"/>
                <w:lang w:val="sl-SI" w:eastAsia="sl-SI"/>
              </w:rPr>
              <w:t>vlogah in/ali odločbah v postopkih in zaščitnih ukrepih, če je mogoče v zbirni obliki, o:</w:t>
            </w:r>
          </w:p>
          <w:p w14:paraId="3327AE06" w14:textId="77777777"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lastRenderedPageBreak/>
              <w:t>številu zlorabljenih sodnih postopkov za onemogočanje udeležbe javnosti, začetih v zadevnem letu;</w:t>
            </w:r>
          </w:p>
          <w:p w14:paraId="144BFD97" w14:textId="77777777"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številu sodnih postopkov, razvrščenih glede na vrsto tožene stranke in tožeče stranke;</w:t>
            </w:r>
          </w:p>
          <w:p w14:paraId="424C426D" w14:textId="77777777" w:rsidR="00EE338F" w:rsidRPr="004A492F" w:rsidRDefault="00EE338F" w:rsidP="00EE338F">
            <w:pPr>
              <w:numPr>
                <w:ilvl w:val="0"/>
                <w:numId w:val="20"/>
              </w:numPr>
              <w:shd w:val="clear" w:color="auto" w:fill="FFFFFF"/>
              <w:spacing w:line="260" w:lineRule="exact"/>
              <w:jc w:val="both"/>
              <w:rPr>
                <w:rFonts w:cs="Arial"/>
                <w:szCs w:val="20"/>
                <w:shd w:val="clear" w:color="auto" w:fill="FFFFFF"/>
                <w:lang w:val="sl-SI" w:eastAsia="sl-SI"/>
              </w:rPr>
            </w:pPr>
            <w:r w:rsidRPr="004A492F">
              <w:rPr>
                <w:rFonts w:cs="Arial"/>
                <w:szCs w:val="20"/>
                <w:shd w:val="clear" w:color="auto" w:fill="FFFFFF"/>
                <w:lang w:val="sl-SI" w:eastAsia="sl-SI"/>
              </w:rPr>
              <w:t>vrsti tožbenega zahtevka, vloženega na podlagi te direktive.</w:t>
            </w:r>
          </w:p>
          <w:p w14:paraId="32637E75" w14:textId="5533E435" w:rsidR="005B354E" w:rsidRPr="004A492F" w:rsidRDefault="005B354E" w:rsidP="00FA39C4">
            <w:pPr>
              <w:spacing w:line="260" w:lineRule="exact"/>
              <w:jc w:val="both"/>
              <w:rPr>
                <w:rFonts w:cs="Arial"/>
                <w:iCs/>
                <w:szCs w:val="20"/>
                <w:lang w:val="sl-SI" w:eastAsia="sl-SI"/>
              </w:rPr>
            </w:pPr>
          </w:p>
        </w:tc>
      </w:tr>
      <w:tr w:rsidR="00F267FF" w:rsidRPr="004A492F" w14:paraId="2DF0DAC2" w14:textId="77777777" w:rsidTr="00D03029">
        <w:trPr>
          <w:gridBefore w:val="1"/>
          <w:wBefore w:w="100" w:type="dxa"/>
        </w:trPr>
        <w:tc>
          <w:tcPr>
            <w:tcW w:w="9163" w:type="dxa"/>
            <w:gridSpan w:val="13"/>
          </w:tcPr>
          <w:p w14:paraId="7B134952" w14:textId="77777777" w:rsidR="00F267FF" w:rsidRPr="004A492F" w:rsidRDefault="00F267FF" w:rsidP="00F267FF">
            <w:pPr>
              <w:suppressAutoHyphens/>
              <w:overflowPunct w:val="0"/>
              <w:autoSpaceDE w:val="0"/>
              <w:autoSpaceDN w:val="0"/>
              <w:adjustRightInd w:val="0"/>
              <w:spacing w:line="260" w:lineRule="exact"/>
              <w:textAlignment w:val="baseline"/>
              <w:outlineLvl w:val="3"/>
              <w:rPr>
                <w:rFonts w:cs="Arial"/>
                <w:b/>
                <w:szCs w:val="20"/>
                <w:lang w:val="sl-SI" w:eastAsia="sl-SI"/>
              </w:rPr>
            </w:pPr>
            <w:r w:rsidRPr="004A492F">
              <w:rPr>
                <w:rFonts w:cs="Arial"/>
                <w:b/>
                <w:szCs w:val="20"/>
                <w:lang w:val="sl-SI" w:eastAsia="sl-SI"/>
              </w:rPr>
              <w:lastRenderedPageBreak/>
              <w:t>6. Presoja posledic za:</w:t>
            </w:r>
          </w:p>
        </w:tc>
      </w:tr>
      <w:tr w:rsidR="00F267FF" w:rsidRPr="004A492F" w14:paraId="449992FF" w14:textId="77777777" w:rsidTr="00D03029">
        <w:trPr>
          <w:gridBefore w:val="1"/>
          <w:wBefore w:w="100" w:type="dxa"/>
        </w:trPr>
        <w:tc>
          <w:tcPr>
            <w:tcW w:w="1448" w:type="dxa"/>
          </w:tcPr>
          <w:p w14:paraId="0C0503A5"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a)</w:t>
            </w:r>
          </w:p>
        </w:tc>
        <w:tc>
          <w:tcPr>
            <w:tcW w:w="5444" w:type="dxa"/>
            <w:gridSpan w:val="9"/>
          </w:tcPr>
          <w:p w14:paraId="37698923" w14:textId="77777777" w:rsidR="00F267FF" w:rsidRPr="004A492F" w:rsidRDefault="00F267FF" w:rsidP="00F267FF">
            <w:pPr>
              <w:overflowPunct w:val="0"/>
              <w:autoSpaceDE w:val="0"/>
              <w:autoSpaceDN w:val="0"/>
              <w:adjustRightInd w:val="0"/>
              <w:spacing w:line="260" w:lineRule="exact"/>
              <w:jc w:val="both"/>
              <w:textAlignment w:val="baseline"/>
              <w:rPr>
                <w:rFonts w:cs="Arial"/>
                <w:szCs w:val="20"/>
                <w:lang w:val="sl-SI" w:eastAsia="sl-SI"/>
              </w:rPr>
            </w:pPr>
            <w:r w:rsidRPr="004A492F">
              <w:rPr>
                <w:rFonts w:cs="Arial"/>
                <w:szCs w:val="20"/>
                <w:lang w:val="sl-SI" w:eastAsia="sl-SI"/>
              </w:rPr>
              <w:t>javnofinančna sredstva nad 40.000 EUR v tekočem in naslednjih treh letih</w:t>
            </w:r>
          </w:p>
        </w:tc>
        <w:tc>
          <w:tcPr>
            <w:tcW w:w="2271" w:type="dxa"/>
            <w:gridSpan w:val="3"/>
            <w:vAlign w:val="center"/>
          </w:tcPr>
          <w:p w14:paraId="66BEE665" w14:textId="4BA06759" w:rsidR="00F267FF" w:rsidRPr="004A492F" w:rsidRDefault="005B354E"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iCs/>
                <w:szCs w:val="20"/>
                <w:lang w:val="sl-SI" w:eastAsia="sl-SI"/>
              </w:rPr>
              <w:t>DA</w:t>
            </w:r>
          </w:p>
        </w:tc>
      </w:tr>
      <w:tr w:rsidR="00F267FF" w:rsidRPr="004A492F" w14:paraId="2A6A306D" w14:textId="77777777" w:rsidTr="00D03029">
        <w:trPr>
          <w:gridBefore w:val="1"/>
          <w:wBefore w:w="100" w:type="dxa"/>
        </w:trPr>
        <w:tc>
          <w:tcPr>
            <w:tcW w:w="1448" w:type="dxa"/>
          </w:tcPr>
          <w:p w14:paraId="52A92677"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b)</w:t>
            </w:r>
          </w:p>
        </w:tc>
        <w:tc>
          <w:tcPr>
            <w:tcW w:w="5444" w:type="dxa"/>
            <w:gridSpan w:val="9"/>
          </w:tcPr>
          <w:p w14:paraId="3E35774D" w14:textId="77777777" w:rsidR="00F267FF" w:rsidRPr="004A492F" w:rsidRDefault="00F267FF" w:rsidP="00F267FF">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bCs/>
                <w:szCs w:val="20"/>
                <w:lang w:val="sl-SI" w:eastAsia="sl-SI"/>
              </w:rPr>
              <w:t>usklajenost slovenskega pravnega reda s pravnim redom Evropske unije</w:t>
            </w:r>
          </w:p>
        </w:tc>
        <w:tc>
          <w:tcPr>
            <w:tcW w:w="2271" w:type="dxa"/>
            <w:gridSpan w:val="3"/>
            <w:vAlign w:val="center"/>
          </w:tcPr>
          <w:p w14:paraId="242E972C" w14:textId="04DE6FB4" w:rsidR="00F267FF" w:rsidRPr="004A492F" w:rsidRDefault="005B354E"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iCs/>
                <w:szCs w:val="20"/>
                <w:lang w:val="sl-SI" w:eastAsia="sl-SI"/>
              </w:rPr>
              <w:t>DA</w:t>
            </w:r>
          </w:p>
        </w:tc>
      </w:tr>
      <w:tr w:rsidR="00F267FF" w:rsidRPr="004A492F" w14:paraId="01C7131D" w14:textId="77777777" w:rsidTr="00D03029">
        <w:trPr>
          <w:gridBefore w:val="1"/>
          <w:wBefore w:w="100" w:type="dxa"/>
        </w:trPr>
        <w:tc>
          <w:tcPr>
            <w:tcW w:w="1448" w:type="dxa"/>
          </w:tcPr>
          <w:p w14:paraId="46D09D57"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c)</w:t>
            </w:r>
          </w:p>
        </w:tc>
        <w:tc>
          <w:tcPr>
            <w:tcW w:w="5444" w:type="dxa"/>
            <w:gridSpan w:val="9"/>
          </w:tcPr>
          <w:p w14:paraId="4C30E0FB" w14:textId="77777777" w:rsidR="00F267FF" w:rsidRPr="004A492F" w:rsidRDefault="00F267FF" w:rsidP="00F267FF">
            <w:p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szCs w:val="20"/>
                <w:lang w:val="sl-SI" w:eastAsia="sl-SI"/>
              </w:rPr>
              <w:t>administrativne posledice</w:t>
            </w:r>
          </w:p>
        </w:tc>
        <w:tc>
          <w:tcPr>
            <w:tcW w:w="2271" w:type="dxa"/>
            <w:gridSpan w:val="3"/>
            <w:vAlign w:val="center"/>
          </w:tcPr>
          <w:p w14:paraId="0A33D6E0" w14:textId="7703F6B3" w:rsidR="00F267FF" w:rsidRPr="004A492F" w:rsidRDefault="0082042F" w:rsidP="00F267FF">
            <w:pPr>
              <w:overflowPunct w:val="0"/>
              <w:autoSpaceDE w:val="0"/>
              <w:autoSpaceDN w:val="0"/>
              <w:adjustRightInd w:val="0"/>
              <w:spacing w:line="260" w:lineRule="exact"/>
              <w:jc w:val="center"/>
              <w:textAlignment w:val="baseline"/>
              <w:rPr>
                <w:rFonts w:cs="Arial"/>
                <w:b/>
                <w:bCs/>
                <w:szCs w:val="20"/>
                <w:lang w:val="sl-SI" w:eastAsia="sl-SI"/>
              </w:rPr>
            </w:pPr>
            <w:r w:rsidRPr="004A492F">
              <w:rPr>
                <w:rFonts w:cs="Arial"/>
                <w:b/>
                <w:bCs/>
                <w:szCs w:val="20"/>
                <w:lang w:val="sl-SI" w:eastAsia="sl-SI"/>
              </w:rPr>
              <w:t>NE</w:t>
            </w:r>
          </w:p>
        </w:tc>
      </w:tr>
      <w:tr w:rsidR="00F267FF" w:rsidRPr="004A492F" w14:paraId="7FFC600A" w14:textId="77777777" w:rsidTr="00D03029">
        <w:trPr>
          <w:gridBefore w:val="1"/>
          <w:wBefore w:w="100" w:type="dxa"/>
        </w:trPr>
        <w:tc>
          <w:tcPr>
            <w:tcW w:w="1448" w:type="dxa"/>
          </w:tcPr>
          <w:p w14:paraId="4D34FACE"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č)</w:t>
            </w:r>
          </w:p>
        </w:tc>
        <w:tc>
          <w:tcPr>
            <w:tcW w:w="5444" w:type="dxa"/>
            <w:gridSpan w:val="9"/>
          </w:tcPr>
          <w:p w14:paraId="04867E51" w14:textId="77777777" w:rsidR="00F267FF" w:rsidRPr="004A492F" w:rsidRDefault="00F267FF" w:rsidP="00F267FF">
            <w:p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szCs w:val="20"/>
                <w:lang w:val="sl-SI" w:eastAsia="sl-SI"/>
              </w:rPr>
              <w:t>gospodarstvo, zlasti</w:t>
            </w:r>
            <w:r w:rsidRPr="004A492F">
              <w:rPr>
                <w:rFonts w:cs="Arial"/>
                <w:bCs/>
                <w:szCs w:val="20"/>
                <w:lang w:val="sl-SI" w:eastAsia="sl-SI"/>
              </w:rPr>
              <w:t xml:space="preserve"> mala in srednja podjetja ter konkurenčnost podjetij</w:t>
            </w:r>
          </w:p>
        </w:tc>
        <w:tc>
          <w:tcPr>
            <w:tcW w:w="2271" w:type="dxa"/>
            <w:gridSpan w:val="3"/>
            <w:vAlign w:val="center"/>
          </w:tcPr>
          <w:p w14:paraId="36A8ACDD" w14:textId="31B635FD" w:rsidR="00F267FF" w:rsidRPr="004A492F" w:rsidRDefault="007543F0"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NE</w:t>
            </w:r>
          </w:p>
        </w:tc>
      </w:tr>
      <w:tr w:rsidR="00F267FF" w:rsidRPr="004A492F" w14:paraId="305359B7" w14:textId="77777777" w:rsidTr="00D03029">
        <w:trPr>
          <w:gridBefore w:val="1"/>
          <w:wBefore w:w="100" w:type="dxa"/>
        </w:trPr>
        <w:tc>
          <w:tcPr>
            <w:tcW w:w="1448" w:type="dxa"/>
          </w:tcPr>
          <w:p w14:paraId="0FFD63F6"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d)</w:t>
            </w:r>
          </w:p>
        </w:tc>
        <w:tc>
          <w:tcPr>
            <w:tcW w:w="5444" w:type="dxa"/>
            <w:gridSpan w:val="9"/>
          </w:tcPr>
          <w:p w14:paraId="06F07F74" w14:textId="77777777" w:rsidR="00F267FF" w:rsidRPr="004A492F" w:rsidRDefault="00F267FF" w:rsidP="00F267FF">
            <w:p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okolje, vključno s prostorskimi in varstvenimi vidiki</w:t>
            </w:r>
          </w:p>
        </w:tc>
        <w:tc>
          <w:tcPr>
            <w:tcW w:w="2271" w:type="dxa"/>
            <w:gridSpan w:val="3"/>
            <w:vAlign w:val="center"/>
          </w:tcPr>
          <w:p w14:paraId="535649A0" w14:textId="44263CC5" w:rsidR="00F267FF" w:rsidRPr="004A492F" w:rsidRDefault="00F267FF"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NE</w:t>
            </w:r>
          </w:p>
        </w:tc>
      </w:tr>
      <w:tr w:rsidR="00F267FF" w:rsidRPr="004A492F" w14:paraId="21D3BB0B" w14:textId="77777777" w:rsidTr="00D03029">
        <w:trPr>
          <w:gridBefore w:val="1"/>
          <w:wBefore w:w="100" w:type="dxa"/>
        </w:trPr>
        <w:tc>
          <w:tcPr>
            <w:tcW w:w="1448" w:type="dxa"/>
          </w:tcPr>
          <w:p w14:paraId="08A58C1D"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e)</w:t>
            </w:r>
          </w:p>
        </w:tc>
        <w:tc>
          <w:tcPr>
            <w:tcW w:w="5444" w:type="dxa"/>
            <w:gridSpan w:val="9"/>
          </w:tcPr>
          <w:p w14:paraId="51FCE4B7" w14:textId="77777777" w:rsidR="00F267FF" w:rsidRPr="004A492F" w:rsidRDefault="00F267FF" w:rsidP="00F267FF">
            <w:p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socialno področje</w:t>
            </w:r>
          </w:p>
        </w:tc>
        <w:tc>
          <w:tcPr>
            <w:tcW w:w="2271" w:type="dxa"/>
            <w:gridSpan w:val="3"/>
            <w:vAlign w:val="center"/>
          </w:tcPr>
          <w:p w14:paraId="6DDF1273" w14:textId="2527B8FD" w:rsidR="00F267FF" w:rsidRPr="004A492F" w:rsidRDefault="007543F0"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NE</w:t>
            </w:r>
          </w:p>
        </w:tc>
      </w:tr>
      <w:tr w:rsidR="00F267FF" w:rsidRPr="004A492F" w14:paraId="48A19B57" w14:textId="77777777" w:rsidTr="00D03029">
        <w:trPr>
          <w:gridBefore w:val="1"/>
          <w:wBefore w:w="100" w:type="dxa"/>
        </w:trPr>
        <w:tc>
          <w:tcPr>
            <w:tcW w:w="1448" w:type="dxa"/>
            <w:tcBorders>
              <w:bottom w:val="single" w:sz="4" w:space="0" w:color="auto"/>
            </w:tcBorders>
          </w:tcPr>
          <w:p w14:paraId="52BB52D0" w14:textId="77777777" w:rsidR="00F267FF" w:rsidRPr="004A492F" w:rsidRDefault="00F267FF" w:rsidP="00F267FF">
            <w:pPr>
              <w:overflowPunct w:val="0"/>
              <w:autoSpaceDE w:val="0"/>
              <w:autoSpaceDN w:val="0"/>
              <w:adjustRightInd w:val="0"/>
              <w:spacing w:line="260" w:lineRule="exact"/>
              <w:ind w:left="360"/>
              <w:jc w:val="both"/>
              <w:textAlignment w:val="baseline"/>
              <w:rPr>
                <w:rFonts w:cs="Arial"/>
                <w:iCs/>
                <w:szCs w:val="20"/>
                <w:lang w:val="sl-SI" w:eastAsia="sl-SI"/>
              </w:rPr>
            </w:pPr>
            <w:r w:rsidRPr="004A492F">
              <w:rPr>
                <w:rFonts w:cs="Arial"/>
                <w:iCs/>
                <w:szCs w:val="20"/>
                <w:lang w:val="sl-SI" w:eastAsia="sl-SI"/>
              </w:rPr>
              <w:t>f)</w:t>
            </w:r>
          </w:p>
        </w:tc>
        <w:tc>
          <w:tcPr>
            <w:tcW w:w="5444" w:type="dxa"/>
            <w:gridSpan w:val="9"/>
            <w:tcBorders>
              <w:bottom w:val="single" w:sz="4" w:space="0" w:color="auto"/>
            </w:tcBorders>
          </w:tcPr>
          <w:p w14:paraId="7764C9C7" w14:textId="77777777" w:rsidR="00F267FF" w:rsidRPr="004A492F" w:rsidRDefault="00F267FF" w:rsidP="00F267FF">
            <w:p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dokumente razvojnega načrtovanja:</w:t>
            </w:r>
          </w:p>
          <w:p w14:paraId="709DDDC9" w14:textId="77777777" w:rsidR="00F267FF" w:rsidRPr="004A492F" w:rsidRDefault="00F267FF" w:rsidP="00F267FF">
            <w:pPr>
              <w:numPr>
                <w:ilvl w:val="0"/>
                <w:numId w:val="8"/>
              </w:num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nacionalne dokumente razvojnega načrtovanja</w:t>
            </w:r>
          </w:p>
          <w:p w14:paraId="73526A04" w14:textId="77777777" w:rsidR="00F267FF" w:rsidRPr="004A492F" w:rsidRDefault="00F267FF" w:rsidP="00F267FF">
            <w:pPr>
              <w:numPr>
                <w:ilvl w:val="0"/>
                <w:numId w:val="8"/>
              </w:num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razvojne politike na ravni programov po strukturi razvojne klasifikacije programskega proračuna</w:t>
            </w:r>
          </w:p>
          <w:p w14:paraId="50C57A17" w14:textId="77777777" w:rsidR="00F267FF" w:rsidRPr="004A492F" w:rsidRDefault="00F267FF" w:rsidP="00F267FF">
            <w:pPr>
              <w:numPr>
                <w:ilvl w:val="0"/>
                <w:numId w:val="8"/>
              </w:numPr>
              <w:overflowPunct w:val="0"/>
              <w:autoSpaceDE w:val="0"/>
              <w:autoSpaceDN w:val="0"/>
              <w:adjustRightInd w:val="0"/>
              <w:spacing w:line="260" w:lineRule="exact"/>
              <w:jc w:val="both"/>
              <w:textAlignment w:val="baseline"/>
              <w:rPr>
                <w:rFonts w:cs="Arial"/>
                <w:bCs/>
                <w:szCs w:val="20"/>
                <w:lang w:val="sl-SI" w:eastAsia="sl-SI"/>
              </w:rPr>
            </w:pPr>
            <w:r w:rsidRPr="004A492F">
              <w:rPr>
                <w:rFonts w:cs="Arial"/>
                <w:bCs/>
                <w:szCs w:val="20"/>
                <w:lang w:val="sl-SI" w:eastAsia="sl-SI"/>
              </w:rPr>
              <w:t>razvojne dokumente Evropske unije in mednarodnih organizacij</w:t>
            </w:r>
          </w:p>
          <w:p w14:paraId="1B43895A" w14:textId="77777777" w:rsidR="00D03029" w:rsidRPr="004A492F" w:rsidRDefault="00D03029" w:rsidP="00D03029">
            <w:pPr>
              <w:overflowPunct w:val="0"/>
              <w:autoSpaceDE w:val="0"/>
              <w:autoSpaceDN w:val="0"/>
              <w:adjustRightInd w:val="0"/>
              <w:spacing w:line="260" w:lineRule="exact"/>
              <w:jc w:val="both"/>
              <w:textAlignment w:val="baseline"/>
              <w:rPr>
                <w:rFonts w:cs="Arial"/>
                <w:bCs/>
                <w:szCs w:val="20"/>
                <w:lang w:val="sl-SI" w:eastAsia="sl-SI"/>
              </w:rPr>
            </w:pPr>
          </w:p>
          <w:p w14:paraId="3BBA215A" w14:textId="42E9B7F8" w:rsidR="00D03029" w:rsidRPr="004A492F" w:rsidRDefault="00D03029" w:rsidP="00D03029">
            <w:pPr>
              <w:overflowPunct w:val="0"/>
              <w:autoSpaceDE w:val="0"/>
              <w:autoSpaceDN w:val="0"/>
              <w:adjustRightInd w:val="0"/>
              <w:spacing w:line="260" w:lineRule="exact"/>
              <w:jc w:val="both"/>
              <w:textAlignment w:val="baseline"/>
              <w:rPr>
                <w:rFonts w:cs="Arial"/>
                <w:bCs/>
                <w:szCs w:val="20"/>
                <w:lang w:val="sl-SI" w:eastAsia="sl-SI"/>
              </w:rPr>
            </w:pPr>
          </w:p>
        </w:tc>
        <w:tc>
          <w:tcPr>
            <w:tcW w:w="2271" w:type="dxa"/>
            <w:gridSpan w:val="3"/>
            <w:tcBorders>
              <w:bottom w:val="single" w:sz="4" w:space="0" w:color="auto"/>
            </w:tcBorders>
            <w:vAlign w:val="center"/>
          </w:tcPr>
          <w:p w14:paraId="6E9E43F2" w14:textId="6FB7FEF0" w:rsidR="00F267FF" w:rsidRPr="004A492F" w:rsidRDefault="00F267FF" w:rsidP="00F267FF">
            <w:pPr>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NE</w:t>
            </w:r>
          </w:p>
        </w:tc>
      </w:tr>
      <w:tr w:rsidR="00F267FF" w:rsidRPr="004A492F" w14:paraId="2AB077BA" w14:textId="77777777" w:rsidTr="00D03029">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7AD13F54" w14:textId="77777777" w:rsidR="00F267FF" w:rsidRPr="004A492F" w:rsidRDefault="00F267FF" w:rsidP="00F267FF">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4A492F">
              <w:rPr>
                <w:rFonts w:cs="Arial"/>
                <w:b/>
                <w:szCs w:val="20"/>
                <w:lang w:val="sl-SI" w:eastAsia="sl-SI"/>
              </w:rPr>
              <w:t>7.a Predstavitev ocene finančnih posledic nad 40.000 EUR:</w:t>
            </w:r>
          </w:p>
          <w:p w14:paraId="48777AD7" w14:textId="723F7C34" w:rsidR="003B6082" w:rsidRPr="004A492F" w:rsidRDefault="003B6082" w:rsidP="004A7DF9">
            <w:pPr>
              <w:widowControl w:val="0"/>
              <w:suppressAutoHyphens/>
              <w:overflowPunct w:val="0"/>
              <w:autoSpaceDE w:val="0"/>
              <w:autoSpaceDN w:val="0"/>
              <w:adjustRightInd w:val="0"/>
              <w:spacing w:line="260" w:lineRule="exact"/>
              <w:jc w:val="both"/>
              <w:textAlignment w:val="baseline"/>
              <w:outlineLvl w:val="3"/>
              <w:rPr>
                <w:rFonts w:cs="Arial"/>
                <w:szCs w:val="20"/>
                <w:lang w:val="sl-SI" w:eastAsia="sl-SI"/>
              </w:rPr>
            </w:pPr>
          </w:p>
        </w:tc>
      </w:tr>
      <w:tr w:rsidR="00D03029" w:rsidRPr="002E1057" w14:paraId="372A7342" w14:textId="77777777" w:rsidTr="00D03029">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5056CCF0" w14:textId="77777777" w:rsidR="00C953E8" w:rsidRPr="00F005CB" w:rsidRDefault="00C953E8"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cs="Arial"/>
                <w:szCs w:val="20"/>
                <w:lang w:val="sl-SI" w:eastAsia="sl-SI"/>
              </w:rPr>
              <w:t>Zakon bo imel finančne posledice za državni proračun in ne bo imel finančnih posledic za druga javna finančna sredstva.</w:t>
            </w:r>
          </w:p>
          <w:p w14:paraId="2D00F951" w14:textId="77777777" w:rsidR="00C953E8" w:rsidRPr="00F005CB" w:rsidRDefault="00C953E8" w:rsidP="00C953E8">
            <w:pPr>
              <w:overflowPunct w:val="0"/>
              <w:autoSpaceDE w:val="0"/>
              <w:autoSpaceDN w:val="0"/>
              <w:adjustRightInd w:val="0"/>
              <w:spacing w:line="260" w:lineRule="exact"/>
              <w:jc w:val="both"/>
              <w:textAlignment w:val="baseline"/>
              <w:rPr>
                <w:rFonts w:cs="Arial"/>
                <w:szCs w:val="20"/>
                <w:lang w:val="sl-SI" w:eastAsia="sl-SI"/>
              </w:rPr>
            </w:pPr>
          </w:p>
          <w:p w14:paraId="7AE1A86F" w14:textId="47D1063D" w:rsidR="00C953E8" w:rsidRDefault="00C953E8"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cs="Arial"/>
                <w:szCs w:val="20"/>
                <w:lang w:val="sl-SI" w:eastAsia="sl-SI"/>
              </w:rPr>
              <w:t>Finančne posledice za državni proračun bodo nastale zaradi vzpostavitve in opravljanja novih nalog, ki jih bo morala opravljati enotna kontaktna točka</w:t>
            </w:r>
            <w:r w:rsidR="004A492F">
              <w:rPr>
                <w:rFonts w:cs="Arial"/>
                <w:szCs w:val="20"/>
                <w:lang w:val="sl-SI" w:eastAsia="sl-SI"/>
              </w:rPr>
              <w:t xml:space="preserve">, ki jo mora Ministrstvo za pravosodje v skladu s predlaganimi prehodnimi določbami vzpostaviti v roku pol leta po uveljavitvi zakona, zato bodo finančne posledice začele nastajati šele proti koncu leta 2026.  </w:t>
            </w:r>
          </w:p>
          <w:p w14:paraId="66AE1220" w14:textId="77777777" w:rsidR="004A492F" w:rsidRDefault="004A492F" w:rsidP="00C953E8">
            <w:pPr>
              <w:overflowPunct w:val="0"/>
              <w:autoSpaceDE w:val="0"/>
              <w:autoSpaceDN w:val="0"/>
              <w:adjustRightInd w:val="0"/>
              <w:spacing w:line="260" w:lineRule="exact"/>
              <w:jc w:val="both"/>
              <w:textAlignment w:val="baseline"/>
              <w:rPr>
                <w:rFonts w:cs="Arial"/>
                <w:szCs w:val="20"/>
                <w:lang w:val="sl-SI" w:eastAsia="sl-SI"/>
              </w:rPr>
            </w:pPr>
          </w:p>
          <w:p w14:paraId="788D6523" w14:textId="178D787B" w:rsidR="00C953E8" w:rsidRPr="00F005CB" w:rsidRDefault="004A492F" w:rsidP="00C953E8">
            <w:pPr>
              <w:overflowPunct w:val="0"/>
              <w:autoSpaceDE w:val="0"/>
              <w:autoSpaceDN w:val="0"/>
              <w:adjustRightInd w:val="0"/>
              <w:spacing w:line="260" w:lineRule="exact"/>
              <w:jc w:val="both"/>
              <w:textAlignment w:val="baseline"/>
              <w:rPr>
                <w:rFonts w:cs="Arial"/>
                <w:szCs w:val="20"/>
                <w:lang w:val="sl-SI" w:eastAsia="sl-SI"/>
              </w:rPr>
            </w:pPr>
            <w:r>
              <w:rPr>
                <w:rFonts w:cs="Arial"/>
                <w:szCs w:val="20"/>
                <w:lang w:val="sl-SI" w:eastAsia="sl-SI"/>
              </w:rPr>
              <w:t xml:space="preserve">Letni strošek plače javnega uslužbenca na delovnem mestu </w:t>
            </w:r>
            <w:r w:rsidR="00C953E8" w:rsidRPr="00F005CB">
              <w:rPr>
                <w:rFonts w:cs="Arial"/>
                <w:szCs w:val="20"/>
                <w:lang w:val="sl-SI" w:eastAsia="sl-SI"/>
              </w:rPr>
              <w:t xml:space="preserve">podsekretar </w:t>
            </w:r>
            <w:r>
              <w:rPr>
                <w:rFonts w:cs="Arial"/>
                <w:szCs w:val="20"/>
                <w:lang w:val="sl-SI" w:eastAsia="sl-SI"/>
              </w:rPr>
              <w:t xml:space="preserve">znaša </w:t>
            </w:r>
            <w:r w:rsidR="00C953E8" w:rsidRPr="00F005CB">
              <w:rPr>
                <w:rFonts w:cs="Arial"/>
                <w:szCs w:val="20"/>
                <w:lang w:val="sl-SI" w:eastAsia="sl-SI"/>
              </w:rPr>
              <w:t>43.766,41 evra</w:t>
            </w:r>
            <w:r>
              <w:rPr>
                <w:rFonts w:cs="Arial"/>
                <w:szCs w:val="20"/>
                <w:lang w:val="sl-SI" w:eastAsia="sl-SI"/>
              </w:rPr>
              <w:t xml:space="preserve">, na delovnem mestu </w:t>
            </w:r>
            <w:r w:rsidR="00C953E8" w:rsidRPr="00F005CB">
              <w:rPr>
                <w:rFonts w:cs="Arial"/>
                <w:szCs w:val="20"/>
                <w:lang w:val="sl-SI" w:eastAsia="sl-SI"/>
              </w:rPr>
              <w:t xml:space="preserve">svetovalec </w:t>
            </w:r>
            <w:r>
              <w:rPr>
                <w:rFonts w:cs="Arial"/>
                <w:szCs w:val="20"/>
                <w:lang w:val="sl-SI" w:eastAsia="sl-SI"/>
              </w:rPr>
              <w:t xml:space="preserve">pa </w:t>
            </w:r>
            <w:r w:rsidR="00C953E8" w:rsidRPr="00F005CB">
              <w:rPr>
                <w:rFonts w:cs="Arial"/>
                <w:szCs w:val="20"/>
                <w:lang w:val="sl-SI" w:eastAsia="sl-SI"/>
              </w:rPr>
              <w:t>30.204,97 evra.</w:t>
            </w:r>
          </w:p>
          <w:p w14:paraId="54FB21ED" w14:textId="77777777" w:rsidR="00776A75" w:rsidRPr="004A492F" w:rsidRDefault="00776A75" w:rsidP="00C953E8">
            <w:pPr>
              <w:overflowPunct w:val="0"/>
              <w:autoSpaceDE w:val="0"/>
              <w:autoSpaceDN w:val="0"/>
              <w:adjustRightInd w:val="0"/>
              <w:spacing w:line="260" w:lineRule="exact"/>
              <w:jc w:val="both"/>
              <w:textAlignment w:val="baseline"/>
              <w:rPr>
                <w:rFonts w:cs="Arial"/>
                <w:szCs w:val="20"/>
                <w:lang w:val="sl-SI" w:eastAsia="sl-SI"/>
              </w:rPr>
            </w:pPr>
          </w:p>
          <w:p w14:paraId="0CB38F73" w14:textId="2792231A" w:rsidR="00C953E8" w:rsidRPr="00F005CB" w:rsidRDefault="00C953E8"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cs="Arial"/>
                <w:szCs w:val="20"/>
                <w:lang w:val="sl-SI" w:eastAsia="sl-SI"/>
              </w:rPr>
              <w:t>Glede na to, da je s predlogom zakona določeno, da se enotna kontaktna točka iz 14. člena predloga zakona vzpostavi v šestih mesecih po uveljavitvi zakona, je ob upoštevanju časa trajanja zakonodajnega postopka pričakovati, da zakon ne bo začel veljati prej kot februarja 2026, zato je v letu 2026 pričakovati finančne posledice zaposlitve podsekretarja v višini 14.588,80</w:t>
            </w:r>
            <w:r w:rsidR="006E2F20">
              <w:rPr>
                <w:rFonts w:cs="Arial"/>
                <w:szCs w:val="20"/>
                <w:lang w:val="sl-SI" w:eastAsia="sl-SI"/>
              </w:rPr>
              <w:t xml:space="preserve"> evra</w:t>
            </w:r>
            <w:r w:rsidRPr="00F005CB">
              <w:rPr>
                <w:rFonts w:cs="Arial"/>
                <w:szCs w:val="20"/>
                <w:lang w:val="sl-SI" w:eastAsia="sl-SI"/>
              </w:rPr>
              <w:t xml:space="preserve"> ter finančne posledice svetovalca v višini 10.068,32 ev</w:t>
            </w:r>
            <w:r w:rsidR="00907B8A">
              <w:rPr>
                <w:rFonts w:cs="Arial"/>
                <w:szCs w:val="20"/>
                <w:lang w:val="sl-SI" w:eastAsia="sl-SI"/>
              </w:rPr>
              <w:t>ra</w:t>
            </w:r>
            <w:r w:rsidRPr="00F005CB">
              <w:rPr>
                <w:rFonts w:cs="Arial"/>
                <w:szCs w:val="20"/>
                <w:lang w:val="sl-SI" w:eastAsia="sl-SI"/>
              </w:rPr>
              <w:t xml:space="preserve">, torej strošek plače (in regresa za letni dopust) za 4 mesece. Skupaj torej ocenjene finančne posledice dveh zaposlitev v letu 2026 od meseca septembra dalje znašajo 24.657,12 evra.  </w:t>
            </w:r>
          </w:p>
          <w:p w14:paraId="5F92D48A" w14:textId="77777777" w:rsidR="00C953E8" w:rsidRPr="00F005CB" w:rsidRDefault="00C953E8" w:rsidP="00C953E8">
            <w:pPr>
              <w:overflowPunct w:val="0"/>
              <w:autoSpaceDE w:val="0"/>
              <w:autoSpaceDN w:val="0"/>
              <w:adjustRightInd w:val="0"/>
              <w:spacing w:line="260" w:lineRule="exact"/>
              <w:jc w:val="both"/>
              <w:textAlignment w:val="baseline"/>
              <w:rPr>
                <w:rFonts w:cs="Arial"/>
                <w:szCs w:val="20"/>
                <w:lang w:val="sl-SI" w:eastAsia="sl-SI"/>
              </w:rPr>
            </w:pPr>
          </w:p>
          <w:p w14:paraId="1EF0A0F4" w14:textId="77777777" w:rsidR="00C953E8" w:rsidRDefault="00C953E8"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cs="Arial"/>
                <w:szCs w:val="20"/>
                <w:lang w:val="sl-SI" w:eastAsia="sl-SI"/>
              </w:rPr>
              <w:t xml:space="preserve">V letu 2027, ko bo enotna kontaktna točka delovala celo leto, pa ocenjene finančne posledice znašajo  43.766,41 evra za zaposlitev podsekretarja in 30.204,97 evra za svetovalca. Skupaj torej ocenjene finančne posledice teh dveh zaposlitev na enotni kontaktni točki v letu 2027 znašajo 73.971,38 evra. </w:t>
            </w:r>
          </w:p>
          <w:p w14:paraId="41BDF85D" w14:textId="77777777" w:rsidR="007741DB" w:rsidRDefault="007741DB" w:rsidP="00C953E8">
            <w:pPr>
              <w:overflowPunct w:val="0"/>
              <w:autoSpaceDE w:val="0"/>
              <w:autoSpaceDN w:val="0"/>
              <w:adjustRightInd w:val="0"/>
              <w:spacing w:line="260" w:lineRule="exact"/>
              <w:jc w:val="both"/>
              <w:textAlignment w:val="baseline"/>
              <w:rPr>
                <w:rFonts w:cs="Arial"/>
                <w:szCs w:val="20"/>
                <w:lang w:val="sl-SI" w:eastAsia="sl-SI"/>
              </w:rPr>
            </w:pPr>
          </w:p>
          <w:p w14:paraId="770103F0" w14:textId="4327AEB9" w:rsidR="007741DB" w:rsidRPr="00F005CB" w:rsidRDefault="007741DB"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eastAsia="Aptos" w:cs="Arial"/>
                <w:color w:val="000000"/>
                <w:szCs w:val="20"/>
                <w:lang w:val="sl-SI"/>
              </w:rPr>
              <w:t xml:space="preserve">Finančne posledice predlaganega zakona zaradi novih zaposlitev </w:t>
            </w:r>
            <w:r>
              <w:rPr>
                <w:rFonts w:eastAsia="Aptos" w:cs="Arial"/>
                <w:color w:val="000000"/>
                <w:szCs w:val="20"/>
                <w:lang w:val="sl-SI"/>
              </w:rPr>
              <w:t xml:space="preserve">bodo torej </w:t>
            </w:r>
            <w:r w:rsidRPr="00F005CB">
              <w:rPr>
                <w:rFonts w:eastAsia="Aptos" w:cs="Arial"/>
                <w:color w:val="000000"/>
                <w:szCs w:val="20"/>
                <w:lang w:val="sl-SI"/>
              </w:rPr>
              <w:t xml:space="preserve">začele nastajati proti koncu leta 2026 in se bodo v celoti odrazile v proračunu za leto 2027. </w:t>
            </w:r>
            <w:r>
              <w:rPr>
                <w:rFonts w:eastAsia="Aptos" w:cs="Arial"/>
                <w:color w:val="000000"/>
                <w:szCs w:val="20"/>
                <w:lang w:val="sl-SI"/>
              </w:rPr>
              <w:t>S</w:t>
            </w:r>
            <w:r w:rsidRPr="00E9720E">
              <w:rPr>
                <w:rFonts w:eastAsia="Aptos" w:cs="Arial"/>
                <w:color w:val="000000"/>
                <w:szCs w:val="20"/>
                <w:lang w:val="sl-SI"/>
              </w:rPr>
              <w:t>redstva za plače</w:t>
            </w:r>
            <w:r>
              <w:rPr>
                <w:rFonts w:eastAsia="Aptos" w:cs="Arial"/>
                <w:color w:val="000000"/>
                <w:szCs w:val="20"/>
                <w:lang w:val="sl-SI"/>
              </w:rPr>
              <w:t xml:space="preserve"> iz tega naslova zadostujejo </w:t>
            </w:r>
            <w:r w:rsidRPr="001A0CE5">
              <w:rPr>
                <w:rFonts w:eastAsia="Aptos" w:cs="Arial"/>
                <w:color w:val="000000"/>
                <w:szCs w:val="20"/>
                <w:lang w:val="sl-SI"/>
              </w:rPr>
              <w:t>v višini, kot so načrtovana ob pripravi proračunov za leti 2026 in 202</w:t>
            </w:r>
            <w:r>
              <w:rPr>
                <w:rFonts w:eastAsia="Aptos" w:cs="Arial"/>
                <w:color w:val="000000"/>
                <w:szCs w:val="20"/>
                <w:lang w:val="sl-SI"/>
              </w:rPr>
              <w:t>7.</w:t>
            </w:r>
          </w:p>
          <w:p w14:paraId="105B7CEC" w14:textId="77777777" w:rsidR="00C953E8" w:rsidRPr="00F005CB" w:rsidRDefault="00C953E8" w:rsidP="00C953E8">
            <w:pPr>
              <w:overflowPunct w:val="0"/>
              <w:autoSpaceDE w:val="0"/>
              <w:autoSpaceDN w:val="0"/>
              <w:adjustRightInd w:val="0"/>
              <w:spacing w:line="260" w:lineRule="exact"/>
              <w:jc w:val="both"/>
              <w:textAlignment w:val="baseline"/>
              <w:rPr>
                <w:rFonts w:cs="Arial"/>
                <w:szCs w:val="20"/>
                <w:lang w:val="sl-SI" w:eastAsia="sl-SI"/>
              </w:rPr>
            </w:pPr>
          </w:p>
          <w:p w14:paraId="20D419C4" w14:textId="67F297E1" w:rsidR="00C953E8" w:rsidRPr="00E1550B" w:rsidRDefault="00C953E8" w:rsidP="00C953E8">
            <w:pPr>
              <w:overflowPunct w:val="0"/>
              <w:autoSpaceDE w:val="0"/>
              <w:autoSpaceDN w:val="0"/>
              <w:adjustRightInd w:val="0"/>
              <w:spacing w:line="260" w:lineRule="exact"/>
              <w:jc w:val="both"/>
              <w:textAlignment w:val="baseline"/>
              <w:rPr>
                <w:rFonts w:cs="Arial"/>
                <w:szCs w:val="20"/>
                <w:lang w:val="sl-SI" w:eastAsia="sl-SI"/>
              </w:rPr>
            </w:pPr>
            <w:r w:rsidRPr="00F005CB">
              <w:rPr>
                <w:rFonts w:cs="Arial"/>
                <w:szCs w:val="20"/>
                <w:lang w:val="sl-SI" w:eastAsia="sl-SI"/>
              </w:rPr>
              <w:lastRenderedPageBreak/>
              <w:t xml:space="preserve">S predlogom zakona se ustanavlja enotna kontaktna točka, katere dodatna naloga je tudi zagotavljanje dostopa do informacij o razpoložljivih postopkovnih jamstvih in pravnih sredstvih ter podpornih ukrepih. Za namen obveščanja udeležencev bo treba pripraviti zloženke in drug promocijski material, za kar se predvideva, da bodo v letih 2026 in 2027 za državni proračun nastali stroški v višini 10.000,00 evrov, in sicer v letu 2026 stroški v višini 5.000,00 evrov in v letu 2027 stroški v višini 5.000,00 evrov. Navedeni znesek bo zajemal tako </w:t>
            </w:r>
            <w:r w:rsidR="00907B8A">
              <w:rPr>
                <w:rFonts w:cs="Arial"/>
                <w:szCs w:val="20"/>
                <w:lang w:val="sl-SI" w:eastAsia="sl-SI"/>
              </w:rPr>
              <w:t>pripravo</w:t>
            </w:r>
            <w:r w:rsidR="00907B8A" w:rsidRPr="00F005CB">
              <w:rPr>
                <w:rFonts w:cs="Arial"/>
                <w:szCs w:val="20"/>
                <w:lang w:val="sl-SI" w:eastAsia="sl-SI"/>
              </w:rPr>
              <w:t xml:space="preserve"> </w:t>
            </w:r>
            <w:r w:rsidRPr="00F005CB">
              <w:rPr>
                <w:rFonts w:cs="Arial"/>
                <w:szCs w:val="20"/>
                <w:lang w:val="sl-SI" w:eastAsia="sl-SI"/>
              </w:rPr>
              <w:t xml:space="preserve">promocijskega materiala kot njegovo distribucijo. </w:t>
            </w:r>
            <w:r w:rsidR="00E1550B">
              <w:rPr>
                <w:rFonts w:cs="Arial"/>
                <w:szCs w:val="20"/>
                <w:lang w:val="sl-SI" w:eastAsia="sl-SI"/>
              </w:rPr>
              <w:t xml:space="preserve">Sredstva iz tega naslova </w:t>
            </w:r>
            <w:r w:rsidR="00E1550B" w:rsidRPr="001A0CE5">
              <w:rPr>
                <w:lang w:val="sl-SI"/>
              </w:rPr>
              <w:t>bodo zagotovljen</w:t>
            </w:r>
            <w:r w:rsidR="007741DB">
              <w:rPr>
                <w:lang w:val="sl-SI"/>
              </w:rPr>
              <w:t>a</w:t>
            </w:r>
            <w:r w:rsidR="00E1550B" w:rsidRPr="00D84C38">
              <w:rPr>
                <w:szCs w:val="20"/>
                <w:lang w:val="sl-SI" w:eastAsia="sl-SI"/>
              </w:rPr>
              <w:t xml:space="preserve"> v okviru  finančnega načrta</w:t>
            </w:r>
            <w:r w:rsidR="00E1550B" w:rsidRPr="001A0CE5">
              <w:rPr>
                <w:lang w:val="sl-SI"/>
              </w:rPr>
              <w:t xml:space="preserve"> </w:t>
            </w:r>
            <w:r w:rsidR="007741DB">
              <w:rPr>
                <w:lang w:val="sl-SI"/>
              </w:rPr>
              <w:t>M</w:t>
            </w:r>
            <w:r w:rsidR="00E1550B" w:rsidRPr="001A0CE5">
              <w:rPr>
                <w:lang w:val="sl-SI"/>
              </w:rPr>
              <w:t>inistrstva</w:t>
            </w:r>
            <w:r w:rsidR="007741DB">
              <w:rPr>
                <w:lang w:val="sl-SI"/>
              </w:rPr>
              <w:t xml:space="preserve"> za pravosodje</w:t>
            </w:r>
            <w:r w:rsidR="00E1550B">
              <w:rPr>
                <w:lang w:val="sl-SI"/>
              </w:rPr>
              <w:t>.</w:t>
            </w:r>
          </w:p>
          <w:p w14:paraId="1E44241F" w14:textId="4D23276B" w:rsidR="00EE338F" w:rsidRPr="004A492F" w:rsidRDefault="00EE338F" w:rsidP="001A0CE5">
            <w:pPr>
              <w:spacing w:line="260" w:lineRule="exact"/>
              <w:jc w:val="both"/>
              <w:rPr>
                <w:rFonts w:cs="Arial"/>
                <w:b/>
                <w:szCs w:val="20"/>
                <w:lang w:val="sl-SI" w:eastAsia="sl-SI"/>
              </w:rPr>
            </w:pPr>
          </w:p>
        </w:tc>
      </w:tr>
      <w:tr w:rsidR="00F267FF" w:rsidRPr="002E1057" w14:paraId="18DCF4DC"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847E305" w14:textId="77777777" w:rsidR="00F267FF" w:rsidRPr="004A492F" w:rsidRDefault="00F267FF" w:rsidP="00F267FF">
            <w:pPr>
              <w:pageBreakBefore/>
              <w:widowControl w:val="0"/>
              <w:tabs>
                <w:tab w:val="left" w:pos="2340"/>
              </w:tabs>
              <w:spacing w:line="260" w:lineRule="exact"/>
              <w:ind w:left="142" w:hanging="142"/>
              <w:outlineLvl w:val="0"/>
              <w:rPr>
                <w:rFonts w:cs="Arial"/>
                <w:b/>
                <w:kern w:val="32"/>
                <w:szCs w:val="20"/>
                <w:lang w:val="sl-SI" w:eastAsia="sl-SI"/>
              </w:rPr>
            </w:pPr>
            <w:r w:rsidRPr="004A492F">
              <w:rPr>
                <w:rFonts w:cs="Arial"/>
                <w:b/>
                <w:kern w:val="32"/>
                <w:szCs w:val="20"/>
                <w:lang w:val="sl-SI" w:eastAsia="sl-SI"/>
              </w:rPr>
              <w:lastRenderedPageBreak/>
              <w:t>I. Ocena finančnih posledic, ki niso načrtovane v sprejetem proračunu</w:t>
            </w:r>
          </w:p>
        </w:tc>
      </w:tr>
      <w:tr w:rsidR="00F267FF" w:rsidRPr="004A492F" w14:paraId="5406B9CB"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47" w:type="dxa"/>
            <w:gridSpan w:val="4"/>
            <w:tcBorders>
              <w:top w:val="single" w:sz="4" w:space="0" w:color="auto"/>
              <w:left w:val="single" w:sz="4" w:space="0" w:color="auto"/>
              <w:bottom w:val="single" w:sz="4" w:space="0" w:color="auto"/>
              <w:right w:val="single" w:sz="4" w:space="0" w:color="auto"/>
            </w:tcBorders>
            <w:vAlign w:val="center"/>
          </w:tcPr>
          <w:p w14:paraId="6FAA5EAE" w14:textId="77777777" w:rsidR="00F267FF" w:rsidRPr="004A492F" w:rsidRDefault="00F267FF" w:rsidP="00F267FF">
            <w:pPr>
              <w:widowControl w:val="0"/>
              <w:spacing w:line="260" w:lineRule="exact"/>
              <w:ind w:left="-122" w:right="-112"/>
              <w:jc w:val="center"/>
              <w:rPr>
                <w:rFonts w:cs="Arial"/>
                <w:szCs w:val="20"/>
                <w:lang w:val="sl-SI"/>
              </w:rPr>
            </w:pP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75FF3357"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Tekoče leto (t)</w:t>
            </w:r>
          </w:p>
        </w:tc>
        <w:tc>
          <w:tcPr>
            <w:tcW w:w="1190" w:type="dxa"/>
            <w:tcBorders>
              <w:top w:val="single" w:sz="4" w:space="0" w:color="auto"/>
              <w:left w:val="single" w:sz="4" w:space="0" w:color="auto"/>
              <w:bottom w:val="single" w:sz="4" w:space="0" w:color="auto"/>
              <w:right w:val="single" w:sz="4" w:space="0" w:color="auto"/>
            </w:tcBorders>
            <w:vAlign w:val="center"/>
          </w:tcPr>
          <w:p w14:paraId="5A6193CE"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t + 1</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6C7021C5"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t + 2</w:t>
            </w:r>
          </w:p>
        </w:tc>
        <w:tc>
          <w:tcPr>
            <w:tcW w:w="2119" w:type="dxa"/>
            <w:tcBorders>
              <w:top w:val="single" w:sz="4" w:space="0" w:color="auto"/>
              <w:left w:val="single" w:sz="4" w:space="0" w:color="auto"/>
              <w:bottom w:val="single" w:sz="4" w:space="0" w:color="auto"/>
              <w:right w:val="single" w:sz="4" w:space="0" w:color="auto"/>
            </w:tcBorders>
            <w:vAlign w:val="center"/>
          </w:tcPr>
          <w:p w14:paraId="24CC7DE6"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t + 3</w:t>
            </w:r>
          </w:p>
        </w:tc>
      </w:tr>
      <w:tr w:rsidR="00F267FF" w:rsidRPr="004A492F" w14:paraId="51C32ABE"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47" w:type="dxa"/>
            <w:gridSpan w:val="4"/>
            <w:tcBorders>
              <w:top w:val="single" w:sz="4" w:space="0" w:color="auto"/>
              <w:left w:val="single" w:sz="4" w:space="0" w:color="auto"/>
              <w:bottom w:val="single" w:sz="4" w:space="0" w:color="auto"/>
              <w:right w:val="single" w:sz="4" w:space="0" w:color="auto"/>
            </w:tcBorders>
            <w:vAlign w:val="center"/>
          </w:tcPr>
          <w:p w14:paraId="21128766" w14:textId="77777777" w:rsidR="00F267FF" w:rsidRPr="004A492F" w:rsidRDefault="00F267FF" w:rsidP="00F267FF">
            <w:pPr>
              <w:widowControl w:val="0"/>
              <w:spacing w:line="260" w:lineRule="exact"/>
              <w:rPr>
                <w:rFonts w:cs="Arial"/>
                <w:bCs/>
                <w:szCs w:val="20"/>
                <w:lang w:val="sl-SI"/>
              </w:rPr>
            </w:pPr>
            <w:r w:rsidRPr="004A492F">
              <w:rPr>
                <w:rFonts w:cs="Arial"/>
                <w:bCs/>
                <w:szCs w:val="20"/>
                <w:lang w:val="sl-SI"/>
              </w:rPr>
              <w:t>Predvideno povečanje (+) ali zmanjšanje (</w:t>
            </w:r>
            <w:r w:rsidRPr="004A492F">
              <w:rPr>
                <w:rFonts w:cs="Arial"/>
                <w:b/>
                <w:szCs w:val="20"/>
                <w:lang w:val="sl-SI"/>
              </w:rPr>
              <w:t>–</w:t>
            </w:r>
            <w:r w:rsidRPr="004A492F">
              <w:rPr>
                <w:rFonts w:cs="Arial"/>
                <w:bCs/>
                <w:szCs w:val="20"/>
                <w:lang w:val="sl-SI"/>
              </w:rPr>
              <w:t xml:space="preserve">) prihodkov državnega proračuna </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5EE1280C" w14:textId="284FE436"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190" w:type="dxa"/>
            <w:tcBorders>
              <w:top w:val="single" w:sz="4" w:space="0" w:color="auto"/>
              <w:left w:val="single" w:sz="4" w:space="0" w:color="auto"/>
              <w:bottom w:val="single" w:sz="4" w:space="0" w:color="auto"/>
              <w:right w:val="single" w:sz="4" w:space="0" w:color="auto"/>
            </w:tcBorders>
            <w:vAlign w:val="center"/>
          </w:tcPr>
          <w:p w14:paraId="7ECA45F2" w14:textId="1BF2A8E9"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30EA6334" w14:textId="4746BC73"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2AEC9955" w14:textId="7FB85E64"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r>
      <w:tr w:rsidR="00F267FF" w:rsidRPr="004A492F" w14:paraId="51F20B35"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47" w:type="dxa"/>
            <w:gridSpan w:val="4"/>
            <w:tcBorders>
              <w:top w:val="single" w:sz="4" w:space="0" w:color="auto"/>
              <w:left w:val="single" w:sz="4" w:space="0" w:color="auto"/>
              <w:bottom w:val="single" w:sz="4" w:space="0" w:color="auto"/>
              <w:right w:val="single" w:sz="4" w:space="0" w:color="auto"/>
            </w:tcBorders>
            <w:vAlign w:val="center"/>
          </w:tcPr>
          <w:p w14:paraId="474BA532" w14:textId="77777777" w:rsidR="00F267FF" w:rsidRPr="004A492F" w:rsidRDefault="00F267FF" w:rsidP="00F267FF">
            <w:pPr>
              <w:widowControl w:val="0"/>
              <w:spacing w:line="260" w:lineRule="exact"/>
              <w:rPr>
                <w:rFonts w:cs="Arial"/>
                <w:bCs/>
                <w:szCs w:val="20"/>
                <w:lang w:val="sl-SI"/>
              </w:rPr>
            </w:pPr>
            <w:r w:rsidRPr="004A492F">
              <w:rPr>
                <w:rFonts w:cs="Arial"/>
                <w:bCs/>
                <w:szCs w:val="20"/>
                <w:lang w:val="sl-SI"/>
              </w:rPr>
              <w:t>Predvideno povečanje (+) ali zmanjšanje (</w:t>
            </w:r>
            <w:r w:rsidRPr="004A492F">
              <w:rPr>
                <w:rFonts w:cs="Arial"/>
                <w:b/>
                <w:szCs w:val="20"/>
                <w:lang w:val="sl-SI"/>
              </w:rPr>
              <w:t>–</w:t>
            </w:r>
            <w:r w:rsidRPr="004A492F">
              <w:rPr>
                <w:rFonts w:cs="Arial"/>
                <w:bCs/>
                <w:szCs w:val="20"/>
                <w:lang w:val="sl-SI"/>
              </w:rPr>
              <w:t xml:space="preserve">) prihodkov občinskih proračunov </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3C0D57C4" w14:textId="5F0A21A1"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190" w:type="dxa"/>
            <w:tcBorders>
              <w:top w:val="single" w:sz="4" w:space="0" w:color="auto"/>
              <w:left w:val="single" w:sz="4" w:space="0" w:color="auto"/>
              <w:bottom w:val="single" w:sz="4" w:space="0" w:color="auto"/>
              <w:right w:val="single" w:sz="4" w:space="0" w:color="auto"/>
            </w:tcBorders>
            <w:vAlign w:val="center"/>
          </w:tcPr>
          <w:p w14:paraId="66ECC38E" w14:textId="22B90EB5"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2417181F" w14:textId="3075FAD7"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25052891" w14:textId="3924CFB7"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r>
      <w:tr w:rsidR="00F267FF" w:rsidRPr="004A492F" w14:paraId="547DAD75"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47" w:type="dxa"/>
            <w:gridSpan w:val="4"/>
            <w:tcBorders>
              <w:top w:val="single" w:sz="4" w:space="0" w:color="auto"/>
              <w:left w:val="single" w:sz="4" w:space="0" w:color="auto"/>
              <w:bottom w:val="single" w:sz="4" w:space="0" w:color="auto"/>
              <w:right w:val="single" w:sz="4" w:space="0" w:color="auto"/>
            </w:tcBorders>
            <w:vAlign w:val="center"/>
          </w:tcPr>
          <w:p w14:paraId="4DA4C380" w14:textId="77777777" w:rsidR="00F267FF" w:rsidRPr="004A492F" w:rsidRDefault="00F267FF" w:rsidP="00F267FF">
            <w:pPr>
              <w:widowControl w:val="0"/>
              <w:spacing w:line="260" w:lineRule="exact"/>
              <w:rPr>
                <w:rFonts w:cs="Arial"/>
                <w:bCs/>
                <w:szCs w:val="20"/>
                <w:lang w:val="sl-SI"/>
              </w:rPr>
            </w:pPr>
            <w:r w:rsidRPr="004A492F">
              <w:rPr>
                <w:rFonts w:cs="Arial"/>
                <w:bCs/>
                <w:szCs w:val="20"/>
                <w:lang w:val="sl-SI"/>
              </w:rPr>
              <w:t>Predvideno povečanje (+) ali zmanjšanje (</w:t>
            </w:r>
            <w:r w:rsidRPr="004A492F">
              <w:rPr>
                <w:rFonts w:cs="Arial"/>
                <w:b/>
                <w:szCs w:val="20"/>
                <w:lang w:val="sl-SI"/>
              </w:rPr>
              <w:t>–</w:t>
            </w:r>
            <w:r w:rsidRPr="004A492F">
              <w:rPr>
                <w:rFonts w:cs="Arial"/>
                <w:bCs/>
                <w:szCs w:val="20"/>
                <w:lang w:val="sl-SI"/>
              </w:rPr>
              <w:t xml:space="preserve">) odhodkov državnega proračuna </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44ECD7C5" w14:textId="54416F81" w:rsidR="00F267FF" w:rsidRPr="004A492F" w:rsidRDefault="004A7DF9" w:rsidP="00F267FF">
            <w:pPr>
              <w:widowControl w:val="0"/>
              <w:spacing w:line="260" w:lineRule="exact"/>
              <w:jc w:val="center"/>
              <w:rPr>
                <w:rFonts w:cs="Arial"/>
                <w:szCs w:val="20"/>
                <w:lang w:val="sl-SI"/>
              </w:rPr>
            </w:pPr>
            <w:r w:rsidRPr="004A492F">
              <w:rPr>
                <w:rFonts w:cs="Arial"/>
                <w:szCs w:val="20"/>
                <w:lang w:val="sl-SI"/>
              </w:rPr>
              <w:t>/</w:t>
            </w:r>
          </w:p>
        </w:tc>
        <w:tc>
          <w:tcPr>
            <w:tcW w:w="1190" w:type="dxa"/>
            <w:tcBorders>
              <w:top w:val="single" w:sz="4" w:space="0" w:color="auto"/>
              <w:left w:val="single" w:sz="4" w:space="0" w:color="auto"/>
              <w:bottom w:val="single" w:sz="4" w:space="0" w:color="auto"/>
              <w:right w:val="single" w:sz="4" w:space="0" w:color="auto"/>
            </w:tcBorders>
            <w:vAlign w:val="center"/>
          </w:tcPr>
          <w:p w14:paraId="4D1E8B57" w14:textId="0C990EB0" w:rsidR="00F267FF" w:rsidRPr="004A492F" w:rsidRDefault="00F267FF" w:rsidP="00F267FF">
            <w:pPr>
              <w:widowControl w:val="0"/>
              <w:spacing w:line="260" w:lineRule="exact"/>
              <w:jc w:val="center"/>
              <w:rPr>
                <w:rFonts w:cs="Arial"/>
                <w:szCs w:val="20"/>
                <w:lang w:val="sl-SI"/>
              </w:rPr>
            </w:pP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27D45C3A" w14:textId="66D51D1F" w:rsidR="00F267FF" w:rsidRPr="004A492F" w:rsidRDefault="00F267FF" w:rsidP="00F267FF">
            <w:pPr>
              <w:widowControl w:val="0"/>
              <w:spacing w:line="260" w:lineRule="exact"/>
              <w:jc w:val="center"/>
              <w:rPr>
                <w:rFonts w:cs="Arial"/>
                <w:szCs w:val="20"/>
                <w:lang w:val="sl-SI"/>
              </w:rPr>
            </w:pPr>
          </w:p>
        </w:tc>
        <w:tc>
          <w:tcPr>
            <w:tcW w:w="2119" w:type="dxa"/>
            <w:tcBorders>
              <w:top w:val="single" w:sz="4" w:space="0" w:color="auto"/>
              <w:left w:val="single" w:sz="4" w:space="0" w:color="auto"/>
              <w:bottom w:val="single" w:sz="4" w:space="0" w:color="auto"/>
              <w:right w:val="single" w:sz="4" w:space="0" w:color="auto"/>
            </w:tcBorders>
            <w:vAlign w:val="center"/>
          </w:tcPr>
          <w:p w14:paraId="18E2EBD3" w14:textId="18CB2E64" w:rsidR="00F267FF" w:rsidRPr="004A492F" w:rsidRDefault="00F267FF" w:rsidP="00F267FF">
            <w:pPr>
              <w:widowControl w:val="0"/>
              <w:spacing w:line="260" w:lineRule="exact"/>
              <w:jc w:val="center"/>
              <w:rPr>
                <w:rFonts w:cs="Arial"/>
                <w:szCs w:val="20"/>
                <w:lang w:val="sl-SI"/>
              </w:rPr>
            </w:pPr>
          </w:p>
        </w:tc>
      </w:tr>
      <w:tr w:rsidR="00F267FF" w:rsidRPr="004A492F" w14:paraId="4F305CE6"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47" w:type="dxa"/>
            <w:gridSpan w:val="4"/>
            <w:tcBorders>
              <w:top w:val="single" w:sz="4" w:space="0" w:color="auto"/>
              <w:left w:val="single" w:sz="4" w:space="0" w:color="auto"/>
              <w:bottom w:val="single" w:sz="4" w:space="0" w:color="auto"/>
              <w:right w:val="single" w:sz="4" w:space="0" w:color="auto"/>
            </w:tcBorders>
            <w:vAlign w:val="center"/>
          </w:tcPr>
          <w:p w14:paraId="747436FF" w14:textId="77777777" w:rsidR="00F267FF" w:rsidRPr="004A492F" w:rsidRDefault="00F267FF" w:rsidP="00F267FF">
            <w:pPr>
              <w:widowControl w:val="0"/>
              <w:spacing w:line="260" w:lineRule="exact"/>
              <w:rPr>
                <w:rFonts w:cs="Arial"/>
                <w:bCs/>
                <w:szCs w:val="20"/>
                <w:lang w:val="sl-SI"/>
              </w:rPr>
            </w:pPr>
            <w:r w:rsidRPr="004A492F">
              <w:rPr>
                <w:rFonts w:cs="Arial"/>
                <w:bCs/>
                <w:szCs w:val="20"/>
                <w:lang w:val="sl-SI"/>
              </w:rPr>
              <w:t>Predvideno povečanje (+) ali zmanjšanje (</w:t>
            </w:r>
            <w:r w:rsidRPr="004A492F">
              <w:rPr>
                <w:rFonts w:cs="Arial"/>
                <w:b/>
                <w:szCs w:val="20"/>
                <w:lang w:val="sl-SI"/>
              </w:rPr>
              <w:t>–</w:t>
            </w:r>
            <w:r w:rsidRPr="004A492F">
              <w:rPr>
                <w:rFonts w:cs="Arial"/>
                <w:bCs/>
                <w:szCs w:val="20"/>
                <w:lang w:val="sl-SI"/>
              </w:rPr>
              <w:t>) odhodkov občinskih proračunov</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296EB825" w14:textId="48C59FCA" w:rsidR="00F267FF" w:rsidRPr="004A492F" w:rsidRDefault="004A7DF9" w:rsidP="00F267FF">
            <w:pPr>
              <w:widowControl w:val="0"/>
              <w:spacing w:line="260" w:lineRule="exact"/>
              <w:jc w:val="center"/>
              <w:rPr>
                <w:rFonts w:cs="Arial"/>
                <w:szCs w:val="20"/>
                <w:lang w:val="sl-SI"/>
              </w:rPr>
            </w:pPr>
            <w:r w:rsidRPr="004A492F">
              <w:rPr>
                <w:rFonts w:cs="Arial"/>
                <w:szCs w:val="20"/>
                <w:lang w:val="sl-SI"/>
              </w:rPr>
              <w:t>/</w:t>
            </w:r>
          </w:p>
        </w:tc>
        <w:tc>
          <w:tcPr>
            <w:tcW w:w="1190" w:type="dxa"/>
            <w:tcBorders>
              <w:top w:val="single" w:sz="4" w:space="0" w:color="auto"/>
              <w:left w:val="single" w:sz="4" w:space="0" w:color="auto"/>
              <w:bottom w:val="single" w:sz="4" w:space="0" w:color="auto"/>
              <w:right w:val="single" w:sz="4" w:space="0" w:color="auto"/>
            </w:tcBorders>
            <w:vAlign w:val="center"/>
          </w:tcPr>
          <w:p w14:paraId="179B1F50" w14:textId="608FE30B" w:rsidR="00F267FF" w:rsidRPr="004A492F" w:rsidRDefault="004A7DF9" w:rsidP="00F267FF">
            <w:pPr>
              <w:widowControl w:val="0"/>
              <w:spacing w:line="260" w:lineRule="exact"/>
              <w:jc w:val="center"/>
              <w:rPr>
                <w:rFonts w:cs="Arial"/>
                <w:szCs w:val="20"/>
                <w:lang w:val="sl-SI"/>
              </w:rPr>
            </w:pPr>
            <w:r w:rsidRPr="004A492F">
              <w:rPr>
                <w:rFonts w:cs="Arial"/>
                <w:szCs w:val="20"/>
                <w:lang w:val="sl-SI"/>
              </w:rPr>
              <w:t>/</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350CF88F" w14:textId="0B0614F6" w:rsidR="00F267FF" w:rsidRPr="004A492F" w:rsidRDefault="004A7DF9" w:rsidP="00F267FF">
            <w:pPr>
              <w:widowControl w:val="0"/>
              <w:spacing w:line="260" w:lineRule="exact"/>
              <w:jc w:val="center"/>
              <w:rPr>
                <w:rFonts w:cs="Arial"/>
                <w:szCs w:val="20"/>
                <w:lang w:val="sl-SI"/>
              </w:rPr>
            </w:pPr>
            <w:r w:rsidRPr="004A492F">
              <w:rPr>
                <w:rFonts w:cs="Arial"/>
                <w:szCs w:val="20"/>
                <w:lang w:val="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4DA85E24" w14:textId="035ECD6E" w:rsidR="00F267FF" w:rsidRPr="004A492F" w:rsidRDefault="004A7DF9" w:rsidP="00F267FF">
            <w:pPr>
              <w:widowControl w:val="0"/>
              <w:spacing w:line="260" w:lineRule="exact"/>
              <w:jc w:val="center"/>
              <w:rPr>
                <w:rFonts w:cs="Arial"/>
                <w:szCs w:val="20"/>
                <w:lang w:val="sl-SI"/>
              </w:rPr>
            </w:pPr>
            <w:r w:rsidRPr="004A492F">
              <w:rPr>
                <w:rFonts w:cs="Arial"/>
                <w:szCs w:val="20"/>
                <w:lang w:val="sl-SI"/>
              </w:rPr>
              <w:t>/</w:t>
            </w:r>
          </w:p>
        </w:tc>
      </w:tr>
      <w:tr w:rsidR="00F267FF" w:rsidRPr="004A492F" w14:paraId="79F699AB" w14:textId="77777777" w:rsidTr="00D04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47" w:type="dxa"/>
            <w:gridSpan w:val="4"/>
            <w:tcBorders>
              <w:top w:val="single" w:sz="4" w:space="0" w:color="auto"/>
              <w:left w:val="single" w:sz="4" w:space="0" w:color="auto"/>
              <w:bottom w:val="single" w:sz="4" w:space="0" w:color="auto"/>
              <w:right w:val="single" w:sz="4" w:space="0" w:color="auto"/>
            </w:tcBorders>
            <w:vAlign w:val="center"/>
          </w:tcPr>
          <w:p w14:paraId="0D68CAE2" w14:textId="77777777" w:rsidR="00F267FF" w:rsidRPr="004A492F" w:rsidRDefault="00F267FF" w:rsidP="00F267FF">
            <w:pPr>
              <w:widowControl w:val="0"/>
              <w:spacing w:line="260" w:lineRule="exact"/>
              <w:rPr>
                <w:rFonts w:cs="Arial"/>
                <w:bCs/>
                <w:szCs w:val="20"/>
                <w:lang w:val="sl-SI"/>
              </w:rPr>
            </w:pPr>
            <w:r w:rsidRPr="004A492F">
              <w:rPr>
                <w:rFonts w:cs="Arial"/>
                <w:bCs/>
                <w:szCs w:val="20"/>
                <w:lang w:val="sl-SI"/>
              </w:rPr>
              <w:t>Predvideno povečanje (+) ali zmanjšanje (</w:t>
            </w:r>
            <w:r w:rsidRPr="004A492F">
              <w:rPr>
                <w:rFonts w:cs="Arial"/>
                <w:b/>
                <w:szCs w:val="20"/>
                <w:lang w:val="sl-SI"/>
              </w:rPr>
              <w:t>–</w:t>
            </w:r>
            <w:r w:rsidRPr="004A492F">
              <w:rPr>
                <w:rFonts w:cs="Arial"/>
                <w:bCs/>
                <w:szCs w:val="20"/>
                <w:lang w:val="sl-SI"/>
              </w:rPr>
              <w:t>) obveznosti za druga javnofinančna sredstva</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083C0617" w14:textId="66FBA0F1"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190" w:type="dxa"/>
            <w:tcBorders>
              <w:top w:val="single" w:sz="4" w:space="0" w:color="auto"/>
              <w:left w:val="single" w:sz="4" w:space="0" w:color="auto"/>
              <w:bottom w:val="single" w:sz="4" w:space="0" w:color="auto"/>
              <w:right w:val="single" w:sz="4" w:space="0" w:color="auto"/>
            </w:tcBorders>
            <w:vAlign w:val="center"/>
          </w:tcPr>
          <w:p w14:paraId="01C24680" w14:textId="5E5A2F4A" w:rsidR="00F267FF" w:rsidRPr="004A492F" w:rsidRDefault="004A7DF9" w:rsidP="00F267FF">
            <w:pPr>
              <w:widowControl w:val="0"/>
              <w:tabs>
                <w:tab w:val="left" w:pos="360"/>
              </w:tabs>
              <w:spacing w:line="260" w:lineRule="exact"/>
              <w:jc w:val="center"/>
              <w:outlineLvl w:val="0"/>
              <w:rPr>
                <w:rFonts w:cs="Arial"/>
                <w:bCs/>
                <w:kern w:val="32"/>
                <w:szCs w:val="20"/>
                <w:lang w:val="sl-SI" w:eastAsia="sl-SI"/>
              </w:rPr>
            </w:pPr>
            <w:r w:rsidRPr="004A492F">
              <w:rPr>
                <w:rFonts w:cs="Arial"/>
                <w:bCs/>
                <w:kern w:val="32"/>
                <w:szCs w:val="20"/>
                <w:lang w:val="sl-SI" w:eastAsia="sl-SI"/>
              </w:rPr>
              <w:t>/</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15173B13" w14:textId="44D51FBF"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3741FF94" w14:textId="3F2FB183" w:rsidR="00F267FF" w:rsidRPr="004A492F" w:rsidRDefault="004A7DF9" w:rsidP="00F267FF">
            <w:pPr>
              <w:widowControl w:val="0"/>
              <w:tabs>
                <w:tab w:val="left" w:pos="360"/>
              </w:tabs>
              <w:spacing w:line="260" w:lineRule="exact"/>
              <w:jc w:val="center"/>
              <w:outlineLvl w:val="0"/>
              <w:rPr>
                <w:rFonts w:cs="Arial"/>
                <w:kern w:val="32"/>
                <w:szCs w:val="20"/>
                <w:lang w:val="sl-SI" w:eastAsia="sl-SI"/>
              </w:rPr>
            </w:pPr>
            <w:r w:rsidRPr="004A492F">
              <w:rPr>
                <w:rFonts w:cs="Arial"/>
                <w:kern w:val="32"/>
                <w:szCs w:val="20"/>
                <w:lang w:val="sl-SI" w:eastAsia="sl-SI"/>
              </w:rPr>
              <w:t>/</w:t>
            </w:r>
          </w:p>
        </w:tc>
      </w:tr>
      <w:tr w:rsidR="00F267FF" w:rsidRPr="002E1057" w14:paraId="2AF07449"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722B36" w14:textId="77777777" w:rsidR="00F267FF" w:rsidRPr="004A492F" w:rsidRDefault="00F267FF" w:rsidP="00F267FF">
            <w:pPr>
              <w:widowControl w:val="0"/>
              <w:tabs>
                <w:tab w:val="left" w:pos="2340"/>
              </w:tabs>
              <w:spacing w:line="260" w:lineRule="exact"/>
              <w:ind w:left="142" w:hanging="142"/>
              <w:outlineLvl w:val="0"/>
              <w:rPr>
                <w:rFonts w:cs="Arial"/>
                <w:b/>
                <w:kern w:val="32"/>
                <w:szCs w:val="20"/>
                <w:lang w:val="sl-SI" w:eastAsia="sl-SI"/>
              </w:rPr>
            </w:pPr>
            <w:r w:rsidRPr="004A492F">
              <w:rPr>
                <w:rFonts w:cs="Arial"/>
                <w:b/>
                <w:kern w:val="32"/>
                <w:szCs w:val="20"/>
                <w:lang w:val="sl-SI" w:eastAsia="sl-SI"/>
              </w:rPr>
              <w:t>II. Finančne posledice za državni proračun</w:t>
            </w:r>
          </w:p>
        </w:tc>
      </w:tr>
      <w:tr w:rsidR="00F267FF" w:rsidRPr="002E1057" w14:paraId="403BD2D9"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A9DACD" w14:textId="77777777" w:rsidR="00F267FF" w:rsidRPr="004A492F" w:rsidRDefault="00F267FF" w:rsidP="00F267FF">
            <w:pPr>
              <w:widowControl w:val="0"/>
              <w:tabs>
                <w:tab w:val="left" w:pos="2340"/>
              </w:tabs>
              <w:spacing w:line="260" w:lineRule="exact"/>
              <w:ind w:left="142" w:hanging="142"/>
              <w:outlineLvl w:val="0"/>
              <w:rPr>
                <w:rFonts w:cs="Arial"/>
                <w:b/>
                <w:kern w:val="32"/>
                <w:szCs w:val="20"/>
                <w:lang w:val="sl-SI" w:eastAsia="sl-SI"/>
              </w:rPr>
            </w:pPr>
            <w:proofErr w:type="spellStart"/>
            <w:r w:rsidRPr="004A492F">
              <w:rPr>
                <w:rFonts w:cs="Arial"/>
                <w:b/>
                <w:kern w:val="32"/>
                <w:szCs w:val="20"/>
                <w:lang w:val="sl-SI" w:eastAsia="sl-SI"/>
              </w:rPr>
              <w:t>II.a</w:t>
            </w:r>
            <w:proofErr w:type="spellEnd"/>
            <w:r w:rsidRPr="004A492F">
              <w:rPr>
                <w:rFonts w:cs="Arial"/>
                <w:b/>
                <w:kern w:val="32"/>
                <w:szCs w:val="20"/>
                <w:lang w:val="sl-SI" w:eastAsia="sl-SI"/>
              </w:rPr>
              <w:t xml:space="preserve"> Pravice porabe za izvedbo predlaganih rešitev so zagotovljene:</w:t>
            </w:r>
          </w:p>
        </w:tc>
      </w:tr>
      <w:tr w:rsidR="00F267FF" w:rsidRPr="004A492F" w14:paraId="6100A5CD"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1" w:type="dxa"/>
            <w:gridSpan w:val="3"/>
            <w:tcBorders>
              <w:top w:val="single" w:sz="4" w:space="0" w:color="auto"/>
              <w:left w:val="single" w:sz="4" w:space="0" w:color="auto"/>
              <w:bottom w:val="single" w:sz="4" w:space="0" w:color="auto"/>
              <w:right w:val="single" w:sz="4" w:space="0" w:color="auto"/>
            </w:tcBorders>
            <w:vAlign w:val="center"/>
          </w:tcPr>
          <w:p w14:paraId="5214A9A5"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 xml:space="preserve">Ime proračunskega uporabnika </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DBCFE79"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67B5880"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Šifra in naziv proračunske postavke</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54FEF9BF"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54BFE6A8"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Znesek za t + 1</w:t>
            </w:r>
          </w:p>
        </w:tc>
      </w:tr>
      <w:tr w:rsidR="00F267FF" w:rsidRPr="004A492F" w14:paraId="554FB522"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1" w:type="dxa"/>
            <w:gridSpan w:val="3"/>
            <w:tcBorders>
              <w:top w:val="single" w:sz="4" w:space="0" w:color="auto"/>
              <w:left w:val="single" w:sz="4" w:space="0" w:color="auto"/>
              <w:bottom w:val="single" w:sz="4" w:space="0" w:color="auto"/>
              <w:right w:val="single" w:sz="4" w:space="0" w:color="auto"/>
            </w:tcBorders>
            <w:vAlign w:val="center"/>
          </w:tcPr>
          <w:p w14:paraId="70E5A374" w14:textId="26BE2534" w:rsidR="00F267FF" w:rsidRPr="004A492F" w:rsidRDefault="00E9720E" w:rsidP="00F267FF">
            <w:pPr>
              <w:widowControl w:val="0"/>
              <w:tabs>
                <w:tab w:val="left" w:pos="360"/>
              </w:tabs>
              <w:spacing w:line="260" w:lineRule="exact"/>
              <w:outlineLvl w:val="0"/>
              <w:rPr>
                <w:rFonts w:cs="Arial"/>
                <w:bCs/>
                <w:kern w:val="32"/>
                <w:szCs w:val="20"/>
                <w:lang w:val="sl-SI" w:eastAsia="sl-SI"/>
              </w:rPr>
            </w:pPr>
            <w:r>
              <w:rPr>
                <w:rFonts w:cs="Arial"/>
                <w:bCs/>
                <w:kern w:val="32"/>
                <w:szCs w:val="20"/>
                <w:lang w:val="sl-SI" w:eastAsia="sl-SI"/>
              </w:rPr>
              <w:t>Ministrstvo za pravosodje</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34BC8E41" w14:textId="34327973" w:rsidR="00F267FF" w:rsidRPr="004A492F" w:rsidRDefault="00DE6FAF" w:rsidP="00F267FF">
            <w:pPr>
              <w:widowControl w:val="0"/>
              <w:tabs>
                <w:tab w:val="left" w:pos="360"/>
              </w:tabs>
              <w:spacing w:line="260" w:lineRule="exact"/>
              <w:outlineLvl w:val="0"/>
              <w:rPr>
                <w:rFonts w:cs="Arial"/>
                <w:bCs/>
                <w:kern w:val="32"/>
                <w:szCs w:val="20"/>
                <w:lang w:val="sl-SI" w:eastAsia="sl-SI"/>
              </w:rPr>
            </w:pPr>
            <w:r>
              <w:rPr>
                <w:rFonts w:cs="Arial"/>
                <w:bCs/>
                <w:kern w:val="32"/>
                <w:szCs w:val="20"/>
                <w:lang w:val="sl-SI" w:eastAsia="sl-SI"/>
              </w:rPr>
              <w:t>2030-</w:t>
            </w:r>
            <w:r w:rsidR="002E1057">
              <w:rPr>
                <w:rFonts w:cs="Arial"/>
                <w:bCs/>
                <w:kern w:val="32"/>
                <w:szCs w:val="20"/>
                <w:lang w:val="sl-SI" w:eastAsia="sl-SI"/>
              </w:rPr>
              <w:t>24</w:t>
            </w:r>
            <w:r>
              <w:rPr>
                <w:rFonts w:cs="Arial"/>
                <w:bCs/>
                <w:kern w:val="32"/>
                <w:szCs w:val="20"/>
                <w:lang w:val="sl-SI" w:eastAsia="sl-SI"/>
              </w:rPr>
              <w:t>-00</w:t>
            </w:r>
            <w:r w:rsidR="00B76F74">
              <w:rPr>
                <w:rFonts w:cs="Arial"/>
                <w:bCs/>
                <w:kern w:val="32"/>
                <w:szCs w:val="20"/>
                <w:lang w:val="sl-SI" w:eastAsia="sl-SI"/>
              </w:rPr>
              <w:t>05</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0AA29DB" w14:textId="67057E5E"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556210</w:t>
            </w:r>
            <w:r w:rsidR="0062544E">
              <w:rPr>
                <w:rFonts w:cs="Arial"/>
                <w:bCs/>
                <w:kern w:val="32"/>
                <w:szCs w:val="20"/>
                <w:lang w:val="sl-SI" w:eastAsia="sl-SI"/>
              </w:rPr>
              <w:t xml:space="preserve"> </w:t>
            </w:r>
            <w:r w:rsidR="00A10DAB">
              <w:rPr>
                <w:rFonts w:cs="Arial"/>
                <w:bCs/>
                <w:kern w:val="32"/>
                <w:szCs w:val="20"/>
                <w:lang w:val="sl-SI" w:eastAsia="sl-SI"/>
              </w:rPr>
              <w:t>-plače MP</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5B149305" w14:textId="77ABC417"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3F590633" w14:textId="3952D496"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24.657,12 EUR</w:t>
            </w:r>
          </w:p>
        </w:tc>
      </w:tr>
      <w:tr w:rsidR="00F267FF" w:rsidRPr="004A492F" w14:paraId="66D819CA"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1" w:type="dxa"/>
            <w:gridSpan w:val="3"/>
            <w:tcBorders>
              <w:top w:val="single" w:sz="4" w:space="0" w:color="auto"/>
              <w:left w:val="single" w:sz="4" w:space="0" w:color="auto"/>
              <w:bottom w:val="single" w:sz="4" w:space="0" w:color="auto"/>
              <w:right w:val="single" w:sz="4" w:space="0" w:color="auto"/>
            </w:tcBorders>
            <w:vAlign w:val="center"/>
          </w:tcPr>
          <w:p w14:paraId="6DE4B4B0" w14:textId="2F32AA65" w:rsidR="00F267FF" w:rsidRPr="004A492F" w:rsidRDefault="00E9720E" w:rsidP="00F267FF">
            <w:pPr>
              <w:widowControl w:val="0"/>
              <w:tabs>
                <w:tab w:val="left" w:pos="360"/>
              </w:tabs>
              <w:spacing w:line="260" w:lineRule="exact"/>
              <w:outlineLvl w:val="0"/>
              <w:rPr>
                <w:rFonts w:cs="Arial"/>
                <w:bCs/>
                <w:kern w:val="32"/>
                <w:szCs w:val="20"/>
                <w:lang w:val="sl-SI" w:eastAsia="sl-SI"/>
              </w:rPr>
            </w:pPr>
            <w:r>
              <w:rPr>
                <w:rFonts w:cs="Arial"/>
                <w:bCs/>
                <w:kern w:val="32"/>
                <w:szCs w:val="20"/>
                <w:lang w:val="sl-SI" w:eastAsia="sl-SI"/>
              </w:rPr>
              <w:t>Ministrstvo za pravosodje</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9F4ADE2" w14:textId="1A3FF071" w:rsidR="00F267FF" w:rsidRPr="004A492F" w:rsidRDefault="00DE6FAF" w:rsidP="00F267FF">
            <w:pPr>
              <w:widowControl w:val="0"/>
              <w:tabs>
                <w:tab w:val="left" w:pos="360"/>
              </w:tabs>
              <w:spacing w:line="260" w:lineRule="exact"/>
              <w:outlineLvl w:val="0"/>
              <w:rPr>
                <w:rFonts w:cs="Arial"/>
                <w:bCs/>
                <w:kern w:val="32"/>
                <w:szCs w:val="20"/>
                <w:lang w:val="sl-SI" w:eastAsia="sl-SI"/>
              </w:rPr>
            </w:pPr>
            <w:r>
              <w:rPr>
                <w:rFonts w:cs="Arial"/>
                <w:bCs/>
                <w:kern w:val="32"/>
                <w:szCs w:val="20"/>
                <w:lang w:val="sl-SI" w:eastAsia="sl-SI"/>
              </w:rPr>
              <w:t>2030-21-0005</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3ABFB14F" w14:textId="77061701"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124110</w:t>
            </w:r>
            <w:r w:rsidR="00A10DAB">
              <w:rPr>
                <w:rFonts w:cs="Arial"/>
                <w:bCs/>
                <w:kern w:val="32"/>
                <w:szCs w:val="20"/>
                <w:lang w:val="sl-SI" w:eastAsia="sl-SI"/>
              </w:rPr>
              <w:t xml:space="preserve"> – Priprava zakonodaje</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6702076D" w14:textId="138EAD4E"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w:t>
            </w:r>
          </w:p>
        </w:tc>
        <w:tc>
          <w:tcPr>
            <w:tcW w:w="2119" w:type="dxa"/>
            <w:tcBorders>
              <w:top w:val="single" w:sz="4" w:space="0" w:color="auto"/>
              <w:left w:val="single" w:sz="4" w:space="0" w:color="auto"/>
              <w:bottom w:val="single" w:sz="4" w:space="0" w:color="auto"/>
              <w:right w:val="single" w:sz="4" w:space="0" w:color="auto"/>
            </w:tcBorders>
            <w:vAlign w:val="center"/>
          </w:tcPr>
          <w:p w14:paraId="53E3D7BC" w14:textId="56B65C3A" w:rsidR="00F267FF" w:rsidRPr="004A492F" w:rsidRDefault="00B17129" w:rsidP="00F267FF">
            <w:pPr>
              <w:widowControl w:val="0"/>
              <w:tabs>
                <w:tab w:val="left" w:pos="360"/>
              </w:tabs>
              <w:spacing w:line="260" w:lineRule="exact"/>
              <w:outlineLvl w:val="0"/>
              <w:rPr>
                <w:rFonts w:cs="Arial"/>
                <w:bCs/>
                <w:kern w:val="32"/>
                <w:szCs w:val="20"/>
                <w:lang w:val="sl-SI" w:eastAsia="sl-SI"/>
              </w:rPr>
            </w:pPr>
            <w:r w:rsidRPr="004A492F">
              <w:rPr>
                <w:rFonts w:cs="Arial"/>
                <w:bCs/>
                <w:kern w:val="32"/>
                <w:szCs w:val="20"/>
                <w:lang w:val="sl-SI" w:eastAsia="sl-SI"/>
              </w:rPr>
              <w:t>5.000,00 EUR</w:t>
            </w:r>
          </w:p>
        </w:tc>
      </w:tr>
      <w:tr w:rsidR="00F267FF" w:rsidRPr="004A492F" w14:paraId="0069FF1D"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13" w:type="dxa"/>
            <w:gridSpan w:val="7"/>
            <w:tcBorders>
              <w:top w:val="single" w:sz="4" w:space="0" w:color="auto"/>
              <w:left w:val="single" w:sz="4" w:space="0" w:color="auto"/>
              <w:bottom w:val="single" w:sz="4" w:space="0" w:color="auto"/>
              <w:right w:val="single" w:sz="4" w:space="0" w:color="auto"/>
            </w:tcBorders>
            <w:vAlign w:val="center"/>
          </w:tcPr>
          <w:p w14:paraId="0B625A10"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r w:rsidRPr="004A492F">
              <w:rPr>
                <w:rFonts w:cs="Arial"/>
                <w:b/>
                <w:kern w:val="32"/>
                <w:szCs w:val="20"/>
                <w:lang w:val="sl-SI" w:eastAsia="sl-SI"/>
              </w:rPr>
              <w:t>SKUPAJ</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5725DF11" w14:textId="77777777" w:rsidR="00F267FF" w:rsidRPr="004A492F" w:rsidRDefault="00F267FF" w:rsidP="00F267FF">
            <w:pPr>
              <w:widowControl w:val="0"/>
              <w:spacing w:line="260" w:lineRule="exact"/>
              <w:jc w:val="center"/>
              <w:rPr>
                <w:rFonts w:cs="Arial"/>
                <w:b/>
                <w:szCs w:val="20"/>
                <w:lang w:val="sl-SI"/>
              </w:rPr>
            </w:pPr>
          </w:p>
        </w:tc>
        <w:tc>
          <w:tcPr>
            <w:tcW w:w="2119" w:type="dxa"/>
            <w:tcBorders>
              <w:top w:val="single" w:sz="4" w:space="0" w:color="auto"/>
              <w:left w:val="single" w:sz="4" w:space="0" w:color="auto"/>
              <w:bottom w:val="single" w:sz="4" w:space="0" w:color="auto"/>
              <w:right w:val="single" w:sz="4" w:space="0" w:color="auto"/>
            </w:tcBorders>
            <w:vAlign w:val="center"/>
          </w:tcPr>
          <w:p w14:paraId="62EB8569"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p>
        </w:tc>
      </w:tr>
      <w:tr w:rsidR="00F267FF" w:rsidRPr="004A492F" w14:paraId="4F182587"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6CB993" w14:textId="77777777" w:rsidR="00F267FF" w:rsidRPr="004A492F" w:rsidRDefault="00F267FF" w:rsidP="00F267FF">
            <w:pPr>
              <w:widowControl w:val="0"/>
              <w:tabs>
                <w:tab w:val="left" w:pos="2340"/>
              </w:tabs>
              <w:spacing w:line="260" w:lineRule="exact"/>
              <w:outlineLvl w:val="0"/>
              <w:rPr>
                <w:rFonts w:cs="Arial"/>
                <w:b/>
                <w:kern w:val="32"/>
                <w:szCs w:val="20"/>
                <w:lang w:val="sl-SI" w:eastAsia="sl-SI"/>
              </w:rPr>
            </w:pPr>
            <w:proofErr w:type="spellStart"/>
            <w:r w:rsidRPr="004A492F">
              <w:rPr>
                <w:rFonts w:cs="Arial"/>
                <w:b/>
                <w:kern w:val="32"/>
                <w:szCs w:val="20"/>
                <w:lang w:val="sl-SI" w:eastAsia="sl-SI"/>
              </w:rPr>
              <w:t>II.b</w:t>
            </w:r>
            <w:proofErr w:type="spellEnd"/>
            <w:r w:rsidRPr="004A492F">
              <w:rPr>
                <w:rFonts w:cs="Arial"/>
                <w:b/>
                <w:kern w:val="32"/>
                <w:szCs w:val="20"/>
                <w:lang w:val="sl-SI" w:eastAsia="sl-SI"/>
              </w:rPr>
              <w:t xml:space="preserve"> Manjkajoče pravice porabe bodo zagotovljene s prerazporeditvijo:</w:t>
            </w:r>
          </w:p>
        </w:tc>
      </w:tr>
      <w:tr w:rsidR="00F267FF" w:rsidRPr="004A492F" w14:paraId="1DAFC529"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1" w:type="dxa"/>
            <w:gridSpan w:val="3"/>
            <w:tcBorders>
              <w:top w:val="single" w:sz="4" w:space="0" w:color="auto"/>
              <w:left w:val="single" w:sz="4" w:space="0" w:color="auto"/>
              <w:bottom w:val="single" w:sz="4" w:space="0" w:color="auto"/>
              <w:right w:val="single" w:sz="4" w:space="0" w:color="auto"/>
            </w:tcBorders>
            <w:vAlign w:val="center"/>
          </w:tcPr>
          <w:p w14:paraId="6C648E46"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 xml:space="preserve">Ime proračunskega uporabnika </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8B2F249"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3405D939"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 xml:space="preserve">Šifra in naziv proračunske postavke </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5F6B3F77"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Znesek za tekoče leto (t)</w:t>
            </w:r>
          </w:p>
        </w:tc>
        <w:tc>
          <w:tcPr>
            <w:tcW w:w="2119" w:type="dxa"/>
            <w:tcBorders>
              <w:top w:val="single" w:sz="4" w:space="0" w:color="auto"/>
              <w:left w:val="single" w:sz="4" w:space="0" w:color="auto"/>
              <w:bottom w:val="single" w:sz="4" w:space="0" w:color="auto"/>
              <w:right w:val="single" w:sz="4" w:space="0" w:color="auto"/>
            </w:tcBorders>
            <w:vAlign w:val="center"/>
          </w:tcPr>
          <w:p w14:paraId="306E9751" w14:textId="77777777" w:rsidR="00F267FF" w:rsidRPr="004A492F" w:rsidRDefault="00F267FF" w:rsidP="00F267FF">
            <w:pPr>
              <w:widowControl w:val="0"/>
              <w:spacing w:line="260" w:lineRule="exact"/>
              <w:jc w:val="center"/>
              <w:rPr>
                <w:rFonts w:cs="Arial"/>
                <w:szCs w:val="20"/>
                <w:lang w:val="sl-SI"/>
              </w:rPr>
            </w:pPr>
            <w:r w:rsidRPr="004A492F">
              <w:rPr>
                <w:rFonts w:cs="Arial"/>
                <w:szCs w:val="20"/>
                <w:lang w:val="sl-SI"/>
              </w:rPr>
              <w:t xml:space="preserve">Znesek za t + 1 </w:t>
            </w:r>
          </w:p>
        </w:tc>
      </w:tr>
      <w:tr w:rsidR="00F267FF" w:rsidRPr="004A492F" w14:paraId="69FD5FA5"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1" w:type="dxa"/>
            <w:gridSpan w:val="3"/>
            <w:tcBorders>
              <w:top w:val="single" w:sz="4" w:space="0" w:color="auto"/>
              <w:left w:val="single" w:sz="4" w:space="0" w:color="auto"/>
              <w:bottom w:val="single" w:sz="4" w:space="0" w:color="auto"/>
              <w:right w:val="single" w:sz="4" w:space="0" w:color="auto"/>
            </w:tcBorders>
            <w:vAlign w:val="center"/>
          </w:tcPr>
          <w:p w14:paraId="7B2B7B5A"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4E281425"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7299B15F"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0D3672DD"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7CE14ABE"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r>
      <w:tr w:rsidR="00F267FF" w:rsidRPr="004A492F" w14:paraId="6B66DFD5"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1" w:type="dxa"/>
            <w:gridSpan w:val="3"/>
            <w:tcBorders>
              <w:top w:val="single" w:sz="4" w:space="0" w:color="auto"/>
              <w:left w:val="single" w:sz="4" w:space="0" w:color="auto"/>
              <w:bottom w:val="single" w:sz="4" w:space="0" w:color="auto"/>
              <w:right w:val="single" w:sz="4" w:space="0" w:color="auto"/>
            </w:tcBorders>
            <w:vAlign w:val="center"/>
          </w:tcPr>
          <w:p w14:paraId="384B2A43"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36A126B4"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F56A37A"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19CA623A"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04271BEC"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r>
      <w:tr w:rsidR="00F267FF" w:rsidRPr="004A492F" w14:paraId="326949D5"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13" w:type="dxa"/>
            <w:gridSpan w:val="7"/>
            <w:tcBorders>
              <w:top w:val="single" w:sz="4" w:space="0" w:color="auto"/>
              <w:left w:val="single" w:sz="4" w:space="0" w:color="auto"/>
              <w:bottom w:val="single" w:sz="4" w:space="0" w:color="auto"/>
              <w:right w:val="single" w:sz="4" w:space="0" w:color="auto"/>
            </w:tcBorders>
            <w:vAlign w:val="center"/>
          </w:tcPr>
          <w:p w14:paraId="64A5E9EF"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r w:rsidRPr="004A492F">
              <w:rPr>
                <w:rFonts w:cs="Arial"/>
                <w:b/>
                <w:kern w:val="32"/>
                <w:szCs w:val="20"/>
                <w:lang w:val="sl-SI" w:eastAsia="sl-SI"/>
              </w:rPr>
              <w:t>SKUPAJ</w:t>
            </w:r>
          </w:p>
        </w:tc>
        <w:tc>
          <w:tcPr>
            <w:tcW w:w="1368" w:type="dxa"/>
            <w:gridSpan w:val="5"/>
            <w:tcBorders>
              <w:top w:val="single" w:sz="4" w:space="0" w:color="auto"/>
              <w:left w:val="single" w:sz="4" w:space="0" w:color="auto"/>
              <w:bottom w:val="single" w:sz="4" w:space="0" w:color="auto"/>
              <w:right w:val="single" w:sz="4" w:space="0" w:color="auto"/>
            </w:tcBorders>
            <w:vAlign w:val="center"/>
          </w:tcPr>
          <w:p w14:paraId="4C0C63E5"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p>
        </w:tc>
        <w:tc>
          <w:tcPr>
            <w:tcW w:w="2119" w:type="dxa"/>
            <w:tcBorders>
              <w:top w:val="single" w:sz="4" w:space="0" w:color="auto"/>
              <w:left w:val="single" w:sz="4" w:space="0" w:color="auto"/>
              <w:bottom w:val="single" w:sz="4" w:space="0" w:color="auto"/>
              <w:right w:val="single" w:sz="4" w:space="0" w:color="auto"/>
            </w:tcBorders>
            <w:vAlign w:val="center"/>
          </w:tcPr>
          <w:p w14:paraId="12611B84"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p>
        </w:tc>
      </w:tr>
      <w:tr w:rsidR="00F267FF" w:rsidRPr="004A492F" w14:paraId="6251E41D"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4230AC" w14:textId="77777777" w:rsidR="00F267FF" w:rsidRPr="004A492F" w:rsidRDefault="00F267FF" w:rsidP="00F267FF">
            <w:pPr>
              <w:widowControl w:val="0"/>
              <w:tabs>
                <w:tab w:val="left" w:pos="2340"/>
              </w:tabs>
              <w:spacing w:line="260" w:lineRule="exact"/>
              <w:outlineLvl w:val="0"/>
              <w:rPr>
                <w:rFonts w:cs="Arial"/>
                <w:b/>
                <w:kern w:val="32"/>
                <w:szCs w:val="20"/>
                <w:lang w:val="sl-SI" w:eastAsia="sl-SI"/>
              </w:rPr>
            </w:pPr>
            <w:proofErr w:type="spellStart"/>
            <w:r w:rsidRPr="004A492F">
              <w:rPr>
                <w:rFonts w:cs="Arial"/>
                <w:b/>
                <w:kern w:val="32"/>
                <w:szCs w:val="20"/>
                <w:lang w:val="sl-SI" w:eastAsia="sl-SI"/>
              </w:rPr>
              <w:t>II.c</w:t>
            </w:r>
            <w:proofErr w:type="spellEnd"/>
            <w:r w:rsidRPr="004A492F">
              <w:rPr>
                <w:rFonts w:cs="Arial"/>
                <w:b/>
                <w:kern w:val="32"/>
                <w:szCs w:val="20"/>
                <w:lang w:val="sl-SI" w:eastAsia="sl-SI"/>
              </w:rPr>
              <w:t xml:space="preserve"> Načrtovana nadomestitev zmanjšanih prihodkov in povečanih odhodkov proračuna:</w:t>
            </w:r>
          </w:p>
        </w:tc>
      </w:tr>
      <w:tr w:rsidR="00F267FF" w:rsidRPr="004A492F" w14:paraId="1F178BA0"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57" w:type="dxa"/>
            <w:gridSpan w:val="5"/>
            <w:tcBorders>
              <w:top w:val="single" w:sz="4" w:space="0" w:color="auto"/>
              <w:left w:val="single" w:sz="4" w:space="0" w:color="auto"/>
              <w:bottom w:val="single" w:sz="4" w:space="0" w:color="auto"/>
              <w:right w:val="single" w:sz="4" w:space="0" w:color="auto"/>
            </w:tcBorders>
            <w:vAlign w:val="center"/>
          </w:tcPr>
          <w:p w14:paraId="7AA91E20" w14:textId="77777777" w:rsidR="00F267FF" w:rsidRPr="004A492F" w:rsidRDefault="00F267FF" w:rsidP="00F267FF">
            <w:pPr>
              <w:widowControl w:val="0"/>
              <w:spacing w:line="260" w:lineRule="exact"/>
              <w:ind w:left="-122" w:right="-112"/>
              <w:jc w:val="center"/>
              <w:rPr>
                <w:rFonts w:cs="Arial"/>
                <w:szCs w:val="20"/>
                <w:lang w:val="sl-SI"/>
              </w:rPr>
            </w:pPr>
            <w:r w:rsidRPr="004A492F">
              <w:rPr>
                <w:rFonts w:cs="Arial"/>
                <w:szCs w:val="20"/>
                <w:lang w:val="sl-SI"/>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44F5998D" w14:textId="77777777" w:rsidR="00F267FF" w:rsidRPr="004A492F" w:rsidRDefault="00F267FF" w:rsidP="00F267FF">
            <w:pPr>
              <w:widowControl w:val="0"/>
              <w:spacing w:line="260" w:lineRule="exact"/>
              <w:ind w:left="-122" w:right="-112"/>
              <w:jc w:val="center"/>
              <w:rPr>
                <w:rFonts w:cs="Arial"/>
                <w:szCs w:val="20"/>
                <w:lang w:val="sl-SI"/>
              </w:rPr>
            </w:pPr>
            <w:r w:rsidRPr="004A492F">
              <w:rPr>
                <w:rFonts w:cs="Arial"/>
                <w:szCs w:val="20"/>
                <w:lang w:val="sl-SI"/>
              </w:rPr>
              <w:t>Znesek za tekoče leto (t)</w:t>
            </w: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D108DAB" w14:textId="77777777" w:rsidR="00F267FF" w:rsidRPr="004A492F" w:rsidRDefault="00F267FF" w:rsidP="00F267FF">
            <w:pPr>
              <w:widowControl w:val="0"/>
              <w:spacing w:line="260" w:lineRule="exact"/>
              <w:ind w:left="-122" w:right="-112"/>
              <w:jc w:val="center"/>
              <w:rPr>
                <w:rFonts w:cs="Arial"/>
                <w:szCs w:val="20"/>
                <w:lang w:val="sl-SI"/>
              </w:rPr>
            </w:pPr>
            <w:r w:rsidRPr="004A492F">
              <w:rPr>
                <w:rFonts w:cs="Arial"/>
                <w:szCs w:val="20"/>
                <w:lang w:val="sl-SI"/>
              </w:rPr>
              <w:t>Znesek za t + 1</w:t>
            </w:r>
          </w:p>
        </w:tc>
      </w:tr>
      <w:tr w:rsidR="00F267FF" w:rsidRPr="004A492F" w14:paraId="5D94B6E2"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57" w:type="dxa"/>
            <w:gridSpan w:val="5"/>
            <w:tcBorders>
              <w:top w:val="single" w:sz="4" w:space="0" w:color="auto"/>
              <w:left w:val="single" w:sz="4" w:space="0" w:color="auto"/>
              <w:bottom w:val="single" w:sz="4" w:space="0" w:color="auto"/>
              <w:right w:val="single" w:sz="4" w:space="0" w:color="auto"/>
            </w:tcBorders>
            <w:vAlign w:val="center"/>
          </w:tcPr>
          <w:p w14:paraId="65543CEF"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BB2856C"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3AB56FF4"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r>
      <w:tr w:rsidR="00F267FF" w:rsidRPr="004A492F" w14:paraId="0C9574A6"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57" w:type="dxa"/>
            <w:gridSpan w:val="5"/>
            <w:tcBorders>
              <w:top w:val="single" w:sz="4" w:space="0" w:color="auto"/>
              <w:left w:val="single" w:sz="4" w:space="0" w:color="auto"/>
              <w:bottom w:val="single" w:sz="4" w:space="0" w:color="auto"/>
              <w:right w:val="single" w:sz="4" w:space="0" w:color="auto"/>
            </w:tcBorders>
            <w:vAlign w:val="center"/>
          </w:tcPr>
          <w:p w14:paraId="2D38F4BD"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7D11BB11"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2C427529"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r>
      <w:tr w:rsidR="00F267FF" w:rsidRPr="004A492F" w14:paraId="2D49B893"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57" w:type="dxa"/>
            <w:gridSpan w:val="5"/>
            <w:tcBorders>
              <w:top w:val="single" w:sz="4" w:space="0" w:color="auto"/>
              <w:left w:val="single" w:sz="4" w:space="0" w:color="auto"/>
              <w:bottom w:val="single" w:sz="4" w:space="0" w:color="auto"/>
              <w:right w:val="single" w:sz="4" w:space="0" w:color="auto"/>
            </w:tcBorders>
            <w:vAlign w:val="center"/>
          </w:tcPr>
          <w:p w14:paraId="5CA8B41C"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4F126BAA"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0B93C44" w14:textId="77777777" w:rsidR="00F267FF" w:rsidRPr="004A492F" w:rsidRDefault="00F267FF" w:rsidP="00F267FF">
            <w:pPr>
              <w:widowControl w:val="0"/>
              <w:tabs>
                <w:tab w:val="left" w:pos="360"/>
              </w:tabs>
              <w:spacing w:line="260" w:lineRule="exact"/>
              <w:outlineLvl w:val="0"/>
              <w:rPr>
                <w:rFonts w:cs="Arial"/>
                <w:bCs/>
                <w:kern w:val="32"/>
                <w:szCs w:val="20"/>
                <w:lang w:val="sl-SI" w:eastAsia="sl-SI"/>
              </w:rPr>
            </w:pPr>
          </w:p>
        </w:tc>
      </w:tr>
      <w:tr w:rsidR="00F267FF" w:rsidRPr="004A492F" w14:paraId="127DEDF8" w14:textId="77777777" w:rsidTr="00D03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57" w:type="dxa"/>
            <w:gridSpan w:val="5"/>
            <w:tcBorders>
              <w:top w:val="single" w:sz="4" w:space="0" w:color="auto"/>
              <w:left w:val="single" w:sz="4" w:space="0" w:color="auto"/>
              <w:bottom w:val="single" w:sz="4" w:space="0" w:color="auto"/>
              <w:right w:val="single" w:sz="4" w:space="0" w:color="auto"/>
            </w:tcBorders>
            <w:vAlign w:val="center"/>
          </w:tcPr>
          <w:p w14:paraId="003A97E7"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r w:rsidRPr="004A492F">
              <w:rPr>
                <w:rFonts w:cs="Arial"/>
                <w:b/>
                <w:kern w:val="32"/>
                <w:szCs w:val="20"/>
                <w:lang w:val="sl-SI" w:eastAsia="sl-SI"/>
              </w:rPr>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2E22ABE"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98EB336" w14:textId="77777777" w:rsidR="00F267FF" w:rsidRPr="004A492F" w:rsidRDefault="00F267FF" w:rsidP="00F267FF">
            <w:pPr>
              <w:widowControl w:val="0"/>
              <w:tabs>
                <w:tab w:val="left" w:pos="360"/>
              </w:tabs>
              <w:spacing w:line="260" w:lineRule="exact"/>
              <w:outlineLvl w:val="0"/>
              <w:rPr>
                <w:rFonts w:cs="Arial"/>
                <w:b/>
                <w:kern w:val="32"/>
                <w:szCs w:val="20"/>
                <w:lang w:val="sl-SI" w:eastAsia="sl-SI"/>
              </w:rPr>
            </w:pPr>
          </w:p>
        </w:tc>
      </w:tr>
      <w:tr w:rsidR="00F267FF" w:rsidRPr="002E1057" w14:paraId="419A3990" w14:textId="77777777" w:rsidTr="00D03029">
        <w:trPr>
          <w:gridAfter w:val="1"/>
          <w:wAfter w:w="63" w:type="dxa"/>
          <w:trHeight w:val="1910"/>
        </w:trPr>
        <w:tc>
          <w:tcPr>
            <w:tcW w:w="9200" w:type="dxa"/>
            <w:gridSpan w:val="13"/>
          </w:tcPr>
          <w:p w14:paraId="041F0449" w14:textId="77777777" w:rsidR="00F267FF" w:rsidRPr="004A492F" w:rsidRDefault="00F267FF" w:rsidP="00F267FF">
            <w:pPr>
              <w:widowControl w:val="0"/>
              <w:spacing w:line="260" w:lineRule="exact"/>
              <w:rPr>
                <w:rFonts w:cs="Arial"/>
                <w:b/>
                <w:szCs w:val="20"/>
                <w:lang w:val="sl-SI"/>
              </w:rPr>
            </w:pPr>
          </w:p>
          <w:p w14:paraId="34F4190C" w14:textId="77777777" w:rsidR="00F267FF" w:rsidRPr="004A492F" w:rsidRDefault="00F267FF" w:rsidP="00F267FF">
            <w:pPr>
              <w:widowControl w:val="0"/>
              <w:spacing w:line="260" w:lineRule="exact"/>
              <w:rPr>
                <w:rFonts w:cs="Arial"/>
                <w:b/>
                <w:szCs w:val="20"/>
                <w:lang w:val="sl-SI"/>
              </w:rPr>
            </w:pPr>
            <w:r w:rsidRPr="004A492F">
              <w:rPr>
                <w:rFonts w:cs="Arial"/>
                <w:b/>
                <w:szCs w:val="20"/>
                <w:lang w:val="sl-SI"/>
              </w:rPr>
              <w:t>OBRAZLOŽITEV:</w:t>
            </w:r>
          </w:p>
          <w:p w14:paraId="1371A180" w14:textId="77777777" w:rsidR="00F267FF" w:rsidRPr="004A492F" w:rsidRDefault="00F267FF" w:rsidP="00F267FF">
            <w:pPr>
              <w:widowControl w:val="0"/>
              <w:numPr>
                <w:ilvl w:val="0"/>
                <w:numId w:val="6"/>
              </w:numPr>
              <w:suppressAutoHyphens/>
              <w:spacing w:line="260" w:lineRule="exact"/>
              <w:ind w:left="284" w:hanging="284"/>
              <w:jc w:val="both"/>
              <w:rPr>
                <w:rFonts w:cs="Arial"/>
                <w:b/>
                <w:szCs w:val="20"/>
                <w:lang w:val="sl-SI" w:eastAsia="sl-SI"/>
              </w:rPr>
            </w:pPr>
            <w:r w:rsidRPr="004A492F">
              <w:rPr>
                <w:rFonts w:cs="Arial"/>
                <w:b/>
                <w:szCs w:val="20"/>
                <w:lang w:val="sl-SI" w:eastAsia="sl-SI"/>
              </w:rPr>
              <w:t>Ocena finančnih posledic, ki niso načrtovane v sprejetem proračunu</w:t>
            </w:r>
          </w:p>
          <w:p w14:paraId="094D7190" w14:textId="77777777" w:rsidR="00F267FF" w:rsidRPr="004A492F" w:rsidRDefault="00F267FF" w:rsidP="00F267FF">
            <w:pPr>
              <w:widowControl w:val="0"/>
              <w:spacing w:line="260" w:lineRule="exact"/>
              <w:ind w:left="360" w:hanging="76"/>
              <w:jc w:val="both"/>
              <w:rPr>
                <w:rFonts w:cs="Arial"/>
                <w:szCs w:val="20"/>
                <w:lang w:val="sl-SI" w:eastAsia="sl-SI"/>
              </w:rPr>
            </w:pPr>
            <w:r w:rsidRPr="004A492F">
              <w:rPr>
                <w:rFonts w:cs="Arial"/>
                <w:szCs w:val="20"/>
                <w:lang w:val="sl-SI" w:eastAsia="sl-SI"/>
              </w:rPr>
              <w:t>V zvezi s predlaganim vladnim gradivom se navedejo predvidene spremembe (povečanje, zmanjšanje):</w:t>
            </w:r>
          </w:p>
          <w:p w14:paraId="7B0A4E6B" w14:textId="77777777" w:rsidR="00F267FF" w:rsidRPr="004A492F" w:rsidRDefault="00F267FF" w:rsidP="00F267FF">
            <w:pPr>
              <w:widowControl w:val="0"/>
              <w:numPr>
                <w:ilvl w:val="0"/>
                <w:numId w:val="9"/>
              </w:numPr>
              <w:suppressAutoHyphens/>
              <w:spacing w:line="260" w:lineRule="exact"/>
              <w:jc w:val="both"/>
              <w:rPr>
                <w:rFonts w:cs="Arial"/>
                <w:szCs w:val="20"/>
                <w:lang w:val="sl-SI"/>
              </w:rPr>
            </w:pPr>
            <w:r w:rsidRPr="004A492F">
              <w:rPr>
                <w:rFonts w:cs="Arial"/>
                <w:szCs w:val="20"/>
                <w:lang w:val="sl-SI" w:eastAsia="sl-SI"/>
              </w:rPr>
              <w:t>prihodkov državnega proračuna in občinskih proračunov,</w:t>
            </w:r>
          </w:p>
          <w:p w14:paraId="556F460C" w14:textId="77777777" w:rsidR="00F267FF" w:rsidRPr="004A492F" w:rsidRDefault="00F267FF" w:rsidP="00F267FF">
            <w:pPr>
              <w:widowControl w:val="0"/>
              <w:numPr>
                <w:ilvl w:val="0"/>
                <w:numId w:val="9"/>
              </w:numPr>
              <w:suppressAutoHyphens/>
              <w:spacing w:line="260" w:lineRule="exact"/>
              <w:jc w:val="both"/>
              <w:rPr>
                <w:rFonts w:cs="Arial"/>
                <w:szCs w:val="20"/>
                <w:lang w:val="sl-SI"/>
              </w:rPr>
            </w:pPr>
            <w:r w:rsidRPr="004A492F">
              <w:rPr>
                <w:rFonts w:cs="Arial"/>
                <w:szCs w:val="20"/>
                <w:lang w:val="sl-SI" w:eastAsia="sl-SI"/>
              </w:rPr>
              <w:t>odhodkov državnega proračuna, ki niso načrtovani na ukrepih oziroma projektih sprejetih proračunov,</w:t>
            </w:r>
          </w:p>
          <w:p w14:paraId="28DF18D8" w14:textId="77777777" w:rsidR="00F267FF" w:rsidRPr="004A492F" w:rsidRDefault="00F267FF" w:rsidP="00F267FF">
            <w:pPr>
              <w:widowControl w:val="0"/>
              <w:numPr>
                <w:ilvl w:val="0"/>
                <w:numId w:val="9"/>
              </w:numPr>
              <w:suppressAutoHyphens/>
              <w:spacing w:line="260" w:lineRule="exact"/>
              <w:jc w:val="both"/>
              <w:rPr>
                <w:rFonts w:cs="Arial"/>
                <w:szCs w:val="20"/>
                <w:lang w:val="sl-SI"/>
              </w:rPr>
            </w:pPr>
            <w:r w:rsidRPr="004A492F">
              <w:rPr>
                <w:rFonts w:cs="Arial"/>
                <w:szCs w:val="20"/>
                <w:lang w:val="sl-SI" w:eastAsia="sl-SI"/>
              </w:rPr>
              <w:t>obveznosti za druga javnofinančna sredstva (drugi viri), ki niso načrtovana na ukrepih oziroma projektih sprejetih proračunov.</w:t>
            </w:r>
          </w:p>
          <w:p w14:paraId="11C8F22F" w14:textId="77777777" w:rsidR="00F267FF" w:rsidRPr="004A492F" w:rsidRDefault="00F267FF" w:rsidP="00F267FF">
            <w:pPr>
              <w:widowControl w:val="0"/>
              <w:spacing w:line="260" w:lineRule="exact"/>
              <w:ind w:left="284"/>
              <w:rPr>
                <w:rFonts w:cs="Arial"/>
                <w:szCs w:val="20"/>
                <w:lang w:val="sl-SI" w:eastAsia="sl-SI"/>
              </w:rPr>
            </w:pPr>
          </w:p>
          <w:p w14:paraId="64FFB523" w14:textId="77777777" w:rsidR="00F267FF" w:rsidRPr="004A492F" w:rsidRDefault="00F267FF" w:rsidP="00F267FF">
            <w:pPr>
              <w:widowControl w:val="0"/>
              <w:numPr>
                <w:ilvl w:val="0"/>
                <w:numId w:val="6"/>
              </w:numPr>
              <w:suppressAutoHyphens/>
              <w:spacing w:line="260" w:lineRule="exact"/>
              <w:ind w:left="284" w:hanging="284"/>
              <w:jc w:val="both"/>
              <w:rPr>
                <w:rFonts w:cs="Arial"/>
                <w:b/>
                <w:szCs w:val="20"/>
                <w:lang w:val="sl-SI" w:eastAsia="sl-SI"/>
              </w:rPr>
            </w:pPr>
            <w:r w:rsidRPr="004A492F">
              <w:rPr>
                <w:rFonts w:cs="Arial"/>
                <w:b/>
                <w:szCs w:val="20"/>
                <w:lang w:val="sl-SI" w:eastAsia="sl-SI"/>
              </w:rPr>
              <w:t>Finančne posledice za državni proračun</w:t>
            </w:r>
          </w:p>
          <w:p w14:paraId="40D4E52B" w14:textId="77777777" w:rsidR="00F267FF" w:rsidRPr="004A492F" w:rsidRDefault="00F267FF" w:rsidP="00F267FF">
            <w:pPr>
              <w:widowControl w:val="0"/>
              <w:spacing w:line="260" w:lineRule="exact"/>
              <w:ind w:left="284"/>
              <w:jc w:val="both"/>
              <w:rPr>
                <w:rFonts w:cs="Arial"/>
                <w:szCs w:val="20"/>
                <w:lang w:val="sl-SI" w:eastAsia="sl-SI"/>
              </w:rPr>
            </w:pPr>
            <w:r w:rsidRPr="004A492F">
              <w:rPr>
                <w:rFonts w:cs="Arial"/>
                <w:szCs w:val="20"/>
                <w:lang w:val="sl-SI" w:eastAsia="sl-SI"/>
              </w:rPr>
              <w:t>Prikazane morajo biti finančne posledice za državni proračun, ki so na proračunskih postavkah načrtovane v dinamiki projektov oziroma ukrepov:</w:t>
            </w:r>
          </w:p>
          <w:p w14:paraId="42687A36" w14:textId="77777777" w:rsidR="00F267FF" w:rsidRPr="004A492F" w:rsidRDefault="00F267FF" w:rsidP="00F267FF">
            <w:pPr>
              <w:widowControl w:val="0"/>
              <w:suppressAutoHyphens/>
              <w:spacing w:line="260" w:lineRule="exact"/>
              <w:ind w:left="720"/>
              <w:jc w:val="both"/>
              <w:rPr>
                <w:rFonts w:cs="Arial"/>
                <w:b/>
                <w:szCs w:val="20"/>
                <w:lang w:val="sl-SI" w:eastAsia="sl-SI"/>
              </w:rPr>
            </w:pPr>
            <w:proofErr w:type="spellStart"/>
            <w:r w:rsidRPr="004A492F">
              <w:rPr>
                <w:rFonts w:cs="Arial"/>
                <w:b/>
                <w:szCs w:val="20"/>
                <w:lang w:val="sl-SI" w:eastAsia="sl-SI"/>
              </w:rPr>
              <w:t>II.a</w:t>
            </w:r>
            <w:proofErr w:type="spellEnd"/>
            <w:r w:rsidRPr="004A492F">
              <w:rPr>
                <w:rFonts w:cs="Arial"/>
                <w:b/>
                <w:szCs w:val="20"/>
                <w:lang w:val="sl-SI" w:eastAsia="sl-SI"/>
              </w:rPr>
              <w:t xml:space="preserve"> Pravice porabe za izvedbo predlaganih rešitev so zagotovljene:</w:t>
            </w:r>
          </w:p>
          <w:p w14:paraId="3D25506B" w14:textId="77777777" w:rsidR="00F267FF" w:rsidRPr="004A492F" w:rsidRDefault="00F267FF" w:rsidP="00F267FF">
            <w:pPr>
              <w:widowControl w:val="0"/>
              <w:spacing w:line="260" w:lineRule="exact"/>
              <w:ind w:left="284"/>
              <w:jc w:val="both"/>
              <w:rPr>
                <w:rFonts w:cs="Arial"/>
                <w:szCs w:val="20"/>
                <w:lang w:val="sl-SI" w:eastAsia="sl-SI"/>
              </w:rPr>
            </w:pPr>
            <w:r w:rsidRPr="004A492F">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A492F">
              <w:rPr>
                <w:rFonts w:cs="Arial"/>
                <w:szCs w:val="20"/>
                <w:lang w:val="sl-SI" w:eastAsia="sl-SI"/>
              </w:rPr>
              <w:t>II.b</w:t>
            </w:r>
            <w:proofErr w:type="spellEnd"/>
            <w:r w:rsidRPr="004A492F">
              <w:rPr>
                <w:rFonts w:cs="Arial"/>
                <w:szCs w:val="20"/>
                <w:lang w:val="sl-SI" w:eastAsia="sl-SI"/>
              </w:rPr>
              <w:t>). Pri uvrstitvi novega projekta oziroma ukrepa v načrt razvojnih programov se navedejo:</w:t>
            </w:r>
          </w:p>
          <w:p w14:paraId="5B8AFACD" w14:textId="77777777" w:rsidR="00F267FF" w:rsidRPr="004A492F" w:rsidRDefault="00F267FF" w:rsidP="00F267FF">
            <w:pPr>
              <w:widowControl w:val="0"/>
              <w:numPr>
                <w:ilvl w:val="0"/>
                <w:numId w:val="10"/>
              </w:numPr>
              <w:suppressAutoHyphens/>
              <w:spacing w:line="260" w:lineRule="exact"/>
              <w:jc w:val="both"/>
              <w:rPr>
                <w:rFonts w:cs="Arial"/>
                <w:szCs w:val="20"/>
                <w:lang w:val="sl-SI" w:eastAsia="sl-SI"/>
              </w:rPr>
            </w:pPr>
            <w:r w:rsidRPr="004A492F">
              <w:rPr>
                <w:rFonts w:cs="Arial"/>
                <w:szCs w:val="20"/>
                <w:lang w:val="sl-SI" w:eastAsia="sl-SI"/>
              </w:rPr>
              <w:t>proračunski uporabnik, ki bo financiral novi projekt oziroma ukrep,</w:t>
            </w:r>
          </w:p>
          <w:p w14:paraId="7DC473D2" w14:textId="77777777" w:rsidR="00F267FF" w:rsidRPr="004A492F" w:rsidRDefault="00F267FF" w:rsidP="00F267FF">
            <w:pPr>
              <w:widowControl w:val="0"/>
              <w:numPr>
                <w:ilvl w:val="0"/>
                <w:numId w:val="10"/>
              </w:numPr>
              <w:suppressAutoHyphens/>
              <w:spacing w:line="260" w:lineRule="exact"/>
              <w:jc w:val="both"/>
              <w:rPr>
                <w:rFonts w:cs="Arial"/>
                <w:szCs w:val="20"/>
                <w:lang w:val="sl-SI" w:eastAsia="sl-SI"/>
              </w:rPr>
            </w:pPr>
            <w:r w:rsidRPr="004A492F">
              <w:rPr>
                <w:rFonts w:cs="Arial"/>
                <w:szCs w:val="20"/>
                <w:lang w:val="sl-SI" w:eastAsia="sl-SI"/>
              </w:rPr>
              <w:t xml:space="preserve">projekt oziroma ukrep, s katerim se bodo dosegli cilji vladnega gradiva, in </w:t>
            </w:r>
          </w:p>
          <w:p w14:paraId="749C27F6" w14:textId="77777777" w:rsidR="00F267FF" w:rsidRPr="004A492F" w:rsidRDefault="00F267FF" w:rsidP="00F267FF">
            <w:pPr>
              <w:widowControl w:val="0"/>
              <w:numPr>
                <w:ilvl w:val="0"/>
                <w:numId w:val="10"/>
              </w:numPr>
              <w:suppressAutoHyphens/>
              <w:spacing w:line="260" w:lineRule="exact"/>
              <w:jc w:val="both"/>
              <w:rPr>
                <w:rFonts w:cs="Arial"/>
                <w:szCs w:val="20"/>
                <w:lang w:val="sl-SI" w:eastAsia="sl-SI"/>
              </w:rPr>
            </w:pPr>
            <w:r w:rsidRPr="004A492F">
              <w:rPr>
                <w:rFonts w:cs="Arial"/>
                <w:szCs w:val="20"/>
                <w:lang w:val="sl-SI" w:eastAsia="sl-SI"/>
              </w:rPr>
              <w:t>proračunske postavke.</w:t>
            </w:r>
          </w:p>
          <w:p w14:paraId="25B5FF21" w14:textId="77777777" w:rsidR="00F267FF" w:rsidRPr="004A492F" w:rsidRDefault="00F267FF" w:rsidP="00F267FF">
            <w:pPr>
              <w:widowControl w:val="0"/>
              <w:spacing w:line="260" w:lineRule="exact"/>
              <w:ind w:left="284"/>
              <w:jc w:val="both"/>
              <w:rPr>
                <w:rFonts w:cs="Arial"/>
                <w:szCs w:val="20"/>
                <w:lang w:val="sl-SI" w:eastAsia="sl-SI"/>
              </w:rPr>
            </w:pPr>
            <w:r w:rsidRPr="004A492F">
              <w:rPr>
                <w:rFonts w:cs="Arial"/>
                <w:szCs w:val="20"/>
                <w:lang w:val="sl-SI" w:eastAsia="sl-SI"/>
              </w:rPr>
              <w:t xml:space="preserve">Za zagotovitev pravic porabe na proračunskih postavkah, s katerih se bo financiral novi projekt oziroma ukrep, je treba izpolniti tudi točko </w:t>
            </w:r>
            <w:proofErr w:type="spellStart"/>
            <w:r w:rsidRPr="004A492F">
              <w:rPr>
                <w:rFonts w:cs="Arial"/>
                <w:szCs w:val="20"/>
                <w:lang w:val="sl-SI" w:eastAsia="sl-SI"/>
              </w:rPr>
              <w:t>II.b</w:t>
            </w:r>
            <w:proofErr w:type="spellEnd"/>
            <w:r w:rsidRPr="004A492F">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52096B15" w14:textId="77777777" w:rsidR="00F267FF" w:rsidRPr="004A492F" w:rsidRDefault="00F267FF" w:rsidP="00F267FF">
            <w:pPr>
              <w:widowControl w:val="0"/>
              <w:suppressAutoHyphens/>
              <w:spacing w:line="260" w:lineRule="exact"/>
              <w:ind w:left="714"/>
              <w:jc w:val="both"/>
              <w:rPr>
                <w:rFonts w:cs="Arial"/>
                <w:b/>
                <w:szCs w:val="20"/>
                <w:lang w:val="sl-SI" w:eastAsia="sl-SI"/>
              </w:rPr>
            </w:pPr>
            <w:proofErr w:type="spellStart"/>
            <w:r w:rsidRPr="004A492F">
              <w:rPr>
                <w:rFonts w:cs="Arial"/>
                <w:b/>
                <w:szCs w:val="20"/>
                <w:lang w:val="sl-SI" w:eastAsia="sl-SI"/>
              </w:rPr>
              <w:t>II.b</w:t>
            </w:r>
            <w:proofErr w:type="spellEnd"/>
            <w:r w:rsidRPr="004A492F">
              <w:rPr>
                <w:rFonts w:cs="Arial"/>
                <w:b/>
                <w:szCs w:val="20"/>
                <w:lang w:val="sl-SI" w:eastAsia="sl-SI"/>
              </w:rPr>
              <w:t xml:space="preserve"> Manjkajoče pravice porabe bodo zagotovljene s prerazporeditvijo:</w:t>
            </w:r>
          </w:p>
          <w:p w14:paraId="4E5DD327" w14:textId="77777777" w:rsidR="00F267FF" w:rsidRPr="004A492F" w:rsidRDefault="00F267FF" w:rsidP="00F267FF">
            <w:pPr>
              <w:widowControl w:val="0"/>
              <w:spacing w:line="260" w:lineRule="exact"/>
              <w:ind w:left="284"/>
              <w:jc w:val="both"/>
              <w:rPr>
                <w:rFonts w:cs="Arial"/>
                <w:szCs w:val="20"/>
                <w:lang w:val="sl-SI" w:eastAsia="sl-SI"/>
              </w:rPr>
            </w:pPr>
            <w:r w:rsidRPr="004A492F">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A492F">
              <w:rPr>
                <w:rFonts w:cs="Arial"/>
                <w:szCs w:val="20"/>
                <w:lang w:val="sl-SI" w:eastAsia="sl-SI"/>
              </w:rPr>
              <w:t>II.a</w:t>
            </w:r>
            <w:proofErr w:type="spellEnd"/>
            <w:r w:rsidRPr="004A492F">
              <w:rPr>
                <w:rFonts w:cs="Arial"/>
                <w:szCs w:val="20"/>
                <w:lang w:val="sl-SI" w:eastAsia="sl-SI"/>
              </w:rPr>
              <w:t>.</w:t>
            </w:r>
          </w:p>
          <w:p w14:paraId="007A66CC" w14:textId="77777777" w:rsidR="00F267FF" w:rsidRPr="004A492F" w:rsidRDefault="00F267FF" w:rsidP="00F267FF">
            <w:pPr>
              <w:widowControl w:val="0"/>
              <w:suppressAutoHyphens/>
              <w:spacing w:line="260" w:lineRule="exact"/>
              <w:ind w:left="714"/>
              <w:jc w:val="both"/>
              <w:rPr>
                <w:rFonts w:cs="Arial"/>
                <w:b/>
                <w:szCs w:val="20"/>
                <w:lang w:val="sl-SI" w:eastAsia="sl-SI"/>
              </w:rPr>
            </w:pPr>
            <w:proofErr w:type="spellStart"/>
            <w:r w:rsidRPr="004A492F">
              <w:rPr>
                <w:rFonts w:cs="Arial"/>
                <w:b/>
                <w:szCs w:val="20"/>
                <w:lang w:val="sl-SI" w:eastAsia="sl-SI"/>
              </w:rPr>
              <w:t>II.c</w:t>
            </w:r>
            <w:proofErr w:type="spellEnd"/>
            <w:r w:rsidRPr="004A492F">
              <w:rPr>
                <w:rFonts w:cs="Arial"/>
                <w:b/>
                <w:szCs w:val="20"/>
                <w:lang w:val="sl-SI" w:eastAsia="sl-SI"/>
              </w:rPr>
              <w:t xml:space="preserve"> Načrtovana nadomestitev zmanjšanih prihodkov in povečanih odhodkov proračuna:</w:t>
            </w:r>
          </w:p>
          <w:p w14:paraId="72C65B9A" w14:textId="77777777" w:rsidR="00F267FF" w:rsidRPr="004A492F" w:rsidRDefault="00F267FF" w:rsidP="00F267FF">
            <w:pPr>
              <w:widowControl w:val="0"/>
              <w:spacing w:line="260" w:lineRule="exact"/>
              <w:ind w:left="284"/>
              <w:jc w:val="both"/>
              <w:rPr>
                <w:rFonts w:cs="Arial"/>
                <w:szCs w:val="20"/>
                <w:lang w:val="sl-SI" w:eastAsia="sl-SI"/>
              </w:rPr>
            </w:pPr>
            <w:r w:rsidRPr="004A492F">
              <w:rPr>
                <w:rFonts w:cs="Arial"/>
                <w:szCs w:val="20"/>
                <w:lang w:val="sl-SI" w:eastAsia="sl-SI"/>
              </w:rPr>
              <w:t xml:space="preserve">Če se povečani odhodki (pravice porabe) ne bodo zagotovili tako, kot je določeno v točkah </w:t>
            </w:r>
            <w:proofErr w:type="spellStart"/>
            <w:r w:rsidRPr="004A492F">
              <w:rPr>
                <w:rFonts w:cs="Arial"/>
                <w:szCs w:val="20"/>
                <w:lang w:val="sl-SI" w:eastAsia="sl-SI"/>
              </w:rPr>
              <w:t>II.a</w:t>
            </w:r>
            <w:proofErr w:type="spellEnd"/>
            <w:r w:rsidRPr="004A492F">
              <w:rPr>
                <w:rFonts w:cs="Arial"/>
                <w:szCs w:val="20"/>
                <w:lang w:val="sl-SI" w:eastAsia="sl-SI"/>
              </w:rPr>
              <w:t xml:space="preserve"> in </w:t>
            </w:r>
            <w:proofErr w:type="spellStart"/>
            <w:r w:rsidRPr="004A492F">
              <w:rPr>
                <w:rFonts w:cs="Arial"/>
                <w:szCs w:val="20"/>
                <w:lang w:val="sl-SI" w:eastAsia="sl-SI"/>
              </w:rPr>
              <w:t>II.b</w:t>
            </w:r>
            <w:proofErr w:type="spellEnd"/>
            <w:r w:rsidRPr="004A492F">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EB50554" w14:textId="77777777" w:rsidR="00F267FF" w:rsidRPr="004A492F" w:rsidRDefault="00F267FF" w:rsidP="00F267FF">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rsidR="00F267FF" w:rsidRPr="004A492F" w14:paraId="7E781C0D" w14:textId="77777777" w:rsidTr="00D03029">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549F1F2E" w14:textId="77777777" w:rsidR="00F267FF" w:rsidRPr="004A492F" w:rsidRDefault="00F267FF" w:rsidP="00F267FF">
            <w:pPr>
              <w:spacing w:line="260" w:lineRule="exact"/>
              <w:rPr>
                <w:rFonts w:cs="Arial"/>
                <w:b/>
                <w:szCs w:val="20"/>
                <w:lang w:val="sl-SI"/>
              </w:rPr>
            </w:pPr>
            <w:r w:rsidRPr="004A492F">
              <w:rPr>
                <w:rFonts w:cs="Arial"/>
                <w:b/>
                <w:szCs w:val="20"/>
                <w:lang w:val="sl-SI"/>
              </w:rPr>
              <w:t>7.b Predstavitev ocene finančnih posledic pod 40.000 EUR:</w:t>
            </w:r>
          </w:p>
          <w:p w14:paraId="777C07B1" w14:textId="1D17AD69" w:rsidR="00F267FF" w:rsidRPr="004A492F" w:rsidRDefault="004A7DF9" w:rsidP="00F267FF">
            <w:pPr>
              <w:spacing w:line="260" w:lineRule="exact"/>
              <w:rPr>
                <w:rFonts w:cs="Arial"/>
                <w:szCs w:val="20"/>
                <w:lang w:val="sl-SI"/>
              </w:rPr>
            </w:pPr>
            <w:r w:rsidRPr="004A492F">
              <w:rPr>
                <w:rFonts w:cs="Arial"/>
                <w:szCs w:val="20"/>
                <w:lang w:val="sl-SI"/>
              </w:rPr>
              <w:t>/</w:t>
            </w:r>
          </w:p>
          <w:p w14:paraId="6C40054A" w14:textId="77777777" w:rsidR="00F267FF" w:rsidRPr="004A492F" w:rsidRDefault="00F267FF" w:rsidP="00F267FF">
            <w:pPr>
              <w:spacing w:line="260" w:lineRule="exact"/>
              <w:rPr>
                <w:rFonts w:cs="Arial"/>
                <w:b/>
                <w:szCs w:val="20"/>
                <w:lang w:val="sl-SI"/>
              </w:rPr>
            </w:pPr>
            <w:r w:rsidRPr="004A492F">
              <w:rPr>
                <w:rFonts w:cs="Arial"/>
                <w:b/>
                <w:szCs w:val="20"/>
                <w:lang w:val="sl-SI"/>
              </w:rPr>
              <w:t>Kratka obrazložitev</w:t>
            </w:r>
          </w:p>
          <w:p w14:paraId="6F17C89D" w14:textId="23B9C13D" w:rsidR="00F267FF" w:rsidRPr="004A492F" w:rsidRDefault="004A7DF9" w:rsidP="00F267FF">
            <w:pPr>
              <w:spacing w:line="260" w:lineRule="exact"/>
              <w:rPr>
                <w:rFonts w:cs="Arial"/>
                <w:b/>
                <w:szCs w:val="20"/>
                <w:lang w:val="sl-SI"/>
              </w:rPr>
            </w:pPr>
            <w:r w:rsidRPr="004A492F">
              <w:rPr>
                <w:rFonts w:cs="Arial"/>
                <w:b/>
                <w:szCs w:val="20"/>
                <w:lang w:val="sl-SI"/>
              </w:rPr>
              <w:t>/</w:t>
            </w:r>
          </w:p>
        </w:tc>
      </w:tr>
      <w:tr w:rsidR="00F267FF" w:rsidRPr="004A492F" w14:paraId="062DA8B5" w14:textId="77777777" w:rsidTr="00D03029">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60D92A03" w14:textId="77777777" w:rsidR="00F267FF" w:rsidRPr="004A492F" w:rsidRDefault="00F267FF" w:rsidP="00F267FF">
            <w:pPr>
              <w:spacing w:line="260" w:lineRule="exact"/>
              <w:rPr>
                <w:rFonts w:cs="Arial"/>
                <w:b/>
                <w:szCs w:val="20"/>
                <w:lang w:val="sl-SI"/>
              </w:rPr>
            </w:pPr>
            <w:r w:rsidRPr="004A492F">
              <w:rPr>
                <w:rFonts w:cs="Arial"/>
                <w:b/>
                <w:szCs w:val="20"/>
                <w:lang w:val="sl-SI"/>
              </w:rPr>
              <w:t>8. Predstavitev sodelovanja z združenji občin:</w:t>
            </w:r>
          </w:p>
        </w:tc>
      </w:tr>
      <w:tr w:rsidR="00F267FF" w:rsidRPr="004A492F" w14:paraId="4B1F205E" w14:textId="77777777" w:rsidTr="00D03029">
        <w:trPr>
          <w:gridAfter w:val="1"/>
          <w:wAfter w:w="63" w:type="dxa"/>
        </w:trPr>
        <w:tc>
          <w:tcPr>
            <w:tcW w:w="6779" w:type="dxa"/>
            <w:gridSpan w:val="10"/>
          </w:tcPr>
          <w:p w14:paraId="20ADE5A6" w14:textId="77777777" w:rsidR="00F267FF" w:rsidRPr="004A492F" w:rsidRDefault="00F267FF" w:rsidP="00F267FF">
            <w:pPr>
              <w:widowControl w:val="0"/>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Vsebina predloženega gradiva (predpisa) vpliva na:</w:t>
            </w:r>
          </w:p>
          <w:p w14:paraId="4A4FC621" w14:textId="77777777" w:rsidR="00F267FF" w:rsidRPr="004A492F" w:rsidRDefault="00F267FF" w:rsidP="00F267FF">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4A492F">
              <w:rPr>
                <w:rFonts w:cs="Arial"/>
                <w:iCs/>
                <w:szCs w:val="20"/>
                <w:lang w:val="sl-SI" w:eastAsia="sl-SI"/>
              </w:rPr>
              <w:t>pristojnosti občin,</w:t>
            </w:r>
          </w:p>
          <w:p w14:paraId="7170BBFF" w14:textId="77777777" w:rsidR="00F267FF" w:rsidRPr="004A492F" w:rsidRDefault="00F267FF" w:rsidP="00F267FF">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4A492F">
              <w:rPr>
                <w:rFonts w:cs="Arial"/>
                <w:iCs/>
                <w:szCs w:val="20"/>
                <w:lang w:val="sl-SI" w:eastAsia="sl-SI"/>
              </w:rPr>
              <w:t>delovanje občin,</w:t>
            </w:r>
          </w:p>
          <w:p w14:paraId="0CE927F1" w14:textId="77777777" w:rsidR="00F267FF" w:rsidRPr="004A492F" w:rsidRDefault="00F267FF" w:rsidP="00F267FF">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4A492F">
              <w:rPr>
                <w:rFonts w:cs="Arial"/>
                <w:iCs/>
                <w:szCs w:val="20"/>
                <w:lang w:val="sl-SI" w:eastAsia="sl-SI"/>
              </w:rPr>
              <w:t>financiranje občin.</w:t>
            </w:r>
          </w:p>
          <w:p w14:paraId="67ADF73B" w14:textId="77777777" w:rsidR="00F267FF" w:rsidRPr="004A492F" w:rsidRDefault="00F267FF" w:rsidP="00F267FF">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21" w:type="dxa"/>
            <w:gridSpan w:val="3"/>
          </w:tcPr>
          <w:p w14:paraId="17F2727F" w14:textId="5522EC92" w:rsidR="00F267FF" w:rsidRPr="004A492F" w:rsidRDefault="00F267FF" w:rsidP="00F267FF">
            <w:pPr>
              <w:widowControl w:val="0"/>
              <w:overflowPunct w:val="0"/>
              <w:autoSpaceDE w:val="0"/>
              <w:autoSpaceDN w:val="0"/>
              <w:adjustRightInd w:val="0"/>
              <w:spacing w:line="260" w:lineRule="exact"/>
              <w:jc w:val="center"/>
              <w:textAlignment w:val="baseline"/>
              <w:rPr>
                <w:rFonts w:cs="Arial"/>
                <w:b/>
                <w:bCs/>
                <w:szCs w:val="20"/>
                <w:lang w:val="sl-SI" w:eastAsia="sl-SI"/>
              </w:rPr>
            </w:pPr>
            <w:r w:rsidRPr="004A492F">
              <w:rPr>
                <w:rFonts w:cs="Arial"/>
                <w:b/>
                <w:bCs/>
                <w:szCs w:val="20"/>
                <w:lang w:val="sl-SI" w:eastAsia="sl-SI"/>
              </w:rPr>
              <w:t>NE</w:t>
            </w:r>
          </w:p>
        </w:tc>
      </w:tr>
      <w:tr w:rsidR="00F267FF" w:rsidRPr="002E1057" w14:paraId="14B038B2" w14:textId="77777777" w:rsidTr="00D03029">
        <w:trPr>
          <w:gridAfter w:val="1"/>
          <w:wAfter w:w="63" w:type="dxa"/>
          <w:trHeight w:val="274"/>
        </w:trPr>
        <w:tc>
          <w:tcPr>
            <w:tcW w:w="9200" w:type="dxa"/>
            <w:gridSpan w:val="13"/>
          </w:tcPr>
          <w:p w14:paraId="042992C4" w14:textId="77777777" w:rsidR="00F267FF" w:rsidRPr="004A492F" w:rsidRDefault="00F267FF" w:rsidP="00F267FF">
            <w:pPr>
              <w:widowControl w:val="0"/>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Gradivo (predpis) je bilo poslano v mnenje: </w:t>
            </w:r>
          </w:p>
          <w:p w14:paraId="49F009CC" w14:textId="7F3D805C" w:rsidR="00F267FF" w:rsidRPr="004A492F" w:rsidRDefault="00F267FF" w:rsidP="00F267FF">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lastRenderedPageBreak/>
              <w:t xml:space="preserve">Skupnosti občin Slovenije SOS: </w:t>
            </w:r>
            <w:r w:rsidR="005622A8" w:rsidRPr="004A492F">
              <w:rPr>
                <w:rFonts w:cs="Arial"/>
                <w:b/>
                <w:bCs/>
                <w:iCs/>
                <w:szCs w:val="20"/>
                <w:lang w:val="sl-SI" w:eastAsia="sl-SI"/>
              </w:rPr>
              <w:t>NE</w:t>
            </w:r>
          </w:p>
          <w:p w14:paraId="18B4B17A" w14:textId="6260852B" w:rsidR="00F267FF" w:rsidRPr="004A492F" w:rsidRDefault="00F267FF" w:rsidP="00F267FF">
            <w:pPr>
              <w:widowControl w:val="0"/>
              <w:numPr>
                <w:ilvl w:val="0"/>
                <w:numId w:val="11"/>
              </w:numPr>
              <w:overflowPunct w:val="0"/>
              <w:autoSpaceDE w:val="0"/>
              <w:autoSpaceDN w:val="0"/>
              <w:adjustRightInd w:val="0"/>
              <w:spacing w:line="260" w:lineRule="exact"/>
              <w:jc w:val="both"/>
              <w:textAlignment w:val="baseline"/>
              <w:rPr>
                <w:rFonts w:cs="Arial"/>
                <w:b/>
                <w:bCs/>
                <w:iCs/>
                <w:szCs w:val="20"/>
                <w:lang w:val="sl-SI" w:eastAsia="sl-SI"/>
              </w:rPr>
            </w:pPr>
            <w:r w:rsidRPr="004A492F">
              <w:rPr>
                <w:rFonts w:cs="Arial"/>
                <w:iCs/>
                <w:szCs w:val="20"/>
                <w:lang w:val="sl-SI" w:eastAsia="sl-SI"/>
              </w:rPr>
              <w:t xml:space="preserve">Združenju občin Slovenije ZOS: </w:t>
            </w:r>
            <w:r w:rsidR="005622A8" w:rsidRPr="004A492F">
              <w:rPr>
                <w:rFonts w:cs="Arial"/>
                <w:b/>
                <w:bCs/>
                <w:iCs/>
                <w:szCs w:val="20"/>
                <w:lang w:val="sl-SI" w:eastAsia="sl-SI"/>
              </w:rPr>
              <w:t>NE</w:t>
            </w:r>
          </w:p>
          <w:p w14:paraId="5A65F68C" w14:textId="6AD2B66E" w:rsidR="00D049A2" w:rsidRPr="004A492F" w:rsidRDefault="00F267FF" w:rsidP="005622A8">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 xml:space="preserve">Združenju mestnih občin Slovenije ZMOS: </w:t>
            </w:r>
            <w:r w:rsidR="005622A8" w:rsidRPr="004A492F">
              <w:rPr>
                <w:rFonts w:cs="Arial"/>
                <w:b/>
                <w:bCs/>
                <w:iCs/>
                <w:szCs w:val="20"/>
                <w:lang w:val="sl-SI" w:eastAsia="sl-SI"/>
              </w:rPr>
              <w:t>NE</w:t>
            </w:r>
          </w:p>
        </w:tc>
      </w:tr>
      <w:tr w:rsidR="00F267FF" w:rsidRPr="004A492F" w14:paraId="722899AB" w14:textId="77777777" w:rsidTr="00D03029">
        <w:trPr>
          <w:gridAfter w:val="1"/>
          <w:wAfter w:w="63" w:type="dxa"/>
        </w:trPr>
        <w:tc>
          <w:tcPr>
            <w:tcW w:w="9200" w:type="dxa"/>
            <w:gridSpan w:val="13"/>
            <w:vAlign w:val="center"/>
          </w:tcPr>
          <w:p w14:paraId="477BC45A" w14:textId="77777777" w:rsidR="00F267FF" w:rsidRPr="004A492F" w:rsidRDefault="00F267FF" w:rsidP="00F267FF">
            <w:pPr>
              <w:widowControl w:val="0"/>
              <w:overflowPunct w:val="0"/>
              <w:autoSpaceDE w:val="0"/>
              <w:autoSpaceDN w:val="0"/>
              <w:adjustRightInd w:val="0"/>
              <w:spacing w:line="260" w:lineRule="exact"/>
              <w:textAlignment w:val="baseline"/>
              <w:rPr>
                <w:rFonts w:cs="Arial"/>
                <w:b/>
                <w:szCs w:val="20"/>
                <w:lang w:val="sl-SI" w:eastAsia="sl-SI"/>
              </w:rPr>
            </w:pPr>
            <w:r w:rsidRPr="004A492F">
              <w:rPr>
                <w:rFonts w:cs="Arial"/>
                <w:b/>
                <w:szCs w:val="20"/>
                <w:lang w:val="sl-SI" w:eastAsia="sl-SI"/>
              </w:rPr>
              <w:lastRenderedPageBreak/>
              <w:t>9. Predstavitev sodelovanja javnosti:</w:t>
            </w:r>
          </w:p>
        </w:tc>
      </w:tr>
      <w:tr w:rsidR="00F267FF" w:rsidRPr="004A492F" w14:paraId="7255413B" w14:textId="77777777" w:rsidTr="00D03029">
        <w:trPr>
          <w:gridAfter w:val="1"/>
          <w:wAfter w:w="63" w:type="dxa"/>
        </w:trPr>
        <w:tc>
          <w:tcPr>
            <w:tcW w:w="6779" w:type="dxa"/>
            <w:gridSpan w:val="10"/>
          </w:tcPr>
          <w:p w14:paraId="1A9C2152" w14:textId="77777777" w:rsidR="00F267FF" w:rsidRPr="004A492F" w:rsidRDefault="00F267FF" w:rsidP="00F267FF">
            <w:pPr>
              <w:widowControl w:val="0"/>
              <w:overflowPunct w:val="0"/>
              <w:autoSpaceDE w:val="0"/>
              <w:autoSpaceDN w:val="0"/>
              <w:adjustRightInd w:val="0"/>
              <w:spacing w:line="260" w:lineRule="exact"/>
              <w:jc w:val="both"/>
              <w:textAlignment w:val="baseline"/>
              <w:rPr>
                <w:rFonts w:cs="Arial"/>
                <w:szCs w:val="20"/>
                <w:lang w:val="sl-SI" w:eastAsia="sl-SI"/>
              </w:rPr>
            </w:pPr>
            <w:r w:rsidRPr="004A492F">
              <w:rPr>
                <w:rFonts w:cs="Arial"/>
                <w:iCs/>
                <w:szCs w:val="20"/>
                <w:lang w:val="sl-SI" w:eastAsia="sl-SI"/>
              </w:rPr>
              <w:t>Gradivo je bilo predhodno objavljeno na spletni strani predlagatelja:</w:t>
            </w:r>
          </w:p>
        </w:tc>
        <w:tc>
          <w:tcPr>
            <w:tcW w:w="2421" w:type="dxa"/>
            <w:gridSpan w:val="3"/>
          </w:tcPr>
          <w:p w14:paraId="72B7055A" w14:textId="0A934B92" w:rsidR="00F267FF" w:rsidRPr="004A492F" w:rsidRDefault="00F267FF" w:rsidP="00F267FF">
            <w:pPr>
              <w:widowControl w:val="0"/>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DA</w:t>
            </w:r>
          </w:p>
        </w:tc>
      </w:tr>
      <w:tr w:rsidR="00F267FF" w:rsidRPr="002E1057" w14:paraId="6FA3CF0A" w14:textId="77777777" w:rsidTr="00D03029">
        <w:trPr>
          <w:gridAfter w:val="1"/>
          <w:wAfter w:w="63" w:type="dxa"/>
        </w:trPr>
        <w:tc>
          <w:tcPr>
            <w:tcW w:w="9200" w:type="dxa"/>
            <w:gridSpan w:val="13"/>
          </w:tcPr>
          <w:p w14:paraId="0847B645" w14:textId="77777777" w:rsidR="00D049A2" w:rsidRPr="004A492F" w:rsidRDefault="00D049A2" w:rsidP="00F267FF">
            <w:pPr>
              <w:widowControl w:val="0"/>
              <w:overflowPunct w:val="0"/>
              <w:autoSpaceDE w:val="0"/>
              <w:autoSpaceDN w:val="0"/>
              <w:adjustRightInd w:val="0"/>
              <w:spacing w:line="260" w:lineRule="exact"/>
              <w:jc w:val="both"/>
              <w:textAlignment w:val="baseline"/>
              <w:rPr>
                <w:rFonts w:cs="Arial"/>
                <w:iCs/>
                <w:szCs w:val="20"/>
                <w:lang w:val="sl-SI" w:eastAsia="sl-SI"/>
              </w:rPr>
            </w:pPr>
          </w:p>
          <w:p w14:paraId="1EF2B62D" w14:textId="2F18D1CE" w:rsidR="00B17129" w:rsidRPr="004A492F" w:rsidRDefault="00B17129" w:rsidP="002A4843">
            <w:pPr>
              <w:jc w:val="both"/>
              <w:rPr>
                <w:rFonts w:cs="Arial"/>
                <w:kern w:val="2"/>
                <w:szCs w:val="20"/>
                <w:lang w:val="sl-SI"/>
                <w14:ligatures w14:val="standardContextual"/>
              </w:rPr>
            </w:pPr>
            <w:r w:rsidRPr="004A492F">
              <w:rPr>
                <w:rFonts w:cs="Arial"/>
                <w:kern w:val="2"/>
                <w:szCs w:val="20"/>
                <w:lang w:val="sl-SI"/>
                <w14:ligatures w14:val="standardContextual"/>
              </w:rPr>
              <w:t>Ministrstvo za pravosodje je 10. 12. 2024 predložilo prvo delovno gradivo v javno razpravo in strokovno usklajevanje širšemu krogu strokovne in zainteresirane javnosti.</w:t>
            </w:r>
          </w:p>
          <w:p w14:paraId="1E07DFC3" w14:textId="77777777" w:rsidR="00B17129" w:rsidRPr="004A492F" w:rsidRDefault="00B17129" w:rsidP="002A4843">
            <w:pPr>
              <w:jc w:val="both"/>
              <w:rPr>
                <w:rFonts w:cs="Arial"/>
                <w:kern w:val="2"/>
                <w:szCs w:val="20"/>
                <w:lang w:val="sl-SI"/>
                <w14:ligatures w14:val="standardContextual"/>
              </w:rPr>
            </w:pPr>
          </w:p>
          <w:p w14:paraId="0965D656" w14:textId="54A8D65D" w:rsidR="00B17129" w:rsidRPr="004A492F" w:rsidRDefault="00B17129" w:rsidP="00B17129">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K podaji pripomb so bili pozvani: Ministrstvo za kulturo, Ministrstvo za javno upravo, Ministrstvo za vzgojo in izobraževanje, Ministrstvu za visoko šolstvo, znanost in inovacije, Ministrstvo za finance,</w:t>
            </w:r>
            <w:r w:rsidR="007741DB">
              <w:rPr>
                <w:rFonts w:cs="Arial"/>
                <w:kern w:val="2"/>
                <w:szCs w:val="20"/>
                <w:lang w:val="sl-SI"/>
                <w14:ligatures w14:val="standardContextual"/>
              </w:rPr>
              <w:t xml:space="preserve"> </w:t>
            </w:r>
            <w:r w:rsidRPr="004A492F">
              <w:rPr>
                <w:rFonts w:cs="Arial"/>
                <w:kern w:val="2"/>
                <w:szCs w:val="20"/>
                <w:lang w:val="sl-SI"/>
                <w14:ligatures w14:val="standardContextual"/>
              </w:rPr>
              <w:t xml:space="preserve">Pravna mreža za varstvo demokracije, </w:t>
            </w:r>
            <w:proofErr w:type="spellStart"/>
            <w:r w:rsidRPr="004A492F">
              <w:rPr>
                <w:rFonts w:cs="Arial"/>
                <w:kern w:val="2"/>
                <w:szCs w:val="20"/>
                <w:lang w:val="sl-SI"/>
                <w14:ligatures w14:val="standardContextual"/>
              </w:rPr>
              <w:t>Transparency</w:t>
            </w:r>
            <w:proofErr w:type="spellEnd"/>
            <w:r w:rsidRPr="004A492F">
              <w:rPr>
                <w:rFonts w:cs="Arial"/>
                <w:kern w:val="2"/>
                <w:szCs w:val="20"/>
                <w:lang w:val="sl-SI"/>
                <w14:ligatures w14:val="standardContextual"/>
              </w:rPr>
              <w:t xml:space="preserve"> </w:t>
            </w:r>
            <w:proofErr w:type="spellStart"/>
            <w:r w:rsidRPr="004A492F">
              <w:rPr>
                <w:rFonts w:cs="Arial"/>
                <w:kern w:val="2"/>
                <w:szCs w:val="20"/>
                <w:lang w:val="sl-SI"/>
                <w14:ligatures w14:val="standardContextual"/>
              </w:rPr>
              <w:t>International</w:t>
            </w:r>
            <w:proofErr w:type="spellEnd"/>
            <w:r w:rsidRPr="004A492F">
              <w:rPr>
                <w:rFonts w:cs="Arial"/>
                <w:kern w:val="2"/>
                <w:szCs w:val="20"/>
                <w:lang w:val="sl-SI"/>
                <w14:ligatures w14:val="standardContextual"/>
              </w:rPr>
              <w:t xml:space="preserve"> </w:t>
            </w:r>
            <w:proofErr w:type="spellStart"/>
            <w:r w:rsidRPr="004A492F">
              <w:rPr>
                <w:rFonts w:cs="Arial"/>
                <w:kern w:val="2"/>
                <w:szCs w:val="20"/>
                <w:lang w:val="sl-SI"/>
                <w14:ligatures w14:val="standardContextual"/>
              </w:rPr>
              <w:t>Slovenia</w:t>
            </w:r>
            <w:proofErr w:type="spellEnd"/>
            <w:r w:rsidRPr="004A492F">
              <w:rPr>
                <w:rFonts w:cs="Arial"/>
                <w:kern w:val="2"/>
                <w:szCs w:val="20"/>
                <w:lang w:val="sl-SI"/>
                <w14:ligatures w14:val="standardContextual"/>
              </w:rPr>
              <w:t xml:space="preserve">, Društvo novinarjev Slovenije, Združenje novinarjev in publicistov, Vrhovno sodišče RS, Odvetniška zbornica Slovenije, Državno odvetništvo RS, Vrhovno državno tožilstvo RS, Oddelek za civilne in upravne zadeve, Pravna fakulteta Univerze v Ljubljani, Pravna fakulteta Univerze v Mariboru in Evropska pravna fakulteta Nove univerze. </w:t>
            </w:r>
          </w:p>
          <w:p w14:paraId="22DC5B9D" w14:textId="77777777" w:rsidR="00B17129" w:rsidRPr="004A492F" w:rsidRDefault="00B17129" w:rsidP="00B17129">
            <w:pPr>
              <w:spacing w:line="260" w:lineRule="exact"/>
              <w:jc w:val="both"/>
              <w:rPr>
                <w:rFonts w:cs="Arial"/>
                <w:kern w:val="2"/>
                <w:szCs w:val="20"/>
                <w:lang w:val="sl-SI"/>
                <w14:ligatures w14:val="standardContextual"/>
              </w:rPr>
            </w:pPr>
          </w:p>
          <w:p w14:paraId="09FE0E49" w14:textId="69FE1CEE" w:rsidR="00B17129" w:rsidRPr="004A492F" w:rsidRDefault="00B17129" w:rsidP="00B17129">
            <w:pPr>
              <w:spacing w:line="260" w:lineRule="exact"/>
              <w:jc w:val="both"/>
              <w:rPr>
                <w:rFonts w:cs="Arial"/>
                <w:kern w:val="2"/>
                <w:szCs w:val="20"/>
                <w:lang w:val="sl-SI"/>
                <w14:ligatures w14:val="standardContextual"/>
              </w:rPr>
            </w:pPr>
            <w:r w:rsidRPr="004A492F">
              <w:rPr>
                <w:rFonts w:cs="Arial"/>
                <w:kern w:val="2"/>
                <w:szCs w:val="20"/>
                <w:lang w:val="sl-SI"/>
                <w14:ligatures w14:val="standardContextual"/>
              </w:rPr>
              <w:t>Ministrstvo za pravosodje je prejelo pripombe: Ministrstva za finance, Ministrstva za kulturo, Vrhovnega državnega tožilstva RS (Oddelk</w:t>
            </w:r>
            <w:r w:rsidR="007741DB">
              <w:rPr>
                <w:rFonts w:cs="Arial"/>
                <w:kern w:val="2"/>
                <w:szCs w:val="20"/>
                <w:lang w:val="sl-SI"/>
                <w14:ligatures w14:val="standardContextual"/>
              </w:rPr>
              <w:t>a</w:t>
            </w:r>
            <w:r w:rsidRPr="004A492F">
              <w:rPr>
                <w:rFonts w:cs="Arial"/>
                <w:kern w:val="2"/>
                <w:szCs w:val="20"/>
                <w:lang w:val="sl-SI"/>
                <w14:ligatures w14:val="standardContextual"/>
              </w:rPr>
              <w:t xml:space="preserve"> za civilne in upravne zadeve), Državnega odvetništva RS, Vrhovnega sodišča RS, Društva novinarjev Slovenije, </w:t>
            </w:r>
            <w:proofErr w:type="spellStart"/>
            <w:r w:rsidRPr="004A492F">
              <w:rPr>
                <w:rFonts w:cs="Arial"/>
                <w:kern w:val="2"/>
                <w:szCs w:val="20"/>
                <w:lang w:val="sl-SI"/>
                <w14:ligatures w14:val="standardContextual"/>
              </w:rPr>
              <w:t>Transparency</w:t>
            </w:r>
            <w:proofErr w:type="spellEnd"/>
            <w:r w:rsidRPr="004A492F">
              <w:rPr>
                <w:rFonts w:cs="Arial"/>
                <w:kern w:val="2"/>
                <w:szCs w:val="20"/>
                <w:lang w:val="sl-SI"/>
                <w14:ligatures w14:val="standardContextual"/>
              </w:rPr>
              <w:t xml:space="preserve"> </w:t>
            </w:r>
            <w:proofErr w:type="spellStart"/>
            <w:r w:rsidRPr="004A492F">
              <w:rPr>
                <w:rFonts w:cs="Arial"/>
                <w:kern w:val="2"/>
                <w:szCs w:val="20"/>
                <w:lang w:val="sl-SI"/>
                <w14:ligatures w14:val="standardContextual"/>
              </w:rPr>
              <w:t>International</w:t>
            </w:r>
            <w:proofErr w:type="spellEnd"/>
            <w:r w:rsidRPr="004A492F">
              <w:rPr>
                <w:rFonts w:cs="Arial"/>
                <w:kern w:val="2"/>
                <w:szCs w:val="20"/>
                <w:lang w:val="sl-SI"/>
                <w14:ligatures w14:val="standardContextual"/>
              </w:rPr>
              <w:t xml:space="preserve"> </w:t>
            </w:r>
            <w:proofErr w:type="spellStart"/>
            <w:r w:rsidRPr="004A492F">
              <w:rPr>
                <w:rFonts w:cs="Arial"/>
                <w:kern w:val="2"/>
                <w:szCs w:val="20"/>
                <w:lang w:val="sl-SI"/>
                <w14:ligatures w14:val="standardContextual"/>
              </w:rPr>
              <w:t>Slovenia</w:t>
            </w:r>
            <w:proofErr w:type="spellEnd"/>
            <w:r w:rsidRPr="004A492F">
              <w:rPr>
                <w:rFonts w:cs="Arial"/>
                <w:kern w:val="2"/>
                <w:szCs w:val="20"/>
                <w:lang w:val="sl-SI"/>
                <w14:ligatures w14:val="standardContextual"/>
              </w:rPr>
              <w:t xml:space="preserve"> in registriranega lobista Borisa Matića.</w:t>
            </w:r>
          </w:p>
          <w:p w14:paraId="58D8859D" w14:textId="77777777" w:rsidR="00AB6A89" w:rsidRPr="004A492F" w:rsidRDefault="00AB6A89" w:rsidP="002A4843">
            <w:pPr>
              <w:jc w:val="both"/>
              <w:rPr>
                <w:rFonts w:cs="Arial"/>
                <w:szCs w:val="20"/>
                <w:lang w:val="sl-SI"/>
              </w:rPr>
            </w:pPr>
          </w:p>
          <w:p w14:paraId="34DC6FCA" w14:textId="5D981558" w:rsidR="00AB6A89" w:rsidRPr="004A492F" w:rsidRDefault="00AB6A89" w:rsidP="002A4843">
            <w:pPr>
              <w:jc w:val="both"/>
              <w:rPr>
                <w:rFonts w:cs="Arial"/>
                <w:szCs w:val="20"/>
                <w:lang w:val="sl-SI"/>
              </w:rPr>
            </w:pPr>
            <w:r w:rsidRPr="004A492F">
              <w:rPr>
                <w:rFonts w:cs="Arial"/>
                <w:szCs w:val="20"/>
                <w:lang w:val="sl-SI"/>
              </w:rPr>
              <w:t xml:space="preserve">Predlogi in pripombe so bili </w:t>
            </w:r>
            <w:r w:rsidR="00B17129" w:rsidRPr="004A492F">
              <w:rPr>
                <w:rFonts w:cs="Arial"/>
                <w:szCs w:val="20"/>
                <w:lang w:val="sl-SI"/>
              </w:rPr>
              <w:t xml:space="preserve">večinoma </w:t>
            </w:r>
            <w:r w:rsidRPr="004A492F">
              <w:rPr>
                <w:rFonts w:cs="Arial"/>
                <w:szCs w:val="20"/>
                <w:lang w:val="sl-SI"/>
              </w:rPr>
              <w:t>upoštevani.</w:t>
            </w:r>
          </w:p>
          <w:p w14:paraId="0303F290" w14:textId="77777777" w:rsidR="005622A8" w:rsidRPr="004A492F" w:rsidRDefault="005622A8" w:rsidP="009B4C3F">
            <w:pPr>
              <w:jc w:val="both"/>
              <w:rPr>
                <w:rFonts w:cs="Arial"/>
                <w:szCs w:val="20"/>
                <w:lang w:val="sl-SI"/>
              </w:rPr>
            </w:pPr>
          </w:p>
          <w:p w14:paraId="3E77FE96" w14:textId="6EB806CE" w:rsidR="00B17129" w:rsidRPr="004A492F" w:rsidRDefault="00B17129" w:rsidP="00CF48FD">
            <w:pPr>
              <w:spacing w:line="260" w:lineRule="exact"/>
              <w:jc w:val="both"/>
              <w:rPr>
                <w:rFonts w:cs="Arial"/>
                <w:kern w:val="2"/>
                <w:szCs w:val="20"/>
                <w:lang w:val="sl-SI"/>
                <w14:ligatures w14:val="standardContextual"/>
              </w:rPr>
            </w:pPr>
            <w:r w:rsidRPr="004A492F">
              <w:rPr>
                <w:rFonts w:cs="Arial"/>
                <w:szCs w:val="20"/>
                <w:lang w:val="sl-SI"/>
              </w:rPr>
              <w:t>Dne 1. 9. 2025 je bil</w:t>
            </w:r>
            <w:r w:rsidR="001C51CE" w:rsidRPr="004A492F">
              <w:rPr>
                <w:rFonts w:cs="Arial"/>
                <w:szCs w:val="20"/>
                <w:lang w:val="sl-SI"/>
              </w:rPr>
              <w:t xml:space="preserve"> na podlagi prejetih pripomb in predlogov dopolnjen predlog zakona skupaj s  pojasnilom glede upoštevanih pripomb </w:t>
            </w:r>
            <w:r w:rsidR="009B4C3F" w:rsidRPr="004A492F">
              <w:rPr>
                <w:rFonts w:cs="Arial"/>
                <w:szCs w:val="20"/>
                <w:lang w:val="sl-SI"/>
              </w:rPr>
              <w:t xml:space="preserve">posredovan </w:t>
            </w:r>
            <w:r w:rsidRPr="004A492F">
              <w:rPr>
                <w:rFonts w:cs="Arial"/>
                <w:szCs w:val="20"/>
                <w:lang w:val="sl-SI"/>
              </w:rPr>
              <w:t xml:space="preserve">vsem ministrstvom ter </w:t>
            </w:r>
            <w:r w:rsidR="00CF48FD" w:rsidRPr="004A492F">
              <w:rPr>
                <w:rFonts w:cs="Arial"/>
                <w:kern w:val="2"/>
                <w:szCs w:val="20"/>
                <w:lang w:val="sl-SI"/>
                <w14:ligatures w14:val="standardContextual"/>
              </w:rPr>
              <w:t xml:space="preserve">Vrhovnemu sodišču RS, Odvetniški zbornici Slovenije, Državnemu odvetništvu RS, Vrhovnemu državnemu tožilstvu RS, Oddelku za civilne in upravne zadeve, Pravni fakulteti Univerze v Ljubljani, Pravni fakulteti Univerze v Mariboru, Evropski pravni fakulteti Nove univerze, Pravni mreži za varstvo demokracije, </w:t>
            </w:r>
            <w:proofErr w:type="spellStart"/>
            <w:r w:rsidR="00CF48FD" w:rsidRPr="004A492F">
              <w:rPr>
                <w:rFonts w:cs="Arial"/>
                <w:kern w:val="2"/>
                <w:szCs w:val="20"/>
                <w:lang w:val="sl-SI"/>
                <w14:ligatures w14:val="standardContextual"/>
              </w:rPr>
              <w:t>Transparency</w:t>
            </w:r>
            <w:proofErr w:type="spellEnd"/>
            <w:r w:rsidR="00CF48FD" w:rsidRPr="004A492F">
              <w:rPr>
                <w:rFonts w:cs="Arial"/>
                <w:kern w:val="2"/>
                <w:szCs w:val="20"/>
                <w:lang w:val="sl-SI"/>
                <w14:ligatures w14:val="standardContextual"/>
              </w:rPr>
              <w:t xml:space="preserve"> </w:t>
            </w:r>
            <w:proofErr w:type="spellStart"/>
            <w:r w:rsidR="00CF48FD" w:rsidRPr="004A492F">
              <w:rPr>
                <w:rFonts w:cs="Arial"/>
                <w:kern w:val="2"/>
                <w:szCs w:val="20"/>
                <w:lang w:val="sl-SI"/>
                <w14:ligatures w14:val="standardContextual"/>
              </w:rPr>
              <w:t>International</w:t>
            </w:r>
            <w:proofErr w:type="spellEnd"/>
            <w:r w:rsidR="00CF48FD" w:rsidRPr="004A492F">
              <w:rPr>
                <w:rFonts w:cs="Arial"/>
                <w:kern w:val="2"/>
                <w:szCs w:val="20"/>
                <w:lang w:val="sl-SI"/>
                <w14:ligatures w14:val="standardContextual"/>
              </w:rPr>
              <w:t xml:space="preserve"> </w:t>
            </w:r>
            <w:proofErr w:type="spellStart"/>
            <w:r w:rsidR="00CF48FD" w:rsidRPr="004A492F">
              <w:rPr>
                <w:rFonts w:cs="Arial"/>
                <w:kern w:val="2"/>
                <w:szCs w:val="20"/>
                <w:lang w:val="sl-SI"/>
                <w14:ligatures w14:val="standardContextual"/>
              </w:rPr>
              <w:t>Slovenia</w:t>
            </w:r>
            <w:proofErr w:type="spellEnd"/>
            <w:r w:rsidR="00CF48FD" w:rsidRPr="004A492F">
              <w:rPr>
                <w:rFonts w:cs="Arial"/>
                <w:kern w:val="2"/>
                <w:szCs w:val="20"/>
                <w:lang w:val="sl-SI"/>
                <w14:ligatures w14:val="standardContextual"/>
              </w:rPr>
              <w:t>, Društvu novinarjev Slovenije, Združenju novinarjev in publicistov.</w:t>
            </w:r>
          </w:p>
          <w:p w14:paraId="5B73D16B" w14:textId="77777777" w:rsidR="00B17129" w:rsidRPr="004A492F" w:rsidRDefault="00B17129" w:rsidP="009B4C3F">
            <w:pPr>
              <w:jc w:val="both"/>
              <w:rPr>
                <w:rFonts w:cs="Arial"/>
                <w:szCs w:val="20"/>
                <w:lang w:val="sl-SI"/>
              </w:rPr>
            </w:pPr>
          </w:p>
          <w:p w14:paraId="56EB95E2" w14:textId="62301AA8" w:rsidR="00F267FF" w:rsidRPr="004A492F" w:rsidRDefault="004F5861" w:rsidP="00F267FF">
            <w:pPr>
              <w:widowControl w:val="0"/>
              <w:overflowPunct w:val="0"/>
              <w:autoSpaceDE w:val="0"/>
              <w:autoSpaceDN w:val="0"/>
              <w:adjustRightInd w:val="0"/>
              <w:spacing w:line="260" w:lineRule="exact"/>
              <w:jc w:val="both"/>
              <w:textAlignment w:val="baseline"/>
              <w:rPr>
                <w:rFonts w:cs="Arial"/>
                <w:iCs/>
                <w:szCs w:val="20"/>
                <w:lang w:val="sl-SI" w:eastAsia="sl-SI"/>
              </w:rPr>
            </w:pPr>
            <w:r w:rsidRPr="004A492F">
              <w:rPr>
                <w:rFonts w:cs="Arial"/>
                <w:iCs/>
                <w:szCs w:val="20"/>
                <w:lang w:val="sl-SI" w:eastAsia="sl-SI"/>
              </w:rPr>
              <w:t>Glede končnih rešitev predloga zakona je bilo opravljenih več usklajevanj, natančen prikaz usklajevanja s strokovno javnostjo in navedenimi deležniki, skupaj z načinom upoštevanja danih pripomb in predlogov je predstavljen pod točko 7 uvodne obrazložitve predloga zakona.</w:t>
            </w:r>
          </w:p>
          <w:p w14:paraId="43C4CAC5" w14:textId="77777777" w:rsidR="00F267FF" w:rsidRPr="004A492F" w:rsidRDefault="00F267FF" w:rsidP="007B6404">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F267FF" w:rsidRPr="004A492F" w14:paraId="1472479D" w14:textId="77777777" w:rsidTr="00D03029">
        <w:trPr>
          <w:gridAfter w:val="1"/>
          <w:wAfter w:w="63" w:type="dxa"/>
        </w:trPr>
        <w:tc>
          <w:tcPr>
            <w:tcW w:w="6779" w:type="dxa"/>
            <w:gridSpan w:val="10"/>
            <w:vAlign w:val="center"/>
          </w:tcPr>
          <w:p w14:paraId="7A4AACEA" w14:textId="77777777" w:rsidR="00F267FF" w:rsidRPr="004A492F" w:rsidRDefault="00F267FF" w:rsidP="00F267FF">
            <w:pPr>
              <w:widowControl w:val="0"/>
              <w:overflowPunct w:val="0"/>
              <w:autoSpaceDE w:val="0"/>
              <w:autoSpaceDN w:val="0"/>
              <w:adjustRightInd w:val="0"/>
              <w:spacing w:line="260" w:lineRule="exact"/>
              <w:textAlignment w:val="baseline"/>
              <w:rPr>
                <w:rFonts w:cs="Arial"/>
                <w:szCs w:val="20"/>
                <w:lang w:val="sl-SI" w:eastAsia="sl-SI"/>
              </w:rPr>
            </w:pPr>
            <w:r w:rsidRPr="004A492F">
              <w:rPr>
                <w:rFonts w:cs="Arial"/>
                <w:b/>
                <w:szCs w:val="20"/>
                <w:lang w:val="sl-SI" w:eastAsia="sl-SI"/>
              </w:rPr>
              <w:t>10. Pri pripravi gradiva so bile upoštevane zahteve iz Resolucije o normativni dejavnosti:</w:t>
            </w:r>
          </w:p>
        </w:tc>
        <w:tc>
          <w:tcPr>
            <w:tcW w:w="2421" w:type="dxa"/>
            <w:gridSpan w:val="3"/>
            <w:vAlign w:val="center"/>
          </w:tcPr>
          <w:p w14:paraId="1DD877A2" w14:textId="013614ED" w:rsidR="00F267FF" w:rsidRPr="004A492F" w:rsidRDefault="00F267FF" w:rsidP="00F267FF">
            <w:pPr>
              <w:widowControl w:val="0"/>
              <w:overflowPunct w:val="0"/>
              <w:autoSpaceDE w:val="0"/>
              <w:autoSpaceDN w:val="0"/>
              <w:adjustRightInd w:val="0"/>
              <w:spacing w:line="260" w:lineRule="exact"/>
              <w:jc w:val="center"/>
              <w:textAlignment w:val="baseline"/>
              <w:rPr>
                <w:rFonts w:cs="Arial"/>
                <w:b/>
                <w:bCs/>
                <w:iCs/>
                <w:szCs w:val="20"/>
                <w:lang w:val="sl-SI" w:eastAsia="sl-SI"/>
              </w:rPr>
            </w:pPr>
            <w:r w:rsidRPr="004A492F">
              <w:rPr>
                <w:rFonts w:cs="Arial"/>
                <w:b/>
                <w:bCs/>
                <w:szCs w:val="20"/>
                <w:lang w:val="sl-SI" w:eastAsia="sl-SI"/>
              </w:rPr>
              <w:t>DA</w:t>
            </w:r>
          </w:p>
        </w:tc>
      </w:tr>
      <w:tr w:rsidR="00F267FF" w:rsidRPr="004A492F" w14:paraId="7F0A57CA" w14:textId="77777777" w:rsidTr="00D03029">
        <w:trPr>
          <w:gridAfter w:val="1"/>
          <w:wAfter w:w="63" w:type="dxa"/>
        </w:trPr>
        <w:tc>
          <w:tcPr>
            <w:tcW w:w="6779" w:type="dxa"/>
            <w:gridSpan w:val="10"/>
            <w:vAlign w:val="center"/>
          </w:tcPr>
          <w:p w14:paraId="7F3209A1" w14:textId="77777777" w:rsidR="00F267FF" w:rsidRPr="004A492F" w:rsidRDefault="00F267FF" w:rsidP="00F267FF">
            <w:pPr>
              <w:widowControl w:val="0"/>
              <w:overflowPunct w:val="0"/>
              <w:autoSpaceDE w:val="0"/>
              <w:autoSpaceDN w:val="0"/>
              <w:adjustRightInd w:val="0"/>
              <w:spacing w:line="260" w:lineRule="exact"/>
              <w:textAlignment w:val="baseline"/>
              <w:rPr>
                <w:rFonts w:cs="Arial"/>
                <w:b/>
                <w:szCs w:val="20"/>
                <w:lang w:val="sl-SI" w:eastAsia="sl-SI"/>
              </w:rPr>
            </w:pPr>
            <w:r w:rsidRPr="004A492F">
              <w:rPr>
                <w:rFonts w:cs="Arial"/>
                <w:b/>
                <w:szCs w:val="20"/>
                <w:lang w:val="sl-SI" w:eastAsia="sl-SI"/>
              </w:rPr>
              <w:t>11. Gradivo je uvrščeno v delovni program vlade:</w:t>
            </w:r>
          </w:p>
        </w:tc>
        <w:tc>
          <w:tcPr>
            <w:tcW w:w="2421" w:type="dxa"/>
            <w:gridSpan w:val="3"/>
            <w:vAlign w:val="center"/>
          </w:tcPr>
          <w:p w14:paraId="3DA85D26" w14:textId="4E3A7C8A" w:rsidR="00F267FF" w:rsidRPr="004A492F" w:rsidRDefault="00F267FF" w:rsidP="00F267FF">
            <w:pPr>
              <w:widowControl w:val="0"/>
              <w:overflowPunct w:val="0"/>
              <w:autoSpaceDE w:val="0"/>
              <w:autoSpaceDN w:val="0"/>
              <w:adjustRightInd w:val="0"/>
              <w:spacing w:line="260" w:lineRule="exact"/>
              <w:jc w:val="center"/>
              <w:textAlignment w:val="baseline"/>
              <w:rPr>
                <w:rFonts w:cs="Arial"/>
                <w:b/>
                <w:bCs/>
                <w:szCs w:val="20"/>
                <w:lang w:val="sl-SI" w:eastAsia="sl-SI"/>
              </w:rPr>
            </w:pPr>
            <w:r w:rsidRPr="004A492F">
              <w:rPr>
                <w:rFonts w:cs="Arial"/>
                <w:b/>
                <w:bCs/>
                <w:szCs w:val="20"/>
                <w:lang w:val="sl-SI" w:eastAsia="sl-SI"/>
              </w:rPr>
              <w:t>NE</w:t>
            </w:r>
          </w:p>
        </w:tc>
      </w:tr>
      <w:tr w:rsidR="00F267FF" w:rsidRPr="004A492F" w14:paraId="755521E6" w14:textId="77777777" w:rsidTr="00D03029">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4AD6CA2E" w14:textId="77777777" w:rsidR="00F267FF" w:rsidRPr="004A492F" w:rsidRDefault="00F267FF" w:rsidP="00F267FF">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0C36CAB9" w14:textId="4CAB1076" w:rsidR="005B1F72" w:rsidRDefault="00C9602C" w:rsidP="00657ACB">
            <w:pPr>
              <w:widowControl w:val="0"/>
              <w:suppressAutoHyphens/>
              <w:overflowPunct w:val="0"/>
              <w:autoSpaceDE w:val="0"/>
              <w:autoSpaceDN w:val="0"/>
              <w:adjustRightInd w:val="0"/>
              <w:spacing w:line="260" w:lineRule="exact"/>
              <w:ind w:left="3400"/>
              <w:textAlignment w:val="baseline"/>
              <w:outlineLvl w:val="3"/>
              <w:rPr>
                <w:rFonts w:cs="Arial"/>
                <w:szCs w:val="20"/>
                <w:lang w:val="sl-SI" w:eastAsia="sl-SI"/>
              </w:rPr>
            </w:pPr>
            <w:r>
              <w:rPr>
                <w:rFonts w:cs="Arial"/>
                <w:szCs w:val="20"/>
                <w:lang w:val="sl-SI" w:eastAsia="sl-SI"/>
              </w:rPr>
              <w:t>Andreja Katič</w:t>
            </w:r>
          </w:p>
          <w:p w14:paraId="16E3A851" w14:textId="340C6BF2" w:rsidR="00657ACB" w:rsidRPr="004A492F" w:rsidRDefault="00C9602C" w:rsidP="00657ACB">
            <w:pPr>
              <w:widowControl w:val="0"/>
              <w:suppressAutoHyphens/>
              <w:overflowPunct w:val="0"/>
              <w:autoSpaceDE w:val="0"/>
              <w:autoSpaceDN w:val="0"/>
              <w:adjustRightInd w:val="0"/>
              <w:spacing w:line="260" w:lineRule="exact"/>
              <w:ind w:left="3400"/>
              <w:textAlignment w:val="baseline"/>
              <w:outlineLvl w:val="3"/>
              <w:rPr>
                <w:rFonts w:cs="Arial"/>
                <w:szCs w:val="20"/>
                <w:lang w:val="sl-SI" w:eastAsia="sl-SI"/>
              </w:rPr>
            </w:pPr>
            <w:r>
              <w:rPr>
                <w:rFonts w:cs="Arial"/>
                <w:szCs w:val="20"/>
                <w:lang w:val="sl-SI" w:eastAsia="sl-SI"/>
              </w:rPr>
              <w:t>Ministrica</w:t>
            </w:r>
          </w:p>
          <w:p w14:paraId="6E05F356" w14:textId="77777777" w:rsidR="00F267FF" w:rsidRPr="004A492F" w:rsidRDefault="00F267FF" w:rsidP="00F267FF">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tc>
      </w:tr>
    </w:tbl>
    <w:p w14:paraId="425C18CC" w14:textId="77777777" w:rsidR="007B6404" w:rsidRPr="004A492F" w:rsidRDefault="007B6404" w:rsidP="00657ACB">
      <w:pPr>
        <w:pStyle w:val="Naslovpredpisa"/>
        <w:spacing w:before="0" w:after="0" w:line="312" w:lineRule="auto"/>
        <w:jc w:val="left"/>
        <w:rPr>
          <w:sz w:val="20"/>
          <w:szCs w:val="20"/>
        </w:rPr>
      </w:pPr>
    </w:p>
    <w:p w14:paraId="3850DE5E" w14:textId="3D10A378" w:rsidR="00657ACB" w:rsidRPr="004A492F" w:rsidRDefault="00657ACB" w:rsidP="00657ACB">
      <w:pPr>
        <w:pStyle w:val="Naslovpredpisa"/>
        <w:spacing w:before="0" w:after="0" w:line="312" w:lineRule="auto"/>
        <w:jc w:val="left"/>
        <w:rPr>
          <w:sz w:val="20"/>
          <w:szCs w:val="20"/>
        </w:rPr>
      </w:pPr>
      <w:r w:rsidRPr="004A492F">
        <w:rPr>
          <w:sz w:val="20"/>
          <w:szCs w:val="20"/>
        </w:rPr>
        <w:t>PRILOGE:</w:t>
      </w:r>
    </w:p>
    <w:p w14:paraId="116F7E63" w14:textId="77777777" w:rsidR="00657ACB" w:rsidRPr="004A492F" w:rsidRDefault="00657ACB" w:rsidP="00657ACB">
      <w:pPr>
        <w:numPr>
          <w:ilvl w:val="1"/>
          <w:numId w:val="15"/>
        </w:numPr>
        <w:ind w:left="426"/>
        <w:rPr>
          <w:rFonts w:cs="Arial"/>
          <w:szCs w:val="20"/>
          <w:lang w:val="sl-SI"/>
        </w:rPr>
      </w:pPr>
      <w:r w:rsidRPr="004A492F">
        <w:rPr>
          <w:rFonts w:cs="Arial"/>
          <w:szCs w:val="20"/>
          <w:lang w:val="sl-SI"/>
        </w:rPr>
        <w:t>predlog sklepa Vlade RS</w:t>
      </w:r>
    </w:p>
    <w:p w14:paraId="7D506551" w14:textId="77777777" w:rsidR="00657ACB" w:rsidRPr="004A492F" w:rsidRDefault="00657ACB" w:rsidP="00657ACB">
      <w:pPr>
        <w:numPr>
          <w:ilvl w:val="1"/>
          <w:numId w:val="15"/>
        </w:numPr>
        <w:ind w:left="426"/>
        <w:rPr>
          <w:rFonts w:cs="Arial"/>
          <w:szCs w:val="20"/>
          <w:lang w:val="sl-SI"/>
        </w:rPr>
      </w:pPr>
      <w:r w:rsidRPr="004A492F">
        <w:rPr>
          <w:rFonts w:cs="Arial"/>
          <w:szCs w:val="20"/>
          <w:lang w:val="sl-SI"/>
        </w:rPr>
        <w:t>predlog zakona</w:t>
      </w:r>
    </w:p>
    <w:p w14:paraId="104BCDF6" w14:textId="77777777" w:rsidR="00657ACB" w:rsidRDefault="00657ACB" w:rsidP="00657ACB">
      <w:pPr>
        <w:numPr>
          <w:ilvl w:val="1"/>
          <w:numId w:val="15"/>
        </w:numPr>
        <w:ind w:left="426"/>
        <w:rPr>
          <w:rFonts w:cs="Arial"/>
          <w:szCs w:val="20"/>
          <w:lang w:val="sl-SI"/>
        </w:rPr>
      </w:pPr>
      <w:r w:rsidRPr="004A492F">
        <w:rPr>
          <w:rFonts w:cs="Arial"/>
          <w:szCs w:val="20"/>
          <w:lang w:val="sl-SI"/>
        </w:rPr>
        <w:t>priloga 2</w:t>
      </w:r>
    </w:p>
    <w:p w14:paraId="374FB2BB" w14:textId="42EA44F4" w:rsidR="00884B43" w:rsidRDefault="00884B43" w:rsidP="00657ACB">
      <w:pPr>
        <w:numPr>
          <w:ilvl w:val="1"/>
          <w:numId w:val="15"/>
        </w:numPr>
        <w:ind w:left="426"/>
        <w:rPr>
          <w:rFonts w:cs="Arial"/>
          <w:szCs w:val="20"/>
          <w:lang w:val="sl-SI"/>
        </w:rPr>
      </w:pPr>
      <w:r>
        <w:rPr>
          <w:rFonts w:cs="Arial"/>
          <w:szCs w:val="20"/>
          <w:lang w:val="sl-SI"/>
        </w:rPr>
        <w:t>korelacijska tabela</w:t>
      </w:r>
    </w:p>
    <w:p w14:paraId="472921D2" w14:textId="77777777" w:rsidR="00657ACB" w:rsidRPr="004A492F" w:rsidRDefault="00657ACB" w:rsidP="00657ACB">
      <w:pPr>
        <w:numPr>
          <w:ilvl w:val="1"/>
          <w:numId w:val="15"/>
        </w:numPr>
        <w:ind w:left="426"/>
        <w:rPr>
          <w:rFonts w:cs="Arial"/>
          <w:szCs w:val="20"/>
          <w:lang w:val="sl-SI"/>
        </w:rPr>
      </w:pPr>
      <w:r w:rsidRPr="004A492F">
        <w:rPr>
          <w:rFonts w:cs="Arial"/>
          <w:szCs w:val="20"/>
          <w:lang w:val="sl-SI"/>
        </w:rPr>
        <w:t>MSP test</w:t>
      </w:r>
    </w:p>
    <w:p w14:paraId="6E2350CB" w14:textId="4C05D3E4" w:rsidR="00EF30EF" w:rsidRPr="004A492F" w:rsidRDefault="00EF30EF" w:rsidP="005622A8">
      <w:pPr>
        <w:ind w:left="426"/>
        <w:rPr>
          <w:rFonts w:cs="Arial"/>
          <w:szCs w:val="20"/>
          <w:lang w:val="sl-SI"/>
        </w:rPr>
      </w:pPr>
    </w:p>
    <w:p w14:paraId="697E1C7A" w14:textId="3CBCF7FA" w:rsidR="00657ACB" w:rsidRPr="004A492F" w:rsidRDefault="00657ACB" w:rsidP="00657ACB">
      <w:pPr>
        <w:keepLines/>
        <w:spacing w:line="312" w:lineRule="auto"/>
        <w:rPr>
          <w:rFonts w:cs="Arial"/>
          <w:szCs w:val="20"/>
          <w:lang w:val="sl-SI"/>
        </w:rPr>
      </w:pPr>
    </w:p>
    <w:p w14:paraId="26176DB5" w14:textId="1F5CE33A" w:rsidR="00657ACB" w:rsidRPr="004A492F" w:rsidRDefault="00657ACB" w:rsidP="00657ACB">
      <w:pPr>
        <w:ind w:right="-23"/>
        <w:jc w:val="both"/>
        <w:rPr>
          <w:rFonts w:cs="Arial"/>
          <w:szCs w:val="20"/>
          <w:lang w:val="sl-SI"/>
        </w:rPr>
      </w:pPr>
      <w:r w:rsidRPr="004A492F">
        <w:rPr>
          <w:rFonts w:cs="Arial"/>
          <w:szCs w:val="20"/>
          <w:lang w:val="sl-SI"/>
        </w:rPr>
        <w:br w:type="page"/>
      </w:r>
      <w:r w:rsidRPr="004A492F">
        <w:rPr>
          <w:rFonts w:cs="Arial"/>
          <w:szCs w:val="20"/>
          <w:lang w:val="sl-SI"/>
        </w:rPr>
        <w:lastRenderedPageBreak/>
        <w:t>Na podlagi drugega odstavka 2. člena Zakona o Vladi Republike Slovenije (Uradni list RS, št. 24/05 – uradno prečiščeno besedilo, 109/08, 38/10 – ZUKN, 8/12, 21/13, 47/13 – ZDU-1G, 65/14, 55/17 in 163/22) je Vlada Republike Slovenije na … seji dne … sprejela naslednji</w:t>
      </w:r>
    </w:p>
    <w:p w14:paraId="4985EE34" w14:textId="32101B55" w:rsidR="007B6404" w:rsidRPr="004A492F" w:rsidRDefault="007B6404" w:rsidP="00657ACB">
      <w:pPr>
        <w:ind w:right="-23"/>
        <w:jc w:val="both"/>
        <w:rPr>
          <w:rFonts w:cs="Arial"/>
          <w:szCs w:val="20"/>
          <w:lang w:val="sl-SI"/>
        </w:rPr>
      </w:pPr>
    </w:p>
    <w:p w14:paraId="2EF54892" w14:textId="77777777" w:rsidR="007B6404" w:rsidRPr="004A492F" w:rsidRDefault="007B6404" w:rsidP="00657ACB">
      <w:pPr>
        <w:ind w:right="-23"/>
        <w:jc w:val="both"/>
        <w:rPr>
          <w:rFonts w:cs="Arial"/>
          <w:szCs w:val="20"/>
          <w:lang w:val="sl-SI"/>
        </w:rPr>
      </w:pPr>
    </w:p>
    <w:p w14:paraId="6BD8761E" w14:textId="77777777" w:rsidR="00657ACB" w:rsidRPr="004A492F" w:rsidRDefault="00657ACB" w:rsidP="00657ACB">
      <w:pPr>
        <w:ind w:right="-23"/>
        <w:jc w:val="both"/>
        <w:rPr>
          <w:rFonts w:cs="Arial"/>
          <w:szCs w:val="20"/>
          <w:lang w:val="sl-SI"/>
        </w:rPr>
      </w:pPr>
    </w:p>
    <w:p w14:paraId="6A385408" w14:textId="77777777" w:rsidR="00657ACB" w:rsidRPr="004A492F" w:rsidRDefault="00657ACB" w:rsidP="00657ACB">
      <w:pPr>
        <w:ind w:right="-23"/>
        <w:jc w:val="center"/>
        <w:rPr>
          <w:rFonts w:cs="Arial"/>
          <w:szCs w:val="20"/>
          <w:lang w:val="sl-SI"/>
        </w:rPr>
      </w:pPr>
      <w:r w:rsidRPr="004A492F">
        <w:rPr>
          <w:rFonts w:cs="Arial"/>
          <w:szCs w:val="20"/>
          <w:lang w:val="sl-SI"/>
        </w:rPr>
        <w:t>SKLEP:</w:t>
      </w:r>
    </w:p>
    <w:p w14:paraId="0DFCAFEB" w14:textId="12EDE7D4" w:rsidR="00657ACB" w:rsidRPr="004A492F" w:rsidRDefault="00657ACB" w:rsidP="00657ACB">
      <w:pPr>
        <w:ind w:right="-23"/>
        <w:rPr>
          <w:rFonts w:cs="Arial"/>
          <w:szCs w:val="20"/>
          <w:lang w:val="sl-SI"/>
        </w:rPr>
      </w:pPr>
    </w:p>
    <w:p w14:paraId="4BE35AE0" w14:textId="77777777" w:rsidR="007B6404" w:rsidRPr="004A492F" w:rsidRDefault="007B6404" w:rsidP="00657ACB">
      <w:pPr>
        <w:ind w:right="-23"/>
        <w:rPr>
          <w:rFonts w:cs="Arial"/>
          <w:szCs w:val="20"/>
          <w:lang w:val="sl-SI"/>
        </w:rPr>
      </w:pPr>
    </w:p>
    <w:p w14:paraId="31F58B43" w14:textId="18C1ED9F" w:rsidR="00657ACB" w:rsidRPr="004A492F" w:rsidRDefault="00657ACB" w:rsidP="00657ACB">
      <w:pPr>
        <w:jc w:val="both"/>
        <w:rPr>
          <w:rFonts w:cs="Arial"/>
          <w:szCs w:val="20"/>
          <w:lang w:val="sl-SI"/>
        </w:rPr>
      </w:pPr>
      <w:r w:rsidRPr="004A492F">
        <w:rPr>
          <w:rFonts w:cs="Arial"/>
          <w:szCs w:val="20"/>
          <w:lang w:val="sl-SI"/>
        </w:rPr>
        <w:t xml:space="preserve">Vlada Republike Slovenije je določila besedilo </w:t>
      </w:r>
      <w:r w:rsidR="00CF48FD" w:rsidRPr="004A492F">
        <w:rPr>
          <w:rFonts w:cs="Arial"/>
          <w:szCs w:val="20"/>
          <w:lang w:val="sl-SI"/>
        </w:rPr>
        <w:t xml:space="preserve">Predloga zakona o zaščitnih ukrepih zoper strateške tožbe za onemogočanje javnega udejstvovanja </w:t>
      </w:r>
      <w:r w:rsidRPr="004A492F">
        <w:rPr>
          <w:rFonts w:cs="Arial"/>
          <w:szCs w:val="20"/>
          <w:lang w:val="sl-SI"/>
        </w:rPr>
        <w:t xml:space="preserve">(EVA </w:t>
      </w:r>
      <w:r w:rsidR="005622A8" w:rsidRPr="004A492F">
        <w:rPr>
          <w:rFonts w:cs="Arial"/>
          <w:szCs w:val="20"/>
          <w:lang w:val="sl-SI"/>
        </w:rPr>
        <w:t>2024</w:t>
      </w:r>
      <w:r w:rsidRPr="004A492F">
        <w:rPr>
          <w:szCs w:val="20"/>
          <w:lang w:val="sl-SI"/>
        </w:rPr>
        <w:t>-2030-00</w:t>
      </w:r>
      <w:r w:rsidR="00CF48FD" w:rsidRPr="004A492F">
        <w:rPr>
          <w:szCs w:val="20"/>
          <w:lang w:val="sl-SI"/>
        </w:rPr>
        <w:t>31</w:t>
      </w:r>
      <w:r w:rsidRPr="004A492F">
        <w:rPr>
          <w:rFonts w:cs="Arial"/>
          <w:szCs w:val="20"/>
          <w:lang w:val="sl-SI"/>
        </w:rPr>
        <w:t xml:space="preserve">) in ga pošlje Državnemu zboru Republike Slovenije v obravnavo po </w:t>
      </w:r>
      <w:r w:rsidR="007741DB">
        <w:rPr>
          <w:rFonts w:cs="Arial"/>
          <w:szCs w:val="20"/>
          <w:lang w:val="sl-SI"/>
        </w:rPr>
        <w:t xml:space="preserve">rednem </w:t>
      </w:r>
      <w:r w:rsidRPr="004A492F">
        <w:rPr>
          <w:rFonts w:cs="Arial"/>
          <w:szCs w:val="20"/>
          <w:lang w:val="sl-SI"/>
        </w:rPr>
        <w:t>postopku.</w:t>
      </w:r>
    </w:p>
    <w:p w14:paraId="33EC485B" w14:textId="77777777" w:rsidR="00657ACB" w:rsidRPr="004A492F" w:rsidRDefault="00657ACB" w:rsidP="00657ACB">
      <w:pPr>
        <w:pStyle w:val="Neotevilenodstavek"/>
        <w:spacing w:before="0" w:after="0" w:line="312" w:lineRule="auto"/>
        <w:rPr>
          <w:iCs/>
          <w:sz w:val="20"/>
          <w:szCs w:val="20"/>
        </w:rPr>
      </w:pPr>
    </w:p>
    <w:p w14:paraId="0AA09BAF" w14:textId="77777777" w:rsidR="00657ACB" w:rsidRPr="004A492F" w:rsidRDefault="00657ACB" w:rsidP="00657ACB">
      <w:pPr>
        <w:pStyle w:val="Neotevilenodstavek"/>
        <w:spacing w:before="0" w:after="0" w:line="312" w:lineRule="auto"/>
        <w:rPr>
          <w:iCs/>
          <w:sz w:val="20"/>
          <w:szCs w:val="20"/>
        </w:rPr>
      </w:pPr>
    </w:p>
    <w:p w14:paraId="09BCB7D9" w14:textId="478423EC" w:rsidR="00657ACB" w:rsidRPr="004A492F" w:rsidRDefault="00657ACB" w:rsidP="007B6404">
      <w:pPr>
        <w:ind w:left="4820"/>
        <w:rPr>
          <w:iCs/>
          <w:lang w:val="sl-SI"/>
        </w:rPr>
      </w:pPr>
      <w:r w:rsidRPr="004A492F">
        <w:rPr>
          <w:iCs/>
          <w:lang w:val="sl-SI"/>
        </w:rPr>
        <w:t xml:space="preserve">                                                                                                                                                                                            Barbara </w:t>
      </w:r>
      <w:r w:rsidR="007B6404" w:rsidRPr="004A492F">
        <w:rPr>
          <w:iCs/>
          <w:lang w:val="sl-SI"/>
        </w:rPr>
        <w:t xml:space="preserve">Kolenko </w:t>
      </w:r>
      <w:proofErr w:type="spellStart"/>
      <w:r w:rsidR="007B6404" w:rsidRPr="004A492F">
        <w:rPr>
          <w:iCs/>
          <w:lang w:val="sl-SI"/>
        </w:rPr>
        <w:t>Helbl</w:t>
      </w:r>
      <w:proofErr w:type="spellEnd"/>
    </w:p>
    <w:p w14:paraId="4E814D22" w14:textId="53628203" w:rsidR="00657ACB" w:rsidRPr="004A492F" w:rsidRDefault="007B6404" w:rsidP="007B6404">
      <w:pPr>
        <w:ind w:left="4820"/>
        <w:rPr>
          <w:iCs/>
          <w:lang w:val="sl-SI"/>
        </w:rPr>
      </w:pPr>
      <w:r w:rsidRPr="004A492F">
        <w:rPr>
          <w:iCs/>
          <w:lang w:val="sl-SI"/>
        </w:rPr>
        <w:t xml:space="preserve">Generalna sekretarka </w:t>
      </w:r>
    </w:p>
    <w:p w14:paraId="5178F2E8" w14:textId="77777777" w:rsidR="00657ACB" w:rsidRPr="004A492F" w:rsidRDefault="00657ACB" w:rsidP="00657ACB">
      <w:pPr>
        <w:pStyle w:val="Neotevilenodstavek"/>
        <w:spacing w:before="0" w:after="0" w:line="312" w:lineRule="auto"/>
        <w:rPr>
          <w:iCs/>
          <w:sz w:val="20"/>
          <w:szCs w:val="20"/>
        </w:rPr>
      </w:pPr>
    </w:p>
    <w:p w14:paraId="280B9B27" w14:textId="77777777" w:rsidR="00657ACB" w:rsidRPr="004A492F" w:rsidRDefault="00657ACB" w:rsidP="00657ACB">
      <w:pPr>
        <w:spacing w:line="312" w:lineRule="auto"/>
        <w:jc w:val="both"/>
        <w:rPr>
          <w:rFonts w:cs="Arial"/>
          <w:iCs/>
          <w:szCs w:val="20"/>
          <w:lang w:val="sl-SI"/>
        </w:rPr>
      </w:pPr>
    </w:p>
    <w:p w14:paraId="5AE19B3E" w14:textId="77777777" w:rsidR="00657ACB" w:rsidRPr="004A492F" w:rsidRDefault="00657ACB" w:rsidP="00657ACB">
      <w:pPr>
        <w:spacing w:line="312" w:lineRule="auto"/>
        <w:jc w:val="both"/>
        <w:rPr>
          <w:rFonts w:cs="Arial"/>
          <w:iCs/>
          <w:szCs w:val="20"/>
          <w:lang w:val="sl-SI"/>
        </w:rPr>
      </w:pPr>
    </w:p>
    <w:p w14:paraId="4A5D507A" w14:textId="77777777" w:rsidR="00657ACB" w:rsidRPr="004A492F" w:rsidRDefault="00657ACB" w:rsidP="00657ACB">
      <w:pPr>
        <w:spacing w:line="312" w:lineRule="auto"/>
        <w:jc w:val="both"/>
        <w:rPr>
          <w:rFonts w:cs="Arial"/>
          <w:iCs/>
          <w:szCs w:val="20"/>
          <w:lang w:val="sl-SI"/>
        </w:rPr>
      </w:pPr>
    </w:p>
    <w:p w14:paraId="604BFE15" w14:textId="1C0D6EB8" w:rsidR="00657ACB" w:rsidRPr="004A492F" w:rsidRDefault="00657ACB" w:rsidP="00657ACB">
      <w:pPr>
        <w:spacing w:line="312" w:lineRule="auto"/>
        <w:jc w:val="both"/>
        <w:rPr>
          <w:rFonts w:cs="Arial"/>
          <w:iCs/>
          <w:szCs w:val="20"/>
          <w:lang w:val="sl-SI"/>
        </w:rPr>
      </w:pPr>
      <w:r w:rsidRPr="004A492F">
        <w:rPr>
          <w:rFonts w:cs="Arial"/>
          <w:iCs/>
          <w:szCs w:val="20"/>
          <w:lang w:val="sl-SI"/>
        </w:rPr>
        <w:t>Sklep prejmejo:</w:t>
      </w:r>
    </w:p>
    <w:p w14:paraId="5E5F6071" w14:textId="187D6517" w:rsidR="00657ACB" w:rsidRPr="004A492F" w:rsidRDefault="00657ACB" w:rsidP="00657ACB">
      <w:pPr>
        <w:numPr>
          <w:ilvl w:val="0"/>
          <w:numId w:val="14"/>
        </w:numPr>
        <w:spacing w:line="240" w:lineRule="auto"/>
        <w:jc w:val="both"/>
        <w:rPr>
          <w:rFonts w:cs="Arial"/>
          <w:iCs/>
          <w:szCs w:val="20"/>
          <w:lang w:val="sl-SI"/>
        </w:rPr>
      </w:pPr>
      <w:r w:rsidRPr="004A492F">
        <w:rPr>
          <w:rFonts w:cs="Arial"/>
          <w:iCs/>
          <w:szCs w:val="20"/>
          <w:lang w:val="sl-SI"/>
        </w:rPr>
        <w:t>Generalni sekretariat Vlade Republike Slovenije</w:t>
      </w:r>
      <w:r w:rsidR="007B6404" w:rsidRPr="004A492F">
        <w:rPr>
          <w:rFonts w:cs="Arial"/>
          <w:iCs/>
          <w:szCs w:val="20"/>
          <w:lang w:val="sl-SI"/>
        </w:rPr>
        <w:t>,</w:t>
      </w:r>
    </w:p>
    <w:p w14:paraId="0C03AFB6" w14:textId="1D9BECB6" w:rsidR="00657ACB" w:rsidRPr="004A492F" w:rsidRDefault="00657ACB" w:rsidP="00657ACB">
      <w:pPr>
        <w:numPr>
          <w:ilvl w:val="0"/>
          <w:numId w:val="14"/>
        </w:numPr>
        <w:spacing w:line="240" w:lineRule="auto"/>
        <w:jc w:val="both"/>
        <w:rPr>
          <w:rFonts w:cs="Arial"/>
          <w:iCs/>
          <w:szCs w:val="20"/>
          <w:lang w:val="sl-SI"/>
        </w:rPr>
      </w:pPr>
      <w:r w:rsidRPr="004A492F">
        <w:rPr>
          <w:rFonts w:cs="Arial"/>
          <w:iCs/>
          <w:szCs w:val="20"/>
          <w:lang w:val="sl-SI"/>
        </w:rPr>
        <w:t>Državni zbor Republike Slovenije</w:t>
      </w:r>
      <w:r w:rsidR="007B6404" w:rsidRPr="004A492F">
        <w:rPr>
          <w:rFonts w:cs="Arial"/>
          <w:iCs/>
          <w:szCs w:val="20"/>
          <w:lang w:val="sl-SI"/>
        </w:rPr>
        <w:t>,</w:t>
      </w:r>
    </w:p>
    <w:p w14:paraId="047898BC" w14:textId="01D4D54B" w:rsidR="00657ACB" w:rsidRPr="004A492F" w:rsidRDefault="00657ACB" w:rsidP="00657ACB">
      <w:pPr>
        <w:numPr>
          <w:ilvl w:val="0"/>
          <w:numId w:val="14"/>
        </w:numPr>
        <w:spacing w:line="240" w:lineRule="auto"/>
        <w:jc w:val="both"/>
        <w:rPr>
          <w:rFonts w:cs="Arial"/>
          <w:iCs/>
          <w:szCs w:val="20"/>
          <w:lang w:val="sl-SI"/>
        </w:rPr>
      </w:pPr>
      <w:r w:rsidRPr="004A492F">
        <w:rPr>
          <w:rFonts w:cs="Arial"/>
          <w:iCs/>
          <w:szCs w:val="20"/>
          <w:lang w:val="sl-SI"/>
        </w:rPr>
        <w:t>Ministrstvo za pravosodje</w:t>
      </w:r>
      <w:r w:rsidR="007B6404" w:rsidRPr="004A492F">
        <w:rPr>
          <w:rFonts w:cs="Arial"/>
          <w:iCs/>
          <w:szCs w:val="20"/>
          <w:lang w:val="sl-SI"/>
        </w:rPr>
        <w:t>,</w:t>
      </w:r>
    </w:p>
    <w:p w14:paraId="21881FF1" w14:textId="5D07432F" w:rsidR="00657ACB" w:rsidRPr="004A492F" w:rsidRDefault="00657ACB" w:rsidP="00657ACB">
      <w:pPr>
        <w:numPr>
          <w:ilvl w:val="0"/>
          <w:numId w:val="14"/>
        </w:numPr>
        <w:spacing w:line="240" w:lineRule="auto"/>
        <w:jc w:val="both"/>
        <w:rPr>
          <w:rFonts w:cs="Arial"/>
          <w:iCs/>
          <w:szCs w:val="20"/>
          <w:lang w:val="sl-SI"/>
        </w:rPr>
      </w:pPr>
      <w:r w:rsidRPr="004A492F">
        <w:rPr>
          <w:rFonts w:cs="Arial"/>
          <w:szCs w:val="20"/>
          <w:lang w:val="sl-SI"/>
        </w:rPr>
        <w:t>vsa ostala ministrstva</w:t>
      </w:r>
      <w:r w:rsidR="007B6404" w:rsidRPr="004A492F">
        <w:rPr>
          <w:rFonts w:cs="Arial"/>
          <w:szCs w:val="20"/>
          <w:lang w:val="sl-SI"/>
        </w:rPr>
        <w:t>,</w:t>
      </w:r>
    </w:p>
    <w:p w14:paraId="7E3E2A80" w14:textId="7AA950F8" w:rsidR="00657ACB" w:rsidRPr="004A492F" w:rsidRDefault="00657ACB" w:rsidP="00657ACB">
      <w:pPr>
        <w:numPr>
          <w:ilvl w:val="0"/>
          <w:numId w:val="14"/>
        </w:numPr>
        <w:spacing w:line="240" w:lineRule="auto"/>
        <w:jc w:val="both"/>
        <w:rPr>
          <w:rFonts w:cs="Arial"/>
          <w:iCs/>
          <w:szCs w:val="20"/>
          <w:lang w:val="sl-SI"/>
        </w:rPr>
      </w:pPr>
      <w:r w:rsidRPr="004A492F">
        <w:rPr>
          <w:rFonts w:cs="Arial"/>
          <w:szCs w:val="20"/>
          <w:lang w:val="sl-SI"/>
        </w:rPr>
        <w:t>Služba Vlade Republike Slovenije za zakonodajo</w:t>
      </w:r>
      <w:r w:rsidR="007B6404" w:rsidRPr="004A492F">
        <w:rPr>
          <w:rFonts w:cs="Arial"/>
          <w:szCs w:val="20"/>
          <w:lang w:val="sl-SI"/>
        </w:rPr>
        <w:t>.</w:t>
      </w:r>
    </w:p>
    <w:p w14:paraId="31F17B6B" w14:textId="77777777" w:rsidR="00657ACB" w:rsidRPr="004A492F" w:rsidRDefault="00657ACB" w:rsidP="00657ACB">
      <w:pPr>
        <w:keepLines/>
        <w:spacing w:line="312" w:lineRule="auto"/>
        <w:rPr>
          <w:rFonts w:cs="Arial"/>
          <w:szCs w:val="20"/>
          <w:lang w:val="sl-SI"/>
        </w:rPr>
      </w:pPr>
    </w:p>
    <w:p w14:paraId="181888B9" w14:textId="77777777" w:rsidR="00657ACB" w:rsidRPr="004A492F" w:rsidRDefault="00657ACB" w:rsidP="00657ACB">
      <w:pPr>
        <w:spacing w:line="312" w:lineRule="auto"/>
        <w:jc w:val="both"/>
        <w:rPr>
          <w:rFonts w:cs="Arial"/>
          <w:szCs w:val="20"/>
          <w:lang w:val="sl-SI"/>
        </w:rPr>
      </w:pPr>
    </w:p>
    <w:p w14:paraId="0041D450" w14:textId="77777777" w:rsidR="00657ACB" w:rsidRPr="004A492F" w:rsidRDefault="00657ACB" w:rsidP="00657ACB">
      <w:pPr>
        <w:spacing w:line="312" w:lineRule="auto"/>
        <w:jc w:val="both"/>
        <w:rPr>
          <w:rFonts w:cs="Arial"/>
          <w:szCs w:val="20"/>
          <w:lang w:val="sl-SI"/>
        </w:rPr>
      </w:pPr>
    </w:p>
    <w:p w14:paraId="787AAFE4" w14:textId="77777777" w:rsidR="00657ACB" w:rsidRPr="004A492F" w:rsidRDefault="00657ACB" w:rsidP="00657ACB">
      <w:pPr>
        <w:spacing w:line="312" w:lineRule="auto"/>
        <w:jc w:val="both"/>
        <w:rPr>
          <w:rFonts w:cs="Arial"/>
          <w:szCs w:val="20"/>
          <w:lang w:val="sl-SI"/>
        </w:rPr>
      </w:pPr>
    </w:p>
    <w:p w14:paraId="15BAABD4" w14:textId="77777777" w:rsidR="00657ACB" w:rsidRPr="004A492F" w:rsidRDefault="00657ACB" w:rsidP="00657ACB">
      <w:pPr>
        <w:spacing w:line="312" w:lineRule="auto"/>
        <w:jc w:val="both"/>
        <w:rPr>
          <w:rFonts w:cs="Arial"/>
          <w:szCs w:val="20"/>
          <w:lang w:val="sl-SI"/>
        </w:rPr>
      </w:pPr>
    </w:p>
    <w:p w14:paraId="355E9864" w14:textId="77777777" w:rsidR="00657ACB" w:rsidRPr="004A492F" w:rsidRDefault="00657ACB" w:rsidP="00657ACB">
      <w:pPr>
        <w:pStyle w:val="Naslovpredpisa"/>
        <w:spacing w:before="0" w:after="0" w:line="312" w:lineRule="auto"/>
        <w:jc w:val="left"/>
        <w:rPr>
          <w:szCs w:val="20"/>
          <w:shd w:val="clear" w:color="auto" w:fill="FFFFFF"/>
        </w:rPr>
      </w:pPr>
      <w:bookmarkStart w:id="1" w:name="_Hlk83023701"/>
    </w:p>
    <w:p w14:paraId="09090CE6" w14:textId="77777777" w:rsidR="00657ACB" w:rsidRPr="004A492F" w:rsidRDefault="00657ACB" w:rsidP="00657ACB">
      <w:pPr>
        <w:spacing w:line="312" w:lineRule="auto"/>
        <w:jc w:val="both"/>
        <w:rPr>
          <w:rFonts w:cs="Arial"/>
          <w:szCs w:val="20"/>
          <w:shd w:val="clear" w:color="auto" w:fill="FFFFFF"/>
          <w:lang w:val="sl-SI"/>
        </w:rPr>
      </w:pPr>
    </w:p>
    <w:p w14:paraId="3B407B7E" w14:textId="77777777" w:rsidR="00657ACB" w:rsidRPr="004A492F" w:rsidRDefault="00657ACB" w:rsidP="00657ACB">
      <w:pPr>
        <w:spacing w:line="312" w:lineRule="auto"/>
        <w:jc w:val="both"/>
        <w:rPr>
          <w:rFonts w:cs="Arial"/>
          <w:szCs w:val="20"/>
          <w:shd w:val="clear" w:color="auto" w:fill="FFFFFF"/>
          <w:lang w:val="sl-SI"/>
        </w:rPr>
      </w:pPr>
    </w:p>
    <w:bookmarkEnd w:id="1"/>
    <w:p w14:paraId="33CE637F" w14:textId="77777777" w:rsidR="00657ACB" w:rsidRPr="004A492F" w:rsidRDefault="00657ACB" w:rsidP="00657ACB">
      <w:pPr>
        <w:spacing w:line="312" w:lineRule="auto"/>
        <w:jc w:val="both"/>
        <w:rPr>
          <w:rFonts w:cs="Arial"/>
          <w:szCs w:val="20"/>
          <w:shd w:val="clear" w:color="auto" w:fill="FFFFFF"/>
          <w:lang w:val="sl-SI"/>
        </w:rPr>
      </w:pPr>
    </w:p>
    <w:p w14:paraId="26007282" w14:textId="67D619A6" w:rsidR="007D75CF" w:rsidRPr="004A492F" w:rsidRDefault="007D75CF" w:rsidP="00F267FF">
      <w:pPr>
        <w:rPr>
          <w:lang w:val="sl-SI"/>
        </w:rPr>
      </w:pPr>
    </w:p>
    <w:sectPr w:rsidR="007D75CF" w:rsidRPr="004A492F"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A55F" w14:textId="77777777" w:rsidR="00612C81" w:rsidRDefault="00612C81">
      <w:r>
        <w:separator/>
      </w:r>
    </w:p>
  </w:endnote>
  <w:endnote w:type="continuationSeparator" w:id="0">
    <w:p w14:paraId="1CC17C24" w14:textId="77777777" w:rsidR="00612C81" w:rsidRDefault="0061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DF10" w14:textId="77777777" w:rsidR="00F72335" w:rsidRDefault="00F72335">
    <w:pPr>
      <w:pStyle w:val="Noga"/>
      <w:jc w:val="right"/>
    </w:pPr>
    <w:r>
      <w:fldChar w:fldCharType="begin"/>
    </w:r>
    <w:r>
      <w:instrText xml:space="preserve"> PAGE   \* MERGEFORMAT </w:instrText>
    </w:r>
    <w:r>
      <w:fldChar w:fldCharType="separate"/>
    </w:r>
    <w:r>
      <w:rPr>
        <w:noProof/>
      </w:rPr>
      <w:t>2</w:t>
    </w:r>
    <w:r>
      <w:rPr>
        <w:noProof/>
      </w:rPr>
      <w:fldChar w:fldCharType="end"/>
    </w:r>
  </w:p>
  <w:p w14:paraId="58B25023" w14:textId="77777777" w:rsidR="00F72335" w:rsidRDefault="00F723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BD44" w14:textId="77777777" w:rsidR="00612C81" w:rsidRDefault="00612C81">
      <w:r>
        <w:separator/>
      </w:r>
    </w:p>
  </w:footnote>
  <w:footnote w:type="continuationSeparator" w:id="0">
    <w:p w14:paraId="042C3100" w14:textId="77777777" w:rsidR="00612C81" w:rsidRDefault="00612C81">
      <w:r>
        <w:continuationSeparator/>
      </w:r>
    </w:p>
  </w:footnote>
  <w:footnote w:id="1">
    <w:p w14:paraId="327A417A" w14:textId="77777777" w:rsidR="00EE338F" w:rsidRPr="009A69A8" w:rsidRDefault="00EE338F" w:rsidP="00EE338F">
      <w:pPr>
        <w:pStyle w:val="Sprotnaopomba-besedilo"/>
        <w:jc w:val="both"/>
        <w:rPr>
          <w:rFonts w:ascii="Arial" w:hAnsi="Arial" w:cs="Arial"/>
          <w:sz w:val="18"/>
          <w:szCs w:val="18"/>
        </w:rPr>
      </w:pPr>
      <w:r w:rsidRPr="009A69A8">
        <w:rPr>
          <w:rStyle w:val="Sprotnaopomba-sklic"/>
          <w:rFonts w:cs="Arial"/>
          <w:sz w:val="18"/>
          <w:szCs w:val="18"/>
        </w:rPr>
        <w:footnoteRef/>
      </w:r>
      <w:r w:rsidRPr="009A69A8">
        <w:rPr>
          <w:rFonts w:ascii="Arial" w:hAnsi="Arial" w:cs="Arial"/>
          <w:sz w:val="18"/>
          <w:szCs w:val="18"/>
        </w:rPr>
        <w:t xml:space="preserve"> Uradni list RS, št. 33/91-I, 42/97 – UZS68, 66/00 – UZ80, 24/03 – UZ3a, 47, 68, 69/04 – UZ14, 69/04 – UZ43, 69/04 – UZ50, 68/06 – UZ121,140,143, 47/13 – UZ148, 47/13 – UZ90,97,99, 75/16 – UZ70a in 92/21 – UZ62a.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EC2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31DAEA1" w14:textId="77777777">
      <w:trPr>
        <w:cantSplit/>
        <w:trHeight w:hRule="exact" w:val="847"/>
      </w:trPr>
      <w:tc>
        <w:tcPr>
          <w:tcW w:w="567" w:type="dxa"/>
        </w:tcPr>
        <w:p w14:paraId="1DD36D88" w14:textId="4CE4A717" w:rsidR="002A2B69" w:rsidRPr="008F3500" w:rsidRDefault="00612C81"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0A9C058A" wp14:editId="46AF4486">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64090"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4C1477B" w14:textId="77777777" w:rsidR="00A0589E" w:rsidRDefault="00A0589E" w:rsidP="00D34769">
    <w:pPr>
      <w:pStyle w:val="Glava"/>
      <w:tabs>
        <w:tab w:val="clear" w:pos="4320"/>
        <w:tab w:val="clear" w:pos="8640"/>
        <w:tab w:val="left" w:pos="5112"/>
      </w:tabs>
      <w:spacing w:line="240" w:lineRule="exact"/>
      <w:rPr>
        <w:rFonts w:cs="Arial"/>
        <w:sz w:val="16"/>
        <w:lang w:val="sl-SI"/>
      </w:rPr>
    </w:pPr>
  </w:p>
  <w:p w14:paraId="75E01039" w14:textId="73FC7776" w:rsidR="00D34769" w:rsidRPr="008744DD" w:rsidRDefault="00612C81" w:rsidP="00D34769">
    <w:pPr>
      <w:pStyle w:val="Glava"/>
      <w:tabs>
        <w:tab w:val="clear" w:pos="4320"/>
        <w:tab w:val="clear" w:pos="8640"/>
        <w:tab w:val="left" w:pos="5112"/>
      </w:tabs>
      <w:spacing w:line="240" w:lineRule="exact"/>
      <w:rPr>
        <w:sz w:val="16"/>
        <w:szCs w:val="16"/>
        <w:lang w:val="sl-SI"/>
      </w:rPr>
    </w:pPr>
    <w:r>
      <w:rPr>
        <w:noProof/>
      </w:rPr>
      <w:drawing>
        <wp:anchor distT="0" distB="0" distL="114300" distR="114300" simplePos="0" relativeHeight="251658240" behindDoc="0" locked="0" layoutInCell="1" allowOverlap="1" wp14:anchorId="1E8D305D" wp14:editId="7A283815">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8B">
      <w:rPr>
        <w:rFonts w:cs="Arial"/>
        <w:sz w:val="16"/>
        <w:lang w:val="sl-SI"/>
      </w:rPr>
      <w:t xml:space="preserve">Župančičeva </w:t>
    </w:r>
    <w:r w:rsidR="00A0589E">
      <w:rPr>
        <w:rFonts w:cs="Arial"/>
        <w:sz w:val="16"/>
        <w:lang w:val="sl-SI"/>
      </w:rPr>
      <w:t xml:space="preserve">ulica </w:t>
    </w:r>
    <w:r w:rsidR="00030F8B">
      <w:rPr>
        <w:rFonts w:cs="Arial"/>
        <w:sz w:val="16"/>
        <w:lang w:val="sl-SI"/>
      </w:rPr>
      <w:t>3</w:t>
    </w:r>
    <w:r w:rsidR="00A770A6" w:rsidRPr="008F3500">
      <w:rPr>
        <w:rFonts w:cs="Arial"/>
        <w:sz w:val="16"/>
        <w:lang w:val="sl-SI"/>
      </w:rPr>
      <w:t xml:space="preserve">, </w:t>
    </w:r>
    <w:r w:rsidR="00030F8B">
      <w:rPr>
        <w:rFonts w:cs="Arial"/>
        <w:sz w:val="16"/>
        <w:lang w:val="sl-SI"/>
      </w:rPr>
      <w:t>1000 Ljubljana</w:t>
    </w:r>
    <w:r w:rsidR="00A770A6" w:rsidRPr="008F3500">
      <w:rPr>
        <w:rFonts w:cs="Arial"/>
        <w:sz w:val="16"/>
        <w:lang w:val="sl-SI"/>
      </w:rPr>
      <w:tab/>
    </w:r>
    <w:r w:rsidR="00A0589E" w:rsidRPr="008744DD">
      <w:rPr>
        <w:sz w:val="16"/>
        <w:szCs w:val="16"/>
        <w:lang w:val="sl-SI"/>
      </w:rPr>
      <w:t xml:space="preserve">T: </w:t>
    </w:r>
    <w:r w:rsidR="00D34769" w:rsidRPr="008744DD">
      <w:rPr>
        <w:sz w:val="16"/>
        <w:szCs w:val="16"/>
        <w:lang w:val="sl-SI"/>
      </w:rPr>
      <w:t xml:space="preserve">01 </w:t>
    </w:r>
    <w:r w:rsidR="00D34769" w:rsidRPr="00D34769">
      <w:rPr>
        <w:rFonts w:cs="Arial"/>
        <w:sz w:val="16"/>
        <w:lang w:val="sl-SI"/>
      </w:rPr>
      <w:t>369</w:t>
    </w:r>
    <w:r w:rsidR="00D34769" w:rsidRPr="008744DD">
      <w:rPr>
        <w:sz w:val="16"/>
        <w:szCs w:val="16"/>
        <w:lang w:val="sl-SI"/>
      </w:rPr>
      <w:t xml:space="preserve"> 53</w:t>
    </w:r>
    <w:r w:rsidR="00A0589E" w:rsidRPr="008744DD">
      <w:rPr>
        <w:sz w:val="16"/>
        <w:szCs w:val="16"/>
        <w:lang w:val="sl-SI"/>
      </w:rPr>
      <w:t xml:space="preserve"> </w:t>
    </w:r>
    <w:r w:rsidR="00D34769" w:rsidRPr="008744DD">
      <w:rPr>
        <w:sz w:val="16"/>
        <w:szCs w:val="16"/>
        <w:lang w:val="sl-SI"/>
      </w:rPr>
      <w:t>42</w:t>
    </w:r>
  </w:p>
  <w:p w14:paraId="2FDB530B" w14:textId="77777777" w:rsidR="00A770A6" w:rsidRPr="00D34769" w:rsidRDefault="00A770A6"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00D34769" w:rsidRPr="008744DD">
      <w:rPr>
        <w:sz w:val="16"/>
        <w:szCs w:val="16"/>
        <w:lang w:val="sl-SI"/>
      </w:rPr>
      <w:t>F: 01 369 57</w:t>
    </w:r>
    <w:r w:rsidR="00A0589E" w:rsidRPr="008744DD">
      <w:rPr>
        <w:sz w:val="16"/>
        <w:szCs w:val="16"/>
        <w:lang w:val="sl-SI"/>
      </w:rPr>
      <w:t xml:space="preserve"> </w:t>
    </w:r>
    <w:r w:rsidR="00D34769" w:rsidRPr="008744DD">
      <w:rPr>
        <w:sz w:val="16"/>
        <w:szCs w:val="16"/>
        <w:lang w:val="sl-SI"/>
      </w:rPr>
      <w:t>83</w:t>
    </w:r>
  </w:p>
  <w:p w14:paraId="0C0D9C0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030F8B">
      <w:rPr>
        <w:rFonts w:cs="Arial"/>
        <w:sz w:val="16"/>
        <w:lang w:val="sl-SI"/>
      </w:rPr>
      <w:t>gp.mp@gov.si</w:t>
    </w:r>
  </w:p>
  <w:p w14:paraId="0128440B" w14:textId="77777777" w:rsidR="00A770A6" w:rsidRDefault="00A770A6"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sidR="00F622D9">
      <w:rPr>
        <w:rFonts w:cs="Arial"/>
        <w:sz w:val="16"/>
        <w:lang w:val="sl-SI"/>
      </w:rPr>
      <w:tab/>
    </w:r>
    <w:r w:rsidR="00250208" w:rsidRPr="00A0589E">
      <w:rPr>
        <w:rFonts w:cs="Arial"/>
        <w:sz w:val="16"/>
        <w:lang w:val="sl-SI"/>
      </w:rPr>
      <w:t>www.mp.gov.si</w:t>
    </w:r>
  </w:p>
  <w:p w14:paraId="00C6F8A5"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6C3D9095"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10E083C7"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102C13C8"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05FF92C3"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38ADF1AC"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D7E7A"/>
    <w:multiLevelType w:val="hybridMultilevel"/>
    <w:tmpl w:val="D8F6D63C"/>
    <w:lvl w:ilvl="0" w:tplc="EB4AF5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FA5522"/>
    <w:multiLevelType w:val="hybridMultilevel"/>
    <w:tmpl w:val="691E2BCC"/>
    <w:lvl w:ilvl="0" w:tplc="8104DEE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7A3969"/>
    <w:multiLevelType w:val="hybridMultilevel"/>
    <w:tmpl w:val="FC446ABA"/>
    <w:lvl w:ilvl="0" w:tplc="CEAA0072">
      <w:start w:val="1"/>
      <w:numFmt w:val="lowerLetter"/>
      <w:lvlText w:val="%1)"/>
      <w:lvlJc w:val="left"/>
      <w:pPr>
        <w:ind w:left="720" w:hanging="360"/>
      </w:pPr>
      <w:rPr>
        <w:rFonts w:ascii="Arial" w:eastAsiaTheme="minorHAns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4EA648D"/>
    <w:multiLevelType w:val="hybridMultilevel"/>
    <w:tmpl w:val="5DDAE81C"/>
    <w:lvl w:ilvl="0" w:tplc="588C5056">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892880"/>
    <w:multiLevelType w:val="hybridMultilevel"/>
    <w:tmpl w:val="BF8026AE"/>
    <w:lvl w:ilvl="0" w:tplc="91D647D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343F9E"/>
    <w:multiLevelType w:val="hybridMultilevel"/>
    <w:tmpl w:val="E4E6103E"/>
    <w:lvl w:ilvl="0" w:tplc="3588F15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0654919">
    <w:abstractNumId w:val="18"/>
  </w:num>
  <w:num w:numId="2" w16cid:durableId="641885391">
    <w:abstractNumId w:val="8"/>
  </w:num>
  <w:num w:numId="3" w16cid:durableId="604188605">
    <w:abstractNumId w:val="10"/>
  </w:num>
  <w:num w:numId="4" w16cid:durableId="418215711">
    <w:abstractNumId w:val="3"/>
  </w:num>
  <w:num w:numId="5" w16cid:durableId="1114641178">
    <w:abstractNumId w:val="4"/>
  </w:num>
  <w:num w:numId="6" w16cid:durableId="1121873721">
    <w:abstractNumId w:val="5"/>
  </w:num>
  <w:num w:numId="7" w16cid:durableId="764573375">
    <w:abstractNumId w:val="17"/>
  </w:num>
  <w:num w:numId="8" w16cid:durableId="1466775031">
    <w:abstractNumId w:val="15"/>
  </w:num>
  <w:num w:numId="9" w16cid:durableId="205995393">
    <w:abstractNumId w:val="19"/>
  </w:num>
  <w:num w:numId="10" w16cid:durableId="975142138">
    <w:abstractNumId w:val="20"/>
  </w:num>
  <w:num w:numId="11" w16cid:durableId="1390573853">
    <w:abstractNumId w:val="9"/>
  </w:num>
  <w:num w:numId="12" w16cid:durableId="783690903">
    <w:abstractNumId w:val="7"/>
  </w:num>
  <w:num w:numId="13" w16cid:durableId="1714428578">
    <w:abstractNumId w:val="11"/>
  </w:num>
  <w:num w:numId="14" w16cid:durableId="1158351535">
    <w:abstractNumId w:val="2"/>
  </w:num>
  <w:num w:numId="15" w16cid:durableId="434794203">
    <w:abstractNumId w:val="0"/>
  </w:num>
  <w:num w:numId="16" w16cid:durableId="52504613">
    <w:abstractNumId w:val="6"/>
  </w:num>
  <w:num w:numId="17" w16cid:durableId="1766222743">
    <w:abstractNumId w:val="1"/>
  </w:num>
  <w:num w:numId="18" w16cid:durableId="2112778405">
    <w:abstractNumId w:val="14"/>
  </w:num>
  <w:num w:numId="19" w16cid:durableId="994456165">
    <w:abstractNumId w:val="12"/>
  </w:num>
  <w:num w:numId="20" w16cid:durableId="948005268">
    <w:abstractNumId w:val="13"/>
  </w:num>
  <w:num w:numId="21" w16cid:durableId="1339691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81"/>
    <w:rsid w:val="00023A88"/>
    <w:rsid w:val="00030F6A"/>
    <w:rsid w:val="00030F8B"/>
    <w:rsid w:val="00041737"/>
    <w:rsid w:val="00083437"/>
    <w:rsid w:val="0009790F"/>
    <w:rsid w:val="000A7238"/>
    <w:rsid w:val="000E27BC"/>
    <w:rsid w:val="000E49B8"/>
    <w:rsid w:val="000E62F4"/>
    <w:rsid w:val="001357B2"/>
    <w:rsid w:val="00156908"/>
    <w:rsid w:val="0017478F"/>
    <w:rsid w:val="001865D7"/>
    <w:rsid w:val="00196EF1"/>
    <w:rsid w:val="001A0B06"/>
    <w:rsid w:val="001A0CE5"/>
    <w:rsid w:val="001C497B"/>
    <w:rsid w:val="001C51CE"/>
    <w:rsid w:val="00202A77"/>
    <w:rsid w:val="00203AAF"/>
    <w:rsid w:val="00250208"/>
    <w:rsid w:val="00270F32"/>
    <w:rsid w:val="00271CE5"/>
    <w:rsid w:val="00273611"/>
    <w:rsid w:val="002771EC"/>
    <w:rsid w:val="00282020"/>
    <w:rsid w:val="00294BA5"/>
    <w:rsid w:val="002A2B69"/>
    <w:rsid w:val="002A4843"/>
    <w:rsid w:val="002D2DE7"/>
    <w:rsid w:val="002E1057"/>
    <w:rsid w:val="002F0905"/>
    <w:rsid w:val="003143AE"/>
    <w:rsid w:val="0031636A"/>
    <w:rsid w:val="003636BF"/>
    <w:rsid w:val="00371442"/>
    <w:rsid w:val="003808EA"/>
    <w:rsid w:val="00381CF5"/>
    <w:rsid w:val="003845B4"/>
    <w:rsid w:val="00385775"/>
    <w:rsid w:val="00387B1A"/>
    <w:rsid w:val="003B6082"/>
    <w:rsid w:val="003C5EE5"/>
    <w:rsid w:val="003D1352"/>
    <w:rsid w:val="003D33F4"/>
    <w:rsid w:val="003E1C74"/>
    <w:rsid w:val="00445143"/>
    <w:rsid w:val="00456FE1"/>
    <w:rsid w:val="004657EE"/>
    <w:rsid w:val="00467AA2"/>
    <w:rsid w:val="004839C5"/>
    <w:rsid w:val="00496086"/>
    <w:rsid w:val="004A1936"/>
    <w:rsid w:val="004A436A"/>
    <w:rsid w:val="004A492F"/>
    <w:rsid w:val="004A7DF9"/>
    <w:rsid w:val="004B70EF"/>
    <w:rsid w:val="004C3CB7"/>
    <w:rsid w:val="004C4F3D"/>
    <w:rsid w:val="004C781C"/>
    <w:rsid w:val="004E4E3B"/>
    <w:rsid w:val="004F5861"/>
    <w:rsid w:val="0050276C"/>
    <w:rsid w:val="00507B5D"/>
    <w:rsid w:val="00526246"/>
    <w:rsid w:val="005622A8"/>
    <w:rsid w:val="00567106"/>
    <w:rsid w:val="00571DFF"/>
    <w:rsid w:val="00581D15"/>
    <w:rsid w:val="00582D85"/>
    <w:rsid w:val="005B1F72"/>
    <w:rsid w:val="005B354E"/>
    <w:rsid w:val="005E1D3C"/>
    <w:rsid w:val="005F3AAC"/>
    <w:rsid w:val="00612C81"/>
    <w:rsid w:val="0062544E"/>
    <w:rsid w:val="00625AE6"/>
    <w:rsid w:val="00632253"/>
    <w:rsid w:val="00635D3F"/>
    <w:rsid w:val="00642714"/>
    <w:rsid w:val="006455CE"/>
    <w:rsid w:val="006518F5"/>
    <w:rsid w:val="00655841"/>
    <w:rsid w:val="00657ACB"/>
    <w:rsid w:val="006612D2"/>
    <w:rsid w:val="0067204C"/>
    <w:rsid w:val="006A0608"/>
    <w:rsid w:val="006D3D40"/>
    <w:rsid w:val="006E0249"/>
    <w:rsid w:val="006E2F20"/>
    <w:rsid w:val="006F20E9"/>
    <w:rsid w:val="006F3A4B"/>
    <w:rsid w:val="00733017"/>
    <w:rsid w:val="00746492"/>
    <w:rsid w:val="007543F0"/>
    <w:rsid w:val="00766B2F"/>
    <w:rsid w:val="007741DB"/>
    <w:rsid w:val="00776A75"/>
    <w:rsid w:val="00783310"/>
    <w:rsid w:val="00792345"/>
    <w:rsid w:val="007A4A6D"/>
    <w:rsid w:val="007B6404"/>
    <w:rsid w:val="007C2F88"/>
    <w:rsid w:val="007D1BCF"/>
    <w:rsid w:val="007D75CF"/>
    <w:rsid w:val="007E0440"/>
    <w:rsid w:val="007E6DC5"/>
    <w:rsid w:val="008035C6"/>
    <w:rsid w:val="0082042F"/>
    <w:rsid w:val="00821B73"/>
    <w:rsid w:val="00835D1A"/>
    <w:rsid w:val="00850897"/>
    <w:rsid w:val="00866872"/>
    <w:rsid w:val="008744DD"/>
    <w:rsid w:val="00875C45"/>
    <w:rsid w:val="0088043C"/>
    <w:rsid w:val="00884889"/>
    <w:rsid w:val="00884B43"/>
    <w:rsid w:val="008906C9"/>
    <w:rsid w:val="008C5738"/>
    <w:rsid w:val="008D04F0"/>
    <w:rsid w:val="008D3301"/>
    <w:rsid w:val="008F3500"/>
    <w:rsid w:val="008F481C"/>
    <w:rsid w:val="00907562"/>
    <w:rsid w:val="00907B8A"/>
    <w:rsid w:val="00924E3C"/>
    <w:rsid w:val="00931CD6"/>
    <w:rsid w:val="00936E2B"/>
    <w:rsid w:val="00947DEF"/>
    <w:rsid w:val="0095236E"/>
    <w:rsid w:val="00955FA5"/>
    <w:rsid w:val="009612BB"/>
    <w:rsid w:val="00984503"/>
    <w:rsid w:val="00984D60"/>
    <w:rsid w:val="00984F61"/>
    <w:rsid w:val="00987305"/>
    <w:rsid w:val="009B387F"/>
    <w:rsid w:val="009B4C3F"/>
    <w:rsid w:val="009C740A"/>
    <w:rsid w:val="009D526C"/>
    <w:rsid w:val="00A0589E"/>
    <w:rsid w:val="00A10DAB"/>
    <w:rsid w:val="00A125C5"/>
    <w:rsid w:val="00A15FB4"/>
    <w:rsid w:val="00A2451C"/>
    <w:rsid w:val="00A4776F"/>
    <w:rsid w:val="00A60297"/>
    <w:rsid w:val="00A65EE7"/>
    <w:rsid w:val="00A70133"/>
    <w:rsid w:val="00A72285"/>
    <w:rsid w:val="00A770A6"/>
    <w:rsid w:val="00A813B1"/>
    <w:rsid w:val="00AA2D1A"/>
    <w:rsid w:val="00AB36C4"/>
    <w:rsid w:val="00AB6A89"/>
    <w:rsid w:val="00AB6D4A"/>
    <w:rsid w:val="00AC32B2"/>
    <w:rsid w:val="00AC7353"/>
    <w:rsid w:val="00AE0E33"/>
    <w:rsid w:val="00B015E9"/>
    <w:rsid w:val="00B04485"/>
    <w:rsid w:val="00B17129"/>
    <w:rsid w:val="00B17141"/>
    <w:rsid w:val="00B240B7"/>
    <w:rsid w:val="00B25C66"/>
    <w:rsid w:val="00B31575"/>
    <w:rsid w:val="00B31EEA"/>
    <w:rsid w:val="00B4259E"/>
    <w:rsid w:val="00B51803"/>
    <w:rsid w:val="00B5361F"/>
    <w:rsid w:val="00B76F74"/>
    <w:rsid w:val="00B8547D"/>
    <w:rsid w:val="00BE221E"/>
    <w:rsid w:val="00C250D5"/>
    <w:rsid w:val="00C35666"/>
    <w:rsid w:val="00C41F92"/>
    <w:rsid w:val="00C5599A"/>
    <w:rsid w:val="00C5607B"/>
    <w:rsid w:val="00C624A5"/>
    <w:rsid w:val="00C9249A"/>
    <w:rsid w:val="00C92898"/>
    <w:rsid w:val="00C953E8"/>
    <w:rsid w:val="00C9602C"/>
    <w:rsid w:val="00CA4340"/>
    <w:rsid w:val="00CC33F8"/>
    <w:rsid w:val="00CE5238"/>
    <w:rsid w:val="00CE7514"/>
    <w:rsid w:val="00CF48FD"/>
    <w:rsid w:val="00D03029"/>
    <w:rsid w:val="00D049A2"/>
    <w:rsid w:val="00D248DE"/>
    <w:rsid w:val="00D34769"/>
    <w:rsid w:val="00D679F4"/>
    <w:rsid w:val="00D77A93"/>
    <w:rsid w:val="00D8542D"/>
    <w:rsid w:val="00DC386E"/>
    <w:rsid w:val="00DC6A71"/>
    <w:rsid w:val="00DE6FAF"/>
    <w:rsid w:val="00E0357D"/>
    <w:rsid w:val="00E052DD"/>
    <w:rsid w:val="00E1550B"/>
    <w:rsid w:val="00E61AA2"/>
    <w:rsid w:val="00E71D90"/>
    <w:rsid w:val="00E736E1"/>
    <w:rsid w:val="00E820F3"/>
    <w:rsid w:val="00E9720E"/>
    <w:rsid w:val="00EA1FDA"/>
    <w:rsid w:val="00EB78F1"/>
    <w:rsid w:val="00ED1C3E"/>
    <w:rsid w:val="00ED5032"/>
    <w:rsid w:val="00EE338F"/>
    <w:rsid w:val="00EF30EF"/>
    <w:rsid w:val="00F02A4E"/>
    <w:rsid w:val="00F05B93"/>
    <w:rsid w:val="00F15A1F"/>
    <w:rsid w:val="00F2163D"/>
    <w:rsid w:val="00F240BB"/>
    <w:rsid w:val="00F267FF"/>
    <w:rsid w:val="00F35BB2"/>
    <w:rsid w:val="00F45249"/>
    <w:rsid w:val="00F5003B"/>
    <w:rsid w:val="00F57FED"/>
    <w:rsid w:val="00F622D9"/>
    <w:rsid w:val="00F72335"/>
    <w:rsid w:val="00F767E9"/>
    <w:rsid w:val="00FA39C4"/>
    <w:rsid w:val="00FC36E5"/>
    <w:rsid w:val="00FC6F5E"/>
    <w:rsid w:val="00FD1F7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20CA3"/>
  <w15:chartTrackingRefBased/>
  <w15:docId w15:val="{E7CEE8F8-8734-4CB7-9B64-920ED481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B78F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styleId="Pripombasklic">
    <w:name w:val="annotation reference"/>
    <w:basedOn w:val="Privzetapisavaodstavka"/>
    <w:rsid w:val="004A7DF9"/>
    <w:rPr>
      <w:sz w:val="16"/>
      <w:szCs w:val="16"/>
    </w:rPr>
  </w:style>
  <w:style w:type="paragraph" w:styleId="Pripombabesedilo">
    <w:name w:val="annotation text"/>
    <w:basedOn w:val="Navaden"/>
    <w:link w:val="PripombabesediloZnak"/>
    <w:rsid w:val="004A7DF9"/>
    <w:pPr>
      <w:spacing w:line="240" w:lineRule="auto"/>
    </w:pPr>
    <w:rPr>
      <w:szCs w:val="20"/>
    </w:rPr>
  </w:style>
  <w:style w:type="character" w:customStyle="1" w:styleId="PripombabesediloZnak">
    <w:name w:val="Pripomba – besedilo Znak"/>
    <w:basedOn w:val="Privzetapisavaodstavka"/>
    <w:link w:val="Pripombabesedilo"/>
    <w:rsid w:val="004A7DF9"/>
    <w:rPr>
      <w:rFonts w:ascii="Arial" w:hAnsi="Arial"/>
      <w:lang w:val="en-US" w:eastAsia="en-US"/>
    </w:rPr>
  </w:style>
  <w:style w:type="paragraph" w:styleId="Zadevapripombe">
    <w:name w:val="annotation subject"/>
    <w:basedOn w:val="Pripombabesedilo"/>
    <w:next w:val="Pripombabesedilo"/>
    <w:link w:val="ZadevapripombeZnak"/>
    <w:rsid w:val="004A7DF9"/>
    <w:rPr>
      <w:b/>
      <w:bCs/>
    </w:rPr>
  </w:style>
  <w:style w:type="character" w:customStyle="1" w:styleId="ZadevapripombeZnak">
    <w:name w:val="Zadeva pripombe Znak"/>
    <w:basedOn w:val="PripombabesediloZnak"/>
    <w:link w:val="Zadevapripombe"/>
    <w:rsid w:val="004A7DF9"/>
    <w:rPr>
      <w:rFonts w:ascii="Arial" w:hAnsi="Arial"/>
      <w:b/>
      <w:bCs/>
      <w:lang w:val="en-US" w:eastAsia="en-US"/>
    </w:rPr>
  </w:style>
  <w:style w:type="paragraph" w:customStyle="1" w:styleId="Naslovpredpisa">
    <w:name w:val="Naslov_predpisa"/>
    <w:basedOn w:val="Navaden"/>
    <w:link w:val="NaslovpredpisaZnak"/>
    <w:qFormat/>
    <w:rsid w:val="00657ACB"/>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
    <w:name w:val="Naslov_predpisa Znak"/>
    <w:link w:val="Naslovpredpisa"/>
    <w:rsid w:val="00657ACB"/>
    <w:rPr>
      <w:rFonts w:ascii="Arial" w:hAnsi="Arial" w:cs="Arial"/>
      <w:b/>
      <w:sz w:val="24"/>
      <w:szCs w:val="24"/>
    </w:rPr>
  </w:style>
  <w:style w:type="paragraph" w:customStyle="1" w:styleId="Neotevilenodstavek">
    <w:name w:val="Neoštevilčen odstavek"/>
    <w:basedOn w:val="Navaden"/>
    <w:link w:val="NeotevilenodstavekZnak"/>
    <w:qFormat/>
    <w:rsid w:val="00657ACB"/>
    <w:pPr>
      <w:overflowPunct w:val="0"/>
      <w:autoSpaceDE w:val="0"/>
      <w:autoSpaceDN w:val="0"/>
      <w:adjustRightInd w:val="0"/>
      <w:spacing w:before="60" w:after="60" w:line="200" w:lineRule="exact"/>
      <w:jc w:val="both"/>
      <w:textAlignment w:val="baseline"/>
    </w:pPr>
    <w:rPr>
      <w:rFonts w:cs="Arial"/>
      <w:sz w:val="24"/>
      <w:lang w:val="sl-SI" w:eastAsia="sl-SI"/>
    </w:rPr>
  </w:style>
  <w:style w:type="character" w:customStyle="1" w:styleId="NeotevilenodstavekZnak">
    <w:name w:val="Neoštevilčen odstavek Znak"/>
    <w:link w:val="Neotevilenodstavek"/>
    <w:rsid w:val="00657ACB"/>
    <w:rPr>
      <w:rFonts w:ascii="Arial" w:hAnsi="Arial" w:cs="Arial"/>
      <w:sz w:val="24"/>
      <w:szCs w:val="24"/>
    </w:rPr>
  </w:style>
  <w:style w:type="paragraph" w:styleId="Odstavekseznama">
    <w:name w:val="List Paragraph"/>
    <w:basedOn w:val="Navaden"/>
    <w:uiPriority w:val="34"/>
    <w:qFormat/>
    <w:rsid w:val="00D03029"/>
    <w:pPr>
      <w:ind w:left="720"/>
      <w:contextualSpacing/>
    </w:pPr>
  </w:style>
  <w:style w:type="paragraph" w:styleId="Revizija">
    <w:name w:val="Revision"/>
    <w:hidden/>
    <w:uiPriority w:val="99"/>
    <w:semiHidden/>
    <w:rsid w:val="00507B5D"/>
    <w:rPr>
      <w:rFonts w:ascii="Arial" w:hAnsi="Arial"/>
      <w:szCs w:val="24"/>
      <w:lang w:val="en-US" w:eastAsia="en-US"/>
    </w:rPr>
  </w:style>
  <w:style w:type="character" w:styleId="Nerazreenaomemba">
    <w:name w:val="Unresolved Mention"/>
    <w:basedOn w:val="Privzetapisavaodstavka"/>
    <w:uiPriority w:val="99"/>
    <w:semiHidden/>
    <w:unhideWhenUsed/>
    <w:rsid w:val="00507B5D"/>
    <w:rPr>
      <w:color w:val="605E5C"/>
      <w:shd w:val="clear" w:color="auto" w:fill="E1DFDD"/>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Znak Znak Znak Char"/>
    <w:basedOn w:val="Navaden"/>
    <w:link w:val="Sprotnaopomba-besediloZnak"/>
    <w:uiPriority w:val="99"/>
    <w:unhideWhenUsed/>
    <w:rsid w:val="00EE338F"/>
    <w:pPr>
      <w:spacing w:line="240" w:lineRule="auto"/>
    </w:pPr>
    <w:rPr>
      <w:rFonts w:asciiTheme="minorHAnsi" w:eastAsiaTheme="minorHAnsi" w:hAnsiTheme="minorHAnsi" w:cstheme="minorBidi"/>
      <w:kern w:val="2"/>
      <w:szCs w:val="20"/>
      <w:lang w:val="sl-SI"/>
      <w14:ligatures w14:val="standardContextual"/>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basedOn w:val="Privzetapisavaodstavka"/>
    <w:link w:val="Sprotnaopomba-besedilo"/>
    <w:uiPriority w:val="99"/>
    <w:rsid w:val="00EE338F"/>
    <w:rPr>
      <w:rFonts w:asciiTheme="minorHAnsi" w:eastAsiaTheme="minorHAnsi" w:hAnsiTheme="minorHAnsi" w:cstheme="minorBidi"/>
      <w:kern w:val="2"/>
      <w:lang w:eastAsia="en-US"/>
      <w14:ligatures w14:val="standardContextual"/>
    </w:rPr>
  </w:style>
  <w:style w:type="character" w:styleId="Sprotnaopomba-sklic">
    <w:name w:val="footnote reference"/>
    <w:aliases w:val="Footnotes refss,callout,Fussnota,Footnote symbol,BVI fnr,16 Point,Superscript 6 Point,nota pié di pagina"/>
    <w:basedOn w:val="Privzetapisavaodstavka"/>
    <w:uiPriority w:val="99"/>
    <w:unhideWhenUsed/>
    <w:rsid w:val="00EE3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2178</Words>
  <Characters>13560</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Mojca Lobnik</dc:creator>
  <cp:keywords/>
  <cp:lastModifiedBy>Kristina Klinc</cp:lastModifiedBy>
  <cp:revision>2</cp:revision>
  <cp:lastPrinted>2025-09-30T09:37:00Z</cp:lastPrinted>
  <dcterms:created xsi:type="dcterms:W3CDTF">2025-10-14T08:14:00Z</dcterms:created>
  <dcterms:modified xsi:type="dcterms:W3CDTF">2025-10-14T08:14:00Z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1a26f2f0-b352-480c-9e9c-1a925cb679e0</vt:lpwstr>
  </property>
</Properties>
</file>