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9E10A8" w:rsidRPr="00131B28" w:rsidP="00A66A70" w14:paraId="13AF0792" w14:textId="6B3B25EE">
      <w:pPr>
        <w:pStyle w:val="Odstavekseznama1"/>
        <w:spacing w:line="260" w:lineRule="exact"/>
        <w:ind w:left="0"/>
        <w:jc w:val="right"/>
        <w:rPr>
          <w:rFonts w:ascii="Arial" w:hAnsi="Arial" w:cs="Arial"/>
          <w:b/>
          <w:sz w:val="20"/>
          <w:szCs w:val="20"/>
        </w:rPr>
      </w:pPr>
      <w:r>
        <w:rPr>
          <w:rFonts w:ascii="Arial" w:hAnsi="Arial" w:cs="Arial"/>
          <w:b/>
          <w:sz w:val="20"/>
          <w:szCs w:val="20"/>
        </w:rPr>
        <w:t>PREDLOG</w: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648"/>
        <w:gridCol w:w="796"/>
        <w:gridCol w:w="2271"/>
      </w:tblGrid>
      <w:tr w14:paraId="7E84D985" w14:textId="77777777" w:rsidTr="00FB3C81">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2"/>
          <w:wAfter w:w="3067" w:type="dxa"/>
        </w:trPr>
        <w:tc>
          <w:tcPr>
            <w:tcW w:w="6096" w:type="dxa"/>
            <w:gridSpan w:val="2"/>
          </w:tcPr>
          <w:p w:rsidR="009F1E59" w:rsidRPr="00131B28" w:rsidP="00AB65D9" w14:paraId="3CC22150" w14:textId="77777777">
            <w:pPr>
              <w:pStyle w:val="datumtevilka"/>
            </w:pPr>
            <w:r w:rsidRPr="00131B28">
              <w:t xml:space="preserve">Številka: </w:t>
            </w:r>
            <w:bookmarkStart w:id="0" w:name="Klasifikacija"/>
            <w:r w:rsidRPr="00131B28">
              <w:t>801-10/2025-133</w:t>
            </w:r>
            <w:bookmarkEnd w:id="0"/>
          </w:p>
        </w:tc>
      </w:tr>
      <w:tr w14:paraId="278A7E1F" w14:textId="77777777" w:rsidTr="00FB3C81">
        <w:tblPrEx>
          <w:tblW w:w="9163" w:type="dxa"/>
          <w:tblInd w:w="108" w:type="dxa"/>
          <w:tblLook w:val="04A0"/>
        </w:tblPrEx>
        <w:trPr>
          <w:gridAfter w:val="2"/>
          <w:wAfter w:w="3067" w:type="dxa"/>
        </w:trPr>
        <w:tc>
          <w:tcPr>
            <w:tcW w:w="6096" w:type="dxa"/>
            <w:gridSpan w:val="2"/>
          </w:tcPr>
          <w:p w:rsidR="009F1E59" w:rsidRPr="00131B28" w:rsidP="00AB65D9" w14:paraId="4999ACE4" w14:textId="77777777">
            <w:pPr>
              <w:pStyle w:val="datumtevilka"/>
            </w:pPr>
            <w:r w:rsidRPr="00131B28">
              <w:t xml:space="preserve">Ljubljana, dne </w:t>
            </w:r>
            <w:bookmarkStart w:id="1" w:name="DatumDokumenta"/>
            <w:r w:rsidRPr="00131B28">
              <w:t>03. 02. 2026</w:t>
            </w:r>
            <w:bookmarkEnd w:id="1"/>
          </w:p>
        </w:tc>
      </w:tr>
      <w:tr w14:paraId="53CCC1DA"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07153632" w14:textId="77777777">
            <w:pPr>
              <w:pStyle w:val="Neotevilenodstavek"/>
              <w:spacing w:before="0" w:after="0" w:line="260" w:lineRule="exact"/>
              <w:jc w:val="left"/>
              <w:rPr>
                <w:sz w:val="20"/>
                <w:szCs w:val="20"/>
              </w:rPr>
            </w:pPr>
            <w:r w:rsidRPr="00131B28">
              <w:rPr>
                <w:iCs/>
                <w:sz w:val="20"/>
                <w:szCs w:val="20"/>
              </w:rPr>
              <w:t>EVA (če se akt objavi v Uradnem listu RS)</w:t>
            </w:r>
          </w:p>
        </w:tc>
      </w:tr>
      <w:tr w14:paraId="04B2F2F1"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7135B00B" w14:textId="77777777">
            <w:pPr>
              <w:spacing w:after="0" w:line="260" w:lineRule="exact"/>
              <w:rPr>
                <w:rFonts w:ascii="Arial" w:hAnsi="Arial" w:cs="Arial"/>
                <w:sz w:val="20"/>
                <w:szCs w:val="20"/>
              </w:rPr>
            </w:pPr>
          </w:p>
          <w:p w:rsidR="00FB3C81" w:rsidRPr="00131B28" w:rsidP="002C278B" w14:paraId="33AF8CC2" w14:textId="77777777">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rsidR="00FB3C81" w:rsidRPr="00131B28" w:rsidP="002C278B" w14:paraId="70B7C491" w14:textId="77777777">
            <w:pPr>
              <w:spacing w:after="0" w:line="260" w:lineRule="exact"/>
              <w:rPr>
                <w:rFonts w:ascii="Arial" w:hAnsi="Arial" w:cs="Arial"/>
                <w:b/>
                <w:sz w:val="20"/>
                <w:szCs w:val="20"/>
              </w:rPr>
            </w:pPr>
            <w:hyperlink r:id="rId5" w:history="1">
              <w:r w:rsidRPr="00131B28" w:rsidR="00EC1D65">
                <w:rPr>
                  <w:rStyle w:val="Hyperlink"/>
                  <w:rFonts w:ascii="Arial" w:hAnsi="Arial" w:cs="Arial"/>
                  <w:b/>
                  <w:sz w:val="20"/>
                  <w:szCs w:val="20"/>
                </w:rPr>
                <w:t>gp.gs@gov.si</w:t>
              </w:r>
            </w:hyperlink>
          </w:p>
          <w:p w:rsidR="00FB3C81" w:rsidRPr="00131B28" w:rsidP="002C278B" w14:paraId="54FCE390" w14:textId="77777777">
            <w:pPr>
              <w:spacing w:after="0" w:line="260" w:lineRule="exact"/>
              <w:rPr>
                <w:rFonts w:ascii="Arial" w:hAnsi="Arial" w:cs="Arial"/>
                <w:sz w:val="20"/>
                <w:szCs w:val="20"/>
              </w:rPr>
            </w:pPr>
          </w:p>
        </w:tc>
      </w:tr>
      <w:tr w14:paraId="172D5F61" w14:textId="77777777" w:rsidTr="00FB3C81">
        <w:tblPrEx>
          <w:tblW w:w="9163" w:type="dxa"/>
          <w:tblInd w:w="108" w:type="dxa"/>
          <w:tblLook w:val="04A0"/>
        </w:tblPrEx>
        <w:tc>
          <w:tcPr>
            <w:tcW w:w="9163" w:type="dxa"/>
            <w:gridSpan w:val="4"/>
          </w:tcPr>
          <w:p w:rsidR="00FB3C81" w:rsidRPr="00131B28" w:rsidP="00A66A70" w14:paraId="601EC30B" w14:textId="16F2E308">
            <w:pPr>
              <w:pStyle w:val="Naslovpredpisa"/>
              <w:spacing w:before="0" w:after="0" w:line="260" w:lineRule="exact"/>
              <w:jc w:val="both"/>
              <w:rPr>
                <w:sz w:val="20"/>
                <w:szCs w:val="20"/>
              </w:rPr>
            </w:pPr>
            <w:r w:rsidRPr="00131B28">
              <w:rPr>
                <w:sz w:val="20"/>
                <w:szCs w:val="20"/>
              </w:rPr>
              <w:t xml:space="preserve">ZADEVA: </w:t>
            </w:r>
            <w:r w:rsidRPr="00F129F1" w:rsidR="00A66A70">
              <w:rPr>
                <w:color w:val="000000" w:themeColor="text1"/>
                <w:sz w:val="20"/>
                <w:szCs w:val="20"/>
              </w:rPr>
              <w:t xml:space="preserve">Soglasje k promocijskim aktivnostim za </w:t>
            </w:r>
            <w:r w:rsidRPr="005C30ED" w:rsidR="00A66A70">
              <w:rPr>
                <w:color w:val="000000" w:themeColor="text1"/>
                <w:sz w:val="20"/>
                <w:szCs w:val="20"/>
              </w:rPr>
              <w:t xml:space="preserve">krepitev odpornosti države, družbe in posameznika v </w:t>
            </w:r>
            <w:r w:rsidR="00A66A70">
              <w:rPr>
                <w:color w:val="000000" w:themeColor="text1"/>
                <w:sz w:val="20"/>
                <w:szCs w:val="20"/>
              </w:rPr>
              <w:t>letu</w:t>
            </w:r>
            <w:r w:rsidRPr="005C30ED" w:rsidR="00A66A70">
              <w:rPr>
                <w:color w:val="000000" w:themeColor="text1"/>
                <w:sz w:val="20"/>
                <w:szCs w:val="20"/>
              </w:rPr>
              <w:t xml:space="preserve"> 2026</w:t>
            </w:r>
            <w:r w:rsidR="00A66A70">
              <w:rPr>
                <w:color w:val="000000" w:themeColor="text1"/>
                <w:sz w:val="20"/>
                <w:szCs w:val="20"/>
              </w:rPr>
              <w:t xml:space="preserve"> </w:t>
            </w:r>
            <w:r w:rsidRPr="00131B28">
              <w:rPr>
                <w:sz w:val="20"/>
                <w:szCs w:val="20"/>
              </w:rPr>
              <w:t>– predlog za obravnavo</w:t>
            </w:r>
          </w:p>
        </w:tc>
      </w:tr>
      <w:tr w14:paraId="148EE070" w14:textId="77777777" w:rsidTr="00FB3C81">
        <w:tblPrEx>
          <w:tblW w:w="9163" w:type="dxa"/>
          <w:tblInd w:w="108" w:type="dxa"/>
          <w:tblLook w:val="04A0"/>
        </w:tblPrEx>
        <w:tc>
          <w:tcPr>
            <w:tcW w:w="9163" w:type="dxa"/>
            <w:gridSpan w:val="4"/>
          </w:tcPr>
          <w:p w:rsidR="00FB3C81" w:rsidRPr="00131B28" w:rsidP="002C278B" w14:paraId="42B0D2AC" w14:textId="77777777">
            <w:pPr>
              <w:pStyle w:val="Poglavje"/>
              <w:spacing w:before="0" w:after="0" w:line="260" w:lineRule="exact"/>
              <w:jc w:val="left"/>
              <w:rPr>
                <w:sz w:val="20"/>
                <w:szCs w:val="20"/>
              </w:rPr>
            </w:pPr>
            <w:r w:rsidRPr="00131B28">
              <w:rPr>
                <w:sz w:val="20"/>
                <w:szCs w:val="20"/>
              </w:rPr>
              <w:t>1. Predlog sklepov vlade:</w:t>
            </w:r>
          </w:p>
        </w:tc>
      </w:tr>
      <w:tr w14:paraId="369745F7" w14:textId="77777777" w:rsidTr="00FB3C81">
        <w:tblPrEx>
          <w:tblW w:w="9163" w:type="dxa"/>
          <w:tblInd w:w="108" w:type="dxa"/>
          <w:tblLook w:val="04A0"/>
        </w:tblPrEx>
        <w:tc>
          <w:tcPr>
            <w:tcW w:w="9163" w:type="dxa"/>
            <w:gridSpan w:val="4"/>
          </w:tcPr>
          <w:p w:rsidR="00A66A70" w:rsidRPr="00F129F1" w:rsidP="00A66A70" w14:paraId="70F63CF2" w14:textId="3BD42C08">
            <w:pPr>
              <w:spacing w:before="60" w:after="0"/>
              <w:ind w:right="249"/>
              <w:jc w:val="both"/>
              <w:rPr>
                <w:rFonts w:ascii="Arial" w:eastAsia="Times New Roman" w:hAnsi="Arial" w:cs="Arial"/>
                <w:color w:val="000000" w:themeColor="text1"/>
                <w:sz w:val="20"/>
                <w:szCs w:val="20"/>
                <w:lang w:eastAsia="sl-SI"/>
              </w:rPr>
            </w:pPr>
            <w:r w:rsidRPr="00F129F1">
              <w:rPr>
                <w:rFonts w:ascii="Arial" w:eastAsia="Times New Roman" w:hAnsi="Arial" w:cs="Arial"/>
                <w:color w:val="000000" w:themeColor="text1"/>
                <w:sz w:val="20"/>
                <w:szCs w:val="20"/>
                <w:lang w:eastAsia="sl-SI"/>
              </w:rPr>
              <w:t>Na podlagi 21. člena Zakona o Vladi Republike Sloven</w:t>
            </w:r>
            <w:r>
              <w:rPr>
                <w:rFonts w:ascii="Arial" w:eastAsia="Times New Roman" w:hAnsi="Arial" w:cs="Arial"/>
                <w:color w:val="000000" w:themeColor="text1"/>
                <w:sz w:val="20"/>
                <w:szCs w:val="20"/>
                <w:lang w:eastAsia="sl-SI"/>
              </w:rPr>
              <w:t xml:space="preserve">ije (Uradni list RS, št. 24/05 – </w:t>
            </w:r>
            <w:r w:rsidRPr="00F129F1">
              <w:rPr>
                <w:rFonts w:ascii="Arial" w:eastAsia="Times New Roman" w:hAnsi="Arial" w:cs="Arial"/>
                <w:color w:val="000000" w:themeColor="text1"/>
                <w:sz w:val="20"/>
                <w:szCs w:val="20"/>
                <w:lang w:eastAsia="sl-SI"/>
              </w:rPr>
              <w:t>uradno prečišč</w:t>
            </w:r>
            <w:r>
              <w:rPr>
                <w:rFonts w:ascii="Arial" w:eastAsia="Times New Roman" w:hAnsi="Arial" w:cs="Arial"/>
                <w:color w:val="000000" w:themeColor="text1"/>
                <w:sz w:val="20"/>
                <w:szCs w:val="20"/>
                <w:lang w:eastAsia="sl-SI"/>
              </w:rPr>
              <w:t>eno besedilo, 109/08, 38/10 – ZUK</w:t>
            </w:r>
            <w:r w:rsidRPr="00F129F1">
              <w:rPr>
                <w:rFonts w:ascii="Arial" w:eastAsia="Times New Roman" w:hAnsi="Arial" w:cs="Arial"/>
                <w:color w:val="000000" w:themeColor="text1"/>
                <w:sz w:val="20"/>
                <w:szCs w:val="20"/>
                <w:lang w:eastAsia="sl-SI"/>
              </w:rPr>
              <w:t xml:space="preserve">N, 8/12, 21/13, 47/13 </w:t>
            </w:r>
            <w:r>
              <w:rPr>
                <w:rFonts w:ascii="Arial" w:eastAsia="Times New Roman" w:hAnsi="Arial" w:cs="Arial"/>
                <w:color w:val="000000" w:themeColor="text1"/>
                <w:sz w:val="20"/>
                <w:szCs w:val="20"/>
                <w:lang w:eastAsia="sl-SI"/>
              </w:rPr>
              <w:t xml:space="preserve">– </w:t>
            </w:r>
            <w:r w:rsidR="00C06B6E">
              <w:rPr>
                <w:rFonts w:ascii="Arial" w:eastAsia="Times New Roman" w:hAnsi="Arial" w:cs="Arial"/>
                <w:color w:val="000000" w:themeColor="text1"/>
                <w:sz w:val="20"/>
                <w:szCs w:val="20"/>
                <w:lang w:eastAsia="sl-SI"/>
              </w:rPr>
              <w:t>ZDU-1G, 65/14, 55/17,</w:t>
            </w:r>
            <w:r w:rsidRPr="00F129F1">
              <w:rPr>
                <w:rFonts w:ascii="Arial" w:eastAsia="Times New Roman" w:hAnsi="Arial" w:cs="Arial"/>
                <w:color w:val="000000" w:themeColor="text1"/>
                <w:sz w:val="20"/>
                <w:szCs w:val="20"/>
                <w:lang w:eastAsia="sl-SI"/>
              </w:rPr>
              <w:t xml:space="preserve"> 163/22</w:t>
            </w:r>
            <w:r w:rsidR="00C06B6E">
              <w:rPr>
                <w:rFonts w:ascii="Arial" w:eastAsia="Times New Roman" w:hAnsi="Arial" w:cs="Arial"/>
                <w:color w:val="000000" w:themeColor="text1"/>
                <w:sz w:val="20"/>
                <w:szCs w:val="20"/>
                <w:lang w:eastAsia="sl-SI"/>
              </w:rPr>
              <w:t xml:space="preserve"> in 57/25 – ZF</w:t>
            </w:r>
            <w:r w:rsidRPr="00F129F1">
              <w:rPr>
                <w:rFonts w:ascii="Arial" w:eastAsia="Times New Roman" w:hAnsi="Arial" w:cs="Arial"/>
                <w:color w:val="000000" w:themeColor="text1"/>
                <w:sz w:val="20"/>
                <w:szCs w:val="20"/>
                <w:lang w:eastAsia="sl-SI"/>
              </w:rPr>
              <w:t xml:space="preserve">) </w:t>
            </w:r>
            <w:r w:rsidRPr="00F129F1">
              <w:rPr>
                <w:rFonts w:ascii="Arial" w:hAnsi="Arial" w:cs="Arial"/>
                <w:color w:val="000000" w:themeColor="text1"/>
                <w:sz w:val="20"/>
                <w:szCs w:val="20"/>
              </w:rPr>
              <w:t xml:space="preserve">in 3. točke Sklepa Vlade Republike Slovenije št. 00700-24/2023/6 z dne 7. 12. 2023 </w:t>
            </w:r>
            <w:r w:rsidRPr="00F129F1">
              <w:rPr>
                <w:rFonts w:ascii="Arial" w:eastAsia="Times New Roman" w:hAnsi="Arial" w:cs="Arial"/>
                <w:iCs/>
                <w:color w:val="000000" w:themeColor="text1"/>
                <w:sz w:val="20"/>
                <w:szCs w:val="20"/>
                <w:lang w:eastAsia="sl-SI"/>
              </w:rPr>
              <w:t xml:space="preserve">je Vlada Republike Slovenije na ___ redni seji dne ___________ pod ___ točko dnevnega reda sprejela </w:t>
            </w:r>
          </w:p>
          <w:p w:rsidR="00A66A70" w:rsidRPr="00F129F1" w:rsidP="00A66A70" w14:paraId="318D0195" w14:textId="77777777">
            <w:pPr>
              <w:overflowPunct w:val="0"/>
              <w:autoSpaceDE w:val="0"/>
              <w:autoSpaceDN w:val="0"/>
              <w:adjustRightInd w:val="0"/>
              <w:spacing w:before="60" w:after="60"/>
              <w:ind w:left="34" w:hanging="34"/>
              <w:jc w:val="both"/>
              <w:textAlignment w:val="baseline"/>
              <w:rPr>
                <w:rFonts w:ascii="Arial" w:eastAsia="Times New Roman" w:hAnsi="Arial" w:cs="Arial"/>
                <w:iCs/>
                <w:color w:val="000000" w:themeColor="text1"/>
                <w:sz w:val="20"/>
                <w:szCs w:val="20"/>
                <w:lang w:eastAsia="sl-SI"/>
              </w:rPr>
            </w:pPr>
          </w:p>
          <w:p w:rsidR="00A66A70" w:rsidP="00A66A70" w14:paraId="6D84FB82" w14:textId="2734D053">
            <w:pPr>
              <w:overflowPunct w:val="0"/>
              <w:autoSpaceDE w:val="0"/>
              <w:autoSpaceDN w:val="0"/>
              <w:adjustRightInd w:val="0"/>
              <w:spacing w:before="60" w:after="60"/>
              <w:ind w:left="34" w:hanging="34"/>
              <w:jc w:val="center"/>
              <w:textAlignment w:val="baseline"/>
              <w:rPr>
                <w:rFonts w:ascii="Arial" w:eastAsia="Times New Roman" w:hAnsi="Arial" w:cs="Arial"/>
                <w:bCs/>
                <w:iCs/>
                <w:color w:val="000000" w:themeColor="text1"/>
                <w:sz w:val="20"/>
                <w:szCs w:val="20"/>
                <w:lang w:eastAsia="sl-SI"/>
              </w:rPr>
            </w:pPr>
            <w:r w:rsidRPr="00F129F1">
              <w:rPr>
                <w:rFonts w:ascii="Arial" w:eastAsia="Times New Roman" w:hAnsi="Arial" w:cs="Arial"/>
                <w:bCs/>
                <w:iCs/>
                <w:color w:val="000000" w:themeColor="text1"/>
                <w:sz w:val="20"/>
                <w:szCs w:val="20"/>
                <w:lang w:eastAsia="sl-SI"/>
              </w:rPr>
              <w:t>S K L E P</w:t>
            </w:r>
          </w:p>
          <w:p w:rsidR="00A66A70" w:rsidRPr="00A66A70" w:rsidP="00A66A70" w14:paraId="29C6FC61" w14:textId="77777777">
            <w:pPr>
              <w:overflowPunct w:val="0"/>
              <w:autoSpaceDE w:val="0"/>
              <w:autoSpaceDN w:val="0"/>
              <w:adjustRightInd w:val="0"/>
              <w:spacing w:before="60" w:after="60"/>
              <w:ind w:left="34" w:hanging="34"/>
              <w:textAlignment w:val="baseline"/>
              <w:rPr>
                <w:rFonts w:ascii="Arial" w:eastAsia="Times New Roman" w:hAnsi="Arial" w:cs="Arial"/>
                <w:bCs/>
                <w:iCs/>
                <w:color w:val="000000" w:themeColor="text1"/>
                <w:sz w:val="20"/>
                <w:szCs w:val="20"/>
                <w:lang w:eastAsia="sl-SI"/>
              </w:rPr>
            </w:pPr>
          </w:p>
          <w:p w:rsidR="00A66A70" w:rsidP="00A66A70" w14:paraId="3623A3E2" w14:textId="67F3C616">
            <w:pPr>
              <w:jc w:val="both"/>
              <w:rPr>
                <w:rFonts w:ascii="Arial" w:hAnsi="Arial" w:cs="Arial"/>
                <w:color w:val="000000" w:themeColor="text1"/>
                <w:sz w:val="20"/>
                <w:szCs w:val="20"/>
              </w:rPr>
            </w:pPr>
            <w:r w:rsidRPr="00F129F1">
              <w:rPr>
                <w:rFonts w:ascii="Arial" w:hAnsi="Arial" w:cs="Arial"/>
                <w:color w:val="000000" w:themeColor="text1"/>
                <w:sz w:val="20"/>
                <w:szCs w:val="20"/>
              </w:rPr>
              <w:t>Vlada Republike Slovenije je izdala soglasje k načrtovanim promocij</w:t>
            </w:r>
            <w:r>
              <w:rPr>
                <w:rFonts w:ascii="Arial" w:hAnsi="Arial" w:cs="Arial"/>
                <w:color w:val="000000" w:themeColor="text1"/>
                <w:sz w:val="20"/>
                <w:szCs w:val="20"/>
              </w:rPr>
              <w:t>skim aktivnostim za krepitev odpornosti države, družbe in posameznika v letu 2026.</w:t>
            </w:r>
          </w:p>
          <w:p w:rsidR="00A66A70" w:rsidRPr="00F129F1" w:rsidP="00A66A70" w14:paraId="1052EC2C" w14:textId="77777777">
            <w:pPr>
              <w:pStyle w:val="Poglavje"/>
              <w:spacing w:before="0" w:after="0" w:line="276" w:lineRule="auto"/>
              <w:jc w:val="both"/>
              <w:rPr>
                <w:b w:val="0"/>
                <w:color w:val="000000" w:themeColor="text1"/>
                <w:sz w:val="20"/>
                <w:szCs w:val="20"/>
              </w:rPr>
            </w:pPr>
          </w:p>
          <w:tbl>
            <w:tblPr>
              <w:tblW w:w="0" w:type="auto"/>
              <w:tblInd w:w="108" w:type="dxa"/>
              <w:tblLook w:val="01E0"/>
            </w:tblPr>
            <w:tblGrid>
              <w:gridCol w:w="8715"/>
            </w:tblGrid>
            <w:tr w14:paraId="4B8D37E0" w14:textId="77777777" w:rsidTr="00B12D80">
              <w:tblPrEx>
                <w:tblW w:w="0" w:type="auto"/>
                <w:tblInd w:w="108" w:type="dxa"/>
                <w:tblLook w:val="01E0"/>
              </w:tblPrEx>
              <w:tc>
                <w:tcPr>
                  <w:tcW w:w="8715" w:type="dxa"/>
                </w:tcPr>
                <w:p w:rsidR="00A66A70" w:rsidRPr="00A66A70" w:rsidP="00A66A70" w14:paraId="6BFBC724" w14:textId="588E7431">
                  <w:pPr>
                    <w:pStyle w:val="Poglavje"/>
                    <w:spacing w:before="0" w:after="0" w:line="276" w:lineRule="auto"/>
                    <w:ind w:left="2832"/>
                    <w:rPr>
                      <w:b w:val="0"/>
                      <w:color w:val="000000" w:themeColor="text1"/>
                      <w:sz w:val="20"/>
                      <w:szCs w:val="20"/>
                    </w:rPr>
                  </w:pPr>
                  <w:r w:rsidRPr="00A66A70">
                    <w:rPr>
                      <w:b w:val="0"/>
                      <w:color w:val="000000" w:themeColor="text1"/>
                      <w:sz w:val="20"/>
                      <w:szCs w:val="20"/>
                    </w:rPr>
                    <w:t>Barbara Kolenko Helbl</w:t>
                  </w:r>
                </w:p>
                <w:p w:rsidR="00A66A70" w:rsidRPr="00A66A70" w:rsidP="00A66A70" w14:paraId="351396CE" w14:textId="22ACC1AB">
                  <w:pPr>
                    <w:pStyle w:val="Poglavje"/>
                    <w:spacing w:before="0" w:after="0" w:line="276" w:lineRule="auto"/>
                    <w:ind w:left="3578" w:hanging="720"/>
                    <w:rPr>
                      <w:b w:val="0"/>
                      <w:color w:val="000000" w:themeColor="text1"/>
                      <w:sz w:val="20"/>
                      <w:szCs w:val="20"/>
                    </w:rPr>
                  </w:pPr>
                  <w:r w:rsidRPr="00A66A70">
                    <w:rPr>
                      <w:b w:val="0"/>
                      <w:color w:val="000000" w:themeColor="text1"/>
                      <w:sz w:val="20"/>
                      <w:szCs w:val="20"/>
                    </w:rPr>
                    <w:t>generalna sekretarka</w:t>
                  </w:r>
                </w:p>
              </w:tc>
            </w:tr>
          </w:tbl>
          <w:p w:rsidR="00A66A70" w:rsidRPr="00F129F1" w:rsidP="00A66A70" w14:paraId="03A55A74" w14:textId="77777777">
            <w:pPr>
              <w:spacing w:before="60" w:after="60"/>
              <w:jc w:val="both"/>
              <w:rPr>
                <w:rFonts w:ascii="Arial" w:eastAsia="Times New Roman" w:hAnsi="Arial" w:cs="Arial"/>
                <w:color w:val="000000" w:themeColor="text1"/>
                <w:sz w:val="20"/>
                <w:szCs w:val="20"/>
              </w:rPr>
            </w:pPr>
          </w:p>
          <w:p w:rsidR="00A66A70" w:rsidRPr="00F129F1" w:rsidP="00A66A70" w14:paraId="798BD1F4" w14:textId="77777777">
            <w:pPr>
              <w:spacing w:before="60" w:after="60"/>
              <w:jc w:val="both"/>
              <w:rPr>
                <w:rFonts w:ascii="Arial" w:eastAsia="Times New Roman" w:hAnsi="Arial" w:cs="Arial"/>
                <w:color w:val="000000" w:themeColor="text1"/>
                <w:sz w:val="20"/>
                <w:szCs w:val="20"/>
              </w:rPr>
            </w:pPr>
            <w:r w:rsidRPr="00F129F1">
              <w:rPr>
                <w:rFonts w:ascii="Arial" w:eastAsia="Times New Roman" w:hAnsi="Arial" w:cs="Arial"/>
                <w:color w:val="000000" w:themeColor="text1"/>
                <w:sz w:val="20"/>
                <w:szCs w:val="20"/>
              </w:rPr>
              <w:t>Prejmejo:</w:t>
            </w:r>
          </w:p>
          <w:p w:rsidR="00A66A70" w:rsidRPr="00F129F1" w:rsidP="00A66A70" w14:paraId="0402783A" w14:textId="77777777">
            <w:pPr>
              <w:numPr>
                <w:ilvl w:val="0"/>
                <w:numId w:val="16"/>
              </w:numPr>
              <w:autoSpaceDE w:val="0"/>
              <w:autoSpaceDN w:val="0"/>
              <w:adjustRightInd w:val="0"/>
              <w:spacing w:before="60" w:after="60"/>
              <w:contextualSpacing/>
              <w:jc w:val="both"/>
              <w:rPr>
                <w:rFonts w:ascii="Arial" w:hAnsi="Arial" w:cs="Arial"/>
                <w:color w:val="000000" w:themeColor="text1"/>
                <w:sz w:val="20"/>
                <w:szCs w:val="20"/>
              </w:rPr>
            </w:pPr>
            <w:r w:rsidRPr="00F129F1">
              <w:rPr>
                <w:rFonts w:ascii="Arial" w:hAnsi="Arial" w:cs="Arial"/>
                <w:color w:val="000000" w:themeColor="text1"/>
                <w:sz w:val="20"/>
                <w:szCs w:val="20"/>
              </w:rPr>
              <w:t>Generalni sekretariat Vlade Republike Slovenije,</w:t>
            </w:r>
          </w:p>
          <w:p w:rsidR="00A66A70" w:rsidP="00A66A70" w14:paraId="71128524" w14:textId="2CFDFF38">
            <w:pPr>
              <w:numPr>
                <w:ilvl w:val="0"/>
                <w:numId w:val="16"/>
              </w:numPr>
              <w:autoSpaceDE w:val="0"/>
              <w:autoSpaceDN w:val="0"/>
              <w:adjustRightInd w:val="0"/>
              <w:spacing w:before="60" w:after="60"/>
              <w:contextualSpacing/>
              <w:jc w:val="both"/>
              <w:rPr>
                <w:rFonts w:ascii="Arial" w:hAnsi="Arial" w:cs="Arial"/>
                <w:color w:val="000000" w:themeColor="text1"/>
                <w:sz w:val="20"/>
                <w:szCs w:val="20"/>
              </w:rPr>
            </w:pPr>
            <w:r w:rsidRPr="00F129F1">
              <w:rPr>
                <w:rFonts w:ascii="Arial" w:hAnsi="Arial" w:cs="Arial"/>
                <w:color w:val="000000" w:themeColor="text1"/>
                <w:sz w:val="20"/>
                <w:szCs w:val="20"/>
              </w:rPr>
              <w:t>Ministrstvo za obrambo</w:t>
            </w:r>
            <w:r>
              <w:rPr>
                <w:rFonts w:ascii="Arial" w:hAnsi="Arial" w:cs="Arial"/>
                <w:color w:val="000000" w:themeColor="text1"/>
                <w:sz w:val="20"/>
                <w:szCs w:val="20"/>
              </w:rPr>
              <w:t>,</w:t>
            </w:r>
          </w:p>
          <w:p w:rsidR="00FB3C81" w:rsidRPr="00A66A70" w:rsidP="00A66A70" w14:paraId="5C6F5831" w14:textId="374D568C">
            <w:pPr>
              <w:numPr>
                <w:ilvl w:val="0"/>
                <w:numId w:val="16"/>
              </w:numPr>
              <w:autoSpaceDE w:val="0"/>
              <w:autoSpaceDN w:val="0"/>
              <w:adjustRightInd w:val="0"/>
              <w:spacing w:before="60" w:after="60"/>
              <w:contextualSpacing/>
              <w:jc w:val="both"/>
              <w:rPr>
                <w:rFonts w:ascii="Arial" w:hAnsi="Arial" w:cs="Arial"/>
                <w:color w:val="000000" w:themeColor="text1"/>
                <w:sz w:val="20"/>
                <w:szCs w:val="20"/>
              </w:rPr>
            </w:pPr>
            <w:r w:rsidRPr="00A66A70">
              <w:rPr>
                <w:rFonts w:ascii="Arial" w:hAnsi="Arial" w:cs="Arial"/>
                <w:color w:val="000000" w:themeColor="text1"/>
                <w:sz w:val="20"/>
                <w:szCs w:val="20"/>
              </w:rPr>
              <w:t>Urad Vlade Republike Slovenije za komuniciranje.</w:t>
            </w:r>
          </w:p>
        </w:tc>
      </w:tr>
      <w:tr w14:paraId="6596AD4F" w14:textId="77777777" w:rsidTr="00FB3C81">
        <w:tblPrEx>
          <w:tblW w:w="9163" w:type="dxa"/>
          <w:tblInd w:w="108" w:type="dxa"/>
          <w:tblLook w:val="04A0"/>
        </w:tblPrEx>
        <w:tc>
          <w:tcPr>
            <w:tcW w:w="9163" w:type="dxa"/>
            <w:gridSpan w:val="4"/>
          </w:tcPr>
          <w:p w:rsidR="00FB3C81" w:rsidRPr="00131B28" w:rsidP="002C278B" w14:paraId="6463D95D" w14:textId="77777777">
            <w:pPr>
              <w:pStyle w:val="Neotevilenodstavek"/>
              <w:spacing w:before="0" w:after="0" w:line="260" w:lineRule="exact"/>
              <w:rPr>
                <w:b/>
                <w:iCs/>
                <w:sz w:val="20"/>
                <w:szCs w:val="20"/>
              </w:rPr>
            </w:pPr>
            <w:r w:rsidRPr="00131B28">
              <w:rPr>
                <w:b/>
                <w:sz w:val="20"/>
                <w:szCs w:val="20"/>
              </w:rPr>
              <w:t>2. Predlog za obravnavo predloga zakona po nujnem ali skrajšanem postopku v državnem zboru z obrazložitvijo razlogov:</w:t>
            </w:r>
          </w:p>
        </w:tc>
      </w:tr>
      <w:tr w14:paraId="337C4B12" w14:textId="77777777" w:rsidTr="00FB3C81">
        <w:tblPrEx>
          <w:tblW w:w="9163" w:type="dxa"/>
          <w:tblInd w:w="108" w:type="dxa"/>
          <w:tblLook w:val="04A0"/>
        </w:tblPrEx>
        <w:tc>
          <w:tcPr>
            <w:tcW w:w="9163" w:type="dxa"/>
            <w:gridSpan w:val="4"/>
          </w:tcPr>
          <w:p w:rsidR="00FB3C81" w:rsidRPr="00131B28" w:rsidP="002C278B" w14:paraId="60839873" w14:textId="48881BBD">
            <w:pPr>
              <w:pStyle w:val="Neotevilenodstavek"/>
              <w:spacing w:before="0" w:after="0" w:line="260" w:lineRule="exact"/>
              <w:rPr>
                <w:iCs/>
                <w:sz w:val="20"/>
                <w:szCs w:val="20"/>
              </w:rPr>
            </w:pPr>
            <w:r>
              <w:rPr>
                <w:iCs/>
                <w:sz w:val="20"/>
                <w:szCs w:val="20"/>
              </w:rPr>
              <w:t>/</w:t>
            </w:r>
          </w:p>
        </w:tc>
      </w:tr>
      <w:tr w14:paraId="614313A5" w14:textId="77777777" w:rsidTr="00FB3C81">
        <w:tblPrEx>
          <w:tblW w:w="9163" w:type="dxa"/>
          <w:tblInd w:w="108" w:type="dxa"/>
          <w:tblLook w:val="04A0"/>
        </w:tblPrEx>
        <w:tc>
          <w:tcPr>
            <w:tcW w:w="9163" w:type="dxa"/>
            <w:gridSpan w:val="4"/>
          </w:tcPr>
          <w:p w:rsidR="00FB3C81" w:rsidRPr="00131B28" w:rsidP="002C278B" w14:paraId="4258BC78" w14:textId="77777777">
            <w:pPr>
              <w:pStyle w:val="Neotevilenodstavek"/>
              <w:spacing w:before="0" w:after="0" w:line="260" w:lineRule="exact"/>
              <w:rPr>
                <w:b/>
                <w:iCs/>
                <w:sz w:val="20"/>
                <w:szCs w:val="20"/>
              </w:rPr>
            </w:pPr>
            <w:r w:rsidRPr="00131B28">
              <w:rPr>
                <w:b/>
                <w:sz w:val="20"/>
                <w:szCs w:val="20"/>
              </w:rPr>
              <w:t>3.a Osebe, odgovorne za strokovno pripravo in usklajenost gradiva:</w:t>
            </w:r>
          </w:p>
        </w:tc>
      </w:tr>
      <w:tr w14:paraId="1D6DA426" w14:textId="77777777" w:rsidTr="00FB3C81">
        <w:tblPrEx>
          <w:tblW w:w="9163" w:type="dxa"/>
          <w:tblInd w:w="108" w:type="dxa"/>
          <w:tblLook w:val="04A0"/>
        </w:tblPrEx>
        <w:tc>
          <w:tcPr>
            <w:tcW w:w="9163" w:type="dxa"/>
            <w:gridSpan w:val="4"/>
          </w:tcPr>
          <w:p w:rsidR="00FB3C81" w:rsidRPr="00131B28" w:rsidP="002C278B" w14:paraId="655588CA" w14:textId="34890D67">
            <w:pPr>
              <w:pStyle w:val="Neotevilenodstavek"/>
              <w:spacing w:before="0" w:after="0" w:line="260" w:lineRule="exact"/>
              <w:rPr>
                <w:iCs/>
                <w:sz w:val="20"/>
                <w:szCs w:val="20"/>
              </w:rPr>
            </w:pPr>
            <w:r>
              <w:rPr>
                <w:iCs/>
                <w:sz w:val="20"/>
                <w:szCs w:val="20"/>
              </w:rPr>
              <w:t>Mateja Rokvič, generalna direktorica Direktorata za obrambne zadeve</w:t>
            </w:r>
            <w:r w:rsidR="00622114">
              <w:rPr>
                <w:iCs/>
                <w:sz w:val="20"/>
                <w:szCs w:val="20"/>
              </w:rPr>
              <w:t xml:space="preserve"> v Ministrstvu za obrambo</w:t>
            </w:r>
          </w:p>
        </w:tc>
      </w:tr>
      <w:tr w14:paraId="145B776D" w14:textId="77777777" w:rsidTr="00FB3C81">
        <w:tblPrEx>
          <w:tblW w:w="9163" w:type="dxa"/>
          <w:tblInd w:w="108" w:type="dxa"/>
          <w:tblLook w:val="04A0"/>
        </w:tblPrEx>
        <w:tc>
          <w:tcPr>
            <w:tcW w:w="9163" w:type="dxa"/>
            <w:gridSpan w:val="4"/>
          </w:tcPr>
          <w:p w:rsidR="00FB3C81" w:rsidRPr="00131B28" w:rsidP="002C278B" w14:paraId="123EF576" w14:textId="77777777">
            <w:pPr>
              <w:pStyle w:val="Neotevilenodstavek"/>
              <w:spacing w:before="0" w:after="0" w:line="260" w:lineRule="exact"/>
              <w:rPr>
                <w:b/>
                <w:iCs/>
                <w:sz w:val="20"/>
                <w:szCs w:val="20"/>
              </w:rPr>
            </w:pPr>
            <w:r w:rsidRPr="00131B28">
              <w:rPr>
                <w:b/>
                <w:iCs/>
                <w:sz w:val="20"/>
                <w:szCs w:val="20"/>
              </w:rPr>
              <w:t xml:space="preserve">3.b Zunanji strokovnjaki, ki so </w:t>
            </w:r>
            <w:r w:rsidRPr="00131B28">
              <w:rPr>
                <w:b/>
                <w:sz w:val="20"/>
                <w:szCs w:val="20"/>
              </w:rPr>
              <w:t>sodelovali pri pripravi dela ali celotnega gradiva:</w:t>
            </w:r>
          </w:p>
        </w:tc>
      </w:tr>
      <w:tr w14:paraId="16FEE2AA" w14:textId="77777777" w:rsidTr="00FB3C81">
        <w:tblPrEx>
          <w:tblW w:w="9163" w:type="dxa"/>
          <w:tblInd w:w="108" w:type="dxa"/>
          <w:tblLook w:val="04A0"/>
        </w:tblPrEx>
        <w:tc>
          <w:tcPr>
            <w:tcW w:w="9163" w:type="dxa"/>
            <w:gridSpan w:val="4"/>
          </w:tcPr>
          <w:p w:rsidR="00FB3C81" w:rsidRPr="00131B28" w:rsidP="001D4854" w14:paraId="124C5FAB" w14:textId="4F41C94F">
            <w:pPr>
              <w:pStyle w:val="Neotevilenodstavek"/>
              <w:spacing w:before="0" w:after="0" w:line="260" w:lineRule="exact"/>
              <w:rPr>
                <w:iCs/>
                <w:sz w:val="20"/>
                <w:szCs w:val="20"/>
              </w:rPr>
            </w:pPr>
            <w:r>
              <w:rPr>
                <w:iCs/>
                <w:sz w:val="20"/>
                <w:szCs w:val="20"/>
              </w:rPr>
              <w:t>/</w:t>
            </w:r>
          </w:p>
        </w:tc>
      </w:tr>
      <w:tr w14:paraId="7BC99865" w14:textId="77777777" w:rsidTr="00FB3C81">
        <w:tblPrEx>
          <w:tblW w:w="9163" w:type="dxa"/>
          <w:tblInd w:w="108" w:type="dxa"/>
          <w:tblLook w:val="04A0"/>
        </w:tblPrEx>
        <w:tc>
          <w:tcPr>
            <w:tcW w:w="9163" w:type="dxa"/>
            <w:gridSpan w:val="4"/>
          </w:tcPr>
          <w:p w:rsidR="00FB3C81" w:rsidRPr="00131B28" w:rsidP="002C278B" w14:paraId="4B4A486F" w14:textId="77777777">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14:paraId="11808318" w14:textId="77777777" w:rsidTr="00FB3C81">
        <w:tblPrEx>
          <w:tblW w:w="9163" w:type="dxa"/>
          <w:tblInd w:w="108" w:type="dxa"/>
          <w:tblLook w:val="04A0"/>
        </w:tblPrEx>
        <w:tc>
          <w:tcPr>
            <w:tcW w:w="9163" w:type="dxa"/>
            <w:gridSpan w:val="4"/>
          </w:tcPr>
          <w:p w:rsidR="00FB3C81" w:rsidRPr="00A66A70" w:rsidP="002C278B" w14:paraId="7FE8653B" w14:textId="63DD176B">
            <w:pPr>
              <w:pStyle w:val="Neotevilenodstavek"/>
              <w:spacing w:before="0" w:after="0" w:line="260" w:lineRule="exact"/>
              <w:rPr>
                <w:b/>
                <w:bCs/>
                <w:sz w:val="20"/>
                <w:szCs w:val="20"/>
              </w:rPr>
            </w:pPr>
            <w:r>
              <w:rPr>
                <w:iCs/>
                <w:sz w:val="20"/>
                <w:szCs w:val="20"/>
              </w:rPr>
              <w:t>/</w:t>
            </w:r>
          </w:p>
        </w:tc>
      </w:tr>
      <w:tr w14:paraId="38E56FD1" w14:textId="77777777" w:rsidTr="00FB3C81">
        <w:tblPrEx>
          <w:tblW w:w="9163" w:type="dxa"/>
          <w:tblInd w:w="108" w:type="dxa"/>
          <w:tblLook w:val="04A0"/>
        </w:tblPrEx>
        <w:tc>
          <w:tcPr>
            <w:tcW w:w="9163" w:type="dxa"/>
            <w:gridSpan w:val="4"/>
          </w:tcPr>
          <w:p w:rsidR="00FB3C81" w:rsidRPr="00131B28" w:rsidP="002C278B" w14:paraId="0A31F089" w14:textId="77777777">
            <w:pPr>
              <w:pStyle w:val="Oddelek"/>
              <w:numPr>
                <w:ilvl w:val="0"/>
                <w:numId w:val="0"/>
              </w:numPr>
              <w:spacing w:before="0" w:after="0" w:line="260" w:lineRule="exact"/>
              <w:jc w:val="left"/>
              <w:rPr>
                <w:sz w:val="20"/>
                <w:szCs w:val="20"/>
              </w:rPr>
            </w:pPr>
            <w:r w:rsidRPr="00131B28">
              <w:rPr>
                <w:sz w:val="20"/>
                <w:szCs w:val="20"/>
              </w:rPr>
              <w:t>5. Kratek povzetek gradiva:</w:t>
            </w:r>
          </w:p>
        </w:tc>
      </w:tr>
      <w:tr w14:paraId="67EB7FAB" w14:textId="77777777" w:rsidTr="00FB3C81">
        <w:tblPrEx>
          <w:tblW w:w="9163" w:type="dxa"/>
          <w:tblInd w:w="108" w:type="dxa"/>
          <w:tblLook w:val="04A0"/>
        </w:tblPrEx>
        <w:tc>
          <w:tcPr>
            <w:tcW w:w="9163" w:type="dxa"/>
            <w:gridSpan w:val="4"/>
          </w:tcPr>
          <w:p w:rsidR="00A66A70" w:rsidRPr="00A66A70" w:rsidP="00A66A70" w14:paraId="693B6FD9" w14:textId="77777777">
            <w:pPr>
              <w:jc w:val="both"/>
              <w:rPr>
                <w:rFonts w:ascii="Arial" w:hAnsi="Arial" w:cs="Arial"/>
                <w:color w:val="000000" w:themeColor="text1"/>
                <w:sz w:val="20"/>
                <w:szCs w:val="20"/>
              </w:rPr>
            </w:pPr>
            <w:r w:rsidRPr="00A66A70">
              <w:rPr>
                <w:rFonts w:ascii="Arial" w:hAnsi="Arial" w:cs="Arial"/>
                <w:color w:val="000000" w:themeColor="text1"/>
                <w:sz w:val="20"/>
                <w:szCs w:val="20"/>
              </w:rPr>
              <w:t>Ministrstvo za obrambo, skladno s 3. točko Sklepa Vlade Republike Slovenije št. 00700-24/2023/6 z dne 7. 12. 2023 Vladi Republike Slovenije daje v soglasje predlog načrtovanih promocijskih aktivnosti za krepitev odpornosti države, družbe in posameznika.</w:t>
            </w:r>
          </w:p>
          <w:p w:rsidR="00A66A70" w:rsidP="00A66A70" w14:paraId="4A510272" w14:textId="77777777">
            <w:pPr>
              <w:jc w:val="both"/>
              <w:rPr>
                <w:rFonts w:ascii="Arial" w:hAnsi="Arial" w:cs="Arial"/>
                <w:color w:val="000000" w:themeColor="text1"/>
                <w:sz w:val="20"/>
                <w:szCs w:val="20"/>
              </w:rPr>
            </w:pPr>
            <w:r w:rsidRPr="00A66A70">
              <w:rPr>
                <w:rFonts w:ascii="Arial" w:hAnsi="Arial" w:cs="Arial"/>
                <w:color w:val="000000" w:themeColor="text1"/>
                <w:sz w:val="20"/>
                <w:szCs w:val="20"/>
              </w:rPr>
              <w:t>Odpornost države in družbe na sodobne varnostne grožnje in tveganja je odraz sposobnosti prilagajanja na nepredvidljive, lahko tudi obsežnejše in intenzivnejše sodobne izzive oziroma tveganja. Predstavlja odločnost vztrajanja in sposobnost države na različnih ravneh, da se pripravi, zoperstavi, odzove in okreva po strateških šokih in motnjah</w:t>
            </w:r>
            <w:r>
              <w:rPr>
                <w:rFonts w:ascii="Arial" w:hAnsi="Arial" w:cs="Arial"/>
                <w:color w:val="000000" w:themeColor="text1"/>
                <w:sz w:val="20"/>
                <w:szCs w:val="20"/>
              </w:rPr>
              <w:t>.</w:t>
            </w:r>
          </w:p>
          <w:p w:rsidR="00FB3C81" w:rsidRPr="00A66A70" w:rsidP="00A66A70" w14:paraId="54FF79AB" w14:textId="3470DB8D">
            <w:pPr>
              <w:jc w:val="both"/>
              <w:rPr>
                <w:rFonts w:ascii="Arial" w:hAnsi="Arial" w:cs="Arial"/>
                <w:color w:val="000000" w:themeColor="text1"/>
                <w:sz w:val="20"/>
                <w:szCs w:val="20"/>
              </w:rPr>
            </w:pPr>
            <w:r w:rsidRPr="00A66A70">
              <w:rPr>
                <w:rFonts w:ascii="Arial" w:hAnsi="Arial" w:cs="Arial"/>
                <w:color w:val="000000" w:themeColor="text1"/>
                <w:sz w:val="20"/>
                <w:szCs w:val="20"/>
              </w:rPr>
              <w:t xml:space="preserve">Namen promocije, oglaševanja ter ostalih aktivnosti </w:t>
            </w:r>
            <w:r>
              <w:rPr>
                <w:rFonts w:ascii="Arial" w:hAnsi="Arial" w:cs="Arial"/>
                <w:color w:val="000000" w:themeColor="text1"/>
                <w:sz w:val="20"/>
                <w:szCs w:val="20"/>
              </w:rPr>
              <w:t>Ministrstva za obrambo</w:t>
            </w:r>
            <w:r w:rsidRPr="00A66A70">
              <w:rPr>
                <w:rFonts w:ascii="Arial" w:hAnsi="Arial" w:cs="Arial"/>
                <w:color w:val="000000" w:themeColor="text1"/>
                <w:sz w:val="20"/>
                <w:szCs w:val="20"/>
              </w:rPr>
              <w:t xml:space="preserve"> na področju krepitve odpornosti je obveščanje in ozaveščanje državljanov Republike Slovenije o delovanju obrambnega ministrstva in drugih deležnikov </w:t>
            </w:r>
            <w:r w:rsidR="00CE257E">
              <w:rPr>
                <w:rFonts w:ascii="Arial" w:hAnsi="Arial" w:cs="Arial"/>
                <w:color w:val="000000" w:themeColor="text1"/>
                <w:sz w:val="20"/>
                <w:szCs w:val="20"/>
              </w:rPr>
              <w:t>za doseganje</w:t>
            </w:r>
            <w:r w:rsidRPr="00A66A70">
              <w:rPr>
                <w:rFonts w:ascii="Arial" w:hAnsi="Arial" w:cs="Arial"/>
                <w:color w:val="000000" w:themeColor="text1"/>
                <w:sz w:val="20"/>
                <w:szCs w:val="20"/>
              </w:rPr>
              <w:t xml:space="preserve"> odpornosti. Odpornost države, družbe in posameznika je nacionalna pristojnost in skupna odgovornost vseh deležnikov </w:t>
            </w:r>
            <w:r>
              <w:rPr>
                <w:rFonts w:ascii="Arial" w:hAnsi="Arial" w:cs="Arial"/>
                <w:color w:val="000000" w:themeColor="text1"/>
                <w:sz w:val="20"/>
                <w:szCs w:val="20"/>
              </w:rPr>
              <w:t>ter</w:t>
            </w:r>
            <w:r w:rsidRPr="00A66A70">
              <w:rPr>
                <w:rFonts w:ascii="Arial" w:hAnsi="Arial" w:cs="Arial"/>
                <w:color w:val="000000" w:themeColor="text1"/>
                <w:sz w:val="20"/>
                <w:szCs w:val="20"/>
              </w:rPr>
              <w:t xml:space="preserve"> je v deljeni pristojnosti različnih resorjev, vladnih služb, pa tudi gospodarskih družb, zavodov in drugih organizacij. Med glavnimi aktivnostmi </w:t>
            </w:r>
            <w:r>
              <w:rPr>
                <w:rFonts w:ascii="Arial" w:hAnsi="Arial" w:cs="Arial"/>
                <w:color w:val="000000" w:themeColor="text1"/>
                <w:sz w:val="20"/>
                <w:szCs w:val="20"/>
              </w:rPr>
              <w:t>Ministrstva za obrambo</w:t>
            </w:r>
            <w:r w:rsidRPr="00A66A70">
              <w:rPr>
                <w:rFonts w:ascii="Arial" w:hAnsi="Arial" w:cs="Arial"/>
                <w:color w:val="000000" w:themeColor="text1"/>
                <w:sz w:val="20"/>
                <w:szCs w:val="20"/>
              </w:rPr>
              <w:t xml:space="preserve"> je predviden</w:t>
            </w:r>
            <w:r w:rsidR="00404920">
              <w:rPr>
                <w:rFonts w:ascii="Arial" w:hAnsi="Arial" w:cs="Arial"/>
                <w:color w:val="000000" w:themeColor="text1"/>
                <w:sz w:val="20"/>
                <w:szCs w:val="20"/>
              </w:rPr>
              <w:t xml:space="preserve">o oblikovanje </w:t>
            </w:r>
            <w:r w:rsidRPr="00A66A70">
              <w:rPr>
                <w:rFonts w:ascii="Arial" w:hAnsi="Arial" w:cs="Arial"/>
                <w:color w:val="000000" w:themeColor="text1"/>
                <w:sz w:val="20"/>
                <w:szCs w:val="20"/>
              </w:rPr>
              <w:t>celostne grafične podobe in logotipa, ki bo odražal odpornost na nacionalni ravni, priprava promocijskih materialov za različne ciljne skupine za izvedbo aktivnosti za ozaveščanje, obveščanje in komuniciranje, kot so oblikovanje video in avdio vsebin, priprava ter objava prispevkov, člankov ter drugih gradiv in organizacija dogodkov na področju odpornosti.</w:t>
            </w:r>
          </w:p>
        </w:tc>
      </w:tr>
      <w:tr w14:paraId="657A87A3" w14:textId="77777777" w:rsidTr="00FB3C81">
        <w:tblPrEx>
          <w:tblW w:w="9163" w:type="dxa"/>
          <w:tblInd w:w="108" w:type="dxa"/>
          <w:tblLook w:val="04A0"/>
        </w:tblPrEx>
        <w:tc>
          <w:tcPr>
            <w:tcW w:w="9163" w:type="dxa"/>
            <w:gridSpan w:val="4"/>
          </w:tcPr>
          <w:p w:rsidR="00FB3C81" w:rsidRPr="00131B28" w:rsidP="002C278B" w14:paraId="508DA833" w14:textId="77777777">
            <w:pPr>
              <w:pStyle w:val="Oddelek"/>
              <w:numPr>
                <w:ilvl w:val="0"/>
                <w:numId w:val="0"/>
              </w:numPr>
              <w:spacing w:before="0" w:after="0" w:line="260" w:lineRule="exact"/>
              <w:jc w:val="left"/>
              <w:rPr>
                <w:sz w:val="20"/>
                <w:szCs w:val="20"/>
              </w:rPr>
            </w:pPr>
            <w:r w:rsidRPr="00131B28">
              <w:rPr>
                <w:sz w:val="20"/>
                <w:szCs w:val="20"/>
              </w:rPr>
              <w:t>6. Presoja posledic za:</w:t>
            </w:r>
          </w:p>
        </w:tc>
      </w:tr>
      <w:tr w14:paraId="00DA20B8" w14:textId="77777777" w:rsidTr="00FB3C81">
        <w:tblPrEx>
          <w:tblW w:w="9163" w:type="dxa"/>
          <w:tblInd w:w="108" w:type="dxa"/>
          <w:tblLook w:val="04A0"/>
        </w:tblPrEx>
        <w:tc>
          <w:tcPr>
            <w:tcW w:w="1448" w:type="dxa"/>
          </w:tcPr>
          <w:p w:rsidR="00FB3C81" w:rsidRPr="00131B28" w:rsidP="002C278B" w14:paraId="28B273A0" w14:textId="77777777">
            <w:pPr>
              <w:pStyle w:val="Neotevilenodstavek"/>
              <w:spacing w:before="0" w:after="0" w:line="260" w:lineRule="exact"/>
              <w:ind w:left="360"/>
              <w:rPr>
                <w:iCs/>
                <w:sz w:val="20"/>
                <w:szCs w:val="20"/>
              </w:rPr>
            </w:pPr>
            <w:r w:rsidRPr="00131B28">
              <w:rPr>
                <w:iCs/>
                <w:sz w:val="20"/>
                <w:szCs w:val="20"/>
              </w:rPr>
              <w:t>a)</w:t>
            </w:r>
          </w:p>
        </w:tc>
        <w:tc>
          <w:tcPr>
            <w:tcW w:w="5444" w:type="dxa"/>
            <w:gridSpan w:val="2"/>
          </w:tcPr>
          <w:p w:rsidR="00FB3C81" w:rsidRPr="00131B28" w:rsidP="002C278B" w14:paraId="610A7AD1" w14:textId="77777777">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271" w:type="dxa"/>
            <w:vAlign w:val="center"/>
          </w:tcPr>
          <w:p w:rsidR="00FB3C81" w:rsidRPr="00131B28" w:rsidP="002C278B" w14:paraId="6A169EE2" w14:textId="6FDD3861">
            <w:pPr>
              <w:pStyle w:val="Neotevilenodstavek"/>
              <w:spacing w:before="0" w:after="0" w:line="260" w:lineRule="exact"/>
              <w:jc w:val="center"/>
              <w:rPr>
                <w:iCs/>
                <w:sz w:val="20"/>
                <w:szCs w:val="20"/>
              </w:rPr>
            </w:pPr>
            <w:r w:rsidRPr="00131B28">
              <w:rPr>
                <w:sz w:val="20"/>
                <w:szCs w:val="20"/>
              </w:rPr>
              <w:t>DA</w:t>
            </w:r>
          </w:p>
        </w:tc>
      </w:tr>
      <w:tr w14:paraId="5A09A451" w14:textId="77777777" w:rsidTr="00FB3C81">
        <w:tblPrEx>
          <w:tblW w:w="9163" w:type="dxa"/>
          <w:tblInd w:w="108" w:type="dxa"/>
          <w:tblLook w:val="04A0"/>
        </w:tblPrEx>
        <w:tc>
          <w:tcPr>
            <w:tcW w:w="1448" w:type="dxa"/>
          </w:tcPr>
          <w:p w:rsidR="00FB3C81" w:rsidRPr="00131B28" w:rsidP="002C278B" w14:paraId="4B25D370" w14:textId="77777777">
            <w:pPr>
              <w:pStyle w:val="Neotevilenodstavek"/>
              <w:spacing w:before="0" w:after="0" w:line="260" w:lineRule="exact"/>
              <w:ind w:left="360"/>
              <w:rPr>
                <w:iCs/>
                <w:sz w:val="20"/>
                <w:szCs w:val="20"/>
              </w:rPr>
            </w:pPr>
            <w:r w:rsidRPr="00131B28">
              <w:rPr>
                <w:iCs/>
                <w:sz w:val="20"/>
                <w:szCs w:val="20"/>
              </w:rPr>
              <w:t>b)</w:t>
            </w:r>
          </w:p>
        </w:tc>
        <w:tc>
          <w:tcPr>
            <w:tcW w:w="5444" w:type="dxa"/>
            <w:gridSpan w:val="2"/>
          </w:tcPr>
          <w:p w:rsidR="00FB3C81" w:rsidRPr="00131B28" w:rsidP="002C278B" w14:paraId="052D4A0E" w14:textId="77777777">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271" w:type="dxa"/>
            <w:vAlign w:val="center"/>
          </w:tcPr>
          <w:p w:rsidR="00FB3C81" w:rsidRPr="00131B28" w:rsidP="002C278B" w14:paraId="357EBC46" w14:textId="688CFE6D">
            <w:pPr>
              <w:pStyle w:val="Neotevilenodstavek"/>
              <w:spacing w:before="0" w:after="0" w:line="260" w:lineRule="exact"/>
              <w:jc w:val="center"/>
              <w:rPr>
                <w:iCs/>
                <w:sz w:val="20"/>
                <w:szCs w:val="20"/>
              </w:rPr>
            </w:pPr>
            <w:r w:rsidRPr="00131B28">
              <w:rPr>
                <w:sz w:val="20"/>
                <w:szCs w:val="20"/>
              </w:rPr>
              <w:t>NE</w:t>
            </w:r>
          </w:p>
        </w:tc>
      </w:tr>
      <w:tr w14:paraId="62CF2432" w14:textId="77777777" w:rsidTr="00FB3C81">
        <w:tblPrEx>
          <w:tblW w:w="9163" w:type="dxa"/>
          <w:tblInd w:w="108" w:type="dxa"/>
          <w:tblLook w:val="04A0"/>
        </w:tblPrEx>
        <w:tc>
          <w:tcPr>
            <w:tcW w:w="1448" w:type="dxa"/>
          </w:tcPr>
          <w:p w:rsidR="00FB3C81" w:rsidRPr="00131B28" w:rsidP="002C278B" w14:paraId="3EF19DEE" w14:textId="77777777">
            <w:pPr>
              <w:pStyle w:val="Neotevilenodstavek"/>
              <w:spacing w:before="0" w:after="0" w:line="260" w:lineRule="exact"/>
              <w:ind w:left="360"/>
              <w:rPr>
                <w:iCs/>
                <w:sz w:val="20"/>
                <w:szCs w:val="20"/>
              </w:rPr>
            </w:pPr>
            <w:r w:rsidRPr="00131B28">
              <w:rPr>
                <w:iCs/>
                <w:sz w:val="20"/>
                <w:szCs w:val="20"/>
              </w:rPr>
              <w:t>c)</w:t>
            </w:r>
          </w:p>
        </w:tc>
        <w:tc>
          <w:tcPr>
            <w:tcW w:w="5444" w:type="dxa"/>
            <w:gridSpan w:val="2"/>
          </w:tcPr>
          <w:p w:rsidR="00FB3C81" w:rsidRPr="00131B28" w:rsidP="002C278B" w14:paraId="56447985" w14:textId="77777777">
            <w:pPr>
              <w:pStyle w:val="Neotevilenodstavek"/>
              <w:spacing w:before="0" w:after="0" w:line="260" w:lineRule="exact"/>
              <w:rPr>
                <w:iCs/>
                <w:sz w:val="20"/>
                <w:szCs w:val="20"/>
              </w:rPr>
            </w:pPr>
            <w:r w:rsidRPr="00131B28">
              <w:rPr>
                <w:sz w:val="20"/>
                <w:szCs w:val="20"/>
              </w:rPr>
              <w:t>administrativne posledice</w:t>
            </w:r>
          </w:p>
        </w:tc>
        <w:tc>
          <w:tcPr>
            <w:tcW w:w="2271" w:type="dxa"/>
            <w:vAlign w:val="center"/>
          </w:tcPr>
          <w:p w:rsidR="00FB3C81" w:rsidRPr="00131B28" w:rsidP="002C278B" w14:paraId="1BF6B6CA" w14:textId="2F6F9BA3">
            <w:pPr>
              <w:pStyle w:val="Neotevilenodstavek"/>
              <w:spacing w:before="0" w:after="0" w:line="260" w:lineRule="exact"/>
              <w:jc w:val="center"/>
              <w:rPr>
                <w:sz w:val="20"/>
                <w:szCs w:val="20"/>
              </w:rPr>
            </w:pPr>
            <w:r w:rsidRPr="00131B28">
              <w:rPr>
                <w:sz w:val="20"/>
                <w:szCs w:val="20"/>
              </w:rPr>
              <w:t>NE</w:t>
            </w:r>
          </w:p>
        </w:tc>
      </w:tr>
      <w:tr w14:paraId="22EE3BFE" w14:textId="77777777" w:rsidTr="00FB3C81">
        <w:tblPrEx>
          <w:tblW w:w="9163" w:type="dxa"/>
          <w:tblInd w:w="108" w:type="dxa"/>
          <w:tblLook w:val="04A0"/>
        </w:tblPrEx>
        <w:tc>
          <w:tcPr>
            <w:tcW w:w="1448" w:type="dxa"/>
          </w:tcPr>
          <w:p w:rsidR="00FB3C81" w:rsidRPr="00131B28" w:rsidP="002C278B" w14:paraId="3FAC7093" w14:textId="77777777">
            <w:pPr>
              <w:pStyle w:val="Neotevilenodstavek"/>
              <w:spacing w:before="0" w:after="0" w:line="260" w:lineRule="exact"/>
              <w:ind w:left="360"/>
              <w:rPr>
                <w:iCs/>
                <w:sz w:val="20"/>
                <w:szCs w:val="20"/>
              </w:rPr>
            </w:pPr>
            <w:r w:rsidRPr="00131B28">
              <w:rPr>
                <w:iCs/>
                <w:sz w:val="20"/>
                <w:szCs w:val="20"/>
              </w:rPr>
              <w:t>č)</w:t>
            </w:r>
          </w:p>
        </w:tc>
        <w:tc>
          <w:tcPr>
            <w:tcW w:w="5444" w:type="dxa"/>
            <w:gridSpan w:val="2"/>
          </w:tcPr>
          <w:p w:rsidR="00FB3C81" w:rsidRPr="00131B28" w:rsidP="002C278B" w14:paraId="55678C25" w14:textId="77777777">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271" w:type="dxa"/>
            <w:vAlign w:val="center"/>
          </w:tcPr>
          <w:p w:rsidR="00FB3C81" w:rsidRPr="00131B28" w:rsidP="002C278B" w14:paraId="007851FE" w14:textId="4B0279C3">
            <w:pPr>
              <w:pStyle w:val="Neotevilenodstavek"/>
              <w:spacing w:before="0" w:after="0" w:line="260" w:lineRule="exact"/>
              <w:jc w:val="center"/>
              <w:rPr>
                <w:iCs/>
                <w:sz w:val="20"/>
                <w:szCs w:val="20"/>
              </w:rPr>
            </w:pPr>
            <w:r w:rsidRPr="00131B28">
              <w:rPr>
                <w:sz w:val="20"/>
                <w:szCs w:val="20"/>
              </w:rPr>
              <w:t>NE</w:t>
            </w:r>
          </w:p>
        </w:tc>
      </w:tr>
      <w:tr w14:paraId="73DE0AF9" w14:textId="77777777" w:rsidTr="00FB3C81">
        <w:tblPrEx>
          <w:tblW w:w="9163" w:type="dxa"/>
          <w:tblInd w:w="108" w:type="dxa"/>
          <w:tblLook w:val="04A0"/>
        </w:tblPrEx>
        <w:tc>
          <w:tcPr>
            <w:tcW w:w="1448" w:type="dxa"/>
          </w:tcPr>
          <w:p w:rsidR="00FB3C81" w:rsidRPr="00131B28" w:rsidP="002C278B" w14:paraId="28803407" w14:textId="77777777">
            <w:pPr>
              <w:pStyle w:val="Neotevilenodstavek"/>
              <w:spacing w:before="0" w:after="0" w:line="260" w:lineRule="exact"/>
              <w:ind w:left="360"/>
              <w:rPr>
                <w:iCs/>
                <w:sz w:val="20"/>
                <w:szCs w:val="20"/>
              </w:rPr>
            </w:pPr>
            <w:r w:rsidRPr="00131B28">
              <w:rPr>
                <w:iCs/>
                <w:sz w:val="20"/>
                <w:szCs w:val="20"/>
              </w:rPr>
              <w:t>d)</w:t>
            </w:r>
          </w:p>
        </w:tc>
        <w:tc>
          <w:tcPr>
            <w:tcW w:w="5444" w:type="dxa"/>
            <w:gridSpan w:val="2"/>
          </w:tcPr>
          <w:p w:rsidR="00FB3C81" w:rsidRPr="00131B28" w:rsidP="002C278B" w14:paraId="5958AAB9" w14:textId="77777777">
            <w:pPr>
              <w:pStyle w:val="Neotevilenodstavek"/>
              <w:spacing w:before="0" w:after="0" w:line="260" w:lineRule="exact"/>
              <w:rPr>
                <w:bCs/>
                <w:sz w:val="20"/>
                <w:szCs w:val="20"/>
              </w:rPr>
            </w:pPr>
            <w:r w:rsidRPr="00131B28">
              <w:rPr>
                <w:bCs/>
                <w:sz w:val="20"/>
                <w:szCs w:val="20"/>
              </w:rPr>
              <w:t>okolje, vključno s prostorskimi in varstvenimi vidiki</w:t>
            </w:r>
          </w:p>
        </w:tc>
        <w:tc>
          <w:tcPr>
            <w:tcW w:w="2271" w:type="dxa"/>
            <w:vAlign w:val="center"/>
          </w:tcPr>
          <w:p w:rsidR="00FB3C81" w:rsidRPr="00131B28" w:rsidP="002C278B" w14:paraId="399A69EA" w14:textId="639222F8">
            <w:pPr>
              <w:pStyle w:val="Neotevilenodstavek"/>
              <w:spacing w:before="0" w:after="0" w:line="260" w:lineRule="exact"/>
              <w:jc w:val="center"/>
              <w:rPr>
                <w:iCs/>
                <w:sz w:val="20"/>
                <w:szCs w:val="20"/>
              </w:rPr>
            </w:pPr>
            <w:r w:rsidRPr="00131B28">
              <w:rPr>
                <w:sz w:val="20"/>
                <w:szCs w:val="20"/>
              </w:rPr>
              <w:t>NE</w:t>
            </w:r>
          </w:p>
        </w:tc>
      </w:tr>
      <w:tr w14:paraId="100F48C4" w14:textId="77777777" w:rsidTr="00FB3C81">
        <w:tblPrEx>
          <w:tblW w:w="9163" w:type="dxa"/>
          <w:tblInd w:w="108" w:type="dxa"/>
          <w:tblLook w:val="04A0"/>
        </w:tblPrEx>
        <w:tc>
          <w:tcPr>
            <w:tcW w:w="1448" w:type="dxa"/>
          </w:tcPr>
          <w:p w:rsidR="00FB3C81" w:rsidRPr="00131B28" w:rsidP="002C278B" w14:paraId="2857F1E9" w14:textId="77777777">
            <w:pPr>
              <w:pStyle w:val="Neotevilenodstavek"/>
              <w:spacing w:before="0" w:after="0" w:line="260" w:lineRule="exact"/>
              <w:ind w:left="360"/>
              <w:rPr>
                <w:iCs/>
                <w:sz w:val="20"/>
                <w:szCs w:val="20"/>
              </w:rPr>
            </w:pPr>
            <w:r w:rsidRPr="00131B28">
              <w:rPr>
                <w:iCs/>
                <w:sz w:val="20"/>
                <w:szCs w:val="20"/>
              </w:rPr>
              <w:t>e)</w:t>
            </w:r>
          </w:p>
        </w:tc>
        <w:tc>
          <w:tcPr>
            <w:tcW w:w="5444" w:type="dxa"/>
            <w:gridSpan w:val="2"/>
          </w:tcPr>
          <w:p w:rsidR="00FB3C81" w:rsidRPr="00131B28" w:rsidP="002C278B" w14:paraId="50E8506F" w14:textId="77777777">
            <w:pPr>
              <w:pStyle w:val="Neotevilenodstavek"/>
              <w:spacing w:before="0" w:after="0" w:line="260" w:lineRule="exact"/>
              <w:rPr>
                <w:bCs/>
                <w:sz w:val="20"/>
                <w:szCs w:val="20"/>
              </w:rPr>
            </w:pPr>
            <w:r w:rsidRPr="00131B28">
              <w:rPr>
                <w:bCs/>
                <w:sz w:val="20"/>
                <w:szCs w:val="20"/>
              </w:rPr>
              <w:t>socialno področje</w:t>
            </w:r>
          </w:p>
        </w:tc>
        <w:tc>
          <w:tcPr>
            <w:tcW w:w="2271" w:type="dxa"/>
            <w:vAlign w:val="center"/>
          </w:tcPr>
          <w:p w:rsidR="00FB3C81" w:rsidRPr="00131B28" w:rsidP="002C278B" w14:paraId="7B629587" w14:textId="3056AE0E">
            <w:pPr>
              <w:pStyle w:val="Neotevilenodstavek"/>
              <w:spacing w:before="0" w:after="0" w:line="260" w:lineRule="exact"/>
              <w:jc w:val="center"/>
              <w:rPr>
                <w:iCs/>
                <w:sz w:val="20"/>
                <w:szCs w:val="20"/>
              </w:rPr>
            </w:pPr>
            <w:r w:rsidRPr="00131B28">
              <w:rPr>
                <w:sz w:val="20"/>
                <w:szCs w:val="20"/>
              </w:rPr>
              <w:t>NE</w:t>
            </w:r>
          </w:p>
        </w:tc>
      </w:tr>
      <w:tr w14:paraId="5E534FB8" w14:textId="77777777" w:rsidTr="00FB3C81">
        <w:tblPrEx>
          <w:tblW w:w="9163" w:type="dxa"/>
          <w:tblInd w:w="108" w:type="dxa"/>
          <w:tblLook w:val="04A0"/>
        </w:tblPrEx>
        <w:tc>
          <w:tcPr>
            <w:tcW w:w="1448" w:type="dxa"/>
            <w:tcBorders>
              <w:bottom w:val="single" w:sz="4" w:space="0" w:color="auto"/>
            </w:tcBorders>
          </w:tcPr>
          <w:p w:rsidR="00FB3C81" w:rsidRPr="00131B28" w:rsidP="002C278B" w14:paraId="35675042" w14:textId="77777777">
            <w:pPr>
              <w:pStyle w:val="Neotevilenodstavek"/>
              <w:spacing w:before="0" w:after="0" w:line="260" w:lineRule="exact"/>
              <w:ind w:left="360"/>
              <w:rPr>
                <w:iCs/>
                <w:sz w:val="20"/>
                <w:szCs w:val="20"/>
              </w:rPr>
            </w:pPr>
            <w:r w:rsidRPr="00131B28">
              <w:rPr>
                <w:iCs/>
                <w:sz w:val="20"/>
                <w:szCs w:val="20"/>
              </w:rPr>
              <w:t>f)</w:t>
            </w:r>
          </w:p>
        </w:tc>
        <w:tc>
          <w:tcPr>
            <w:tcW w:w="5444" w:type="dxa"/>
            <w:gridSpan w:val="2"/>
            <w:tcBorders>
              <w:bottom w:val="single" w:sz="4" w:space="0" w:color="auto"/>
            </w:tcBorders>
          </w:tcPr>
          <w:p w:rsidR="00FB3C81" w:rsidRPr="00131B28" w:rsidP="002C278B" w14:paraId="577ED1A3" w14:textId="77777777">
            <w:pPr>
              <w:pStyle w:val="Neotevilenodstavek"/>
              <w:spacing w:before="0" w:after="0" w:line="260" w:lineRule="exact"/>
              <w:rPr>
                <w:bCs/>
                <w:sz w:val="20"/>
                <w:szCs w:val="20"/>
              </w:rPr>
            </w:pPr>
            <w:r w:rsidRPr="00131B28">
              <w:rPr>
                <w:bCs/>
                <w:sz w:val="20"/>
                <w:szCs w:val="20"/>
              </w:rPr>
              <w:t>dokumente razvojnega načrtovanja:</w:t>
            </w:r>
          </w:p>
          <w:p w:rsidR="00FB3C81" w:rsidRPr="00131B28" w:rsidP="001D4854" w14:paraId="373D3601" w14:textId="77777777">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rsidR="00FB3C81" w:rsidRPr="00131B28" w:rsidP="00FB3C81" w14:paraId="424D8B65" w14:textId="77777777">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rsidR="00FB3C81" w:rsidRPr="00131B28" w:rsidP="00FB3C81" w14:paraId="33E98306" w14:textId="77777777">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271" w:type="dxa"/>
            <w:tcBorders>
              <w:bottom w:val="single" w:sz="4" w:space="0" w:color="auto"/>
            </w:tcBorders>
            <w:vAlign w:val="center"/>
          </w:tcPr>
          <w:p w:rsidR="00FB3C81" w:rsidRPr="00131B28" w:rsidP="002C278B" w14:paraId="20545526" w14:textId="1013556E">
            <w:pPr>
              <w:pStyle w:val="Neotevilenodstavek"/>
              <w:spacing w:before="0" w:after="0" w:line="260" w:lineRule="exact"/>
              <w:jc w:val="center"/>
              <w:rPr>
                <w:iCs/>
                <w:sz w:val="20"/>
                <w:szCs w:val="20"/>
              </w:rPr>
            </w:pPr>
            <w:r w:rsidRPr="00131B28">
              <w:rPr>
                <w:sz w:val="20"/>
                <w:szCs w:val="20"/>
              </w:rPr>
              <w:t>NE</w:t>
            </w:r>
          </w:p>
        </w:tc>
      </w:tr>
      <w:tr w14:paraId="299D548F" w14:textId="77777777" w:rsidTr="00FB3C81">
        <w:tblPrEx>
          <w:tblW w:w="9163" w:type="dxa"/>
          <w:tblInd w:w="108" w:type="dxa"/>
          <w:tblLook w:val="04A0"/>
        </w:tblPrEx>
        <w:tc>
          <w:tcPr>
            <w:tcW w:w="9163" w:type="dxa"/>
            <w:gridSpan w:val="4"/>
            <w:tcBorders>
              <w:top w:val="single" w:sz="4" w:space="0" w:color="auto"/>
              <w:left w:val="single" w:sz="4" w:space="0" w:color="auto"/>
              <w:bottom w:val="single" w:sz="4" w:space="0" w:color="auto"/>
              <w:right w:val="single" w:sz="4" w:space="0" w:color="auto"/>
            </w:tcBorders>
          </w:tcPr>
          <w:p w:rsidR="00FB3C81" w:rsidRPr="00131B28" w:rsidP="002C278B" w14:paraId="3D263989" w14:textId="77777777">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rsidR="00FB3C81" w:rsidRPr="00131B28" w:rsidP="002C278B" w14:paraId="7E7A01A0" w14:textId="77777777">
            <w:pPr>
              <w:pStyle w:val="Oddelek"/>
              <w:widowControl w:val="0"/>
              <w:numPr>
                <w:ilvl w:val="0"/>
                <w:numId w:val="0"/>
              </w:numPr>
              <w:spacing w:before="0" w:after="0" w:line="260" w:lineRule="exact"/>
              <w:jc w:val="left"/>
              <w:rPr>
                <w:b w:val="0"/>
                <w:sz w:val="20"/>
                <w:szCs w:val="20"/>
              </w:rPr>
            </w:pPr>
            <w:r w:rsidRPr="00131B28">
              <w:rPr>
                <w:b w:val="0"/>
                <w:sz w:val="20"/>
                <w:szCs w:val="20"/>
              </w:rPr>
              <w:t>(Samo če izberete DA pod točko 6.a.)</w:t>
            </w:r>
          </w:p>
        </w:tc>
      </w:tr>
    </w:tbl>
    <w:p w:rsidR="00FB3C81" w:rsidRPr="00131B28" w:rsidP="00FB3C81" w14:paraId="13C1A820" w14:textId="7777777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871"/>
        <w:gridCol w:w="1397"/>
        <w:gridCol w:w="487"/>
        <w:gridCol w:w="940"/>
        <w:gridCol w:w="677"/>
        <w:gridCol w:w="381"/>
        <w:gridCol w:w="300"/>
        <w:gridCol w:w="2093"/>
      </w:tblGrid>
      <w:tr w14:paraId="5F3ACC85" w14:textId="77777777" w:rsidTr="002C278B">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B3C81" w:rsidRPr="00131B28" w:rsidP="002C278B" w14:paraId="075B939E" w14:textId="77777777">
            <w:pPr>
              <w:pStyle w:val="Heading1"/>
              <w:keepNext w:val="0"/>
              <w:pageBreakBefore/>
              <w:widowControl w:val="0"/>
              <w:tabs>
                <w:tab w:val="left" w:pos="2340"/>
              </w:tabs>
              <w:spacing w:before="0" w:after="0"/>
              <w:ind w:left="142" w:hanging="142"/>
              <w:rPr>
                <w:rFonts w:cs="Arial"/>
                <w:sz w:val="20"/>
                <w:szCs w:val="20"/>
              </w:rPr>
            </w:pPr>
            <w:r w:rsidRPr="00131B28">
              <w:rPr>
                <w:rFonts w:cs="Arial"/>
                <w:sz w:val="20"/>
                <w:szCs w:val="20"/>
              </w:rPr>
              <w:t>I. Ocena finančnih posledic, ki niso načrtovane v sprejetem proračunu</w:t>
            </w:r>
          </w:p>
        </w:tc>
      </w:tr>
      <w:tr w14:paraId="64A966E6" w14:textId="77777777" w:rsidTr="001D4854">
        <w:tblPrEx>
          <w:tblW w:w="9200" w:type="dxa"/>
          <w:tblInd w:w="8" w:type="dxa"/>
          <w:tblLook w:val="0000"/>
        </w:tblPrEx>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6DC4E607" w14:textId="77777777">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5B980F9" w14:textId="77777777">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8958FA0"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CB3A553"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2DA1D78"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14:paraId="74EB4289"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1DD6B62"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66D62AC"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D6F32A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DF82104"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43176E32" w14:textId="77777777">
            <w:pPr>
              <w:pStyle w:val="Heading1"/>
              <w:keepNext w:val="0"/>
              <w:widowControl w:val="0"/>
              <w:tabs>
                <w:tab w:val="left" w:pos="360"/>
              </w:tabs>
              <w:spacing w:before="0" w:after="0"/>
              <w:jc w:val="center"/>
              <w:rPr>
                <w:rFonts w:cs="Arial"/>
                <w:b w:val="0"/>
                <w:sz w:val="20"/>
                <w:szCs w:val="20"/>
              </w:rPr>
            </w:pPr>
          </w:p>
        </w:tc>
      </w:tr>
      <w:tr w14:paraId="44BCE116"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06481D4"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AD53F77"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F07A78"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972557"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E80229D" w14:textId="77777777">
            <w:pPr>
              <w:pStyle w:val="Heading1"/>
              <w:keepNext w:val="0"/>
              <w:widowControl w:val="0"/>
              <w:tabs>
                <w:tab w:val="left" w:pos="360"/>
              </w:tabs>
              <w:spacing w:before="0" w:after="0"/>
              <w:jc w:val="center"/>
              <w:rPr>
                <w:rFonts w:cs="Arial"/>
                <w:b w:val="0"/>
                <w:sz w:val="20"/>
                <w:szCs w:val="20"/>
              </w:rPr>
            </w:pPr>
          </w:p>
        </w:tc>
      </w:tr>
      <w:tr w14:paraId="4C3459CD"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13F32B"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1647ADC"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6CA1347"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1525DF7"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FEB9809" w14:textId="77777777">
            <w:pPr>
              <w:widowControl w:val="0"/>
              <w:spacing w:after="0" w:line="260" w:lineRule="exact"/>
              <w:jc w:val="center"/>
              <w:rPr>
                <w:rFonts w:ascii="Arial" w:hAnsi="Arial" w:cs="Arial"/>
                <w:sz w:val="20"/>
                <w:szCs w:val="20"/>
              </w:rPr>
            </w:pPr>
          </w:p>
        </w:tc>
      </w:tr>
      <w:tr w14:paraId="19CADA4E" w14:textId="77777777" w:rsidTr="001D4854">
        <w:tblPrEx>
          <w:tblW w:w="9200" w:type="dxa"/>
          <w:tblInd w:w="8" w:type="dxa"/>
          <w:tblLook w:val="0000"/>
        </w:tblPrEx>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F65E0B9"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26AC51D"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518D44E"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495AE53"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D4D4E89" w14:textId="77777777">
            <w:pPr>
              <w:widowControl w:val="0"/>
              <w:spacing w:after="0" w:line="260" w:lineRule="exact"/>
              <w:jc w:val="center"/>
              <w:rPr>
                <w:rFonts w:ascii="Arial" w:hAnsi="Arial" w:cs="Arial"/>
                <w:sz w:val="20"/>
                <w:szCs w:val="20"/>
              </w:rPr>
            </w:pPr>
          </w:p>
        </w:tc>
      </w:tr>
      <w:tr w14:paraId="452DC3CE"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25919E"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A50257A"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FBA934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3B21D4F"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1B30DA" w14:textId="77777777">
            <w:pPr>
              <w:pStyle w:val="Heading1"/>
              <w:keepNext w:val="0"/>
              <w:widowControl w:val="0"/>
              <w:tabs>
                <w:tab w:val="left" w:pos="360"/>
              </w:tabs>
              <w:spacing w:before="0" w:after="0"/>
              <w:jc w:val="center"/>
              <w:rPr>
                <w:rFonts w:cs="Arial"/>
                <w:b w:val="0"/>
                <w:sz w:val="20"/>
                <w:szCs w:val="20"/>
              </w:rPr>
            </w:pPr>
          </w:p>
        </w:tc>
      </w:tr>
      <w:tr w14:paraId="10D2EAC8"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7BDA0EA"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14:paraId="51B83D0C"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685AFDC"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II.a Pravice porabe za izvedbo predlaganih rešitev so zagotovljene:</w:t>
            </w:r>
          </w:p>
        </w:tc>
      </w:tr>
      <w:tr w14:paraId="650C7D6D"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40AE30E"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0B566ED"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A3A7FF1"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4B2555"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AE3ED1F"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14:paraId="5A49CBF2" w14:textId="77777777" w:rsidTr="001D4854">
        <w:tblPrEx>
          <w:tblW w:w="9200" w:type="dxa"/>
          <w:tblInd w:w="8" w:type="dxa"/>
          <w:tblLook w:val="0000"/>
        </w:tblPrEx>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rsidR="00A66A70" w:rsidRPr="00F648BE" w:rsidP="00A66A70" w14:paraId="5E33C301" w14:textId="77777777">
            <w:pPr>
              <w:widowControl w:val="0"/>
              <w:spacing w:after="0"/>
              <w:jc w:val="center"/>
              <w:rPr>
                <w:rFonts w:ascii="Arial" w:hAnsi="Arial" w:cs="Arial"/>
                <w:color w:val="000000" w:themeColor="text1"/>
                <w:sz w:val="20"/>
                <w:szCs w:val="20"/>
              </w:rPr>
            </w:pPr>
            <w:r w:rsidRPr="00F648BE">
              <w:rPr>
                <w:rFonts w:ascii="Arial" w:hAnsi="Arial" w:cs="Arial"/>
                <w:color w:val="000000" w:themeColor="text1"/>
                <w:sz w:val="20"/>
                <w:szCs w:val="20"/>
              </w:rPr>
              <w:t>1911</w:t>
            </w:r>
          </w:p>
          <w:p w:rsidR="00A66A70" w:rsidRPr="00A66A70" w:rsidP="00A66A70" w14:paraId="2B349D29" w14:textId="02CCE48B">
            <w:pPr>
              <w:jc w:val="center"/>
              <w:rPr>
                <w:rFonts w:ascii="Arial" w:hAnsi="Arial" w:cs="Arial"/>
                <w:highlight w:val="yellow"/>
                <w:lang w:eastAsia="sl-SI"/>
              </w:rPr>
            </w:pPr>
            <w:r w:rsidRPr="00F648BE">
              <w:rPr>
                <w:rFonts w:ascii="Arial" w:hAnsi="Arial" w:cs="Arial"/>
                <w:color w:val="000000" w:themeColor="text1"/>
                <w:sz w:val="20"/>
                <w:szCs w:val="20"/>
              </w:rPr>
              <w:t>MORS</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96B7D" w:rsidRPr="00F129F1" w:rsidP="00E96B7D" w14:paraId="6F44BAB0" w14:textId="77777777">
            <w:pPr>
              <w:widowControl w:val="0"/>
              <w:spacing w:after="0"/>
              <w:jc w:val="center"/>
              <w:rPr>
                <w:rFonts w:ascii="Arial" w:hAnsi="Arial" w:cs="Arial"/>
                <w:color w:val="000000" w:themeColor="text1"/>
                <w:sz w:val="20"/>
                <w:szCs w:val="20"/>
              </w:rPr>
            </w:pPr>
            <w:r w:rsidRPr="00F129F1">
              <w:rPr>
                <w:rFonts w:ascii="Arial" w:hAnsi="Arial" w:cs="Arial"/>
                <w:color w:val="000000" w:themeColor="text1"/>
                <w:sz w:val="20"/>
                <w:szCs w:val="20"/>
              </w:rPr>
              <w:t>1911-21-000</w:t>
            </w:r>
            <w:r>
              <w:rPr>
                <w:rFonts w:ascii="Arial" w:hAnsi="Arial" w:cs="Arial"/>
                <w:color w:val="000000" w:themeColor="text1"/>
                <w:sz w:val="20"/>
                <w:szCs w:val="20"/>
              </w:rPr>
              <w:t>5</w:t>
            </w:r>
          </w:p>
          <w:p w:rsidR="00A66A70" w:rsidRPr="00A66A70" w:rsidP="00A66A70" w14:paraId="1C7DEA37" w14:textId="79FEE7C0">
            <w:pPr>
              <w:pStyle w:val="Heading1"/>
              <w:keepNext w:val="0"/>
              <w:widowControl w:val="0"/>
              <w:tabs>
                <w:tab w:val="left" w:pos="360"/>
              </w:tabs>
              <w:spacing w:before="0" w:after="0"/>
              <w:jc w:val="center"/>
              <w:rPr>
                <w:rFonts w:cs="Arial"/>
                <w:b w:val="0"/>
                <w:sz w:val="20"/>
                <w:szCs w:val="20"/>
                <w:highlight w:val="yellow"/>
              </w:rPr>
            </w:pPr>
            <w:r w:rsidRPr="00E96B7D">
              <w:rPr>
                <w:rFonts w:cs="Arial"/>
                <w:b w:val="0"/>
                <w:color w:val="000000" w:themeColor="text1"/>
                <w:sz w:val="20"/>
                <w:szCs w:val="20"/>
              </w:rPr>
              <w:t>Zagotavljanje materialnih pogojev za delovanje</w:t>
            </w:r>
            <w:r>
              <w:rPr>
                <w:rFonts w:cs="Arial"/>
                <w:b w:val="0"/>
                <w:color w:val="000000" w:themeColor="text1"/>
                <w:sz w:val="20"/>
                <w:szCs w:val="20"/>
              </w:rPr>
              <w:t xml:space="preserve"> MO</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A66A70" w:rsidRPr="00E96B7D" w:rsidP="00A66A70" w14:paraId="53EDC825" w14:textId="77777777">
            <w:pPr>
              <w:widowControl w:val="0"/>
              <w:spacing w:after="0"/>
              <w:jc w:val="center"/>
              <w:rPr>
                <w:rFonts w:ascii="Arial" w:hAnsi="Arial" w:cs="Arial"/>
                <w:color w:val="000000" w:themeColor="text1"/>
                <w:sz w:val="20"/>
                <w:szCs w:val="20"/>
              </w:rPr>
            </w:pPr>
            <w:r w:rsidRPr="00E96B7D">
              <w:rPr>
                <w:rFonts w:ascii="Arial" w:hAnsi="Arial" w:cs="Arial"/>
                <w:color w:val="000000" w:themeColor="text1"/>
                <w:sz w:val="20"/>
                <w:szCs w:val="20"/>
              </w:rPr>
              <w:t>130011</w:t>
            </w:r>
          </w:p>
          <w:p w:rsidR="00A66A70" w:rsidRPr="00A66A70" w:rsidP="00A66A70" w14:paraId="258EFBED" w14:textId="642414B0">
            <w:pPr>
              <w:pStyle w:val="Heading1"/>
              <w:keepNext w:val="0"/>
              <w:widowControl w:val="0"/>
              <w:tabs>
                <w:tab w:val="left" w:pos="360"/>
              </w:tabs>
              <w:spacing w:before="0" w:after="0"/>
              <w:jc w:val="center"/>
              <w:rPr>
                <w:rFonts w:cs="Arial"/>
                <w:b w:val="0"/>
                <w:sz w:val="20"/>
                <w:szCs w:val="20"/>
                <w:highlight w:val="yellow"/>
              </w:rPr>
            </w:pPr>
            <w:r w:rsidRPr="00E96B7D">
              <w:rPr>
                <w:rFonts w:cs="Arial"/>
                <w:b w:val="0"/>
                <w:color w:val="000000" w:themeColor="text1"/>
                <w:sz w:val="20"/>
                <w:szCs w:val="20"/>
              </w:rPr>
              <w:t>Sredstva za delovanje</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A66A70" w:rsidRPr="00A66A70" w:rsidP="00A66A70" w14:paraId="7963728F" w14:textId="64D1AE4D">
            <w:pPr>
              <w:pStyle w:val="Heading1"/>
              <w:keepNext w:val="0"/>
              <w:widowControl w:val="0"/>
              <w:tabs>
                <w:tab w:val="left" w:pos="360"/>
              </w:tabs>
              <w:spacing w:before="0" w:after="0"/>
              <w:jc w:val="center"/>
              <w:rPr>
                <w:rFonts w:cs="Arial"/>
                <w:b w:val="0"/>
                <w:sz w:val="20"/>
                <w:szCs w:val="20"/>
                <w:highlight w:val="yellow"/>
              </w:rPr>
            </w:pPr>
            <w:r w:rsidRPr="00F648BE">
              <w:rPr>
                <w:rFonts w:cs="Arial"/>
                <w:b w:val="0"/>
                <w:color w:val="000000" w:themeColor="text1"/>
                <w:sz w:val="20"/>
                <w:szCs w:val="20"/>
              </w:rPr>
              <w:t>5</w:t>
            </w:r>
            <w:r w:rsidRPr="00F648BE">
              <w:rPr>
                <w:rFonts w:cs="Arial"/>
                <w:b w:val="0"/>
                <w:color w:val="000000" w:themeColor="text1"/>
                <w:sz w:val="20"/>
                <w:szCs w:val="20"/>
              </w:rPr>
              <w:t>00.000 EUR</w:t>
            </w:r>
          </w:p>
        </w:tc>
        <w:tc>
          <w:tcPr>
            <w:tcW w:w="2093" w:type="dxa"/>
            <w:tcBorders>
              <w:top w:val="single" w:sz="4" w:space="0" w:color="auto"/>
              <w:left w:val="single" w:sz="4" w:space="0" w:color="auto"/>
              <w:bottom w:val="single" w:sz="4" w:space="0" w:color="auto"/>
              <w:right w:val="single" w:sz="4" w:space="0" w:color="auto"/>
            </w:tcBorders>
            <w:vAlign w:val="center"/>
          </w:tcPr>
          <w:p w:rsidR="00A66A70" w:rsidRPr="00A66A70" w:rsidP="00A66A70" w14:paraId="772ED261" w14:textId="77777777">
            <w:pPr>
              <w:pStyle w:val="Heading1"/>
              <w:keepNext w:val="0"/>
              <w:widowControl w:val="0"/>
              <w:tabs>
                <w:tab w:val="left" w:pos="360"/>
              </w:tabs>
              <w:spacing w:before="0" w:after="0"/>
              <w:jc w:val="center"/>
              <w:rPr>
                <w:rFonts w:cs="Arial"/>
                <w:b w:val="0"/>
                <w:sz w:val="20"/>
                <w:szCs w:val="20"/>
                <w:highlight w:val="yellow"/>
              </w:rPr>
            </w:pPr>
          </w:p>
        </w:tc>
      </w:tr>
      <w:tr w14:paraId="12D4B1BF"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A66A70" w:rsidRPr="00A66A70" w:rsidP="00A66A70" w14:paraId="5C21F4BB" w14:textId="69BDC40E">
            <w:pPr>
              <w:jc w:val="center"/>
              <w:rPr>
                <w:rFonts w:ascii="Arial" w:hAnsi="Arial" w:cs="Arial"/>
                <w:highlight w:val="yellow"/>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66A70" w:rsidRPr="00A66A70" w:rsidP="00A66A70" w14:paraId="1DB68067" w14:textId="00702811">
            <w:pPr>
              <w:pStyle w:val="Heading1"/>
              <w:keepNext w:val="0"/>
              <w:widowControl w:val="0"/>
              <w:tabs>
                <w:tab w:val="left" w:pos="360"/>
              </w:tabs>
              <w:spacing w:before="0" w:after="0"/>
              <w:jc w:val="center"/>
              <w:rPr>
                <w:rFonts w:cs="Arial"/>
                <w:b w:val="0"/>
                <w:sz w:val="20"/>
                <w:szCs w:val="20"/>
                <w:highlight w:val="yellow"/>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A66A70" w:rsidRPr="00A66A70" w:rsidP="00A66A70" w14:paraId="7D68BA6B" w14:textId="5EA87A7E">
            <w:pPr>
              <w:pStyle w:val="Heading1"/>
              <w:keepNext w:val="0"/>
              <w:widowControl w:val="0"/>
              <w:tabs>
                <w:tab w:val="left" w:pos="360"/>
              </w:tabs>
              <w:spacing w:before="0" w:after="0"/>
              <w:jc w:val="center"/>
              <w:rPr>
                <w:rFonts w:cs="Arial"/>
                <w:b w:val="0"/>
                <w:sz w:val="20"/>
                <w:szCs w:val="20"/>
                <w:highlight w:val="yellow"/>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A66A70" w:rsidRPr="00A66A70" w:rsidP="00A66A70" w14:paraId="35C49442" w14:textId="5B18BA1B">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A66A70" w:rsidRPr="00A66A70" w:rsidP="00A66A70" w14:paraId="51786558" w14:textId="77777777">
            <w:pPr>
              <w:pStyle w:val="Heading1"/>
              <w:keepNext w:val="0"/>
              <w:widowControl w:val="0"/>
              <w:tabs>
                <w:tab w:val="left" w:pos="360"/>
              </w:tabs>
              <w:spacing w:before="0" w:after="0"/>
              <w:jc w:val="center"/>
              <w:rPr>
                <w:rFonts w:cs="Arial"/>
                <w:b w:val="0"/>
                <w:sz w:val="20"/>
                <w:szCs w:val="20"/>
              </w:rPr>
            </w:pPr>
          </w:p>
        </w:tc>
      </w:tr>
      <w:tr w14:paraId="1E844F1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04B39886"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EEFFA1" w14:textId="77777777">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D1B11D" w14:textId="77777777">
            <w:pPr>
              <w:pStyle w:val="Heading1"/>
              <w:keepNext w:val="0"/>
              <w:widowControl w:val="0"/>
              <w:tabs>
                <w:tab w:val="left" w:pos="360"/>
              </w:tabs>
              <w:spacing w:before="0" w:after="0"/>
              <w:rPr>
                <w:rFonts w:cs="Arial"/>
                <w:sz w:val="20"/>
                <w:szCs w:val="20"/>
              </w:rPr>
            </w:pPr>
          </w:p>
        </w:tc>
      </w:tr>
      <w:tr w14:paraId="1D640DAA" w14:textId="77777777" w:rsidTr="002C278B">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54DC2AD5" w14:textId="77777777">
            <w:pPr>
              <w:pStyle w:val="Heading1"/>
              <w:keepNext w:val="0"/>
              <w:widowControl w:val="0"/>
              <w:tabs>
                <w:tab w:val="left" w:pos="2340"/>
              </w:tabs>
              <w:spacing w:before="0" w:after="0"/>
              <w:rPr>
                <w:rFonts w:cs="Arial"/>
                <w:sz w:val="20"/>
                <w:szCs w:val="20"/>
              </w:rPr>
            </w:pPr>
            <w:r w:rsidRPr="00131B28">
              <w:rPr>
                <w:rFonts w:cs="Arial"/>
                <w:sz w:val="20"/>
                <w:szCs w:val="20"/>
              </w:rPr>
              <w:t>II.b Manjkajoče pravice porabe bodo zagotovljene s prerazporeditvijo:</w:t>
            </w:r>
          </w:p>
        </w:tc>
      </w:tr>
      <w:tr w14:paraId="0985CA00"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26CF5E5"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222270"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D901122"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EE1526"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AAE3DCD"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14:paraId="5D8554A4"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CA32476"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BAA120"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7C435F3"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D565F47"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59202E1" w14:textId="77777777">
            <w:pPr>
              <w:pStyle w:val="Heading1"/>
              <w:keepNext w:val="0"/>
              <w:widowControl w:val="0"/>
              <w:tabs>
                <w:tab w:val="left" w:pos="360"/>
              </w:tabs>
              <w:spacing w:before="0" w:after="0"/>
              <w:rPr>
                <w:rFonts w:cs="Arial"/>
                <w:b w:val="0"/>
                <w:bCs/>
                <w:sz w:val="20"/>
                <w:szCs w:val="20"/>
              </w:rPr>
            </w:pPr>
          </w:p>
        </w:tc>
      </w:tr>
      <w:tr w14:paraId="7BF27C62"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F0D0ECA"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2FD34DA"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E13E07"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155A2C"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0313CB4" w14:textId="77777777">
            <w:pPr>
              <w:pStyle w:val="Heading1"/>
              <w:keepNext w:val="0"/>
              <w:widowControl w:val="0"/>
              <w:tabs>
                <w:tab w:val="left" w:pos="360"/>
              </w:tabs>
              <w:spacing w:before="0" w:after="0"/>
              <w:rPr>
                <w:rFonts w:cs="Arial"/>
                <w:b w:val="0"/>
                <w:bCs/>
                <w:sz w:val="20"/>
                <w:szCs w:val="20"/>
              </w:rPr>
            </w:pPr>
          </w:p>
        </w:tc>
      </w:tr>
      <w:tr w14:paraId="1547AD2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209AC83F"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D00D880" w14:textId="77777777">
            <w:pPr>
              <w:pStyle w:val="Heading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47E8881" w14:textId="77777777">
            <w:pPr>
              <w:pStyle w:val="Heading1"/>
              <w:keepNext w:val="0"/>
              <w:widowControl w:val="0"/>
              <w:tabs>
                <w:tab w:val="left" w:pos="360"/>
              </w:tabs>
              <w:spacing w:before="0" w:after="0"/>
              <w:rPr>
                <w:rFonts w:cs="Arial"/>
                <w:sz w:val="20"/>
                <w:szCs w:val="20"/>
              </w:rPr>
            </w:pPr>
          </w:p>
        </w:tc>
      </w:tr>
      <w:tr w14:paraId="141CDB67" w14:textId="77777777" w:rsidTr="002C278B">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B3C81" w:rsidRPr="00131B28" w:rsidP="002C278B" w14:paraId="79CBA243" w14:textId="77777777">
            <w:pPr>
              <w:pStyle w:val="Heading1"/>
              <w:keepNext w:val="0"/>
              <w:widowControl w:val="0"/>
              <w:tabs>
                <w:tab w:val="left" w:pos="2340"/>
              </w:tabs>
              <w:spacing w:before="0" w:after="0"/>
              <w:rPr>
                <w:rFonts w:cs="Arial"/>
                <w:sz w:val="20"/>
                <w:szCs w:val="20"/>
              </w:rPr>
            </w:pPr>
            <w:r w:rsidRPr="00131B28">
              <w:rPr>
                <w:rFonts w:cs="Arial"/>
                <w:sz w:val="20"/>
                <w:szCs w:val="20"/>
              </w:rPr>
              <w:t>II.c Načrtovana nadomestitev zmanjšanih prihodkov in povečanih odhodkov proračuna:</w:t>
            </w:r>
          </w:p>
        </w:tc>
      </w:tr>
      <w:tr w14:paraId="65647E5D" w14:textId="77777777" w:rsidTr="001D4854">
        <w:tblPrEx>
          <w:tblW w:w="9200" w:type="dxa"/>
          <w:tblInd w:w="8" w:type="dxa"/>
          <w:tblLook w:val="0000"/>
        </w:tblPrEx>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219CA06"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268063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BC37B7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14:paraId="6D28F16E"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B50927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D0FF9E2"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8F22959" w14:textId="77777777">
            <w:pPr>
              <w:pStyle w:val="Heading1"/>
              <w:keepNext w:val="0"/>
              <w:widowControl w:val="0"/>
              <w:tabs>
                <w:tab w:val="left" w:pos="360"/>
              </w:tabs>
              <w:spacing w:before="0" w:after="0"/>
              <w:rPr>
                <w:rFonts w:cs="Arial"/>
                <w:b w:val="0"/>
                <w:bCs/>
                <w:sz w:val="20"/>
                <w:szCs w:val="20"/>
              </w:rPr>
            </w:pPr>
          </w:p>
        </w:tc>
      </w:tr>
      <w:tr w14:paraId="36786A80"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6C2E85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E585AA7"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E9A749C" w14:textId="77777777">
            <w:pPr>
              <w:pStyle w:val="Heading1"/>
              <w:keepNext w:val="0"/>
              <w:widowControl w:val="0"/>
              <w:tabs>
                <w:tab w:val="left" w:pos="360"/>
              </w:tabs>
              <w:spacing w:before="0" w:after="0"/>
              <w:rPr>
                <w:rFonts w:cs="Arial"/>
                <w:b w:val="0"/>
                <w:bCs/>
                <w:sz w:val="20"/>
                <w:szCs w:val="20"/>
              </w:rPr>
            </w:pPr>
          </w:p>
        </w:tc>
      </w:tr>
      <w:tr w14:paraId="085317F8"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49A84A5"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DF871A"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4EF67D" w14:textId="77777777">
            <w:pPr>
              <w:pStyle w:val="Heading1"/>
              <w:keepNext w:val="0"/>
              <w:widowControl w:val="0"/>
              <w:tabs>
                <w:tab w:val="left" w:pos="360"/>
              </w:tabs>
              <w:spacing w:before="0" w:after="0"/>
              <w:rPr>
                <w:rFonts w:cs="Arial"/>
                <w:b w:val="0"/>
                <w:bCs/>
                <w:sz w:val="20"/>
                <w:szCs w:val="20"/>
              </w:rPr>
            </w:pPr>
          </w:p>
        </w:tc>
      </w:tr>
      <w:tr w14:paraId="0714310A"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CB30A0"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C15586B" w14:textId="77777777">
            <w:pPr>
              <w:pStyle w:val="Heading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9EDE91A" w14:textId="77777777">
            <w:pPr>
              <w:pStyle w:val="Heading1"/>
              <w:keepNext w:val="0"/>
              <w:widowControl w:val="0"/>
              <w:tabs>
                <w:tab w:val="left" w:pos="360"/>
              </w:tabs>
              <w:spacing w:before="0" w:after="0"/>
              <w:rPr>
                <w:rFonts w:cs="Arial"/>
                <w:sz w:val="20"/>
                <w:szCs w:val="20"/>
              </w:rPr>
            </w:pPr>
          </w:p>
        </w:tc>
      </w:tr>
      <w:tr w14:paraId="51BF9C2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FB3C81" w:rsidRPr="00131B28" w:rsidP="002C278B" w14:paraId="7D7CF0E6" w14:textId="77777777">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p>
          <w:p w:rsidR="00FB3C81" w:rsidRPr="00131B28" w:rsidP="002C278B" w14:paraId="3D32AD14" w14:textId="77777777">
            <w:pPr>
              <w:pStyle w:val="Oddelek"/>
              <w:widowControl w:val="0"/>
              <w:numPr>
                <w:ilvl w:val="0"/>
                <w:numId w:val="0"/>
              </w:numPr>
              <w:spacing w:before="0" w:after="0" w:line="260" w:lineRule="exact"/>
              <w:jc w:val="left"/>
              <w:rPr>
                <w:b w:val="0"/>
                <w:sz w:val="20"/>
                <w:szCs w:val="20"/>
              </w:rPr>
            </w:pPr>
            <w:r w:rsidRPr="00131B28">
              <w:rPr>
                <w:b w:val="0"/>
                <w:sz w:val="20"/>
                <w:szCs w:val="20"/>
              </w:rPr>
              <w:t>(Samo če izberete NE pod točko 6.a.)</w:t>
            </w:r>
          </w:p>
          <w:p w:rsidR="00FB3C81" w:rsidRPr="00131B28" w:rsidP="002C278B" w14:paraId="5C26A61D" w14:textId="77777777">
            <w:pPr>
              <w:pStyle w:val="Oddelek"/>
              <w:widowControl w:val="0"/>
              <w:numPr>
                <w:ilvl w:val="0"/>
                <w:numId w:val="0"/>
              </w:numPr>
              <w:spacing w:before="0" w:after="0" w:line="260" w:lineRule="exact"/>
              <w:jc w:val="left"/>
              <w:rPr>
                <w:b w:val="0"/>
                <w:sz w:val="20"/>
                <w:szCs w:val="20"/>
              </w:rPr>
            </w:pPr>
            <w:r w:rsidRPr="00131B28">
              <w:rPr>
                <w:b w:val="0"/>
                <w:sz w:val="20"/>
                <w:szCs w:val="20"/>
              </w:rPr>
              <w:t>Kratka obrazložitev</w:t>
            </w:r>
          </w:p>
        </w:tc>
      </w:tr>
      <w:tr w14:paraId="5EA2ADA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1D4854" w14:paraId="3ED72491" w14:textId="77777777">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14:paraId="70825813"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26" w:type="dxa"/>
            <w:gridSpan w:val="6"/>
          </w:tcPr>
          <w:p w:rsidR="001D4854" w:rsidRPr="00131B28" w:rsidP="002E081E" w14:paraId="21EDF8B4" w14:textId="77777777">
            <w:pPr>
              <w:pStyle w:val="Neotevilenodstavek"/>
              <w:widowControl w:val="0"/>
              <w:spacing w:before="0" w:after="0" w:line="260" w:lineRule="exact"/>
              <w:rPr>
                <w:iCs/>
                <w:sz w:val="20"/>
                <w:szCs w:val="20"/>
              </w:rPr>
            </w:pPr>
            <w:r w:rsidRPr="00131B28">
              <w:rPr>
                <w:iCs/>
                <w:sz w:val="20"/>
                <w:szCs w:val="20"/>
              </w:rPr>
              <w:t>Vsebina predloženega gradiva (predpisa) vpliva na:</w:t>
            </w:r>
          </w:p>
          <w:p w:rsidR="001D4854" w:rsidRPr="00131B28" w:rsidP="001D4854" w14:paraId="416ADAF8" w14:textId="77777777">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rsidR="001D4854" w:rsidRPr="00131B28" w:rsidP="001D4854" w14:paraId="3B5F442B" w14:textId="77777777">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rsidR="001D4854" w:rsidRPr="00131B28" w:rsidP="001D4854" w14:paraId="50C70AEC" w14:textId="77777777">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rsidR="001D4854" w:rsidRPr="00131B28" w:rsidP="002E081E" w14:paraId="7EFAEFC0" w14:textId="77777777">
            <w:pPr>
              <w:pStyle w:val="Neotevilenodstavek"/>
              <w:widowControl w:val="0"/>
              <w:spacing w:before="0" w:after="0" w:line="260" w:lineRule="exact"/>
              <w:ind w:left="1440"/>
              <w:rPr>
                <w:iCs/>
                <w:sz w:val="20"/>
                <w:szCs w:val="20"/>
              </w:rPr>
            </w:pPr>
          </w:p>
        </w:tc>
        <w:tc>
          <w:tcPr>
            <w:tcW w:w="2774" w:type="dxa"/>
            <w:gridSpan w:val="3"/>
          </w:tcPr>
          <w:p w:rsidR="001D4854" w:rsidRPr="00131B28" w:rsidP="002E081E" w14:paraId="7BCC87CA" w14:textId="3ED572AF">
            <w:pPr>
              <w:pStyle w:val="Neotevilenodstavek"/>
              <w:widowControl w:val="0"/>
              <w:spacing w:before="0" w:after="0" w:line="260" w:lineRule="exact"/>
              <w:jc w:val="center"/>
              <w:rPr>
                <w:sz w:val="20"/>
                <w:szCs w:val="20"/>
              </w:rPr>
            </w:pPr>
            <w:r w:rsidRPr="00131B28">
              <w:rPr>
                <w:sz w:val="20"/>
                <w:szCs w:val="20"/>
              </w:rPr>
              <w:t>NE</w:t>
            </w:r>
          </w:p>
        </w:tc>
      </w:tr>
      <w:tr w14:paraId="0C973A5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E081E" w14:paraId="5379CF4E" w14:textId="77777777">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rsidR="001D4854" w:rsidRPr="00131B28" w:rsidP="001D4854" w14:paraId="0312CDAA" w14:textId="77777777">
            <w:pPr>
              <w:pStyle w:val="Neotevilenodstavek"/>
              <w:widowControl w:val="0"/>
              <w:numPr>
                <w:ilvl w:val="0"/>
                <w:numId w:val="20"/>
              </w:numPr>
              <w:spacing w:before="0" w:after="0" w:line="260" w:lineRule="exact"/>
              <w:rPr>
                <w:iCs/>
                <w:sz w:val="20"/>
                <w:szCs w:val="20"/>
              </w:rPr>
            </w:pPr>
            <w:r w:rsidRPr="00131B28">
              <w:rPr>
                <w:iCs/>
                <w:sz w:val="20"/>
                <w:szCs w:val="20"/>
              </w:rPr>
              <w:t>Skupnosti občin Slovenije SOS: DA/NE</w:t>
            </w:r>
          </w:p>
          <w:p w:rsidR="001D4854" w:rsidRPr="00131B28" w:rsidP="001D4854" w14:paraId="03689C92" w14:textId="77777777">
            <w:pPr>
              <w:pStyle w:val="Neotevilenodstavek"/>
              <w:widowControl w:val="0"/>
              <w:numPr>
                <w:ilvl w:val="0"/>
                <w:numId w:val="20"/>
              </w:numPr>
              <w:spacing w:before="0" w:after="0" w:line="260" w:lineRule="exact"/>
              <w:rPr>
                <w:iCs/>
                <w:sz w:val="20"/>
                <w:szCs w:val="20"/>
              </w:rPr>
            </w:pPr>
            <w:r w:rsidRPr="00131B28">
              <w:rPr>
                <w:iCs/>
                <w:sz w:val="20"/>
                <w:szCs w:val="20"/>
              </w:rPr>
              <w:t>Združenju občin Slovenije ZOS: DA/NE</w:t>
            </w:r>
          </w:p>
          <w:p w:rsidR="001D4854" w:rsidRPr="00131B28" w:rsidP="001D4854" w14:paraId="5F4B4E27" w14:textId="77777777">
            <w:pPr>
              <w:pStyle w:val="Neotevilenodstavek"/>
              <w:widowControl w:val="0"/>
              <w:numPr>
                <w:ilvl w:val="0"/>
                <w:numId w:val="20"/>
              </w:numPr>
              <w:spacing w:before="0" w:after="0" w:line="260" w:lineRule="exact"/>
              <w:rPr>
                <w:iCs/>
                <w:sz w:val="20"/>
                <w:szCs w:val="20"/>
              </w:rPr>
            </w:pPr>
            <w:r w:rsidRPr="00131B28">
              <w:rPr>
                <w:iCs/>
                <w:sz w:val="20"/>
                <w:szCs w:val="20"/>
              </w:rPr>
              <w:t>Združenju mestnih občin Slovenije ZMOS: DA/NE</w:t>
            </w:r>
          </w:p>
          <w:p w:rsidR="001D4854" w:rsidRPr="00131B28" w:rsidP="002E081E" w14:paraId="67021914" w14:textId="77777777">
            <w:pPr>
              <w:pStyle w:val="Neotevilenodstavek"/>
              <w:widowControl w:val="0"/>
              <w:spacing w:before="0" w:after="0" w:line="260" w:lineRule="exact"/>
              <w:rPr>
                <w:iCs/>
                <w:sz w:val="20"/>
                <w:szCs w:val="20"/>
              </w:rPr>
            </w:pPr>
          </w:p>
          <w:p w:rsidR="001D4854" w:rsidRPr="00131B28" w:rsidP="002E081E" w14:paraId="56890CE6" w14:textId="77777777">
            <w:pPr>
              <w:pStyle w:val="Neotevilenodstavek"/>
              <w:widowControl w:val="0"/>
              <w:spacing w:before="0" w:after="0" w:line="260" w:lineRule="exact"/>
              <w:rPr>
                <w:iCs/>
                <w:sz w:val="20"/>
                <w:szCs w:val="20"/>
              </w:rPr>
            </w:pPr>
            <w:r w:rsidRPr="00131B28">
              <w:rPr>
                <w:iCs/>
                <w:sz w:val="20"/>
                <w:szCs w:val="20"/>
              </w:rPr>
              <w:t>Predlogi in pripombe združenj so bili upoštevani:</w:t>
            </w:r>
          </w:p>
          <w:p w:rsidR="001D4854" w:rsidRPr="00131B28" w:rsidP="001D4854" w14:paraId="62C0BE53" w14:textId="77777777">
            <w:pPr>
              <w:pStyle w:val="Neotevilenodstavek"/>
              <w:widowControl w:val="0"/>
              <w:numPr>
                <w:ilvl w:val="0"/>
                <w:numId w:val="21"/>
              </w:numPr>
              <w:spacing w:before="0" w:after="0" w:line="260" w:lineRule="exact"/>
              <w:rPr>
                <w:iCs/>
                <w:sz w:val="20"/>
                <w:szCs w:val="20"/>
              </w:rPr>
            </w:pPr>
            <w:r w:rsidRPr="00131B28">
              <w:rPr>
                <w:iCs/>
                <w:sz w:val="20"/>
                <w:szCs w:val="20"/>
              </w:rPr>
              <w:t>v celoti,</w:t>
            </w:r>
          </w:p>
          <w:p w:rsidR="001D4854" w:rsidRPr="00131B28" w:rsidP="001D4854" w14:paraId="17527023" w14:textId="77777777">
            <w:pPr>
              <w:pStyle w:val="Neotevilenodstavek"/>
              <w:widowControl w:val="0"/>
              <w:numPr>
                <w:ilvl w:val="0"/>
                <w:numId w:val="21"/>
              </w:numPr>
              <w:spacing w:before="0" w:after="0" w:line="260" w:lineRule="exact"/>
              <w:rPr>
                <w:iCs/>
                <w:sz w:val="20"/>
                <w:szCs w:val="20"/>
              </w:rPr>
            </w:pPr>
            <w:r w:rsidRPr="00131B28">
              <w:rPr>
                <w:iCs/>
                <w:sz w:val="20"/>
                <w:szCs w:val="20"/>
              </w:rPr>
              <w:t>večinoma,</w:t>
            </w:r>
          </w:p>
          <w:p w:rsidR="001D4854" w:rsidRPr="00131B28" w:rsidP="001D4854" w14:paraId="50A4BD77" w14:textId="77777777">
            <w:pPr>
              <w:pStyle w:val="Neotevilenodstavek"/>
              <w:widowControl w:val="0"/>
              <w:numPr>
                <w:ilvl w:val="0"/>
                <w:numId w:val="21"/>
              </w:numPr>
              <w:spacing w:before="0" w:after="0" w:line="260" w:lineRule="exact"/>
              <w:rPr>
                <w:iCs/>
                <w:sz w:val="20"/>
                <w:szCs w:val="20"/>
              </w:rPr>
            </w:pPr>
            <w:r w:rsidRPr="00131B28">
              <w:rPr>
                <w:iCs/>
                <w:sz w:val="20"/>
                <w:szCs w:val="20"/>
              </w:rPr>
              <w:t>delno,</w:t>
            </w:r>
          </w:p>
          <w:p w:rsidR="001D4854" w:rsidRPr="00131B28" w:rsidP="001D4854" w14:paraId="5B055466" w14:textId="77777777">
            <w:pPr>
              <w:pStyle w:val="Neotevilenodstavek"/>
              <w:widowControl w:val="0"/>
              <w:numPr>
                <w:ilvl w:val="0"/>
                <w:numId w:val="21"/>
              </w:numPr>
              <w:spacing w:before="0" w:after="0" w:line="260" w:lineRule="exact"/>
              <w:rPr>
                <w:iCs/>
                <w:sz w:val="20"/>
                <w:szCs w:val="20"/>
              </w:rPr>
            </w:pPr>
            <w:r w:rsidRPr="00131B28">
              <w:rPr>
                <w:iCs/>
                <w:sz w:val="20"/>
                <w:szCs w:val="20"/>
              </w:rPr>
              <w:t>niso bili upoštevani.</w:t>
            </w:r>
          </w:p>
          <w:p w:rsidR="001D4854" w:rsidRPr="00131B28" w:rsidP="002E081E" w14:paraId="7683A28B" w14:textId="77777777">
            <w:pPr>
              <w:pStyle w:val="Neotevilenodstavek"/>
              <w:widowControl w:val="0"/>
              <w:spacing w:before="0" w:after="0" w:line="260" w:lineRule="exact"/>
              <w:ind w:left="360"/>
              <w:rPr>
                <w:iCs/>
                <w:sz w:val="20"/>
                <w:szCs w:val="20"/>
              </w:rPr>
            </w:pPr>
          </w:p>
          <w:p w:rsidR="001D4854" w:rsidRPr="00131B28" w:rsidP="002E081E" w14:paraId="32FFB85E" w14:textId="77777777">
            <w:pPr>
              <w:pStyle w:val="Neotevilenodstavek"/>
              <w:widowControl w:val="0"/>
              <w:spacing w:before="0" w:after="0" w:line="260" w:lineRule="exact"/>
              <w:rPr>
                <w:iCs/>
                <w:sz w:val="20"/>
                <w:szCs w:val="20"/>
              </w:rPr>
            </w:pPr>
            <w:r w:rsidRPr="00131B28">
              <w:rPr>
                <w:iCs/>
                <w:sz w:val="20"/>
                <w:szCs w:val="20"/>
              </w:rPr>
              <w:t>Bistveni predlogi in pripombe, ki niso bili upoštevani.</w:t>
            </w:r>
          </w:p>
          <w:p w:rsidR="00B35734" w:rsidRPr="00131B28" w:rsidP="002E081E" w14:paraId="1750AA05" w14:textId="77777777">
            <w:pPr>
              <w:pStyle w:val="Neotevilenodstavek"/>
              <w:widowControl w:val="0"/>
              <w:spacing w:before="0" w:after="0" w:line="260" w:lineRule="exact"/>
              <w:rPr>
                <w:iCs/>
                <w:sz w:val="20"/>
                <w:szCs w:val="20"/>
              </w:rPr>
            </w:pPr>
          </w:p>
        </w:tc>
      </w:tr>
      <w:tr w14:paraId="71487A6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C278B" w14:paraId="20A4E741" w14:textId="77777777">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14:paraId="473BC20A"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tcPr>
          <w:p w:rsidR="001D4854" w:rsidRPr="00131B28" w:rsidP="002C278B" w14:paraId="048DDBA7" w14:textId="77777777">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93" w:type="dxa"/>
            <w:gridSpan w:val="2"/>
          </w:tcPr>
          <w:p w:rsidR="001D4854" w:rsidRPr="00131B28" w:rsidP="002C278B" w14:paraId="51305BBA" w14:textId="74054013">
            <w:pPr>
              <w:pStyle w:val="Neotevilenodstavek"/>
              <w:widowControl w:val="0"/>
              <w:spacing w:before="0" w:after="0" w:line="260" w:lineRule="exact"/>
              <w:jc w:val="center"/>
              <w:rPr>
                <w:iCs/>
                <w:sz w:val="20"/>
                <w:szCs w:val="20"/>
              </w:rPr>
            </w:pPr>
            <w:r w:rsidRPr="00131B28">
              <w:rPr>
                <w:sz w:val="20"/>
                <w:szCs w:val="20"/>
              </w:rPr>
              <w:t>NE</w:t>
            </w:r>
          </w:p>
        </w:tc>
      </w:tr>
      <w:tr w14:paraId="5CB0439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1D4854" w:rsidRPr="00131B28" w:rsidP="002C278B" w14:paraId="5A8FE0CF" w14:textId="03E22B32">
            <w:pPr>
              <w:pStyle w:val="Neotevilenodstavek"/>
              <w:widowControl w:val="0"/>
              <w:spacing w:before="0" w:after="0" w:line="260" w:lineRule="exact"/>
              <w:rPr>
                <w:iCs/>
                <w:sz w:val="20"/>
                <w:szCs w:val="20"/>
              </w:rPr>
            </w:pPr>
            <w:r w:rsidRPr="00F129F1">
              <w:rPr>
                <w:iCs/>
                <w:color w:val="000000" w:themeColor="text1"/>
                <w:sz w:val="20"/>
                <w:szCs w:val="20"/>
              </w:rPr>
              <w:t>Skladno s sedmim odstavkom 9. člena Poslovnika Vlade RS (Uradni list RS, št. 43/01, 23/02 – popr., 54/03, 103/03, 114/04, 26/06, 21/07, 32/10, 73/10, 95/11, 64/12, 10/14, 164/20, 35/21, 51/21 in 114/21) javnost ni bila povabljena k sodelovanju, ker gre za predlog sklepa Vlade Republike Slovenije.</w:t>
            </w:r>
          </w:p>
        </w:tc>
      </w:tr>
      <w:tr w14:paraId="6F25FE80"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1D4854" w:rsidRPr="00131B28" w:rsidP="002C278B" w14:paraId="317CA7B7" w14:textId="77777777">
            <w:pPr>
              <w:pStyle w:val="Neotevilenodstavek"/>
              <w:widowControl w:val="0"/>
              <w:spacing w:before="0" w:after="0" w:line="260" w:lineRule="exact"/>
              <w:jc w:val="left"/>
              <w:rPr>
                <w:sz w:val="20"/>
                <w:szCs w:val="20"/>
              </w:rPr>
            </w:pPr>
            <w:r w:rsidRPr="00131B28">
              <w:rPr>
                <w:b/>
                <w:sz w:val="20"/>
                <w:szCs w:val="20"/>
              </w:rPr>
              <w:t>10. Pri pripravi gradiva so bile upoštevane zahteve iz Resolucije o normativni dejavnosti:</w:t>
            </w:r>
          </w:p>
        </w:tc>
        <w:tc>
          <w:tcPr>
            <w:tcW w:w="2393" w:type="dxa"/>
            <w:gridSpan w:val="2"/>
            <w:vAlign w:val="center"/>
          </w:tcPr>
          <w:p w:rsidR="001D4854" w:rsidRPr="00131B28" w:rsidP="002C278B" w14:paraId="163AF718" w14:textId="79CA6290">
            <w:pPr>
              <w:pStyle w:val="Neotevilenodstavek"/>
              <w:widowControl w:val="0"/>
              <w:spacing w:before="0" w:after="0" w:line="260" w:lineRule="exact"/>
              <w:jc w:val="center"/>
              <w:rPr>
                <w:iCs/>
                <w:sz w:val="20"/>
                <w:szCs w:val="20"/>
              </w:rPr>
            </w:pPr>
            <w:r w:rsidRPr="00131B28">
              <w:rPr>
                <w:sz w:val="20"/>
                <w:szCs w:val="20"/>
              </w:rPr>
              <w:t>NE</w:t>
            </w:r>
          </w:p>
        </w:tc>
      </w:tr>
      <w:tr w14:paraId="7F31D7CB"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1D4854" w:rsidRPr="00131B28" w:rsidP="002C278B" w14:paraId="1FA169D7" w14:textId="77777777">
            <w:pPr>
              <w:pStyle w:val="Neotevilenodstavek"/>
              <w:widowControl w:val="0"/>
              <w:spacing w:before="0" w:after="0" w:line="260" w:lineRule="exact"/>
              <w:jc w:val="left"/>
              <w:rPr>
                <w:b/>
                <w:sz w:val="20"/>
                <w:szCs w:val="20"/>
              </w:rPr>
            </w:pPr>
            <w:r w:rsidRPr="00131B28">
              <w:rPr>
                <w:b/>
                <w:sz w:val="20"/>
                <w:szCs w:val="20"/>
              </w:rPr>
              <w:t>11. Gradivo je uvrščeno v delovni program vlade:</w:t>
            </w:r>
          </w:p>
        </w:tc>
        <w:tc>
          <w:tcPr>
            <w:tcW w:w="2393" w:type="dxa"/>
            <w:gridSpan w:val="2"/>
            <w:vAlign w:val="center"/>
          </w:tcPr>
          <w:p w:rsidR="001D4854" w:rsidRPr="00131B28" w:rsidP="002C278B" w14:paraId="0E6621F8" w14:textId="1B6267E8">
            <w:pPr>
              <w:pStyle w:val="Neotevilenodstavek"/>
              <w:widowControl w:val="0"/>
              <w:spacing w:before="0" w:after="0" w:line="260" w:lineRule="exact"/>
              <w:jc w:val="center"/>
              <w:rPr>
                <w:sz w:val="20"/>
                <w:szCs w:val="20"/>
              </w:rPr>
            </w:pPr>
            <w:r w:rsidRPr="00131B28">
              <w:rPr>
                <w:sz w:val="20"/>
                <w:szCs w:val="20"/>
              </w:rPr>
              <w:t>NE</w:t>
            </w:r>
          </w:p>
        </w:tc>
      </w:tr>
      <w:tr w14:paraId="4B3FC72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p w:rsidR="001D4854" w:rsidRPr="00131B28" w:rsidP="002C278B" w14:paraId="3630897F" w14:textId="77777777">
            <w:pPr>
              <w:pStyle w:val="Poglavje"/>
              <w:widowControl w:val="0"/>
              <w:spacing w:before="0" w:after="0" w:line="260" w:lineRule="exact"/>
              <w:ind w:left="3400"/>
              <w:jc w:val="left"/>
              <w:rPr>
                <w:sz w:val="20"/>
                <w:szCs w:val="20"/>
              </w:rPr>
            </w:pPr>
          </w:p>
          <w:p w:rsidR="001D4854" w:rsidP="00A66A70" w14:paraId="7F17A5A0" w14:textId="336F8D78">
            <w:pPr>
              <w:pStyle w:val="Poglavje"/>
              <w:widowControl w:val="0"/>
              <w:spacing w:before="0" w:after="0" w:line="260" w:lineRule="exact"/>
              <w:ind w:left="3400"/>
              <w:rPr>
                <w:sz w:val="20"/>
                <w:szCs w:val="20"/>
              </w:rPr>
            </w:pPr>
            <w:r>
              <w:rPr>
                <w:sz w:val="20"/>
                <w:szCs w:val="20"/>
              </w:rPr>
              <w:t>Boštjan Pavlin, mag.</w:t>
            </w:r>
          </w:p>
          <w:p w:rsidR="00A66A70" w:rsidRPr="00131B28" w:rsidP="00A66A70" w14:paraId="7777BC05" w14:textId="5FB2EA45">
            <w:pPr>
              <w:pStyle w:val="Poglavje"/>
              <w:widowControl w:val="0"/>
              <w:spacing w:before="0" w:after="0" w:line="260" w:lineRule="exact"/>
              <w:ind w:left="3400"/>
              <w:rPr>
                <w:sz w:val="20"/>
                <w:szCs w:val="20"/>
              </w:rPr>
            </w:pPr>
            <w:r>
              <w:rPr>
                <w:sz w:val="20"/>
                <w:szCs w:val="20"/>
              </w:rPr>
              <w:t>Državni sekretar</w:t>
            </w:r>
            <w:bookmarkStart w:id="2" w:name="_GoBack"/>
            <w:bookmarkEnd w:id="2"/>
          </w:p>
          <w:p w:rsidR="001D4854" w:rsidRPr="00131B28" w:rsidP="002C278B" w14:paraId="4939D8D2" w14:textId="77777777">
            <w:pPr>
              <w:pStyle w:val="Poglavje"/>
              <w:widowControl w:val="0"/>
              <w:spacing w:before="0" w:after="0" w:line="260" w:lineRule="exact"/>
              <w:ind w:left="3400"/>
              <w:jc w:val="left"/>
              <w:rPr>
                <w:sz w:val="20"/>
                <w:szCs w:val="20"/>
              </w:rPr>
            </w:pPr>
          </w:p>
        </w:tc>
      </w:tr>
    </w:tbl>
    <w:p w:rsidR="00FB3C81" w:rsidRPr="00131B28" w:rsidP="00FB3C81" w14:paraId="68C72AD5" w14:textId="77777777">
      <w:pPr>
        <w:pStyle w:val="podpisi"/>
        <w:tabs>
          <w:tab w:val="clear" w:pos="3402"/>
        </w:tabs>
        <w:rPr>
          <w:rFonts w:cs="Arial"/>
          <w:b/>
          <w:szCs w:val="20"/>
          <w:lang w:val="sl-SI"/>
        </w:rPr>
      </w:pPr>
    </w:p>
    <w:p w:rsidR="009F77C7" w:rsidRPr="00131B28" w:rsidP="00FB3C81" w14:paraId="3BC31228" w14:textId="77777777">
      <w:pPr>
        <w:pStyle w:val="podpisi"/>
        <w:tabs>
          <w:tab w:val="clear" w:pos="3402"/>
        </w:tabs>
        <w:rPr>
          <w:rFonts w:cs="Arial"/>
          <w:szCs w:val="20"/>
          <w:lang w:val="sl-SI"/>
        </w:rPr>
      </w:pPr>
      <w:r w:rsidRPr="00131B28">
        <w:rPr>
          <w:rFonts w:cs="Arial"/>
          <w:szCs w:val="20"/>
          <w:lang w:val="sl-SI"/>
        </w:rPr>
        <w:t>Poslano:</w:t>
      </w:r>
    </w:p>
    <w:p w:rsidR="009F77C7" w:rsidRPr="00131B28" w:rsidP="00145406" w14:paraId="459C6E22" w14:textId="00E32478">
      <w:pPr>
        <w:pStyle w:val="podpisi"/>
        <w:numPr>
          <w:ilvl w:val="0"/>
          <w:numId w:val="31"/>
        </w:numPr>
        <w:tabs>
          <w:tab w:val="clear" w:pos="3402"/>
        </w:tabs>
        <w:rPr>
          <w:rFonts w:cs="Arial"/>
          <w:szCs w:val="20"/>
          <w:lang w:val="sl-SI"/>
        </w:rPr>
      </w:pPr>
      <w:r w:rsidRPr="00131B28">
        <w:rPr>
          <w:rFonts w:cs="Arial"/>
          <w:szCs w:val="20"/>
          <w:lang w:val="sl-SI"/>
        </w:rPr>
        <w:t>naslovniku</w:t>
      </w:r>
      <w:r w:rsidR="00A66A70">
        <w:rPr>
          <w:rFonts w:cs="Arial"/>
          <w:szCs w:val="20"/>
          <w:lang w:val="sl-SI"/>
        </w:rPr>
        <w:t>,</w:t>
      </w:r>
    </w:p>
    <w:p w:rsidR="00C14725" w:rsidRPr="00145406" w:rsidP="00145406" w14:paraId="413C9D20" w14:textId="1A99FF29">
      <w:pPr>
        <w:pStyle w:val="podpisi"/>
        <w:numPr>
          <w:ilvl w:val="0"/>
          <w:numId w:val="31"/>
        </w:numPr>
        <w:tabs>
          <w:tab w:val="clear" w:pos="3402"/>
        </w:tabs>
        <w:rPr>
          <w:rFonts w:cs="Arial"/>
          <w:szCs w:val="20"/>
          <w:lang w:val="sl-SI"/>
        </w:rPr>
      </w:pPr>
      <w:r>
        <w:rPr>
          <w:rFonts w:cs="Arial"/>
          <w:szCs w:val="20"/>
          <w:lang w:val="sl-SI"/>
        </w:rPr>
        <w:t>Direktorat</w:t>
      </w:r>
      <w:r w:rsidR="00145406">
        <w:rPr>
          <w:rFonts w:cs="Arial"/>
          <w:szCs w:val="20"/>
          <w:lang w:val="sl-SI"/>
        </w:rPr>
        <w:t xml:space="preserve"> za obrambne zadeve.</w:t>
      </w:r>
    </w:p>
    <w:p w:rsidR="00EE016E" w:rsidP="00EE016E" w14:paraId="7ED3067E" w14:textId="77777777">
      <w:pPr>
        <w:spacing w:after="0" w:line="240" w:lineRule="auto"/>
        <w:rPr>
          <w:sz w:val="20"/>
          <w:szCs w:val="20"/>
        </w:rPr>
      </w:pPr>
      <w:r w:rsidRPr="00131B28">
        <w:rPr>
          <w:sz w:val="20"/>
          <w:szCs w:val="20"/>
        </w:rPr>
        <w:br w:type="page"/>
      </w:r>
    </w:p>
    <w:p w:rsidR="00EE016E" w:rsidRPr="00EE016E" w:rsidP="00EE016E" w14:paraId="1ED8296B" w14:textId="160FFFBF">
      <w:pPr>
        <w:spacing w:after="0" w:line="240" w:lineRule="auto"/>
        <w:rPr>
          <w:sz w:val="20"/>
          <w:szCs w:val="20"/>
        </w:rPr>
      </w:pPr>
      <w:r w:rsidRPr="00F129F1">
        <w:rPr>
          <w:rFonts w:ascii="Arial" w:hAnsi="Arial" w:cs="Arial"/>
          <w:b/>
          <w:color w:val="000000" w:themeColor="text1"/>
          <w:sz w:val="20"/>
          <w:szCs w:val="20"/>
        </w:rPr>
        <w:t>OBRAZLOŽITEV</w:t>
      </w:r>
    </w:p>
    <w:p w:rsidR="00EE016E" w:rsidRPr="00502920" w:rsidP="00EE016E" w14:paraId="65B9A5FE" w14:textId="77777777">
      <w:pPr>
        <w:spacing w:after="0"/>
        <w:rPr>
          <w:rFonts w:ascii="Arial" w:hAnsi="Arial" w:cs="Arial"/>
          <w:bCs/>
          <w:color w:val="000000" w:themeColor="text1"/>
          <w:sz w:val="20"/>
          <w:szCs w:val="20"/>
        </w:rPr>
      </w:pPr>
    </w:p>
    <w:p w:rsidR="00EE016E" w:rsidRPr="00C63DFE" w:rsidP="00EE016E" w14:paraId="1E21DCFD" w14:textId="77777777">
      <w:pPr>
        <w:spacing w:after="0"/>
        <w:jc w:val="both"/>
        <w:rPr>
          <w:rFonts w:ascii="Arial" w:hAnsi="Arial" w:cs="Arial"/>
          <w:sz w:val="20"/>
          <w:szCs w:val="20"/>
        </w:rPr>
      </w:pPr>
      <w:r w:rsidRPr="00C63DFE">
        <w:rPr>
          <w:rFonts w:ascii="Arial" w:hAnsi="Arial" w:cs="Arial"/>
          <w:sz w:val="20"/>
          <w:szCs w:val="20"/>
        </w:rPr>
        <w:t>Odpornost države in družbe na sodobne varnostne grožnje in tveganja je odraz sposobnosti prilagajanja na nepredvidljive, lahko tudi obsežnejše in intenzivnejše sodobne</w:t>
      </w:r>
      <w:r w:rsidRPr="00C63DFE">
        <w:rPr>
          <w:rFonts w:ascii="Arial" w:hAnsi="Arial" w:cs="Arial"/>
          <w:b/>
          <w:bCs/>
          <w:sz w:val="20"/>
          <w:szCs w:val="20"/>
        </w:rPr>
        <w:t xml:space="preserve"> </w:t>
      </w:r>
      <w:r w:rsidRPr="00C63DFE">
        <w:rPr>
          <w:rFonts w:ascii="Arial" w:hAnsi="Arial" w:cs="Arial"/>
          <w:sz w:val="20"/>
          <w:szCs w:val="20"/>
        </w:rPr>
        <w:t>izzive oziroma tveganja. Predstavlja odločnost vztrajanja in sposobnost države na različnih ravneh, da se pripravi, zoperstavi, odzove in okreva po strateških šokih in motnjah. Je nacionalna pristojnost in skupna odgovornost vseh deležnikov in je v deljeni pristojnosti različnih resorjev, vladnih služb, pa tudi gospodarskih družb, zavodov in drugih organizacij</w:t>
      </w:r>
      <w:r>
        <w:rPr>
          <w:rFonts w:ascii="Arial" w:hAnsi="Arial" w:cs="Arial"/>
          <w:sz w:val="20"/>
          <w:szCs w:val="20"/>
        </w:rPr>
        <w:t>. Doseganje čim višje ravni nacionalne odpornosti prispeva k skupni odpornosti Evropske unije ter kolektivni odpornosti Nata.</w:t>
      </w:r>
    </w:p>
    <w:p w:rsidR="00EE016E" w:rsidRPr="00C63DFE" w:rsidP="00EE016E" w14:paraId="142795FA" w14:textId="77777777">
      <w:pPr>
        <w:spacing w:after="0"/>
        <w:jc w:val="both"/>
        <w:rPr>
          <w:rFonts w:ascii="Arial" w:hAnsi="Arial" w:cs="Arial"/>
          <w:sz w:val="20"/>
          <w:szCs w:val="20"/>
        </w:rPr>
      </w:pPr>
    </w:p>
    <w:p w:rsidR="00EE016E" w:rsidRPr="00C63DFE" w:rsidP="00EE016E" w14:paraId="4DB156E9" w14:textId="77777777">
      <w:pPr>
        <w:spacing w:after="0"/>
        <w:jc w:val="both"/>
        <w:rPr>
          <w:rFonts w:ascii="Arial" w:hAnsi="Arial" w:cs="Arial"/>
          <w:sz w:val="20"/>
          <w:szCs w:val="20"/>
        </w:rPr>
      </w:pPr>
      <w:r w:rsidRPr="00C63DFE">
        <w:rPr>
          <w:rFonts w:ascii="Arial" w:hAnsi="Arial" w:cs="Arial"/>
          <w:sz w:val="20"/>
          <w:szCs w:val="20"/>
        </w:rPr>
        <w:t>Naslavljanje in krepitev odpornosti po posameznih področjih in prenos s tem povezanih informacij različnim ciljnim skupinam (na ravni države, družbe, lokalnih skupnosti, posameznikov itd.) je treba intenzivirati, če želimo doseči čim boljšo pripravljenost prebivalstva, družbe in države na strateške šoke in tveganja, ki smo jih v trenutnem mednarodno-varnostnem okolju izpostavljeni, se jim znati in uspeti zoperstaviti, se nanje ustrezno odzvati oziroma hitro in v čim večji meri okrevati po njih.</w:t>
      </w:r>
    </w:p>
    <w:p w:rsidR="00EE016E" w:rsidRPr="00C63DFE" w:rsidP="00EE016E" w14:paraId="2760003D" w14:textId="77777777">
      <w:pPr>
        <w:spacing w:after="0"/>
        <w:jc w:val="both"/>
        <w:rPr>
          <w:rFonts w:ascii="Arial" w:hAnsi="Arial" w:cs="Arial"/>
          <w:sz w:val="20"/>
          <w:szCs w:val="20"/>
        </w:rPr>
      </w:pPr>
    </w:p>
    <w:p w:rsidR="00EE016E" w:rsidRPr="00C63DFE" w:rsidP="00EE016E" w14:paraId="28F5E49A" w14:textId="77777777">
      <w:pPr>
        <w:spacing w:after="0"/>
        <w:jc w:val="both"/>
        <w:rPr>
          <w:rFonts w:ascii="Arial" w:hAnsi="Arial" w:cs="Arial"/>
          <w:sz w:val="20"/>
          <w:szCs w:val="20"/>
        </w:rPr>
      </w:pPr>
      <w:r w:rsidRPr="00C63DFE">
        <w:rPr>
          <w:rFonts w:ascii="Arial" w:hAnsi="Arial" w:cs="Arial"/>
          <w:sz w:val="20"/>
          <w:szCs w:val="20"/>
        </w:rPr>
        <w:t xml:space="preserve">Ukrepe in aktivnosti, ki bodo prispevali h krepitvi nacionalne odpornosti, k doseganju nacionalnih ciljev odpornosti po vseh trinajstih področjih nacionalne odpornosti (nacionalno varnostni sistem in neprekinjeno delovanje oblasti, energetika, pitna voda, finančni sistem in bančništvo, gospodarstvo, zdravje, informacijsko-komunikacijska omrežja in sistemi, transport, družbena odpornost, okolje, prostor in naravni viri, strateško komuniciranje, vesolje in nove tehnologije) je treba podkrepiti z ustreznimi </w:t>
      </w:r>
      <w:r>
        <w:rPr>
          <w:rFonts w:ascii="Arial" w:hAnsi="Arial" w:cs="Arial"/>
          <w:sz w:val="20"/>
          <w:szCs w:val="20"/>
        </w:rPr>
        <w:t>promocijskimi materiali</w:t>
      </w:r>
      <w:r w:rsidRPr="00C63DFE">
        <w:rPr>
          <w:rFonts w:ascii="Arial" w:hAnsi="Arial" w:cs="Arial"/>
          <w:sz w:val="20"/>
          <w:szCs w:val="20"/>
        </w:rPr>
        <w:t xml:space="preserve"> za splošno in strokovno javnost ter aktivnostmi za ozaveščanje</w:t>
      </w:r>
      <w:r>
        <w:rPr>
          <w:rFonts w:ascii="Arial" w:hAnsi="Arial" w:cs="Arial"/>
          <w:sz w:val="20"/>
          <w:szCs w:val="20"/>
        </w:rPr>
        <w:t xml:space="preserve"> in</w:t>
      </w:r>
      <w:r w:rsidRPr="00C63DFE">
        <w:rPr>
          <w:rFonts w:ascii="Arial" w:hAnsi="Arial" w:cs="Arial"/>
          <w:sz w:val="20"/>
          <w:szCs w:val="20"/>
        </w:rPr>
        <w:t xml:space="preserve"> obveščanje</w:t>
      </w:r>
      <w:r>
        <w:rPr>
          <w:rFonts w:ascii="Arial" w:hAnsi="Arial" w:cs="Arial"/>
          <w:sz w:val="20"/>
          <w:szCs w:val="20"/>
        </w:rPr>
        <w:t xml:space="preserve"> ter</w:t>
      </w:r>
      <w:r w:rsidRPr="00C63DFE">
        <w:rPr>
          <w:rFonts w:ascii="Arial" w:hAnsi="Arial" w:cs="Arial"/>
          <w:sz w:val="20"/>
          <w:szCs w:val="20"/>
        </w:rPr>
        <w:t xml:space="preserve"> komuniciranje z javnostmi. Na ta način, z okrepljenim situacijskim zavedanjem, pravočasno in ustrezno predstavitvijo vsebin ter ukrepov prebivalstvu ter vsem deležnikom, ki pomembno prispevajo k odpornosti na posameznem področju, bo dosežen celovit medresorski oz. vse-družbeni pristop.</w:t>
      </w:r>
    </w:p>
    <w:p w:rsidR="00EE016E" w:rsidRPr="00C63DFE" w:rsidP="00EE016E" w14:paraId="7C4FA383" w14:textId="77777777">
      <w:pPr>
        <w:spacing w:after="0"/>
        <w:jc w:val="both"/>
        <w:rPr>
          <w:rFonts w:ascii="Arial" w:hAnsi="Arial" w:cs="Arial"/>
          <w:sz w:val="20"/>
          <w:szCs w:val="20"/>
        </w:rPr>
      </w:pPr>
    </w:p>
    <w:p w:rsidR="00EE016E" w:rsidRPr="00C63DFE" w:rsidP="00EE016E" w14:paraId="1640C1F1" w14:textId="77777777">
      <w:pPr>
        <w:spacing w:after="0"/>
        <w:jc w:val="both"/>
        <w:rPr>
          <w:rFonts w:ascii="Arial" w:hAnsi="Arial" w:cs="Arial"/>
          <w:color w:val="000000" w:themeColor="text1"/>
          <w:sz w:val="20"/>
          <w:szCs w:val="20"/>
        </w:rPr>
      </w:pPr>
      <w:r w:rsidRPr="00C63DFE">
        <w:rPr>
          <w:rFonts w:ascii="Arial" w:hAnsi="Arial" w:cs="Arial"/>
          <w:sz w:val="20"/>
          <w:szCs w:val="20"/>
        </w:rPr>
        <w:t>Za dosego navedenih ciljev bodo za opredelitev celostne grafične podobe in logotipa, ki bo odražal odpornost na nacionalni ravni, za pripravo</w:t>
      </w:r>
      <w:r w:rsidRPr="00C63DFE">
        <w:rPr>
          <w:rFonts w:ascii="Arial" w:hAnsi="Arial" w:cs="Arial"/>
          <w:color w:val="000000" w:themeColor="text1"/>
          <w:sz w:val="20"/>
          <w:szCs w:val="20"/>
        </w:rPr>
        <w:t xml:space="preserve"> promocijskih materialov za različne ciljne skupine, za izvedbo aktivnosti za ozaveščanje, obveščanje in komuniciranje, kot so oblikovanje video in avdio vsebin, priprava ter objava prispevkov, člankov ter drugih gradiv</w:t>
      </w:r>
      <w:r w:rsidRPr="0095629C">
        <w:rPr>
          <w:rFonts w:ascii="Arial" w:hAnsi="Arial" w:cs="Arial"/>
          <w:sz w:val="20"/>
          <w:szCs w:val="20"/>
        </w:rPr>
        <w:t>, na ravni Ministrstva za obrambo v letu 202</w:t>
      </w:r>
      <w:r>
        <w:rPr>
          <w:rFonts w:ascii="Arial" w:hAnsi="Arial" w:cs="Arial"/>
          <w:sz w:val="20"/>
          <w:szCs w:val="20"/>
        </w:rPr>
        <w:t>6</w:t>
      </w:r>
      <w:r w:rsidRPr="0095629C">
        <w:rPr>
          <w:rFonts w:ascii="Arial" w:hAnsi="Arial" w:cs="Arial"/>
          <w:sz w:val="20"/>
          <w:szCs w:val="20"/>
        </w:rPr>
        <w:t xml:space="preserve"> porabljena finančna sredstva v višini </w:t>
      </w:r>
      <w:r>
        <w:rPr>
          <w:rFonts w:ascii="Arial" w:hAnsi="Arial" w:cs="Arial"/>
          <w:sz w:val="20"/>
          <w:szCs w:val="20"/>
        </w:rPr>
        <w:t>5</w:t>
      </w:r>
      <w:r w:rsidRPr="0095629C">
        <w:rPr>
          <w:rFonts w:ascii="Arial" w:hAnsi="Arial" w:cs="Arial"/>
          <w:sz w:val="20"/>
          <w:szCs w:val="20"/>
        </w:rPr>
        <w:t>00.000 eurov.</w:t>
      </w:r>
    </w:p>
    <w:p w:rsidR="00EE016E" w:rsidRPr="00C63DFE" w:rsidP="00EE016E" w14:paraId="4D5CFD03" w14:textId="77777777">
      <w:pPr>
        <w:spacing w:after="0"/>
        <w:jc w:val="both"/>
        <w:rPr>
          <w:rFonts w:ascii="Arial" w:hAnsi="Arial" w:cs="Arial"/>
          <w:color w:val="000000" w:themeColor="text1"/>
          <w:sz w:val="20"/>
          <w:szCs w:val="20"/>
        </w:rPr>
      </w:pPr>
    </w:p>
    <w:p w:rsidR="00EE016E" w:rsidP="00EE016E" w14:paraId="03633A5B" w14:textId="77777777">
      <w:pPr>
        <w:spacing w:after="0"/>
        <w:jc w:val="both"/>
        <w:rPr>
          <w:rFonts w:ascii="Arial" w:hAnsi="Arial" w:cs="Arial"/>
          <w:color w:val="000000" w:themeColor="text1"/>
          <w:sz w:val="20"/>
          <w:szCs w:val="20"/>
        </w:rPr>
      </w:pPr>
      <w:r w:rsidRPr="00C63DFE">
        <w:rPr>
          <w:rFonts w:ascii="Arial" w:hAnsi="Arial" w:cs="Arial"/>
          <w:color w:val="000000" w:themeColor="text1"/>
          <w:sz w:val="20"/>
          <w:szCs w:val="20"/>
        </w:rPr>
        <w:t>Z načrtovanimi enotnimi aktivnostmi za ozaveščanje, obveščanje, komuniciranje in promocijo vsebin, povezanih z odpornostjo, varnostjo in obrambo, bo grajena prepoznavna znamka odpornosti, s katero se bodo v prihodnje povezovale tudi tovrstne aktivnosti nosilcev, ki so skladno z odločitvijo Vlade Republike Slovenije št. 80100-2/2025/2 z dne 13. 3. 2025</w:t>
      </w:r>
      <w:r>
        <w:rPr>
          <w:rFonts w:ascii="Arial" w:hAnsi="Arial" w:cs="Arial"/>
          <w:color w:val="000000" w:themeColor="text1"/>
          <w:sz w:val="20"/>
          <w:szCs w:val="20"/>
        </w:rPr>
        <w:t xml:space="preserve"> </w:t>
      </w:r>
      <w:r w:rsidRPr="00C63DFE">
        <w:rPr>
          <w:rFonts w:ascii="Arial" w:hAnsi="Arial" w:cs="Arial"/>
          <w:color w:val="000000" w:themeColor="text1"/>
          <w:sz w:val="20"/>
          <w:szCs w:val="20"/>
        </w:rPr>
        <w:t>pristojni za koordinacijo na posameznem področju odpornosti ter se v njih prepoznavali tudi prebivalci, ki predstavljajo pomemben člen v verigi odpornosti države in družbe.</w:t>
      </w:r>
    </w:p>
    <w:p w:rsidR="00EE016E" w:rsidP="00EE016E" w14:paraId="10C25581" w14:textId="77777777">
      <w:pPr>
        <w:shd w:val="clear" w:color="auto" w:fill="FFFFFF"/>
        <w:spacing w:after="0"/>
        <w:jc w:val="both"/>
        <w:rPr>
          <w:rFonts w:ascii="Arial" w:hAnsi="Arial" w:cs="Arial"/>
          <w:color w:val="000000" w:themeColor="text1"/>
          <w:sz w:val="20"/>
          <w:szCs w:val="20"/>
        </w:rPr>
      </w:pPr>
    </w:p>
    <w:p w:rsidR="00EE016E" w:rsidRPr="00AB05DC" w:rsidP="00EE016E" w14:paraId="0A57024B" w14:textId="77777777">
      <w:pPr>
        <w:pStyle w:val="ListParagraph"/>
        <w:numPr>
          <w:ilvl w:val="0"/>
          <w:numId w:val="37"/>
        </w:numPr>
        <w:spacing w:after="0" w:line="276" w:lineRule="auto"/>
        <w:jc w:val="both"/>
        <w:rPr>
          <w:rFonts w:ascii="Arial" w:hAnsi="Arial" w:cs="Arial"/>
          <w:b/>
          <w:bCs/>
          <w:color w:val="000000" w:themeColor="text1"/>
          <w:sz w:val="20"/>
          <w:szCs w:val="20"/>
        </w:rPr>
      </w:pPr>
      <w:r w:rsidRPr="00AB05DC">
        <w:rPr>
          <w:rFonts w:ascii="Arial" w:hAnsi="Arial" w:cs="Arial"/>
          <w:b/>
          <w:bCs/>
          <w:color w:val="000000" w:themeColor="text1"/>
          <w:sz w:val="20"/>
          <w:szCs w:val="20"/>
        </w:rPr>
        <w:t>Osnovna vizija strateškega načrta promocijskih aktivnosti</w:t>
      </w:r>
    </w:p>
    <w:p w:rsidR="00EE016E" w:rsidP="00EE016E" w14:paraId="46FFB536" w14:textId="77777777">
      <w:pPr>
        <w:spacing w:after="0"/>
        <w:jc w:val="both"/>
        <w:rPr>
          <w:rFonts w:ascii="Arial" w:hAnsi="Arial" w:cs="Arial"/>
          <w:color w:val="000000" w:themeColor="text1"/>
          <w:sz w:val="20"/>
          <w:szCs w:val="20"/>
        </w:rPr>
      </w:pPr>
    </w:p>
    <w:p w:rsidR="00EE016E" w:rsidP="00EE016E" w14:paraId="5AD7BAC6" w14:textId="77777777">
      <w:pPr>
        <w:spacing w:after="0"/>
        <w:jc w:val="both"/>
        <w:rPr>
          <w:rFonts w:ascii="Arial" w:hAnsi="Arial" w:cs="Arial"/>
          <w:color w:val="000000" w:themeColor="text1"/>
          <w:sz w:val="20"/>
          <w:szCs w:val="20"/>
        </w:rPr>
      </w:pPr>
      <w:r>
        <w:rPr>
          <w:rFonts w:ascii="Arial" w:hAnsi="Arial" w:cs="Arial"/>
          <w:color w:val="000000" w:themeColor="text1"/>
          <w:sz w:val="20"/>
          <w:szCs w:val="20"/>
        </w:rPr>
        <w:t xml:space="preserve">Osnovna vizija strateškega načrta promocijskih aktivnosti za krepitev odpornosti države, družbe in posameznika v letu 2026 je vzpostaviti družbo, ki je povezana, informirana, opolnomočena in sposobna pravočasno prepoznati, se pripraviti in odzivati na varnostne, zdravstvene, </w:t>
      </w:r>
      <w:r>
        <w:rPr>
          <w:rFonts w:ascii="Arial" w:hAnsi="Arial" w:cs="Arial"/>
          <w:color w:val="000000" w:themeColor="text1"/>
          <w:sz w:val="20"/>
          <w:szCs w:val="20"/>
        </w:rPr>
        <w:t>okoljske</w:t>
      </w:r>
      <w:r>
        <w:rPr>
          <w:rFonts w:ascii="Arial" w:hAnsi="Arial" w:cs="Arial"/>
          <w:color w:val="000000" w:themeColor="text1"/>
          <w:sz w:val="20"/>
          <w:szCs w:val="20"/>
        </w:rPr>
        <w:t>, tehnološke in družbene izzive.</w:t>
      </w:r>
    </w:p>
    <w:p w:rsidR="00EE016E" w:rsidP="00EE016E" w14:paraId="212515D3" w14:textId="77777777">
      <w:pPr>
        <w:spacing w:after="0"/>
        <w:jc w:val="both"/>
        <w:rPr>
          <w:rFonts w:ascii="Arial" w:hAnsi="Arial" w:cs="Arial"/>
          <w:color w:val="000000" w:themeColor="text1"/>
          <w:sz w:val="20"/>
          <w:szCs w:val="20"/>
        </w:rPr>
      </w:pPr>
      <w:r>
        <w:rPr>
          <w:rFonts w:ascii="Arial" w:hAnsi="Arial" w:cs="Arial"/>
          <w:color w:val="000000" w:themeColor="text1"/>
          <w:sz w:val="20"/>
          <w:szCs w:val="20"/>
        </w:rPr>
        <w:t>Promocijske aktivnosti bodo krepile in podpirale razumevanje, da je odpornost skupna odgovornost države, institucij, civilne družbe in posameznika, stalni proces, ki se izboljšuje in nadgrajuje, in ne enkraten odziv, ter naložba v prihodnost.</w:t>
      </w:r>
    </w:p>
    <w:p w:rsidR="00EE016E" w:rsidP="00EE016E" w14:paraId="26C2F59A" w14:textId="77777777">
      <w:pPr>
        <w:spacing w:after="0"/>
        <w:jc w:val="both"/>
        <w:rPr>
          <w:rFonts w:ascii="Arial" w:hAnsi="Arial" w:cs="Arial"/>
          <w:color w:val="000000" w:themeColor="text1"/>
          <w:sz w:val="20"/>
          <w:szCs w:val="20"/>
        </w:rPr>
      </w:pPr>
    </w:p>
    <w:p w:rsidR="00EE016E" w:rsidP="00EE016E" w14:paraId="2054E665" w14:textId="77777777">
      <w:pPr>
        <w:spacing w:after="0"/>
        <w:jc w:val="both"/>
        <w:rPr>
          <w:rFonts w:ascii="Arial" w:hAnsi="Arial" w:cs="Arial"/>
          <w:color w:val="000000" w:themeColor="text1"/>
          <w:sz w:val="20"/>
          <w:szCs w:val="20"/>
        </w:rPr>
      </w:pPr>
    </w:p>
    <w:p w:rsidR="00EE016E" w:rsidRPr="005A3113" w:rsidP="00EE016E" w14:paraId="7417752C" w14:textId="77777777">
      <w:pPr>
        <w:spacing w:after="0"/>
        <w:jc w:val="both"/>
        <w:rPr>
          <w:rFonts w:ascii="Arial" w:hAnsi="Arial" w:cs="Arial"/>
          <w:b/>
          <w:bCs/>
          <w:color w:val="000000" w:themeColor="text1"/>
          <w:sz w:val="20"/>
          <w:szCs w:val="20"/>
        </w:rPr>
      </w:pPr>
      <w:r>
        <w:rPr>
          <w:rFonts w:ascii="Arial" w:hAnsi="Arial" w:cs="Arial"/>
          <w:b/>
          <w:bCs/>
          <w:color w:val="000000" w:themeColor="text1"/>
          <w:sz w:val="20"/>
          <w:szCs w:val="20"/>
        </w:rPr>
        <w:t>II. Cilji</w:t>
      </w:r>
    </w:p>
    <w:p w:rsidR="00EE016E" w:rsidP="00EE016E" w14:paraId="42F719F0" w14:textId="77777777">
      <w:pPr>
        <w:spacing w:after="0"/>
        <w:jc w:val="both"/>
        <w:rPr>
          <w:rFonts w:ascii="Arial" w:hAnsi="Arial" w:cs="Arial"/>
          <w:color w:val="000000" w:themeColor="text1"/>
          <w:sz w:val="20"/>
          <w:szCs w:val="20"/>
        </w:rPr>
      </w:pPr>
    </w:p>
    <w:p w:rsidR="00EE016E" w:rsidP="00EE016E" w14:paraId="1CAAD6E5" w14:textId="77777777">
      <w:pPr>
        <w:spacing w:after="0"/>
        <w:jc w:val="both"/>
        <w:rPr>
          <w:rFonts w:ascii="Arial" w:hAnsi="Arial" w:cs="Arial"/>
          <w:color w:val="000000" w:themeColor="text1"/>
          <w:sz w:val="20"/>
          <w:szCs w:val="20"/>
        </w:rPr>
      </w:pPr>
      <w:r>
        <w:rPr>
          <w:rFonts w:ascii="Arial" w:hAnsi="Arial" w:cs="Arial"/>
          <w:color w:val="000000" w:themeColor="text1"/>
          <w:sz w:val="20"/>
          <w:szCs w:val="20"/>
        </w:rPr>
        <w:t>Glavni strateški cilji kampanje so:</w:t>
      </w:r>
    </w:p>
    <w:p w:rsidR="00EE016E" w:rsidRPr="00AB05DC" w:rsidP="00EE016E" w14:paraId="6102C656" w14:textId="77777777">
      <w:pPr>
        <w:pStyle w:val="ListParagraph"/>
        <w:numPr>
          <w:ilvl w:val="0"/>
          <w:numId w:val="35"/>
        </w:numPr>
        <w:spacing w:after="0" w:line="276" w:lineRule="auto"/>
        <w:jc w:val="both"/>
        <w:rPr>
          <w:rFonts w:ascii="Arial" w:hAnsi="Arial" w:cs="Arial"/>
          <w:color w:val="000000" w:themeColor="text1"/>
          <w:sz w:val="20"/>
          <w:szCs w:val="20"/>
        </w:rPr>
      </w:pPr>
      <w:r w:rsidRPr="00AB05DC">
        <w:rPr>
          <w:rFonts w:ascii="Arial" w:hAnsi="Arial" w:cs="Arial"/>
          <w:color w:val="000000" w:themeColor="text1"/>
          <w:sz w:val="20"/>
          <w:szCs w:val="20"/>
        </w:rPr>
        <w:t>Povečati in okrepiti zavedanje o pomenu odpornosti na ravni države, družbe in posameznika in na vseh področjih odpornosti;</w:t>
      </w:r>
    </w:p>
    <w:p w:rsidR="00EE016E" w:rsidRPr="00AB05DC" w:rsidP="00EE016E" w14:paraId="427FC575" w14:textId="77777777">
      <w:pPr>
        <w:pStyle w:val="ListParagraph"/>
        <w:numPr>
          <w:ilvl w:val="0"/>
          <w:numId w:val="35"/>
        </w:numPr>
        <w:spacing w:after="0" w:line="276" w:lineRule="auto"/>
        <w:jc w:val="both"/>
        <w:rPr>
          <w:rFonts w:ascii="Arial" w:hAnsi="Arial" w:cs="Arial"/>
          <w:color w:val="000000" w:themeColor="text1"/>
          <w:sz w:val="20"/>
          <w:szCs w:val="20"/>
        </w:rPr>
      </w:pPr>
      <w:r w:rsidRPr="00AB05DC">
        <w:rPr>
          <w:rFonts w:ascii="Arial" w:hAnsi="Arial" w:cs="Arial"/>
          <w:color w:val="000000" w:themeColor="text1"/>
          <w:sz w:val="20"/>
          <w:szCs w:val="20"/>
        </w:rPr>
        <w:t>Okrepiti zaupanje v uradne institucije in mehanizme kriznega upravljanja;</w:t>
      </w:r>
    </w:p>
    <w:p w:rsidR="00EE016E" w:rsidRPr="00AB05DC" w:rsidP="00EE016E" w14:paraId="3AC6E8C7" w14:textId="77777777">
      <w:pPr>
        <w:pStyle w:val="ListParagraph"/>
        <w:numPr>
          <w:ilvl w:val="0"/>
          <w:numId w:val="35"/>
        </w:numPr>
        <w:spacing w:after="0" w:line="276" w:lineRule="auto"/>
        <w:jc w:val="both"/>
        <w:rPr>
          <w:rFonts w:ascii="Arial" w:hAnsi="Arial" w:cs="Arial"/>
          <w:color w:val="000000" w:themeColor="text1"/>
          <w:sz w:val="20"/>
          <w:szCs w:val="20"/>
        </w:rPr>
      </w:pPr>
      <w:r w:rsidRPr="00AB05DC">
        <w:rPr>
          <w:rFonts w:ascii="Arial" w:hAnsi="Arial" w:cs="Arial"/>
          <w:color w:val="000000" w:themeColor="text1"/>
          <w:sz w:val="20"/>
          <w:szCs w:val="20"/>
        </w:rPr>
        <w:t>Spodbuditi aktivno vlogo posameznika pri samozaščiti in pripravljenosti;</w:t>
      </w:r>
    </w:p>
    <w:p w:rsidR="00EE016E" w:rsidRPr="00AB05DC" w:rsidP="00EE016E" w14:paraId="7BDCFADF" w14:textId="77777777">
      <w:pPr>
        <w:pStyle w:val="ListParagraph"/>
        <w:numPr>
          <w:ilvl w:val="0"/>
          <w:numId w:val="35"/>
        </w:numPr>
        <w:spacing w:after="0" w:line="276" w:lineRule="auto"/>
        <w:jc w:val="both"/>
        <w:rPr>
          <w:rFonts w:ascii="Arial" w:hAnsi="Arial" w:cs="Arial"/>
          <w:color w:val="000000" w:themeColor="text1"/>
          <w:sz w:val="20"/>
          <w:szCs w:val="20"/>
        </w:rPr>
      </w:pPr>
      <w:r w:rsidRPr="00AB05DC">
        <w:rPr>
          <w:rFonts w:ascii="Arial" w:hAnsi="Arial" w:cs="Arial"/>
          <w:color w:val="000000" w:themeColor="text1"/>
          <w:sz w:val="20"/>
          <w:szCs w:val="20"/>
        </w:rPr>
        <w:t>Okrepiti medresorsko in medgeneracijsko sodelovanje.</w:t>
      </w:r>
    </w:p>
    <w:p w:rsidR="00EE016E" w:rsidP="00EE016E" w14:paraId="67914262" w14:textId="77777777">
      <w:pPr>
        <w:spacing w:after="0"/>
        <w:jc w:val="both"/>
        <w:rPr>
          <w:rFonts w:ascii="Arial" w:hAnsi="Arial" w:cs="Arial"/>
          <w:color w:val="000000" w:themeColor="text1"/>
          <w:sz w:val="20"/>
          <w:szCs w:val="20"/>
        </w:rPr>
      </w:pPr>
    </w:p>
    <w:p w:rsidR="00EE016E" w:rsidP="00EE016E" w14:paraId="4AAC8FBA" w14:textId="77777777">
      <w:pPr>
        <w:spacing w:after="0"/>
        <w:jc w:val="both"/>
        <w:rPr>
          <w:rFonts w:ascii="Arial" w:hAnsi="Arial" w:cs="Arial"/>
          <w:color w:val="000000" w:themeColor="text1"/>
          <w:sz w:val="20"/>
          <w:szCs w:val="20"/>
        </w:rPr>
      </w:pPr>
      <w:r>
        <w:rPr>
          <w:rFonts w:ascii="Arial" w:hAnsi="Arial" w:cs="Arial"/>
          <w:color w:val="000000" w:themeColor="text1"/>
          <w:sz w:val="20"/>
          <w:szCs w:val="20"/>
        </w:rPr>
        <w:t>Operativni cilji kampanje so:</w:t>
      </w:r>
    </w:p>
    <w:p w:rsidR="00EE016E" w:rsidP="00EE016E" w14:paraId="5912C283" w14:textId="77777777">
      <w:pPr>
        <w:pStyle w:val="ListParagraph"/>
        <w:numPr>
          <w:ilvl w:val="0"/>
          <w:numId w:val="36"/>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Širiti pomen</w:t>
      </w:r>
      <w:r w:rsidRPr="005A3113">
        <w:rPr>
          <w:rFonts w:ascii="Arial" w:hAnsi="Arial" w:cs="Arial"/>
          <w:color w:val="000000" w:themeColor="text1"/>
          <w:sz w:val="20"/>
          <w:szCs w:val="20"/>
        </w:rPr>
        <w:t xml:space="preserve"> nacionalne odpornosti in omogočiti </w:t>
      </w:r>
      <w:r>
        <w:rPr>
          <w:rFonts w:ascii="Arial" w:hAnsi="Arial" w:cs="Arial"/>
          <w:color w:val="000000" w:themeColor="text1"/>
          <w:sz w:val="20"/>
          <w:szCs w:val="20"/>
        </w:rPr>
        <w:t xml:space="preserve">njeno </w:t>
      </w:r>
      <w:r w:rsidRPr="005A3113">
        <w:rPr>
          <w:rFonts w:ascii="Arial" w:hAnsi="Arial" w:cs="Arial"/>
          <w:color w:val="000000" w:themeColor="text1"/>
          <w:sz w:val="20"/>
          <w:szCs w:val="20"/>
        </w:rPr>
        <w:t>prepoznavnost</w:t>
      </w:r>
      <w:r>
        <w:rPr>
          <w:rFonts w:ascii="Arial" w:hAnsi="Arial" w:cs="Arial"/>
          <w:color w:val="000000" w:themeColor="text1"/>
          <w:sz w:val="20"/>
          <w:szCs w:val="20"/>
        </w:rPr>
        <w:t>;</w:t>
      </w:r>
    </w:p>
    <w:p w:rsidR="00EE016E" w:rsidRPr="005A3113" w:rsidP="00EE016E" w14:paraId="3FBD03AA" w14:textId="77777777">
      <w:pPr>
        <w:pStyle w:val="ListParagraph"/>
        <w:numPr>
          <w:ilvl w:val="0"/>
          <w:numId w:val="36"/>
        </w:numPr>
        <w:spacing w:after="0" w:line="276" w:lineRule="auto"/>
        <w:jc w:val="both"/>
        <w:rPr>
          <w:rFonts w:ascii="Arial" w:hAnsi="Arial" w:cs="Arial"/>
          <w:color w:val="000000" w:themeColor="text1"/>
          <w:sz w:val="20"/>
          <w:szCs w:val="20"/>
        </w:rPr>
      </w:pPr>
      <w:r w:rsidRPr="005A3113">
        <w:rPr>
          <w:rFonts w:ascii="Arial" w:hAnsi="Arial" w:cs="Arial"/>
          <w:color w:val="000000" w:themeColor="text1"/>
          <w:sz w:val="20"/>
          <w:szCs w:val="20"/>
        </w:rPr>
        <w:t>Vzpostaviti trajne digitalne vsebine (platformo, priporočila, priročnike, video gradiva, letake);</w:t>
      </w:r>
    </w:p>
    <w:p w:rsidR="00EE016E" w:rsidRPr="005A3113" w:rsidP="00EE016E" w14:paraId="5142760F" w14:textId="77777777">
      <w:pPr>
        <w:pStyle w:val="ListParagraph"/>
        <w:numPr>
          <w:ilvl w:val="0"/>
          <w:numId w:val="36"/>
        </w:numPr>
        <w:spacing w:after="0" w:line="276" w:lineRule="auto"/>
        <w:jc w:val="both"/>
        <w:rPr>
          <w:rFonts w:ascii="Arial" w:hAnsi="Arial" w:cs="Arial"/>
          <w:color w:val="000000" w:themeColor="text1"/>
          <w:sz w:val="20"/>
          <w:szCs w:val="20"/>
        </w:rPr>
      </w:pPr>
      <w:r w:rsidRPr="005A3113">
        <w:rPr>
          <w:rFonts w:ascii="Arial" w:hAnsi="Arial" w:cs="Arial"/>
          <w:color w:val="000000" w:themeColor="text1"/>
          <w:sz w:val="20"/>
          <w:szCs w:val="20"/>
        </w:rPr>
        <w:t>Doseči vsaj 80% prebivalstva z osnovnimi sporočili;</w:t>
      </w:r>
    </w:p>
    <w:p w:rsidR="00EE016E" w:rsidRPr="005A3113" w:rsidP="00EE016E" w14:paraId="7DB80D77" w14:textId="77777777">
      <w:pPr>
        <w:pStyle w:val="ListParagraph"/>
        <w:numPr>
          <w:ilvl w:val="0"/>
          <w:numId w:val="36"/>
        </w:numPr>
        <w:spacing w:after="0" w:line="276" w:lineRule="auto"/>
        <w:jc w:val="both"/>
        <w:rPr>
          <w:rFonts w:ascii="Arial" w:hAnsi="Arial" w:cs="Arial"/>
          <w:color w:val="000000" w:themeColor="text1"/>
          <w:sz w:val="20"/>
          <w:szCs w:val="20"/>
        </w:rPr>
      </w:pPr>
      <w:r w:rsidRPr="005A3113">
        <w:rPr>
          <w:rFonts w:ascii="Arial" w:hAnsi="Arial" w:cs="Arial"/>
          <w:color w:val="000000" w:themeColor="text1"/>
          <w:sz w:val="20"/>
          <w:szCs w:val="20"/>
        </w:rPr>
        <w:t xml:space="preserve">Vključiti ključne deležnike v </w:t>
      </w:r>
      <w:r>
        <w:rPr>
          <w:rFonts w:ascii="Arial" w:hAnsi="Arial" w:cs="Arial"/>
          <w:color w:val="000000" w:themeColor="text1"/>
          <w:sz w:val="20"/>
          <w:szCs w:val="20"/>
        </w:rPr>
        <w:t>krepitev</w:t>
      </w:r>
      <w:r w:rsidRPr="005A3113">
        <w:rPr>
          <w:rFonts w:ascii="Arial" w:hAnsi="Arial" w:cs="Arial"/>
          <w:color w:val="000000" w:themeColor="text1"/>
          <w:sz w:val="20"/>
          <w:szCs w:val="20"/>
        </w:rPr>
        <w:t xml:space="preserve"> odpornosti (šole, nevladne organizacije, lokalne skupnosti, gospodarstvo);</w:t>
      </w:r>
    </w:p>
    <w:p w:rsidR="00EE016E" w:rsidP="00EE016E" w14:paraId="18E97D47" w14:textId="77777777">
      <w:pPr>
        <w:spacing w:after="0"/>
        <w:jc w:val="both"/>
        <w:rPr>
          <w:rFonts w:ascii="Arial" w:hAnsi="Arial" w:cs="Arial"/>
          <w:color w:val="000000" w:themeColor="text1"/>
          <w:sz w:val="20"/>
          <w:szCs w:val="20"/>
        </w:rPr>
      </w:pPr>
    </w:p>
    <w:p w:rsidR="00EE016E" w:rsidP="00EE016E" w14:paraId="5077C7C3" w14:textId="77777777">
      <w:pPr>
        <w:spacing w:after="0"/>
        <w:jc w:val="both"/>
        <w:rPr>
          <w:rFonts w:ascii="Arial" w:hAnsi="Arial" w:cs="Arial"/>
          <w:color w:val="000000" w:themeColor="text1"/>
          <w:sz w:val="20"/>
          <w:szCs w:val="20"/>
        </w:rPr>
      </w:pPr>
    </w:p>
    <w:p w:rsidR="00EE016E" w:rsidRPr="005A3113" w:rsidP="00EE016E" w14:paraId="1E375BCF" w14:textId="77777777">
      <w:pPr>
        <w:spacing w:after="0"/>
        <w:jc w:val="both"/>
        <w:rPr>
          <w:rFonts w:ascii="Arial" w:hAnsi="Arial" w:cs="Arial"/>
          <w:b/>
          <w:bCs/>
          <w:color w:val="000000" w:themeColor="text1"/>
          <w:sz w:val="20"/>
          <w:szCs w:val="20"/>
        </w:rPr>
      </w:pPr>
      <w:r w:rsidRPr="005A3113">
        <w:rPr>
          <w:rFonts w:ascii="Arial" w:hAnsi="Arial" w:cs="Arial"/>
          <w:b/>
          <w:bCs/>
          <w:color w:val="000000" w:themeColor="text1"/>
          <w:sz w:val="20"/>
          <w:szCs w:val="20"/>
        </w:rPr>
        <w:t>III. Ciljne skupine</w:t>
      </w:r>
    </w:p>
    <w:p w:rsidR="00EE016E" w:rsidP="00EE016E" w14:paraId="4CC9D11E" w14:textId="77777777">
      <w:pPr>
        <w:spacing w:after="0"/>
        <w:jc w:val="both"/>
        <w:rPr>
          <w:rFonts w:ascii="Arial" w:hAnsi="Arial" w:cs="Arial"/>
          <w:color w:val="000000" w:themeColor="text1"/>
          <w:sz w:val="20"/>
          <w:szCs w:val="20"/>
        </w:rPr>
      </w:pPr>
    </w:p>
    <w:p w:rsidR="00EE016E" w:rsidP="00EE016E" w14:paraId="75683939" w14:textId="77777777">
      <w:pPr>
        <w:spacing w:after="0"/>
        <w:jc w:val="both"/>
        <w:rPr>
          <w:rFonts w:ascii="Arial" w:hAnsi="Arial" w:cs="Arial"/>
          <w:color w:val="000000" w:themeColor="text1"/>
          <w:sz w:val="20"/>
          <w:szCs w:val="20"/>
        </w:rPr>
      </w:pPr>
      <w:r>
        <w:rPr>
          <w:rFonts w:ascii="Arial" w:hAnsi="Arial" w:cs="Arial"/>
          <w:color w:val="000000" w:themeColor="text1"/>
          <w:sz w:val="20"/>
          <w:szCs w:val="20"/>
        </w:rPr>
        <w:t xml:space="preserve">S konceptom odpornosti je treba doseči vsakega posameznika, ki deluje v družbi v različnih vlogah. Opredeljene ciljne skupine, ki jih bo področje odpornosti naslavljalo različne ciljne skupine kot </w:t>
      </w:r>
      <w:r>
        <w:rPr>
          <w:rFonts w:ascii="Arial" w:hAnsi="Arial" w:cs="Arial"/>
          <w:color w:val="000000" w:themeColor="text1"/>
          <w:sz w:val="20"/>
          <w:szCs w:val="20"/>
        </w:rPr>
        <w:t>npr</w:t>
      </w:r>
      <w:r>
        <w:rPr>
          <w:rFonts w:ascii="Arial" w:hAnsi="Arial" w:cs="Arial"/>
          <w:color w:val="000000" w:themeColor="text1"/>
          <w:sz w:val="20"/>
          <w:szCs w:val="20"/>
        </w:rPr>
        <w:t>: mladi, družine, starejši, odločevalci, pedagoški delavci, gospodarski subjekti, akademska in raziskovalna sfera ipd..</w:t>
      </w:r>
    </w:p>
    <w:p w:rsidR="00EE016E" w:rsidP="00EE016E" w14:paraId="3A682AEE" w14:textId="77777777">
      <w:pPr>
        <w:spacing w:after="0"/>
        <w:jc w:val="both"/>
        <w:rPr>
          <w:rFonts w:ascii="Arial" w:hAnsi="Arial" w:cs="Arial"/>
          <w:color w:val="000000" w:themeColor="text1"/>
          <w:sz w:val="20"/>
          <w:szCs w:val="20"/>
        </w:rPr>
      </w:pPr>
      <w:r>
        <w:rPr>
          <w:rFonts w:ascii="Arial" w:hAnsi="Arial" w:cs="Arial"/>
          <w:color w:val="000000" w:themeColor="text1"/>
          <w:sz w:val="20"/>
          <w:szCs w:val="20"/>
        </w:rPr>
        <w:t>Ključna sporočila kampanje se prilagajajo posameznim ciljnim skupinam.</w:t>
      </w:r>
    </w:p>
    <w:p w:rsidR="00EE016E" w:rsidP="00EE016E" w14:paraId="4943C39A" w14:textId="77777777">
      <w:pPr>
        <w:spacing w:after="0"/>
        <w:jc w:val="both"/>
        <w:rPr>
          <w:rFonts w:ascii="Arial" w:hAnsi="Arial" w:cs="Arial"/>
          <w:color w:val="000000" w:themeColor="text1"/>
          <w:sz w:val="20"/>
          <w:szCs w:val="20"/>
        </w:rPr>
      </w:pPr>
    </w:p>
    <w:p w:rsidR="00EE016E" w:rsidP="00EE016E" w14:paraId="47B3CE4D" w14:textId="77777777">
      <w:pPr>
        <w:spacing w:after="0"/>
        <w:jc w:val="both"/>
        <w:rPr>
          <w:rFonts w:ascii="Arial" w:hAnsi="Arial" w:cs="Arial"/>
          <w:color w:val="000000" w:themeColor="text1"/>
          <w:sz w:val="20"/>
          <w:szCs w:val="20"/>
        </w:rPr>
      </w:pPr>
    </w:p>
    <w:p w:rsidR="00EE016E" w:rsidRPr="005A3113" w:rsidP="00EE016E" w14:paraId="57FE3444" w14:textId="77777777">
      <w:pPr>
        <w:spacing w:after="0"/>
        <w:jc w:val="both"/>
        <w:rPr>
          <w:rFonts w:ascii="Arial" w:hAnsi="Arial" w:cs="Arial"/>
          <w:b/>
          <w:bCs/>
          <w:color w:val="000000" w:themeColor="text1"/>
          <w:sz w:val="20"/>
          <w:szCs w:val="20"/>
        </w:rPr>
      </w:pPr>
      <w:r w:rsidRPr="005A3113">
        <w:rPr>
          <w:rFonts w:ascii="Arial" w:hAnsi="Arial" w:cs="Arial"/>
          <w:b/>
          <w:bCs/>
          <w:color w:val="000000" w:themeColor="text1"/>
          <w:sz w:val="20"/>
          <w:szCs w:val="20"/>
        </w:rPr>
        <w:t>IV. Okvirni proračun</w:t>
      </w:r>
      <w:r>
        <w:rPr>
          <w:rFonts w:ascii="Arial" w:hAnsi="Arial" w:cs="Arial"/>
          <w:b/>
          <w:bCs/>
          <w:color w:val="000000" w:themeColor="text1"/>
          <w:sz w:val="20"/>
          <w:szCs w:val="20"/>
        </w:rPr>
        <w:t xml:space="preserve"> opredeljenih aktivnosti</w:t>
      </w:r>
      <w:r w:rsidRPr="005A3113">
        <w:rPr>
          <w:rFonts w:ascii="Arial" w:hAnsi="Arial" w:cs="Arial"/>
          <w:b/>
          <w:bCs/>
          <w:color w:val="000000" w:themeColor="text1"/>
          <w:sz w:val="20"/>
          <w:szCs w:val="20"/>
        </w:rPr>
        <w:t xml:space="preserve"> </w:t>
      </w:r>
      <w:r>
        <w:rPr>
          <w:rFonts w:ascii="Arial" w:hAnsi="Arial" w:cs="Arial"/>
          <w:b/>
          <w:bCs/>
          <w:color w:val="000000" w:themeColor="text1"/>
          <w:sz w:val="20"/>
          <w:szCs w:val="20"/>
        </w:rPr>
        <w:t>v letu 2026</w:t>
      </w:r>
    </w:p>
    <w:p w:rsidR="00EE016E" w:rsidP="00EE016E" w14:paraId="4E27FBCE" w14:textId="77777777">
      <w:pPr>
        <w:spacing w:after="0"/>
        <w:jc w:val="both"/>
        <w:rPr>
          <w:rFonts w:ascii="Arial" w:hAnsi="Arial" w:cs="Arial"/>
          <w:color w:val="000000" w:themeColor="text1"/>
          <w:sz w:val="20"/>
          <w:szCs w:val="20"/>
        </w:rPr>
      </w:pPr>
    </w:p>
    <w:tbl>
      <w:tblPr>
        <w:tblStyle w:val="TableGrid"/>
        <w:tblW w:w="0" w:type="auto"/>
        <w:tblLook w:val="04A0"/>
      </w:tblPr>
      <w:tblGrid>
        <w:gridCol w:w="3020"/>
        <w:gridCol w:w="3021"/>
        <w:gridCol w:w="3021"/>
      </w:tblGrid>
      <w:tr w14:paraId="3402A33C" w14:textId="77777777" w:rsidTr="0032312C">
        <w:tblPrEx>
          <w:tblW w:w="0" w:type="auto"/>
          <w:tblLook w:val="04A0"/>
        </w:tblPrEx>
        <w:tc>
          <w:tcPr>
            <w:tcW w:w="3020" w:type="dxa"/>
          </w:tcPr>
          <w:p w:rsidR="00EE016E" w:rsidRPr="005A3113" w:rsidP="0032312C" w14:paraId="6EF3E546" w14:textId="77777777">
            <w:pPr>
              <w:spacing w:after="0"/>
              <w:jc w:val="center"/>
              <w:rPr>
                <w:rFonts w:ascii="Arial" w:hAnsi="Arial" w:cs="Arial"/>
                <w:b/>
                <w:bCs/>
                <w:color w:val="000000" w:themeColor="text1"/>
                <w:sz w:val="20"/>
                <w:szCs w:val="20"/>
              </w:rPr>
            </w:pPr>
            <w:r w:rsidRPr="005A3113">
              <w:rPr>
                <w:rFonts w:ascii="Arial" w:hAnsi="Arial" w:cs="Arial"/>
                <w:b/>
                <w:bCs/>
                <w:color w:val="000000" w:themeColor="text1"/>
                <w:sz w:val="20"/>
                <w:szCs w:val="20"/>
              </w:rPr>
              <w:t>Aktivnost</w:t>
            </w:r>
          </w:p>
        </w:tc>
        <w:tc>
          <w:tcPr>
            <w:tcW w:w="3021" w:type="dxa"/>
          </w:tcPr>
          <w:p w:rsidR="00EE016E" w:rsidRPr="005A3113" w:rsidP="0032312C" w14:paraId="1DAFADA9" w14:textId="77777777">
            <w:pPr>
              <w:spacing w:after="0"/>
              <w:jc w:val="center"/>
              <w:rPr>
                <w:rFonts w:ascii="Arial" w:hAnsi="Arial" w:cs="Arial"/>
                <w:b/>
                <w:bCs/>
                <w:color w:val="000000" w:themeColor="text1"/>
                <w:sz w:val="20"/>
                <w:szCs w:val="20"/>
              </w:rPr>
            </w:pPr>
            <w:r w:rsidRPr="005A3113">
              <w:rPr>
                <w:rFonts w:ascii="Arial" w:hAnsi="Arial" w:cs="Arial"/>
                <w:b/>
                <w:bCs/>
                <w:color w:val="000000" w:themeColor="text1"/>
                <w:sz w:val="20"/>
                <w:szCs w:val="20"/>
              </w:rPr>
              <w:t>Znesek</w:t>
            </w:r>
            <w:r>
              <w:rPr>
                <w:rFonts w:ascii="Arial" w:hAnsi="Arial" w:cs="Arial"/>
                <w:b/>
                <w:bCs/>
                <w:color w:val="000000" w:themeColor="text1"/>
                <w:sz w:val="20"/>
                <w:szCs w:val="20"/>
              </w:rPr>
              <w:t xml:space="preserve"> (v €)</w:t>
            </w:r>
          </w:p>
        </w:tc>
        <w:tc>
          <w:tcPr>
            <w:tcW w:w="3021" w:type="dxa"/>
          </w:tcPr>
          <w:p w:rsidR="00EE016E" w:rsidRPr="005A3113" w:rsidP="0032312C" w14:paraId="77A5F05A" w14:textId="77777777">
            <w:pPr>
              <w:spacing w:after="0"/>
              <w:jc w:val="center"/>
              <w:rPr>
                <w:rFonts w:ascii="Arial" w:hAnsi="Arial" w:cs="Arial"/>
                <w:b/>
                <w:bCs/>
                <w:color w:val="000000" w:themeColor="text1"/>
                <w:sz w:val="20"/>
                <w:szCs w:val="20"/>
              </w:rPr>
            </w:pPr>
            <w:r w:rsidRPr="005A3113">
              <w:rPr>
                <w:rFonts w:ascii="Arial" w:hAnsi="Arial" w:cs="Arial"/>
                <w:b/>
                <w:bCs/>
                <w:color w:val="000000" w:themeColor="text1"/>
                <w:sz w:val="20"/>
                <w:szCs w:val="20"/>
              </w:rPr>
              <w:t>Delež</w:t>
            </w:r>
            <w:r>
              <w:rPr>
                <w:rFonts w:ascii="Arial" w:hAnsi="Arial" w:cs="Arial"/>
                <w:b/>
                <w:bCs/>
                <w:color w:val="000000" w:themeColor="text1"/>
                <w:sz w:val="20"/>
                <w:szCs w:val="20"/>
              </w:rPr>
              <w:t xml:space="preserve"> (v %)</w:t>
            </w:r>
          </w:p>
        </w:tc>
      </w:tr>
      <w:tr w14:paraId="79601A46" w14:textId="77777777" w:rsidTr="0032312C">
        <w:tblPrEx>
          <w:tblW w:w="0" w:type="auto"/>
          <w:tblLook w:val="04A0"/>
        </w:tblPrEx>
        <w:tc>
          <w:tcPr>
            <w:tcW w:w="3020" w:type="dxa"/>
          </w:tcPr>
          <w:p w:rsidR="00EE016E" w:rsidP="0032312C" w14:paraId="643CF60F" w14:textId="77777777">
            <w:pPr>
              <w:spacing w:after="0"/>
              <w:jc w:val="both"/>
              <w:rPr>
                <w:rFonts w:ascii="Arial" w:hAnsi="Arial" w:cs="Arial"/>
                <w:color w:val="000000" w:themeColor="text1"/>
                <w:sz w:val="20"/>
                <w:szCs w:val="20"/>
              </w:rPr>
            </w:pPr>
            <w:r>
              <w:rPr>
                <w:rFonts w:ascii="Arial" w:hAnsi="Arial" w:cs="Arial"/>
                <w:color w:val="000000" w:themeColor="text1"/>
                <w:sz w:val="20"/>
                <w:szCs w:val="20"/>
              </w:rPr>
              <w:t>Medijska in digitalna kampanja</w:t>
            </w:r>
          </w:p>
        </w:tc>
        <w:tc>
          <w:tcPr>
            <w:tcW w:w="3021" w:type="dxa"/>
          </w:tcPr>
          <w:p w:rsidR="00EE016E" w:rsidP="0032312C" w14:paraId="11B87F4F" w14:textId="77777777">
            <w:pPr>
              <w:spacing w:after="0"/>
              <w:jc w:val="center"/>
              <w:rPr>
                <w:rFonts w:ascii="Arial" w:hAnsi="Arial" w:cs="Arial"/>
                <w:color w:val="000000" w:themeColor="text1"/>
                <w:sz w:val="20"/>
                <w:szCs w:val="20"/>
              </w:rPr>
            </w:pPr>
            <w:r>
              <w:rPr>
                <w:rFonts w:ascii="Arial" w:hAnsi="Arial" w:cs="Arial"/>
                <w:color w:val="000000" w:themeColor="text1"/>
                <w:sz w:val="20"/>
                <w:szCs w:val="20"/>
              </w:rPr>
              <w:t>150.000</w:t>
            </w:r>
          </w:p>
        </w:tc>
        <w:tc>
          <w:tcPr>
            <w:tcW w:w="3021" w:type="dxa"/>
          </w:tcPr>
          <w:p w:rsidR="00EE016E" w:rsidP="0032312C" w14:paraId="6DF8B5B7" w14:textId="77777777">
            <w:pPr>
              <w:spacing w:after="0"/>
              <w:jc w:val="center"/>
              <w:rPr>
                <w:rFonts w:ascii="Arial" w:hAnsi="Arial" w:cs="Arial"/>
                <w:color w:val="000000" w:themeColor="text1"/>
                <w:sz w:val="20"/>
                <w:szCs w:val="20"/>
              </w:rPr>
            </w:pPr>
            <w:r>
              <w:rPr>
                <w:rFonts w:ascii="Arial" w:hAnsi="Arial" w:cs="Arial"/>
                <w:color w:val="000000" w:themeColor="text1"/>
                <w:sz w:val="20"/>
                <w:szCs w:val="20"/>
              </w:rPr>
              <w:t>30</w:t>
            </w:r>
          </w:p>
        </w:tc>
      </w:tr>
      <w:tr w14:paraId="192A68C3" w14:textId="77777777" w:rsidTr="0032312C">
        <w:tblPrEx>
          <w:tblW w:w="0" w:type="auto"/>
          <w:tblLook w:val="04A0"/>
        </w:tblPrEx>
        <w:tc>
          <w:tcPr>
            <w:tcW w:w="3020" w:type="dxa"/>
          </w:tcPr>
          <w:p w:rsidR="00EE016E" w:rsidP="0032312C" w14:paraId="76DCE5BD" w14:textId="77777777">
            <w:pPr>
              <w:spacing w:after="0"/>
              <w:jc w:val="both"/>
              <w:rPr>
                <w:rFonts w:ascii="Arial" w:hAnsi="Arial" w:cs="Arial"/>
                <w:color w:val="000000" w:themeColor="text1"/>
                <w:sz w:val="20"/>
                <w:szCs w:val="20"/>
              </w:rPr>
            </w:pPr>
            <w:r>
              <w:rPr>
                <w:rFonts w:ascii="Arial" w:hAnsi="Arial" w:cs="Arial"/>
                <w:color w:val="000000" w:themeColor="text1"/>
                <w:sz w:val="20"/>
                <w:szCs w:val="20"/>
              </w:rPr>
              <w:t>Produkcija vsebin</w:t>
            </w:r>
          </w:p>
        </w:tc>
        <w:tc>
          <w:tcPr>
            <w:tcW w:w="3021" w:type="dxa"/>
          </w:tcPr>
          <w:p w:rsidR="00EE016E" w:rsidP="0032312C" w14:paraId="13667CAC" w14:textId="77777777">
            <w:pPr>
              <w:spacing w:after="0"/>
              <w:jc w:val="center"/>
              <w:rPr>
                <w:rFonts w:ascii="Arial" w:hAnsi="Arial" w:cs="Arial"/>
                <w:color w:val="000000" w:themeColor="text1"/>
                <w:sz w:val="20"/>
                <w:szCs w:val="20"/>
              </w:rPr>
            </w:pPr>
            <w:r>
              <w:rPr>
                <w:rFonts w:ascii="Arial" w:hAnsi="Arial" w:cs="Arial"/>
                <w:color w:val="000000" w:themeColor="text1"/>
                <w:sz w:val="20"/>
                <w:szCs w:val="20"/>
              </w:rPr>
              <w:t>100.000</w:t>
            </w:r>
          </w:p>
        </w:tc>
        <w:tc>
          <w:tcPr>
            <w:tcW w:w="3021" w:type="dxa"/>
          </w:tcPr>
          <w:p w:rsidR="00EE016E" w:rsidP="0032312C" w14:paraId="5DC99372" w14:textId="77777777">
            <w:pPr>
              <w:spacing w:after="0"/>
              <w:jc w:val="center"/>
              <w:rPr>
                <w:rFonts w:ascii="Arial" w:hAnsi="Arial" w:cs="Arial"/>
                <w:color w:val="000000" w:themeColor="text1"/>
                <w:sz w:val="20"/>
                <w:szCs w:val="20"/>
              </w:rPr>
            </w:pPr>
            <w:r>
              <w:rPr>
                <w:rFonts w:ascii="Arial" w:hAnsi="Arial" w:cs="Arial"/>
                <w:color w:val="000000" w:themeColor="text1"/>
                <w:sz w:val="20"/>
                <w:szCs w:val="20"/>
              </w:rPr>
              <w:t>20</w:t>
            </w:r>
          </w:p>
        </w:tc>
      </w:tr>
      <w:tr w14:paraId="1A68ACE9" w14:textId="77777777" w:rsidTr="0032312C">
        <w:tblPrEx>
          <w:tblW w:w="0" w:type="auto"/>
          <w:tblLook w:val="04A0"/>
        </w:tblPrEx>
        <w:tc>
          <w:tcPr>
            <w:tcW w:w="3020" w:type="dxa"/>
          </w:tcPr>
          <w:p w:rsidR="00EE016E" w:rsidP="0032312C" w14:paraId="0B01CD58" w14:textId="77777777">
            <w:pPr>
              <w:spacing w:after="0"/>
              <w:jc w:val="both"/>
              <w:rPr>
                <w:rFonts w:ascii="Arial" w:hAnsi="Arial" w:cs="Arial"/>
                <w:color w:val="000000" w:themeColor="text1"/>
                <w:sz w:val="20"/>
                <w:szCs w:val="20"/>
              </w:rPr>
            </w:pPr>
            <w:r>
              <w:rPr>
                <w:rFonts w:ascii="Arial" w:hAnsi="Arial" w:cs="Arial"/>
                <w:color w:val="000000" w:themeColor="text1"/>
                <w:sz w:val="20"/>
                <w:szCs w:val="20"/>
              </w:rPr>
              <w:t>Dogodki in terenske aktivnosti</w:t>
            </w:r>
          </w:p>
        </w:tc>
        <w:tc>
          <w:tcPr>
            <w:tcW w:w="3021" w:type="dxa"/>
          </w:tcPr>
          <w:p w:rsidR="00EE016E" w:rsidP="0032312C" w14:paraId="5F2F6DE7" w14:textId="77777777">
            <w:pPr>
              <w:spacing w:after="0"/>
              <w:jc w:val="center"/>
              <w:rPr>
                <w:rFonts w:ascii="Arial" w:hAnsi="Arial" w:cs="Arial"/>
                <w:color w:val="000000" w:themeColor="text1"/>
                <w:sz w:val="20"/>
                <w:szCs w:val="20"/>
              </w:rPr>
            </w:pPr>
            <w:r>
              <w:rPr>
                <w:rFonts w:ascii="Arial" w:hAnsi="Arial" w:cs="Arial"/>
                <w:color w:val="000000" w:themeColor="text1"/>
                <w:sz w:val="20"/>
                <w:szCs w:val="20"/>
              </w:rPr>
              <w:t>100.000</w:t>
            </w:r>
          </w:p>
        </w:tc>
        <w:tc>
          <w:tcPr>
            <w:tcW w:w="3021" w:type="dxa"/>
          </w:tcPr>
          <w:p w:rsidR="00EE016E" w:rsidP="0032312C" w14:paraId="399814F4" w14:textId="77777777">
            <w:pPr>
              <w:spacing w:after="0"/>
              <w:jc w:val="center"/>
              <w:rPr>
                <w:rFonts w:ascii="Arial" w:hAnsi="Arial" w:cs="Arial"/>
                <w:color w:val="000000" w:themeColor="text1"/>
                <w:sz w:val="20"/>
                <w:szCs w:val="20"/>
              </w:rPr>
            </w:pPr>
            <w:r>
              <w:rPr>
                <w:rFonts w:ascii="Arial" w:hAnsi="Arial" w:cs="Arial"/>
                <w:color w:val="000000" w:themeColor="text1"/>
                <w:sz w:val="20"/>
                <w:szCs w:val="20"/>
              </w:rPr>
              <w:t>20</w:t>
            </w:r>
          </w:p>
        </w:tc>
      </w:tr>
      <w:tr w14:paraId="57AC935E" w14:textId="77777777" w:rsidTr="0032312C">
        <w:tblPrEx>
          <w:tblW w:w="0" w:type="auto"/>
          <w:tblLook w:val="04A0"/>
        </w:tblPrEx>
        <w:tc>
          <w:tcPr>
            <w:tcW w:w="3020" w:type="dxa"/>
          </w:tcPr>
          <w:p w:rsidR="00EE016E" w:rsidP="0032312C" w14:paraId="3CBE1912" w14:textId="77777777">
            <w:pPr>
              <w:spacing w:after="0"/>
              <w:jc w:val="both"/>
              <w:rPr>
                <w:rFonts w:ascii="Arial" w:hAnsi="Arial" w:cs="Arial"/>
                <w:color w:val="000000" w:themeColor="text1"/>
                <w:sz w:val="20"/>
                <w:szCs w:val="20"/>
              </w:rPr>
            </w:pPr>
            <w:r>
              <w:rPr>
                <w:rFonts w:ascii="Arial" w:hAnsi="Arial" w:cs="Arial"/>
                <w:color w:val="000000" w:themeColor="text1"/>
                <w:sz w:val="20"/>
                <w:szCs w:val="20"/>
              </w:rPr>
              <w:t>Digitalna platforma</w:t>
            </w:r>
          </w:p>
        </w:tc>
        <w:tc>
          <w:tcPr>
            <w:tcW w:w="3021" w:type="dxa"/>
          </w:tcPr>
          <w:p w:rsidR="00EE016E" w:rsidP="0032312C" w14:paraId="63D4AABE" w14:textId="77777777">
            <w:pPr>
              <w:spacing w:after="0"/>
              <w:jc w:val="center"/>
              <w:rPr>
                <w:rFonts w:ascii="Arial" w:hAnsi="Arial" w:cs="Arial"/>
                <w:color w:val="000000" w:themeColor="text1"/>
                <w:sz w:val="20"/>
                <w:szCs w:val="20"/>
              </w:rPr>
            </w:pPr>
            <w:r>
              <w:rPr>
                <w:rFonts w:ascii="Arial" w:hAnsi="Arial" w:cs="Arial"/>
                <w:color w:val="000000" w:themeColor="text1"/>
                <w:sz w:val="20"/>
                <w:szCs w:val="20"/>
              </w:rPr>
              <w:t>50.000</w:t>
            </w:r>
          </w:p>
        </w:tc>
        <w:tc>
          <w:tcPr>
            <w:tcW w:w="3021" w:type="dxa"/>
          </w:tcPr>
          <w:p w:rsidR="00EE016E" w:rsidP="0032312C" w14:paraId="70A727BE" w14:textId="77777777">
            <w:pPr>
              <w:spacing w:after="0"/>
              <w:jc w:val="center"/>
              <w:rPr>
                <w:rFonts w:ascii="Arial" w:hAnsi="Arial" w:cs="Arial"/>
                <w:color w:val="000000" w:themeColor="text1"/>
                <w:sz w:val="20"/>
                <w:szCs w:val="20"/>
              </w:rPr>
            </w:pPr>
            <w:r>
              <w:rPr>
                <w:rFonts w:ascii="Arial" w:hAnsi="Arial" w:cs="Arial"/>
                <w:color w:val="000000" w:themeColor="text1"/>
                <w:sz w:val="20"/>
                <w:szCs w:val="20"/>
              </w:rPr>
              <w:t>10</w:t>
            </w:r>
          </w:p>
        </w:tc>
      </w:tr>
      <w:tr w14:paraId="71D50E6E" w14:textId="77777777" w:rsidTr="0032312C">
        <w:tblPrEx>
          <w:tblW w:w="0" w:type="auto"/>
          <w:tblLook w:val="04A0"/>
        </w:tblPrEx>
        <w:tc>
          <w:tcPr>
            <w:tcW w:w="3020" w:type="dxa"/>
          </w:tcPr>
          <w:p w:rsidR="00EE016E" w:rsidRPr="00502920" w:rsidP="0032312C" w14:paraId="129E53FE" w14:textId="77777777">
            <w:pPr>
              <w:spacing w:after="0"/>
              <w:jc w:val="both"/>
              <w:rPr>
                <w:rFonts w:ascii="Arial" w:hAnsi="Arial" w:cs="Arial"/>
                <w:sz w:val="20"/>
                <w:szCs w:val="20"/>
              </w:rPr>
            </w:pPr>
            <w:r w:rsidRPr="00502920">
              <w:rPr>
                <w:rFonts w:ascii="Arial" w:hAnsi="Arial" w:cs="Arial"/>
                <w:sz w:val="20"/>
                <w:szCs w:val="20"/>
              </w:rPr>
              <w:t>Promocijski material</w:t>
            </w:r>
          </w:p>
        </w:tc>
        <w:tc>
          <w:tcPr>
            <w:tcW w:w="3021" w:type="dxa"/>
          </w:tcPr>
          <w:p w:rsidR="00EE016E" w:rsidRPr="00502920" w:rsidP="0032312C" w14:paraId="5F08FEC1" w14:textId="77777777">
            <w:pPr>
              <w:spacing w:after="0"/>
              <w:jc w:val="center"/>
              <w:rPr>
                <w:rFonts w:ascii="Arial" w:hAnsi="Arial" w:cs="Arial"/>
                <w:sz w:val="20"/>
                <w:szCs w:val="20"/>
              </w:rPr>
            </w:pPr>
            <w:r w:rsidRPr="00502920">
              <w:rPr>
                <w:rFonts w:ascii="Arial" w:hAnsi="Arial" w:cs="Arial"/>
                <w:sz w:val="20"/>
                <w:szCs w:val="20"/>
              </w:rPr>
              <w:t>50.000</w:t>
            </w:r>
          </w:p>
        </w:tc>
        <w:tc>
          <w:tcPr>
            <w:tcW w:w="3021" w:type="dxa"/>
          </w:tcPr>
          <w:p w:rsidR="00EE016E" w:rsidRPr="00502920" w:rsidP="0032312C" w14:paraId="772216E4" w14:textId="77777777">
            <w:pPr>
              <w:spacing w:after="0"/>
              <w:jc w:val="center"/>
              <w:rPr>
                <w:rFonts w:ascii="Arial" w:hAnsi="Arial" w:cs="Arial"/>
                <w:sz w:val="20"/>
                <w:szCs w:val="20"/>
              </w:rPr>
            </w:pPr>
            <w:r w:rsidRPr="00502920">
              <w:rPr>
                <w:rFonts w:ascii="Arial" w:hAnsi="Arial" w:cs="Arial"/>
                <w:sz w:val="20"/>
                <w:szCs w:val="20"/>
              </w:rPr>
              <w:t>10</w:t>
            </w:r>
          </w:p>
        </w:tc>
      </w:tr>
      <w:tr w14:paraId="7518C846" w14:textId="77777777" w:rsidTr="0032312C">
        <w:tblPrEx>
          <w:tblW w:w="0" w:type="auto"/>
          <w:tblLook w:val="04A0"/>
        </w:tblPrEx>
        <w:tc>
          <w:tcPr>
            <w:tcW w:w="3020" w:type="dxa"/>
          </w:tcPr>
          <w:p w:rsidR="00EE016E" w:rsidRPr="00502920" w:rsidP="0032312C" w14:paraId="1597777E" w14:textId="77777777">
            <w:pPr>
              <w:spacing w:after="0"/>
              <w:jc w:val="both"/>
              <w:rPr>
                <w:rFonts w:ascii="Arial" w:hAnsi="Arial" w:cs="Arial"/>
                <w:sz w:val="20"/>
                <w:szCs w:val="20"/>
              </w:rPr>
            </w:pPr>
            <w:r w:rsidRPr="00502920">
              <w:rPr>
                <w:rFonts w:ascii="Arial" w:hAnsi="Arial" w:cs="Arial"/>
                <w:sz w:val="20"/>
                <w:szCs w:val="20"/>
              </w:rPr>
              <w:t>Raziskave in ocenjevanje</w:t>
            </w:r>
          </w:p>
        </w:tc>
        <w:tc>
          <w:tcPr>
            <w:tcW w:w="3021" w:type="dxa"/>
          </w:tcPr>
          <w:p w:rsidR="00EE016E" w:rsidRPr="00502920" w:rsidP="0032312C" w14:paraId="6ECFD50B" w14:textId="77777777">
            <w:pPr>
              <w:spacing w:after="0"/>
              <w:jc w:val="center"/>
              <w:rPr>
                <w:rFonts w:ascii="Arial" w:hAnsi="Arial" w:cs="Arial"/>
                <w:sz w:val="20"/>
                <w:szCs w:val="20"/>
              </w:rPr>
            </w:pPr>
            <w:r w:rsidRPr="00502920">
              <w:rPr>
                <w:rFonts w:ascii="Arial" w:hAnsi="Arial" w:cs="Arial"/>
                <w:sz w:val="20"/>
                <w:szCs w:val="20"/>
              </w:rPr>
              <w:t>50.000</w:t>
            </w:r>
          </w:p>
        </w:tc>
        <w:tc>
          <w:tcPr>
            <w:tcW w:w="3021" w:type="dxa"/>
          </w:tcPr>
          <w:p w:rsidR="00EE016E" w:rsidRPr="00502920" w:rsidP="0032312C" w14:paraId="362CF0A5" w14:textId="77777777">
            <w:pPr>
              <w:spacing w:after="0"/>
              <w:jc w:val="center"/>
              <w:rPr>
                <w:rFonts w:ascii="Arial" w:hAnsi="Arial" w:cs="Arial"/>
                <w:sz w:val="20"/>
                <w:szCs w:val="20"/>
              </w:rPr>
            </w:pPr>
            <w:r w:rsidRPr="00502920">
              <w:rPr>
                <w:rFonts w:ascii="Arial" w:hAnsi="Arial" w:cs="Arial"/>
                <w:sz w:val="20"/>
                <w:szCs w:val="20"/>
              </w:rPr>
              <w:t>10</w:t>
            </w:r>
          </w:p>
        </w:tc>
      </w:tr>
    </w:tbl>
    <w:p w:rsidR="00EE016E" w:rsidP="00EE016E" w14:paraId="52C81991" w14:textId="77777777">
      <w:pPr>
        <w:spacing w:after="0"/>
        <w:jc w:val="both"/>
        <w:rPr>
          <w:rFonts w:ascii="Arial" w:hAnsi="Arial" w:cs="Arial"/>
          <w:color w:val="000000" w:themeColor="text1"/>
          <w:sz w:val="20"/>
          <w:szCs w:val="20"/>
        </w:rPr>
      </w:pPr>
    </w:p>
    <w:p w:rsidR="00EE016E" w:rsidP="00EE016E" w14:paraId="6189BE7E" w14:textId="77777777">
      <w:pPr>
        <w:spacing w:after="0"/>
        <w:jc w:val="both"/>
        <w:rPr>
          <w:rFonts w:ascii="Arial" w:hAnsi="Arial" w:cs="Arial"/>
          <w:color w:val="000000" w:themeColor="text1"/>
          <w:sz w:val="20"/>
          <w:szCs w:val="20"/>
        </w:rPr>
      </w:pPr>
    </w:p>
    <w:p w:rsidR="00EE016E" w:rsidRPr="005A3113" w:rsidP="00EE016E" w14:paraId="7C5DDA69" w14:textId="77777777">
      <w:pPr>
        <w:spacing w:after="0"/>
        <w:jc w:val="both"/>
        <w:rPr>
          <w:rFonts w:ascii="Arial" w:hAnsi="Arial" w:cs="Arial"/>
          <w:b/>
          <w:bCs/>
          <w:color w:val="000000" w:themeColor="text1"/>
          <w:sz w:val="20"/>
          <w:szCs w:val="20"/>
        </w:rPr>
      </w:pPr>
      <w:r w:rsidRPr="005A3113">
        <w:rPr>
          <w:rFonts w:ascii="Arial" w:hAnsi="Arial" w:cs="Arial"/>
          <w:b/>
          <w:bCs/>
          <w:color w:val="000000" w:themeColor="text1"/>
          <w:sz w:val="20"/>
          <w:szCs w:val="20"/>
        </w:rPr>
        <w:t>V. Pričakovani rezultati</w:t>
      </w:r>
    </w:p>
    <w:p w:rsidR="00EE016E" w:rsidP="00EE016E" w14:paraId="3790EAE7" w14:textId="77777777">
      <w:pPr>
        <w:spacing w:after="0"/>
        <w:jc w:val="both"/>
        <w:rPr>
          <w:rFonts w:ascii="Arial" w:hAnsi="Arial" w:cs="Arial"/>
          <w:color w:val="000000" w:themeColor="text1"/>
          <w:sz w:val="20"/>
          <w:szCs w:val="20"/>
        </w:rPr>
      </w:pPr>
    </w:p>
    <w:p w:rsidR="00EE016E" w:rsidP="00EE016E" w14:paraId="4D906407" w14:textId="77777777">
      <w:pPr>
        <w:spacing w:after="0"/>
        <w:jc w:val="both"/>
        <w:rPr>
          <w:rFonts w:ascii="Arial" w:hAnsi="Arial" w:cs="Arial"/>
          <w:color w:val="000000" w:themeColor="text1"/>
          <w:sz w:val="20"/>
          <w:szCs w:val="20"/>
        </w:rPr>
      </w:pPr>
      <w:r w:rsidRPr="005A3113">
        <w:rPr>
          <w:rFonts w:ascii="Arial" w:hAnsi="Arial" w:cs="Arial"/>
          <w:color w:val="000000" w:themeColor="text1"/>
          <w:sz w:val="20"/>
          <w:szCs w:val="20"/>
        </w:rPr>
        <w:t>Pričakovani rezultati promocijsk</w:t>
      </w:r>
      <w:r>
        <w:rPr>
          <w:rFonts w:ascii="Arial" w:hAnsi="Arial" w:cs="Arial"/>
          <w:color w:val="000000" w:themeColor="text1"/>
          <w:sz w:val="20"/>
          <w:szCs w:val="20"/>
        </w:rPr>
        <w:t>ih</w:t>
      </w:r>
      <w:r w:rsidRPr="005A3113">
        <w:rPr>
          <w:rFonts w:ascii="Arial" w:hAnsi="Arial" w:cs="Arial"/>
          <w:color w:val="000000" w:themeColor="text1"/>
          <w:sz w:val="20"/>
          <w:szCs w:val="20"/>
        </w:rPr>
        <w:t xml:space="preserve"> aktivnosti za krepitev odpornosti države, družbe in posameznika v letu 2026</w:t>
      </w:r>
      <w:r>
        <w:rPr>
          <w:rFonts w:ascii="Arial" w:hAnsi="Arial" w:cs="Arial"/>
          <w:color w:val="000000" w:themeColor="text1"/>
          <w:sz w:val="20"/>
          <w:szCs w:val="20"/>
        </w:rPr>
        <w:t xml:space="preserve"> so okrepljena pripravljenost države, družbe in posameznika na izredne dogodke, povečano zavedanje o nacionalni odpornosti, izboljšano sodelovanje med institucijami in višja stopnja zaupanja vanje.</w:t>
      </w:r>
    </w:p>
    <w:p w:rsidR="00EE016E" w:rsidRPr="005A3113" w:rsidP="00EE016E" w14:paraId="375A3EA7" w14:textId="77777777">
      <w:pPr>
        <w:spacing w:after="0"/>
        <w:jc w:val="both"/>
        <w:rPr>
          <w:rFonts w:ascii="Arial" w:hAnsi="Arial" w:cs="Arial"/>
          <w:color w:val="000000" w:themeColor="text1"/>
          <w:sz w:val="20"/>
          <w:szCs w:val="20"/>
        </w:rPr>
      </w:pPr>
    </w:p>
    <w:p w:rsidR="00EE016E" w:rsidRPr="005A3113" w:rsidP="00EE016E" w14:paraId="1C226BE8" w14:textId="77777777">
      <w:pPr>
        <w:spacing w:after="0"/>
        <w:jc w:val="both"/>
        <w:rPr>
          <w:rFonts w:ascii="Arial" w:hAnsi="Arial" w:cs="Arial"/>
          <w:color w:val="000000" w:themeColor="text1"/>
          <w:sz w:val="20"/>
          <w:szCs w:val="20"/>
        </w:rPr>
      </w:pPr>
      <w:r>
        <w:rPr>
          <w:rFonts w:ascii="Arial" w:hAnsi="Arial" w:cs="Arial"/>
          <w:color w:val="000000" w:themeColor="text1"/>
          <w:sz w:val="20"/>
          <w:szCs w:val="20"/>
        </w:rPr>
        <w:t>Kvantitativno bodo rezultati prikazali doseg kampanje, število udeležencev na dogodkih in delavnicah, število prenosov in ogledov vsebin in število obiskov digitalne platforme.</w:t>
      </w:r>
    </w:p>
    <w:p w:rsidR="00EE016E" w:rsidP="00EE016E" w14:paraId="6F925196" w14:textId="77777777">
      <w:pPr>
        <w:spacing w:after="0"/>
        <w:jc w:val="both"/>
        <w:rPr>
          <w:rFonts w:ascii="Arial" w:hAnsi="Arial" w:cs="Arial"/>
          <w:color w:val="000000" w:themeColor="text1"/>
          <w:sz w:val="20"/>
          <w:szCs w:val="20"/>
        </w:rPr>
      </w:pPr>
    </w:p>
    <w:p w:rsidR="00EE016E" w:rsidRPr="005A3113" w:rsidP="00EE016E" w14:paraId="5B50CB12" w14:textId="77777777">
      <w:pPr>
        <w:spacing w:after="0"/>
        <w:jc w:val="both"/>
        <w:rPr>
          <w:rFonts w:ascii="Arial" w:hAnsi="Arial" w:cs="Arial"/>
          <w:color w:val="000000" w:themeColor="text1"/>
          <w:sz w:val="20"/>
          <w:szCs w:val="20"/>
        </w:rPr>
      </w:pPr>
    </w:p>
    <w:p w:rsidR="00EE016E" w:rsidRPr="00502920" w:rsidP="00EE016E" w14:paraId="458B5AD0" w14:textId="77777777">
      <w:pPr>
        <w:spacing w:after="0"/>
        <w:jc w:val="both"/>
        <w:rPr>
          <w:rFonts w:ascii="Arial" w:hAnsi="Arial" w:cs="Arial"/>
          <w:b/>
          <w:bCs/>
          <w:sz w:val="20"/>
          <w:szCs w:val="20"/>
        </w:rPr>
      </w:pPr>
      <w:r w:rsidRPr="00502920">
        <w:rPr>
          <w:rFonts w:ascii="Arial" w:hAnsi="Arial" w:cs="Arial"/>
          <w:b/>
          <w:bCs/>
          <w:sz w:val="20"/>
          <w:szCs w:val="20"/>
        </w:rPr>
        <w:t>VI. Okvirna časovnica izvajanja aktivnosti v letu 2026</w:t>
      </w:r>
    </w:p>
    <w:p w:rsidR="00EE016E" w:rsidRPr="00502920" w:rsidP="00EE016E" w14:paraId="0E27BF46" w14:textId="77777777">
      <w:pPr>
        <w:spacing w:after="0"/>
        <w:jc w:val="both"/>
        <w:rPr>
          <w:rFonts w:ascii="Arial" w:hAnsi="Arial" w:cs="Arial"/>
          <w:sz w:val="20"/>
          <w:szCs w:val="20"/>
        </w:rPr>
      </w:pPr>
    </w:p>
    <w:p w:rsidR="00EE016E" w:rsidP="00EE016E" w14:paraId="25E18E83" w14:textId="77777777">
      <w:pPr>
        <w:spacing w:after="0"/>
        <w:jc w:val="both"/>
        <w:rPr>
          <w:rFonts w:ascii="Arial" w:hAnsi="Arial" w:cs="Arial"/>
          <w:sz w:val="20"/>
          <w:szCs w:val="20"/>
        </w:rPr>
      </w:pPr>
      <w:r w:rsidRPr="00502920">
        <w:rPr>
          <w:rFonts w:ascii="Arial" w:hAnsi="Arial" w:cs="Arial"/>
          <w:sz w:val="20"/>
          <w:szCs w:val="20"/>
        </w:rPr>
        <w:t>Promocijske aktivnosti bodo potekale preko celega leta, v okviru različnih oblik in dogodkov ter v sodelovanju z drugimi državnimi organi, izobraževalnimi institucijami in drugimi deležniki, ki lahko prispevajo h krepitvi odpornosti Republike Slovenije.</w:t>
      </w:r>
    </w:p>
    <w:p w:rsidR="00EE016E" w:rsidRPr="00502920" w:rsidP="00EE016E" w14:paraId="071E73E1" w14:textId="77777777">
      <w:pPr>
        <w:spacing w:after="0"/>
        <w:jc w:val="both"/>
        <w:rPr>
          <w:rFonts w:ascii="Arial" w:hAnsi="Arial" w:cs="Arial"/>
          <w:sz w:val="20"/>
          <w:szCs w:val="20"/>
        </w:rPr>
      </w:pPr>
    </w:p>
    <w:p w:rsidR="00EE016E" w:rsidRPr="00502920" w:rsidP="00EE016E" w14:paraId="59250643" w14:textId="77777777">
      <w:pPr>
        <w:spacing w:after="0"/>
        <w:jc w:val="both"/>
        <w:rPr>
          <w:rFonts w:ascii="Arial" w:hAnsi="Arial" w:cs="Arial"/>
          <w:sz w:val="20"/>
          <w:szCs w:val="20"/>
        </w:rPr>
      </w:pPr>
    </w:p>
    <w:tbl>
      <w:tblPr>
        <w:tblStyle w:val="TableGrid"/>
        <w:tblW w:w="0" w:type="auto"/>
        <w:tblLook w:val="04A0"/>
      </w:tblPr>
      <w:tblGrid>
        <w:gridCol w:w="4531"/>
        <w:gridCol w:w="4531"/>
      </w:tblGrid>
      <w:tr w14:paraId="23C3D48A" w14:textId="77777777" w:rsidTr="0032312C">
        <w:tblPrEx>
          <w:tblW w:w="0" w:type="auto"/>
          <w:tblLook w:val="04A0"/>
        </w:tblPrEx>
        <w:tc>
          <w:tcPr>
            <w:tcW w:w="4531" w:type="dxa"/>
          </w:tcPr>
          <w:p w:rsidR="00EE016E" w:rsidRPr="00502920" w:rsidP="0032312C" w14:paraId="7C6E2DE6" w14:textId="77777777">
            <w:pPr>
              <w:spacing w:after="0"/>
              <w:jc w:val="center"/>
              <w:rPr>
                <w:rFonts w:ascii="Arial" w:hAnsi="Arial" w:cs="Arial"/>
                <w:b/>
                <w:bCs/>
                <w:sz w:val="20"/>
                <w:szCs w:val="20"/>
              </w:rPr>
            </w:pPr>
            <w:r w:rsidRPr="00502920">
              <w:rPr>
                <w:rFonts w:ascii="Arial" w:hAnsi="Arial" w:cs="Arial"/>
                <w:b/>
                <w:bCs/>
                <w:sz w:val="20"/>
                <w:szCs w:val="20"/>
              </w:rPr>
              <w:t>Aktivnost</w:t>
            </w:r>
          </w:p>
        </w:tc>
        <w:tc>
          <w:tcPr>
            <w:tcW w:w="4531" w:type="dxa"/>
          </w:tcPr>
          <w:p w:rsidR="00EE016E" w:rsidRPr="00502920" w:rsidP="0032312C" w14:paraId="29E3D089" w14:textId="77777777">
            <w:pPr>
              <w:spacing w:after="0"/>
              <w:jc w:val="center"/>
              <w:rPr>
                <w:rFonts w:ascii="Arial" w:hAnsi="Arial" w:cs="Arial"/>
                <w:b/>
                <w:bCs/>
                <w:sz w:val="20"/>
                <w:szCs w:val="20"/>
              </w:rPr>
            </w:pPr>
            <w:r w:rsidRPr="00502920">
              <w:rPr>
                <w:rFonts w:ascii="Arial" w:hAnsi="Arial" w:cs="Arial"/>
                <w:b/>
                <w:bCs/>
                <w:sz w:val="20"/>
                <w:szCs w:val="20"/>
              </w:rPr>
              <w:t>Obdobje</w:t>
            </w:r>
          </w:p>
        </w:tc>
      </w:tr>
      <w:tr w14:paraId="11AD44FA" w14:textId="77777777" w:rsidTr="0032312C">
        <w:tblPrEx>
          <w:tblW w:w="0" w:type="auto"/>
          <w:tblLook w:val="04A0"/>
        </w:tblPrEx>
        <w:tc>
          <w:tcPr>
            <w:tcW w:w="4531" w:type="dxa"/>
          </w:tcPr>
          <w:p w:rsidR="00EE016E" w:rsidRPr="00502920" w:rsidP="0032312C" w14:paraId="2ABD7186" w14:textId="77777777">
            <w:pPr>
              <w:spacing w:after="0"/>
              <w:jc w:val="both"/>
              <w:rPr>
                <w:rFonts w:ascii="Arial" w:hAnsi="Arial" w:cs="Arial"/>
                <w:sz w:val="20"/>
                <w:szCs w:val="20"/>
              </w:rPr>
            </w:pPr>
            <w:r w:rsidRPr="00502920">
              <w:rPr>
                <w:rFonts w:ascii="Arial" w:hAnsi="Arial" w:cs="Arial"/>
                <w:sz w:val="20"/>
                <w:szCs w:val="20"/>
              </w:rPr>
              <w:t>Analiza stanja</w:t>
            </w:r>
          </w:p>
        </w:tc>
        <w:tc>
          <w:tcPr>
            <w:tcW w:w="4531" w:type="dxa"/>
          </w:tcPr>
          <w:p w:rsidR="00EE016E" w:rsidRPr="00502920" w:rsidP="0032312C" w14:paraId="40B8EEC8" w14:textId="77777777">
            <w:pPr>
              <w:spacing w:after="0"/>
              <w:jc w:val="center"/>
              <w:rPr>
                <w:rFonts w:ascii="Arial" w:hAnsi="Arial" w:cs="Arial"/>
                <w:sz w:val="20"/>
                <w:szCs w:val="20"/>
              </w:rPr>
            </w:pPr>
            <w:r w:rsidRPr="00502920">
              <w:rPr>
                <w:rFonts w:ascii="Arial" w:hAnsi="Arial" w:cs="Arial"/>
                <w:sz w:val="20"/>
                <w:szCs w:val="20"/>
              </w:rPr>
              <w:t>1. četrtletje</w:t>
            </w:r>
          </w:p>
        </w:tc>
      </w:tr>
      <w:tr w14:paraId="28DD248D" w14:textId="77777777" w:rsidTr="0032312C">
        <w:tblPrEx>
          <w:tblW w:w="0" w:type="auto"/>
          <w:tblLook w:val="04A0"/>
        </w:tblPrEx>
        <w:tc>
          <w:tcPr>
            <w:tcW w:w="4531" w:type="dxa"/>
          </w:tcPr>
          <w:p w:rsidR="00EE016E" w:rsidRPr="00502920" w:rsidP="0032312C" w14:paraId="3F3BE7E3" w14:textId="77777777">
            <w:pPr>
              <w:spacing w:after="0"/>
              <w:jc w:val="both"/>
              <w:rPr>
                <w:rFonts w:ascii="Arial" w:hAnsi="Arial" w:cs="Arial"/>
                <w:sz w:val="20"/>
                <w:szCs w:val="20"/>
              </w:rPr>
            </w:pPr>
            <w:r w:rsidRPr="00502920">
              <w:rPr>
                <w:rFonts w:ascii="Arial" w:hAnsi="Arial" w:cs="Arial"/>
                <w:sz w:val="20"/>
                <w:szCs w:val="20"/>
              </w:rPr>
              <w:t>Oblikovanje ključnih sporočil</w:t>
            </w:r>
          </w:p>
        </w:tc>
        <w:tc>
          <w:tcPr>
            <w:tcW w:w="4531" w:type="dxa"/>
          </w:tcPr>
          <w:p w:rsidR="00EE016E" w:rsidRPr="00502920" w:rsidP="0032312C" w14:paraId="783BCAB9" w14:textId="77777777">
            <w:pPr>
              <w:spacing w:after="0"/>
              <w:jc w:val="center"/>
              <w:rPr>
                <w:rFonts w:ascii="Arial" w:hAnsi="Arial" w:cs="Arial"/>
                <w:sz w:val="20"/>
                <w:szCs w:val="20"/>
              </w:rPr>
            </w:pPr>
            <w:r w:rsidRPr="00502920">
              <w:rPr>
                <w:rFonts w:ascii="Arial" w:hAnsi="Arial" w:cs="Arial"/>
                <w:sz w:val="20"/>
                <w:szCs w:val="20"/>
              </w:rPr>
              <w:t>1. četrtletje</w:t>
            </w:r>
          </w:p>
        </w:tc>
      </w:tr>
      <w:tr w14:paraId="64186F47" w14:textId="77777777" w:rsidTr="0032312C">
        <w:tblPrEx>
          <w:tblW w:w="0" w:type="auto"/>
          <w:tblLook w:val="04A0"/>
        </w:tblPrEx>
        <w:tc>
          <w:tcPr>
            <w:tcW w:w="4531" w:type="dxa"/>
          </w:tcPr>
          <w:p w:rsidR="00EE016E" w:rsidRPr="00502920" w:rsidP="0032312C" w14:paraId="46D00D1D" w14:textId="77777777">
            <w:pPr>
              <w:spacing w:after="0"/>
              <w:jc w:val="both"/>
              <w:rPr>
                <w:rFonts w:ascii="Arial" w:hAnsi="Arial" w:cs="Arial"/>
                <w:sz w:val="20"/>
                <w:szCs w:val="20"/>
              </w:rPr>
            </w:pPr>
            <w:r w:rsidRPr="00502920">
              <w:rPr>
                <w:rFonts w:ascii="Arial" w:hAnsi="Arial" w:cs="Arial"/>
                <w:sz w:val="20"/>
                <w:szCs w:val="20"/>
              </w:rPr>
              <w:t>Priprava digitalne platforme in sporočil</w:t>
            </w:r>
          </w:p>
        </w:tc>
        <w:tc>
          <w:tcPr>
            <w:tcW w:w="4531" w:type="dxa"/>
          </w:tcPr>
          <w:p w:rsidR="00EE016E" w:rsidRPr="00502920" w:rsidP="0032312C" w14:paraId="3693EDD9" w14:textId="77777777">
            <w:pPr>
              <w:spacing w:after="0"/>
              <w:jc w:val="center"/>
              <w:rPr>
                <w:rFonts w:ascii="Arial" w:hAnsi="Arial" w:cs="Arial"/>
                <w:sz w:val="20"/>
                <w:szCs w:val="20"/>
              </w:rPr>
            </w:pPr>
            <w:r w:rsidRPr="00502920">
              <w:rPr>
                <w:rFonts w:ascii="Arial" w:hAnsi="Arial" w:cs="Arial"/>
                <w:sz w:val="20"/>
                <w:szCs w:val="20"/>
              </w:rPr>
              <w:t>1. četrtletje</w:t>
            </w:r>
          </w:p>
        </w:tc>
      </w:tr>
      <w:tr w14:paraId="2986DB40" w14:textId="77777777" w:rsidTr="0032312C">
        <w:tblPrEx>
          <w:tblW w:w="0" w:type="auto"/>
          <w:tblLook w:val="04A0"/>
        </w:tblPrEx>
        <w:tc>
          <w:tcPr>
            <w:tcW w:w="4531" w:type="dxa"/>
          </w:tcPr>
          <w:p w:rsidR="00EE016E" w:rsidRPr="00502920" w:rsidP="0032312C" w14:paraId="1871E1A5" w14:textId="77777777">
            <w:pPr>
              <w:spacing w:after="0"/>
              <w:jc w:val="both"/>
              <w:rPr>
                <w:rFonts w:ascii="Arial" w:hAnsi="Arial" w:cs="Arial"/>
                <w:sz w:val="20"/>
                <w:szCs w:val="20"/>
              </w:rPr>
            </w:pPr>
            <w:r w:rsidRPr="00502920">
              <w:rPr>
                <w:rFonts w:ascii="Arial" w:hAnsi="Arial" w:cs="Arial"/>
                <w:sz w:val="20"/>
                <w:szCs w:val="20"/>
              </w:rPr>
              <w:t>Zagon nacionalne kampanje</w:t>
            </w:r>
          </w:p>
        </w:tc>
        <w:tc>
          <w:tcPr>
            <w:tcW w:w="4531" w:type="dxa"/>
          </w:tcPr>
          <w:p w:rsidR="00EE016E" w:rsidRPr="00502920" w:rsidP="0032312C" w14:paraId="63EA2B2A" w14:textId="77777777">
            <w:pPr>
              <w:spacing w:after="0"/>
              <w:jc w:val="center"/>
              <w:rPr>
                <w:rFonts w:ascii="Arial" w:hAnsi="Arial" w:cs="Arial"/>
                <w:sz w:val="20"/>
                <w:szCs w:val="20"/>
              </w:rPr>
            </w:pPr>
            <w:r w:rsidRPr="00502920">
              <w:rPr>
                <w:rFonts w:ascii="Arial" w:hAnsi="Arial" w:cs="Arial"/>
                <w:sz w:val="20"/>
                <w:szCs w:val="20"/>
              </w:rPr>
              <w:t>2. četrtletje</w:t>
            </w:r>
          </w:p>
        </w:tc>
      </w:tr>
      <w:tr w14:paraId="36BA66BE" w14:textId="77777777" w:rsidTr="0032312C">
        <w:tblPrEx>
          <w:tblW w:w="0" w:type="auto"/>
          <w:tblLook w:val="04A0"/>
        </w:tblPrEx>
        <w:tc>
          <w:tcPr>
            <w:tcW w:w="4531" w:type="dxa"/>
          </w:tcPr>
          <w:p w:rsidR="00EE016E" w:rsidRPr="00502920" w:rsidP="0032312C" w14:paraId="3595FCCB" w14:textId="77777777">
            <w:pPr>
              <w:spacing w:after="0"/>
              <w:jc w:val="both"/>
              <w:rPr>
                <w:rFonts w:ascii="Arial" w:hAnsi="Arial" w:cs="Arial"/>
                <w:sz w:val="20"/>
                <w:szCs w:val="20"/>
              </w:rPr>
            </w:pPr>
            <w:r w:rsidRPr="00502920">
              <w:rPr>
                <w:rFonts w:ascii="Arial" w:hAnsi="Arial" w:cs="Arial"/>
                <w:sz w:val="20"/>
                <w:szCs w:val="20"/>
              </w:rPr>
              <w:t>Priprava izobraževalnih aktivnosti</w:t>
            </w:r>
          </w:p>
        </w:tc>
        <w:tc>
          <w:tcPr>
            <w:tcW w:w="4531" w:type="dxa"/>
          </w:tcPr>
          <w:p w:rsidR="00EE016E" w:rsidRPr="00502920" w:rsidP="0032312C" w14:paraId="560FC9B7" w14:textId="77777777">
            <w:pPr>
              <w:spacing w:after="0"/>
              <w:jc w:val="center"/>
              <w:rPr>
                <w:rFonts w:ascii="Arial" w:hAnsi="Arial" w:cs="Arial"/>
                <w:sz w:val="20"/>
                <w:szCs w:val="20"/>
              </w:rPr>
            </w:pPr>
            <w:r w:rsidRPr="00502920">
              <w:rPr>
                <w:rFonts w:ascii="Arial" w:hAnsi="Arial" w:cs="Arial"/>
                <w:sz w:val="20"/>
                <w:szCs w:val="20"/>
              </w:rPr>
              <w:t>2. četrtletje</w:t>
            </w:r>
          </w:p>
        </w:tc>
      </w:tr>
      <w:tr w14:paraId="16596E6B" w14:textId="77777777" w:rsidTr="0032312C">
        <w:tblPrEx>
          <w:tblW w:w="0" w:type="auto"/>
          <w:tblLook w:val="04A0"/>
        </w:tblPrEx>
        <w:tc>
          <w:tcPr>
            <w:tcW w:w="4531" w:type="dxa"/>
          </w:tcPr>
          <w:p w:rsidR="00EE016E" w:rsidRPr="00502920" w:rsidP="0032312C" w14:paraId="28046B21" w14:textId="77777777">
            <w:pPr>
              <w:spacing w:after="0"/>
              <w:jc w:val="both"/>
              <w:rPr>
                <w:rFonts w:ascii="Arial" w:hAnsi="Arial" w:cs="Arial"/>
                <w:sz w:val="20"/>
                <w:szCs w:val="20"/>
              </w:rPr>
            </w:pPr>
            <w:r w:rsidRPr="00502920">
              <w:rPr>
                <w:rFonts w:ascii="Arial" w:hAnsi="Arial" w:cs="Arial"/>
                <w:sz w:val="20"/>
                <w:szCs w:val="20"/>
              </w:rPr>
              <w:t>Vključevanje v izobraževalnih aktivnosti</w:t>
            </w:r>
          </w:p>
        </w:tc>
        <w:tc>
          <w:tcPr>
            <w:tcW w:w="4531" w:type="dxa"/>
          </w:tcPr>
          <w:p w:rsidR="00EE016E" w:rsidRPr="00502920" w:rsidP="0032312C" w14:paraId="4C8E9E3D" w14:textId="77777777">
            <w:pPr>
              <w:spacing w:after="0"/>
              <w:jc w:val="center"/>
              <w:rPr>
                <w:rFonts w:ascii="Arial" w:hAnsi="Arial" w:cs="Arial"/>
                <w:sz w:val="20"/>
                <w:szCs w:val="20"/>
              </w:rPr>
            </w:pPr>
            <w:r w:rsidRPr="00502920">
              <w:rPr>
                <w:rFonts w:ascii="Arial" w:hAnsi="Arial" w:cs="Arial"/>
                <w:sz w:val="20"/>
                <w:szCs w:val="20"/>
              </w:rPr>
              <w:t>3. četrtletje</w:t>
            </w:r>
          </w:p>
        </w:tc>
      </w:tr>
      <w:tr w14:paraId="527BBBC9" w14:textId="77777777" w:rsidTr="0032312C">
        <w:tblPrEx>
          <w:tblW w:w="0" w:type="auto"/>
          <w:tblLook w:val="04A0"/>
        </w:tblPrEx>
        <w:tc>
          <w:tcPr>
            <w:tcW w:w="4531" w:type="dxa"/>
          </w:tcPr>
          <w:p w:rsidR="00EE016E" w:rsidRPr="00502920" w:rsidP="0032312C" w14:paraId="7FEDB3B1" w14:textId="77777777">
            <w:pPr>
              <w:spacing w:after="0"/>
              <w:jc w:val="both"/>
              <w:rPr>
                <w:rFonts w:ascii="Arial" w:hAnsi="Arial" w:cs="Arial"/>
                <w:sz w:val="20"/>
                <w:szCs w:val="20"/>
              </w:rPr>
            </w:pPr>
            <w:r w:rsidRPr="00502920">
              <w:rPr>
                <w:rFonts w:ascii="Arial" w:hAnsi="Arial" w:cs="Arial"/>
                <w:sz w:val="20"/>
                <w:szCs w:val="20"/>
              </w:rPr>
              <w:t>Teden odpornosti</w:t>
            </w:r>
          </w:p>
        </w:tc>
        <w:tc>
          <w:tcPr>
            <w:tcW w:w="4531" w:type="dxa"/>
          </w:tcPr>
          <w:p w:rsidR="00EE016E" w:rsidRPr="00502920" w:rsidP="0032312C" w14:paraId="5D138FAD" w14:textId="77777777">
            <w:pPr>
              <w:spacing w:after="0"/>
              <w:jc w:val="center"/>
              <w:rPr>
                <w:rFonts w:ascii="Arial" w:hAnsi="Arial" w:cs="Arial"/>
                <w:sz w:val="20"/>
                <w:szCs w:val="20"/>
              </w:rPr>
            </w:pPr>
            <w:r w:rsidRPr="00502920">
              <w:rPr>
                <w:rFonts w:ascii="Arial" w:hAnsi="Arial" w:cs="Arial"/>
                <w:sz w:val="20"/>
                <w:szCs w:val="20"/>
              </w:rPr>
              <w:t>3. četrtletje</w:t>
            </w:r>
          </w:p>
        </w:tc>
      </w:tr>
      <w:tr w14:paraId="441221CA" w14:textId="77777777" w:rsidTr="0032312C">
        <w:tblPrEx>
          <w:tblW w:w="0" w:type="auto"/>
          <w:tblLook w:val="04A0"/>
        </w:tblPrEx>
        <w:tc>
          <w:tcPr>
            <w:tcW w:w="4531" w:type="dxa"/>
          </w:tcPr>
          <w:p w:rsidR="00EE016E" w:rsidRPr="00502920" w:rsidP="0032312C" w14:paraId="6FDFE2FC" w14:textId="77777777">
            <w:pPr>
              <w:spacing w:after="0"/>
              <w:jc w:val="both"/>
              <w:rPr>
                <w:rFonts w:ascii="Arial" w:hAnsi="Arial" w:cs="Arial"/>
                <w:sz w:val="20"/>
                <w:szCs w:val="20"/>
              </w:rPr>
            </w:pPr>
            <w:r w:rsidRPr="00502920">
              <w:rPr>
                <w:rFonts w:ascii="Arial" w:hAnsi="Arial" w:cs="Arial"/>
                <w:sz w:val="20"/>
                <w:szCs w:val="20"/>
              </w:rPr>
              <w:t>Presek stanja in nadgradnja kampanje</w:t>
            </w:r>
          </w:p>
        </w:tc>
        <w:tc>
          <w:tcPr>
            <w:tcW w:w="4531" w:type="dxa"/>
          </w:tcPr>
          <w:p w:rsidR="00EE016E" w:rsidRPr="00502920" w:rsidP="0032312C" w14:paraId="7B13DCFF" w14:textId="77777777">
            <w:pPr>
              <w:spacing w:after="0"/>
              <w:jc w:val="center"/>
              <w:rPr>
                <w:rFonts w:ascii="Arial" w:hAnsi="Arial" w:cs="Arial"/>
                <w:sz w:val="20"/>
                <w:szCs w:val="20"/>
              </w:rPr>
            </w:pPr>
            <w:r w:rsidRPr="00502920">
              <w:rPr>
                <w:rFonts w:ascii="Arial" w:hAnsi="Arial" w:cs="Arial"/>
                <w:sz w:val="20"/>
                <w:szCs w:val="20"/>
              </w:rPr>
              <w:t>4. četrtletje</w:t>
            </w:r>
          </w:p>
        </w:tc>
      </w:tr>
      <w:tr w14:paraId="610EE8D9" w14:textId="77777777" w:rsidTr="0032312C">
        <w:tblPrEx>
          <w:tblW w:w="0" w:type="auto"/>
          <w:tblLook w:val="04A0"/>
        </w:tblPrEx>
        <w:tc>
          <w:tcPr>
            <w:tcW w:w="4531" w:type="dxa"/>
          </w:tcPr>
          <w:p w:rsidR="00EE016E" w:rsidRPr="00502920" w:rsidP="0032312C" w14:paraId="06A725AB" w14:textId="77777777">
            <w:pPr>
              <w:spacing w:after="0"/>
              <w:jc w:val="both"/>
              <w:rPr>
                <w:rFonts w:ascii="Arial" w:hAnsi="Arial" w:cs="Arial"/>
                <w:sz w:val="20"/>
                <w:szCs w:val="20"/>
              </w:rPr>
            </w:pPr>
            <w:r w:rsidRPr="00502920">
              <w:rPr>
                <w:rFonts w:ascii="Arial" w:hAnsi="Arial" w:cs="Arial"/>
                <w:sz w:val="20"/>
                <w:szCs w:val="20"/>
              </w:rPr>
              <w:t>Promocijski dogodki</w:t>
            </w:r>
          </w:p>
        </w:tc>
        <w:tc>
          <w:tcPr>
            <w:tcW w:w="4531" w:type="dxa"/>
          </w:tcPr>
          <w:p w:rsidR="00EE016E" w:rsidRPr="00502920" w:rsidP="0032312C" w14:paraId="555CB815" w14:textId="77777777">
            <w:pPr>
              <w:spacing w:after="0"/>
              <w:jc w:val="center"/>
              <w:rPr>
                <w:rFonts w:ascii="Arial" w:hAnsi="Arial" w:cs="Arial"/>
                <w:sz w:val="20"/>
                <w:szCs w:val="20"/>
              </w:rPr>
            </w:pPr>
            <w:r w:rsidRPr="00502920">
              <w:rPr>
                <w:rFonts w:ascii="Arial" w:hAnsi="Arial" w:cs="Arial"/>
                <w:sz w:val="20"/>
                <w:szCs w:val="20"/>
              </w:rPr>
              <w:t>vse leto</w:t>
            </w:r>
          </w:p>
        </w:tc>
      </w:tr>
    </w:tbl>
    <w:p w:rsidR="00EE016E" w:rsidRPr="00502920" w:rsidP="00EE016E" w14:paraId="1407CA44" w14:textId="77777777">
      <w:pPr>
        <w:spacing w:after="0"/>
        <w:jc w:val="both"/>
        <w:rPr>
          <w:rFonts w:ascii="Arial" w:hAnsi="Arial" w:cs="Arial"/>
          <w:sz w:val="20"/>
          <w:szCs w:val="20"/>
        </w:rPr>
      </w:pPr>
    </w:p>
    <w:p w:rsidR="00EE016E" w:rsidP="00EE016E" w14:paraId="09E748BB" w14:textId="77777777">
      <w:pPr>
        <w:shd w:val="clear" w:color="auto" w:fill="FFFFFF"/>
        <w:spacing w:after="0"/>
        <w:jc w:val="both"/>
        <w:rPr>
          <w:rFonts w:ascii="Arial" w:hAnsi="Arial" w:cs="Arial"/>
          <w:color w:val="000000" w:themeColor="text1"/>
          <w:sz w:val="20"/>
          <w:szCs w:val="20"/>
        </w:rPr>
      </w:pPr>
    </w:p>
    <w:p w:rsidR="00723116" w:rsidRPr="00EE016E" w:rsidP="00EE016E" w14:paraId="196DF000" w14:textId="365030A5">
      <w:pPr>
        <w:spacing w:after="0"/>
        <w:jc w:val="right"/>
        <w:rPr>
          <w:rFonts w:ascii="Arial" w:hAnsi="Arial" w:cs="Arial"/>
          <w:color w:val="000000" w:themeColor="text1"/>
          <w:sz w:val="20"/>
          <w:szCs w:val="20"/>
        </w:rPr>
      </w:pPr>
      <w:r w:rsidRPr="00F129F1">
        <w:rPr>
          <w:rFonts w:ascii="Arial" w:hAnsi="Arial" w:cs="Arial"/>
          <w:color w:val="000000" w:themeColor="text1"/>
          <w:sz w:val="20"/>
          <w:szCs w:val="20"/>
        </w:rPr>
        <w:t>MINISTRSTVO ZA OBRAMBO</w:t>
      </w:r>
    </w:p>
    <w:sectPr w:rsidSect="009E10A8">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36E5A471">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B0812">
      <w:rPr>
        <w:rFonts w:ascii="Arial" w:hAnsi="Arial" w:cs="Arial"/>
        <w:noProof/>
      </w:rPr>
      <w:t>7</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7B0812">
      <w:rPr>
        <w:rFonts w:ascii="Arial" w:hAnsi="Arial" w:cs="Arial"/>
        <w:noProof/>
      </w:rPr>
      <w:t>7</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0F602E6F">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B0812">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7B0812">
      <w:rPr>
        <w:rFonts w:ascii="Arial" w:hAnsi="Arial" w:cs="Arial"/>
        <w:noProof/>
      </w:rPr>
      <w:t>7</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546ECFC4"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3A2570FE"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496C8223"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62C94597"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5E7F99A1"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6035A548"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0512954D" w14:textId="3344E9F7">
    <w:pPr>
      <w:pStyle w:val="Header"/>
      <w:tabs>
        <w:tab w:val="left" w:pos="5112"/>
      </w:tabs>
      <w:spacing w:line="240" w:lineRule="exact"/>
      <w:rPr>
        <w:rFonts w:cs="Arial"/>
        <w:sz w:val="16"/>
      </w:rPr>
    </w:pPr>
    <w:r w:rsidRPr="00821419">
      <w:rPr>
        <w:rFonts w:cs="Arial"/>
        <w:sz w:val="16"/>
      </w:rPr>
      <w:tab/>
    </w:r>
    <w:r w:rsidRPr="00821419">
      <w:rPr>
        <w:rFonts w:cs="Arial"/>
        <w:sz w:val="16"/>
      </w:rPr>
      <w:tab/>
      <w:t>www.gov.si</w:t>
    </w:r>
  </w:p>
  <w:p w:rsidR="003A3B1D" w14:paraId="34F64B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0">
    <w:nsid w:val="28A8774C"/>
    <w:multiLevelType w:val="hybridMultilevel"/>
    <w:tmpl w:val="DB748CD4"/>
    <w:lvl w:ilvl="0">
      <w:start w:val="49"/>
      <w:numFmt w:val="bullet"/>
      <w:lvlText w:val=""/>
      <w:lvlJc w:val="left"/>
      <w:pPr>
        <w:ind w:left="360" w:hanging="360"/>
      </w:pPr>
      <w:rPr>
        <w:rFonts w:ascii="Symbol" w:eastAsia="Times New Roman" w:hAnsi="Symbol" w:cs="Times New Roman" w:hint="default"/>
      </w:rPr>
    </w:lvl>
    <w:lvl w:ilvl="1">
      <w:start w:val="0"/>
      <w:numFmt w:val="bullet"/>
      <w:lvlText w:val="–"/>
      <w:lvlJc w:val="left"/>
      <w:pPr>
        <w:ind w:left="1080" w:hanging="360"/>
      </w:pPr>
      <w:rPr>
        <w:rFonts w:ascii="Georgia" w:eastAsia="Times New Roman" w:hAnsi="Georgia"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306356B"/>
    <w:multiLevelType w:val="hybridMultilevel"/>
    <w:tmpl w:val="2D8CA17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5">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6">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BA4A6A"/>
    <w:multiLevelType w:val="hybridMultilevel"/>
    <w:tmpl w:val="FC5045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9742370"/>
    <w:multiLevelType w:val="hybridMultilevel"/>
    <w:tmpl w:val="9F7CC1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6">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D4F658A"/>
    <w:multiLevelType w:val="hybridMultilevel"/>
    <w:tmpl w:val="67B041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D9977AC"/>
    <w:multiLevelType w:val="hybridMultilevel"/>
    <w:tmpl w:val="9B1893F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4460E6"/>
    <w:multiLevelType w:val="hybridMultilevel"/>
    <w:tmpl w:val="83B2B22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4"/>
  </w:num>
  <w:num w:numId="4">
    <w:abstractNumId w:val="26"/>
  </w:num>
  <w:num w:numId="5">
    <w:abstractNumId w:val="1"/>
  </w:num>
  <w:num w:numId="6">
    <w:abstractNumId w:val="8"/>
  </w:num>
  <w:num w:numId="7">
    <w:abstractNumId w:val="0"/>
  </w:num>
  <w:num w:numId="8">
    <w:abstractNumId w:val="23"/>
  </w:num>
  <w:num w:numId="9">
    <w:abstractNumId w:val="30"/>
  </w:num>
  <w:num w:numId="10">
    <w:abstractNumId w:val="15"/>
    <w:lvlOverride w:ilvl="0">
      <w:startOverride w:val="1"/>
    </w:lvlOverride>
  </w:num>
  <w:num w:numId="11">
    <w:abstractNumId w:val="16"/>
  </w:num>
  <w:num w:numId="12">
    <w:abstractNumId w:val="9"/>
  </w:num>
  <w:num w:numId="13">
    <w:abstractNumId w:val="24"/>
  </w:num>
  <w:num w:numId="14">
    <w:abstractNumId w:val="4"/>
  </w:num>
  <w:num w:numId="15">
    <w:abstractNumId w:val="19"/>
  </w:num>
  <w:num w:numId="16">
    <w:abstractNumId w:val="32"/>
  </w:num>
  <w:num w:numId="17">
    <w:abstractNumId w:val="27"/>
  </w:num>
  <w:num w:numId="18">
    <w:abstractNumId w:val="34"/>
  </w:num>
  <w:num w:numId="19">
    <w:abstractNumId w:val="35"/>
  </w:num>
  <w:num w:numId="20">
    <w:abstractNumId w:val="18"/>
  </w:num>
  <w:num w:numId="21">
    <w:abstractNumId w:val="11"/>
  </w:num>
  <w:num w:numId="22">
    <w:abstractNumId w:val="21"/>
  </w:num>
  <w:num w:numId="23">
    <w:abstractNumId w:val="6"/>
  </w:num>
  <w:num w:numId="24">
    <w:abstractNumId w:val="31"/>
    <w:lvlOverride w:ilvl="0">
      <w:startOverride w:val="1"/>
    </w:lvlOverride>
    <w:lvlOverride w:ilvl="1"/>
    <w:lvlOverride w:ilvl="2"/>
    <w:lvlOverride w:ilvl="3"/>
    <w:lvlOverride w:ilvl="4"/>
    <w:lvlOverride w:ilvl="5"/>
    <w:lvlOverride w:ilvl="6"/>
    <w:lvlOverride w:ilvl="7"/>
    <w:lvlOverride w:ilv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2"/>
  </w:num>
  <w:num w:numId="33">
    <w:abstractNumId w:val="29"/>
  </w:num>
  <w:num w:numId="34">
    <w:abstractNumId w:val="22"/>
  </w:num>
  <w:num w:numId="35">
    <w:abstractNumId w:val="17"/>
  </w:num>
  <w:num w:numId="36">
    <w:abstractNumId w:val="2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53699"/>
    <w:rsid w:val="000A4BA7"/>
    <w:rsid w:val="000C0B87"/>
    <w:rsid w:val="000F18DE"/>
    <w:rsid w:val="00131B28"/>
    <w:rsid w:val="00145406"/>
    <w:rsid w:val="001D4854"/>
    <w:rsid w:val="00220B63"/>
    <w:rsid w:val="00237149"/>
    <w:rsid w:val="002C278B"/>
    <w:rsid w:val="002E081E"/>
    <w:rsid w:val="002F78E3"/>
    <w:rsid w:val="00305C84"/>
    <w:rsid w:val="0031625C"/>
    <w:rsid w:val="0032312C"/>
    <w:rsid w:val="003A3B1D"/>
    <w:rsid w:val="003D556F"/>
    <w:rsid w:val="003E035F"/>
    <w:rsid w:val="00404920"/>
    <w:rsid w:val="00464982"/>
    <w:rsid w:val="004B08C2"/>
    <w:rsid w:val="004E293C"/>
    <w:rsid w:val="004F6962"/>
    <w:rsid w:val="00502920"/>
    <w:rsid w:val="00580548"/>
    <w:rsid w:val="00597C12"/>
    <w:rsid w:val="005A3113"/>
    <w:rsid w:val="005C30ED"/>
    <w:rsid w:val="005D5E77"/>
    <w:rsid w:val="005E6A88"/>
    <w:rsid w:val="006030CE"/>
    <w:rsid w:val="00622114"/>
    <w:rsid w:val="00623F16"/>
    <w:rsid w:val="006570DD"/>
    <w:rsid w:val="00695AEF"/>
    <w:rsid w:val="006E30C0"/>
    <w:rsid w:val="007123B4"/>
    <w:rsid w:val="00715D72"/>
    <w:rsid w:val="00723116"/>
    <w:rsid w:val="007578AE"/>
    <w:rsid w:val="007851AF"/>
    <w:rsid w:val="007B0812"/>
    <w:rsid w:val="007B1642"/>
    <w:rsid w:val="007B4C47"/>
    <w:rsid w:val="00821419"/>
    <w:rsid w:val="00830631"/>
    <w:rsid w:val="008941CD"/>
    <w:rsid w:val="008B4243"/>
    <w:rsid w:val="008B734D"/>
    <w:rsid w:val="00913E94"/>
    <w:rsid w:val="00950971"/>
    <w:rsid w:val="0095629C"/>
    <w:rsid w:val="009A1BFE"/>
    <w:rsid w:val="009E10A8"/>
    <w:rsid w:val="009F1E59"/>
    <w:rsid w:val="009F77C7"/>
    <w:rsid w:val="00A452FF"/>
    <w:rsid w:val="00A66A70"/>
    <w:rsid w:val="00A701F9"/>
    <w:rsid w:val="00AB05DC"/>
    <w:rsid w:val="00AB65D9"/>
    <w:rsid w:val="00AE3A35"/>
    <w:rsid w:val="00B27A2C"/>
    <w:rsid w:val="00B35734"/>
    <w:rsid w:val="00C06B6E"/>
    <w:rsid w:val="00C10360"/>
    <w:rsid w:val="00C14725"/>
    <w:rsid w:val="00C57CFB"/>
    <w:rsid w:val="00C63DFE"/>
    <w:rsid w:val="00CB7264"/>
    <w:rsid w:val="00CE257E"/>
    <w:rsid w:val="00D61DC2"/>
    <w:rsid w:val="00D86976"/>
    <w:rsid w:val="00DE42D1"/>
    <w:rsid w:val="00DF18E9"/>
    <w:rsid w:val="00E06ADF"/>
    <w:rsid w:val="00E50831"/>
    <w:rsid w:val="00E66CDF"/>
    <w:rsid w:val="00E96B7D"/>
    <w:rsid w:val="00EA539F"/>
    <w:rsid w:val="00EC1D65"/>
    <w:rsid w:val="00EE016E"/>
    <w:rsid w:val="00F129F1"/>
    <w:rsid w:val="00F648BE"/>
    <w:rsid w:val="00FA6654"/>
    <w:rsid w:val="00FB3C81"/>
    <w:rsid w:val="00FB3D8B"/>
    <w:rsid w:val="00FC14A4"/>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 w:type="table" w:styleId="TableGrid">
    <w:name w:val="Table Grid"/>
    <w:basedOn w:val="TableNormal"/>
    <w:rsid w:val="005A3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0EDCC-0065-4B78-8301-4320BD1E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1729</Words>
  <Characters>11126</Characters>
  <Application>Microsoft Office Word</Application>
  <DocSecurity>0</DocSecurity>
  <Lines>92</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18</cp:revision>
  <cp:lastPrinted>2025-12-10T13:27:00Z</cp:lastPrinted>
  <dcterms:created xsi:type="dcterms:W3CDTF">2024-11-29T10:46:00Z</dcterms:created>
  <dcterms:modified xsi:type="dcterms:W3CDTF">2026-02-03T13:58:00Z</dcterms:modified>
</cp:coreProperties>
</file>