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4B48" w14:textId="77777777" w:rsidR="00D26C58" w:rsidRDefault="00D26C58" w:rsidP="00163806"/>
    <w:p w14:paraId="61040146" w14:textId="77777777" w:rsidR="00D26C58" w:rsidRPr="003E5A84" w:rsidRDefault="00D26C58" w:rsidP="00AB722E">
      <w:pPr>
        <w:jc w:val="center"/>
      </w:pPr>
    </w:p>
    <w:p w14:paraId="36ECF7DF" w14:textId="77777777" w:rsidR="003E5A84" w:rsidRPr="003E5A84" w:rsidRDefault="003E5A84" w:rsidP="00163806">
      <w:pPr>
        <w:pStyle w:val="AgreementFrontpagetext"/>
        <w:rPr>
          <w:rFonts w:eastAsia="Calibri"/>
        </w:rPr>
      </w:pPr>
      <w:r w:rsidRPr="003E5A84">
        <w:rPr>
          <w:rFonts w:eastAsia="Calibri"/>
        </w:rPr>
        <w:t>MEMORANDUM OF UNDERSTANDING</w:t>
      </w:r>
    </w:p>
    <w:p w14:paraId="3BEE089E" w14:textId="33F0E683" w:rsidR="003E5A84" w:rsidRPr="003E5A84" w:rsidRDefault="003E5A84" w:rsidP="00163806">
      <w:pPr>
        <w:pStyle w:val="AgreementFrontpagetext"/>
        <w:rPr>
          <w:rFonts w:eastAsia="Calibri"/>
        </w:rPr>
      </w:pPr>
      <w:r w:rsidRPr="003E5A84">
        <w:rPr>
          <w:rFonts w:eastAsia="Calibri"/>
        </w:rPr>
        <w:t xml:space="preserve">ON THE IMPLEMENTATION OF THE </w:t>
      </w:r>
      <w:r w:rsidR="009E08B6">
        <w:rPr>
          <w:rFonts w:eastAsia="Calibri"/>
        </w:rPr>
        <w:t>NORWEGIAN</w:t>
      </w:r>
      <w:r w:rsidR="009E08B6" w:rsidRPr="003E5A84">
        <w:rPr>
          <w:rFonts w:eastAsia="Calibri"/>
        </w:rPr>
        <w:t xml:space="preserve"> </w:t>
      </w:r>
      <w:r w:rsidRPr="003E5A84">
        <w:rPr>
          <w:rFonts w:eastAsia="Calibri"/>
        </w:rPr>
        <w:t>FINANCIAL MECHANISM</w:t>
      </w:r>
    </w:p>
    <w:p w14:paraId="0E0C359A" w14:textId="1F4192B5" w:rsidR="00D62F78" w:rsidRDefault="003E5A84" w:rsidP="00163806">
      <w:pPr>
        <w:pStyle w:val="AgreementFrontpagetext"/>
        <w:rPr>
          <w:rFonts w:eastAsia="Calibri"/>
        </w:rPr>
      </w:pPr>
      <w:r w:rsidRPr="003E5A84">
        <w:rPr>
          <w:rFonts w:eastAsia="Calibri"/>
        </w:rPr>
        <w:t>2021-2028</w:t>
      </w:r>
    </w:p>
    <w:p w14:paraId="50BCABC0" w14:textId="77777777" w:rsidR="00D62F78" w:rsidRDefault="00D62F78" w:rsidP="00163806">
      <w:pPr>
        <w:pStyle w:val="AgreementFrontpagetext"/>
        <w:rPr>
          <w:rFonts w:eastAsia="Calibri"/>
        </w:rPr>
      </w:pPr>
    </w:p>
    <w:p w14:paraId="6B686B13" w14:textId="77777777" w:rsidR="00D62F78" w:rsidRPr="003E5A84" w:rsidRDefault="00D62F78" w:rsidP="00163806">
      <w:pPr>
        <w:pStyle w:val="AgreementFrontpagetext"/>
        <w:rPr>
          <w:rFonts w:eastAsia="Calibri"/>
        </w:rPr>
      </w:pPr>
    </w:p>
    <w:p w14:paraId="256AC63F" w14:textId="77777777" w:rsidR="003E5A84" w:rsidRDefault="003E5A84" w:rsidP="00163806">
      <w:pPr>
        <w:pStyle w:val="AgreementFrontpagetext"/>
        <w:rPr>
          <w:rFonts w:eastAsia="Calibri"/>
        </w:rPr>
      </w:pPr>
      <w:r w:rsidRPr="003E5A84">
        <w:rPr>
          <w:rFonts w:eastAsia="Calibri"/>
        </w:rPr>
        <w:t>between</w:t>
      </w:r>
    </w:p>
    <w:p w14:paraId="5B31F65B" w14:textId="77777777" w:rsidR="00D62F78" w:rsidRDefault="00D62F78" w:rsidP="00163806">
      <w:pPr>
        <w:pStyle w:val="AgreementFrontpagetext"/>
        <w:rPr>
          <w:rFonts w:eastAsia="Calibri"/>
        </w:rPr>
      </w:pPr>
    </w:p>
    <w:p w14:paraId="322237DA" w14:textId="77777777" w:rsidR="00D62F78" w:rsidRPr="003E5A84" w:rsidRDefault="00D62F78" w:rsidP="00163806">
      <w:pPr>
        <w:pStyle w:val="AgreementFrontpagetext"/>
        <w:rPr>
          <w:rFonts w:eastAsia="Calibri"/>
        </w:rPr>
      </w:pPr>
    </w:p>
    <w:p w14:paraId="777E7DE0" w14:textId="51B8F583" w:rsidR="003E5A84" w:rsidRPr="003E5A84" w:rsidRDefault="003E5A84" w:rsidP="00163806">
      <w:pPr>
        <w:pStyle w:val="AgreementFrontpagetext"/>
        <w:rPr>
          <w:rFonts w:eastAsia="Calibri"/>
        </w:rPr>
      </w:pPr>
      <w:r w:rsidRPr="003E5A84">
        <w:rPr>
          <w:rFonts w:eastAsia="Calibri"/>
        </w:rPr>
        <w:t>THE KINGDOM OF NORWAY,</w:t>
      </w:r>
    </w:p>
    <w:p w14:paraId="4AAFF69B" w14:textId="11A7DBA2" w:rsidR="003E5A84" w:rsidRDefault="003E5A84" w:rsidP="00163806">
      <w:pPr>
        <w:pStyle w:val="AgreementFrontpagetext"/>
        <w:rPr>
          <w:rFonts w:eastAsia="Calibri"/>
        </w:rPr>
      </w:pPr>
      <w:r w:rsidRPr="003E5A84">
        <w:rPr>
          <w:rFonts w:eastAsia="Calibri"/>
        </w:rPr>
        <w:t>hereinafter referred to as “</w:t>
      </w:r>
      <w:r w:rsidR="009E08B6">
        <w:rPr>
          <w:rFonts w:eastAsia="Calibri"/>
        </w:rPr>
        <w:t>Norway</w:t>
      </w:r>
      <w:r w:rsidRPr="003E5A84">
        <w:rPr>
          <w:rFonts w:eastAsia="Calibri"/>
        </w:rPr>
        <w:t>”</w:t>
      </w:r>
    </w:p>
    <w:p w14:paraId="550AD55F" w14:textId="77777777" w:rsidR="00D62F78" w:rsidRDefault="00D62F78" w:rsidP="00163806">
      <w:pPr>
        <w:pStyle w:val="AgreementFrontpagetext"/>
        <w:rPr>
          <w:rFonts w:eastAsia="Calibri"/>
        </w:rPr>
      </w:pPr>
    </w:p>
    <w:p w14:paraId="09FB4175" w14:textId="77777777" w:rsidR="00D62F78" w:rsidRPr="003E5A84" w:rsidRDefault="00D62F78" w:rsidP="00163806">
      <w:pPr>
        <w:pStyle w:val="AgreementFrontpagetext"/>
        <w:rPr>
          <w:rFonts w:eastAsia="Calibri"/>
        </w:rPr>
      </w:pPr>
    </w:p>
    <w:p w14:paraId="5B947871" w14:textId="77777777" w:rsidR="003E5A84" w:rsidRDefault="003E5A84" w:rsidP="00163806">
      <w:pPr>
        <w:pStyle w:val="AgreementFrontpagetext"/>
        <w:rPr>
          <w:rFonts w:eastAsia="Calibri"/>
        </w:rPr>
      </w:pPr>
      <w:r w:rsidRPr="003E5A84">
        <w:rPr>
          <w:rFonts w:eastAsia="Calibri"/>
        </w:rPr>
        <w:t>and</w:t>
      </w:r>
    </w:p>
    <w:p w14:paraId="2A421A7F" w14:textId="77777777" w:rsidR="00D62F78" w:rsidRDefault="00D62F78" w:rsidP="00163806">
      <w:pPr>
        <w:pStyle w:val="AgreementFrontpagetext"/>
        <w:rPr>
          <w:rFonts w:eastAsia="Calibri"/>
        </w:rPr>
      </w:pPr>
    </w:p>
    <w:p w14:paraId="4680835D" w14:textId="77777777" w:rsidR="00D62F78" w:rsidRPr="003E5A84" w:rsidRDefault="00D62F78" w:rsidP="00163806">
      <w:pPr>
        <w:pStyle w:val="AgreementFrontpagetext"/>
        <w:rPr>
          <w:rFonts w:eastAsia="Calibri"/>
        </w:rPr>
      </w:pPr>
    </w:p>
    <w:p w14:paraId="69DD629C" w14:textId="497F1ACD" w:rsidR="003E5A84" w:rsidRPr="003E5A84" w:rsidRDefault="00291E7A" w:rsidP="00163806">
      <w:pPr>
        <w:pStyle w:val="AgreementFrontpagetext"/>
        <w:rPr>
          <w:rFonts w:eastAsia="Calibri"/>
        </w:rPr>
      </w:pPr>
      <w:r>
        <w:rPr>
          <w:rFonts w:eastAsia="Calibri"/>
        </w:rPr>
        <w:t>THE REPUBLIC OF SLOVENIA</w:t>
      </w:r>
      <w:r w:rsidR="003E5A84" w:rsidRPr="003E5A84">
        <w:rPr>
          <w:rFonts w:eastAsia="Calibri"/>
        </w:rPr>
        <w:t>,</w:t>
      </w:r>
    </w:p>
    <w:p w14:paraId="68F55402" w14:textId="77777777" w:rsidR="003E5A84" w:rsidRDefault="003E5A84" w:rsidP="00163806">
      <w:pPr>
        <w:pStyle w:val="AgreementFrontpagetext"/>
        <w:rPr>
          <w:rFonts w:eastAsia="Calibri"/>
        </w:rPr>
      </w:pPr>
      <w:r w:rsidRPr="003E5A84">
        <w:rPr>
          <w:rFonts w:eastAsia="Calibri"/>
        </w:rPr>
        <w:t>hereinafter referred to as the “Beneficiary State”</w:t>
      </w:r>
    </w:p>
    <w:p w14:paraId="102BE7AE" w14:textId="77777777" w:rsidR="00D62F78" w:rsidRDefault="00D62F78" w:rsidP="00163806">
      <w:pPr>
        <w:pStyle w:val="AgreementFrontpagetext"/>
        <w:rPr>
          <w:rFonts w:eastAsia="Calibri"/>
        </w:rPr>
      </w:pPr>
    </w:p>
    <w:p w14:paraId="66D505FA" w14:textId="77777777" w:rsidR="00D62F78" w:rsidRDefault="00D62F78" w:rsidP="00163806">
      <w:pPr>
        <w:pStyle w:val="AgreementFrontpagetext"/>
        <w:rPr>
          <w:rFonts w:eastAsia="Calibri"/>
        </w:rPr>
      </w:pPr>
    </w:p>
    <w:p w14:paraId="05425605" w14:textId="77777777" w:rsidR="003D3B06" w:rsidRDefault="003E5A84" w:rsidP="00163806">
      <w:pPr>
        <w:pStyle w:val="AgreementFrontpagetext"/>
        <w:rPr>
          <w:rFonts w:eastAsia="Calibri"/>
        </w:rPr>
        <w:sectPr w:rsidR="003D3B06" w:rsidSect="009E675A">
          <w:footerReference w:type="default" r:id="rId10"/>
          <w:pgSz w:w="11906" w:h="16838"/>
          <w:pgMar w:top="1440" w:right="907" w:bottom="1440" w:left="1304" w:header="708" w:footer="708" w:gutter="0"/>
          <w:cols w:space="708"/>
          <w:titlePg/>
          <w:docGrid w:linePitch="360"/>
        </w:sectPr>
      </w:pPr>
      <w:r w:rsidRPr="003E5A84">
        <w:rPr>
          <w:rFonts w:eastAsia="Calibri"/>
        </w:rPr>
        <w:t>together hereinafter referred to as the “Parties”,</w:t>
      </w:r>
    </w:p>
    <w:p w14:paraId="2737F145" w14:textId="27CE2F98" w:rsidR="00B646B6" w:rsidRPr="00B70149" w:rsidRDefault="00B646B6" w:rsidP="00B646B6">
      <w:pPr>
        <w:pStyle w:val="MoUparagraphs"/>
      </w:pPr>
      <w:r w:rsidRPr="00B70149">
        <w:lastRenderedPageBreak/>
        <w:t xml:space="preserve">WHEREAS </w:t>
      </w:r>
      <w:r w:rsidR="009A14C5">
        <w:t>the Agreement between the Kingdom of Norway and the European Union</w:t>
      </w:r>
      <w:r w:rsidR="00314CA8">
        <w:t xml:space="preserve"> on </w:t>
      </w:r>
      <w:r w:rsidR="00217BBE">
        <w:t xml:space="preserve">the Norwegian Financial Mechanism for the </w:t>
      </w:r>
      <w:r w:rsidR="003A43EB">
        <w:t>period May 2021–April 2028</w:t>
      </w:r>
      <w:r w:rsidRPr="00B70149">
        <w:t xml:space="preserve"> establishes a financial mechanism (hereinafter referred to as the “</w:t>
      </w:r>
      <w:r w:rsidR="00C717F1">
        <w:t>Norwegian</w:t>
      </w:r>
      <w:r w:rsidR="00C717F1" w:rsidRPr="00B70149">
        <w:t xml:space="preserve"> </w:t>
      </w:r>
      <w:r w:rsidRPr="00B70149">
        <w:t xml:space="preserve">Financial Mechanism </w:t>
      </w:r>
      <w:r>
        <w:t>2021-2028</w:t>
      </w:r>
      <w:r w:rsidRPr="00B70149">
        <w:t xml:space="preserve">”) through which </w:t>
      </w:r>
      <w:r w:rsidR="00C717F1">
        <w:t>Norway</w:t>
      </w:r>
      <w:r w:rsidRPr="00B70149">
        <w:t xml:space="preserve"> will contribute to the reduction of economic and social disparities in the European Economic Area;</w:t>
      </w:r>
    </w:p>
    <w:p w14:paraId="282FA2A2" w14:textId="492C4FC3" w:rsidR="00B646B6" w:rsidRPr="00B70149" w:rsidRDefault="00B646B6" w:rsidP="00B646B6">
      <w:pPr>
        <w:pStyle w:val="MoUparagraphs"/>
      </w:pPr>
      <w:r w:rsidRPr="00B70149">
        <w:t xml:space="preserve">WHEREAS the </w:t>
      </w:r>
      <w:r w:rsidR="00C717F1">
        <w:t>Norwegian</w:t>
      </w:r>
      <w:r w:rsidR="00C717F1" w:rsidRPr="00B70149">
        <w:t xml:space="preserve"> </w:t>
      </w:r>
      <w:r w:rsidRPr="00B70149">
        <w:t xml:space="preserve">Financial Mechanism </w:t>
      </w:r>
      <w:r>
        <w:t>2021-2028</w:t>
      </w:r>
      <w:r w:rsidRPr="00B70149">
        <w:t xml:space="preserve"> aims to strengthen relations between </w:t>
      </w:r>
      <w:r w:rsidR="00C717F1">
        <w:t>Norway</w:t>
      </w:r>
      <w:r w:rsidRPr="00B70149">
        <w:t xml:space="preserve"> and the Beneficiary State to the mutual benefit of their peoples;</w:t>
      </w:r>
    </w:p>
    <w:p w14:paraId="0E7E5FD5" w14:textId="269E29F6" w:rsidR="00B646B6" w:rsidRPr="00B70149" w:rsidRDefault="00B646B6" w:rsidP="00B646B6">
      <w:pPr>
        <w:pStyle w:val="MoUparagraphs"/>
      </w:pPr>
      <w:r w:rsidRPr="00B70149">
        <w:t xml:space="preserve">WHEREAS the enhanced co-operation between </w:t>
      </w:r>
      <w:r w:rsidR="005D1820">
        <w:t>Norway</w:t>
      </w:r>
      <w:r w:rsidRPr="00B70149">
        <w:t xml:space="preserve"> and the Beneficiary State will contribute to securing a stable, peaceful and prosperous Europe, based on good governance, democratic institutions, the rule of law, respect for human rights and sustainable development;</w:t>
      </w:r>
    </w:p>
    <w:p w14:paraId="212F2754" w14:textId="1CBC85A8" w:rsidR="00B646B6" w:rsidRPr="00B70149" w:rsidRDefault="00B646B6" w:rsidP="00B646B6">
      <w:pPr>
        <w:pStyle w:val="MoUparagraphs"/>
      </w:pPr>
      <w:r w:rsidRPr="00B70149">
        <w:t xml:space="preserve">WHEREAS the Parties agree to establish a framework for cooperation in order to ensure the effective implementation of the </w:t>
      </w:r>
      <w:r w:rsidR="005D1820">
        <w:t>Norwegian</w:t>
      </w:r>
      <w:r w:rsidR="005D1820" w:rsidRPr="00B70149">
        <w:t xml:space="preserve"> </w:t>
      </w:r>
      <w:r w:rsidRPr="00B70149">
        <w:t xml:space="preserve">Financial Mechanism </w:t>
      </w:r>
      <w:r>
        <w:t>2021-2028</w:t>
      </w:r>
      <w:r w:rsidRPr="00B70149">
        <w:t xml:space="preserve">; </w:t>
      </w:r>
    </w:p>
    <w:p w14:paraId="290476CB" w14:textId="77777777" w:rsidR="00B646B6" w:rsidRDefault="00B646B6" w:rsidP="00B646B6">
      <w:pPr>
        <w:pStyle w:val="MoUparagraphs"/>
      </w:pPr>
      <w:r w:rsidRPr="00B70149">
        <w:t>HAVE AGREED on the following:</w:t>
      </w:r>
    </w:p>
    <w:p w14:paraId="1C19F17F" w14:textId="77777777" w:rsidR="00B646B6" w:rsidRPr="00B70149" w:rsidRDefault="00B646B6" w:rsidP="00B646B6">
      <w:pPr>
        <w:pStyle w:val="MoUparagraphs"/>
      </w:pPr>
    </w:p>
    <w:p w14:paraId="2B4E02D8" w14:textId="77777777" w:rsidR="00B646B6" w:rsidRPr="00883B85" w:rsidRDefault="00B646B6" w:rsidP="00883B85">
      <w:pPr>
        <w:pStyle w:val="MoUArticles"/>
      </w:pPr>
      <w:r w:rsidRPr="00883B85">
        <w:t>Article 1</w:t>
      </w:r>
    </w:p>
    <w:p w14:paraId="6ACFDBAD" w14:textId="77777777" w:rsidR="00B646B6" w:rsidRPr="00883B85" w:rsidRDefault="00B646B6" w:rsidP="00883B85">
      <w:pPr>
        <w:pStyle w:val="MoUArticles"/>
      </w:pPr>
      <w:r w:rsidRPr="00883B85">
        <w:t xml:space="preserve">Objectives </w:t>
      </w:r>
    </w:p>
    <w:p w14:paraId="432B796D" w14:textId="10FED267" w:rsidR="00B646B6" w:rsidRPr="0073706D" w:rsidRDefault="00B646B6" w:rsidP="00B646B6">
      <w:pPr>
        <w:pStyle w:val="MoUparagraphs"/>
      </w:pPr>
      <w:r w:rsidRPr="0073706D">
        <w:t xml:space="preserve">1. The overall objectives of the </w:t>
      </w:r>
      <w:r w:rsidR="00D6545C">
        <w:t>Norwegian</w:t>
      </w:r>
      <w:r w:rsidRPr="0073706D">
        <w:t xml:space="preserve"> Financial Mechanism </w:t>
      </w:r>
      <w:r>
        <w:t>2021-2028</w:t>
      </w:r>
      <w:r w:rsidRPr="0073706D">
        <w:t xml:space="preserve"> are to contribute to the reduction of economic and social disparities in the European Economic Area and to </w:t>
      </w:r>
      <w:r w:rsidR="0063781E">
        <w:t>strengthen</w:t>
      </w:r>
      <w:r w:rsidRPr="0073706D">
        <w:t xml:space="preserve"> bilateral relations between </w:t>
      </w:r>
      <w:r w:rsidR="00F33771">
        <w:t>Norway</w:t>
      </w:r>
      <w:r w:rsidRPr="0073706D">
        <w:t xml:space="preserve"> and the Beneficiary States through financial contributions </w:t>
      </w:r>
      <w:r>
        <w:t>to promote</w:t>
      </w:r>
      <w:r w:rsidRPr="0073706D">
        <w:t xml:space="preserve"> the </w:t>
      </w:r>
      <w:r>
        <w:t>thematic priorities</w:t>
      </w:r>
      <w:r w:rsidRPr="0073706D">
        <w:t xml:space="preserve"> listed in paragraph 2. Accordingly, the Parties to this Memorandum of Understanding shall select programmes for funding that aim to contribute to the achievement of these objectives.  </w:t>
      </w:r>
    </w:p>
    <w:p w14:paraId="75DE34EB" w14:textId="77777777" w:rsidR="00B646B6" w:rsidRPr="00DB363B" w:rsidRDefault="00B646B6" w:rsidP="00B646B6">
      <w:pPr>
        <w:pStyle w:val="MoUparagraphs"/>
      </w:pPr>
      <w:r w:rsidRPr="0073706D">
        <w:t xml:space="preserve">2. </w:t>
      </w:r>
      <w:r w:rsidRPr="00DB363B">
        <w:t xml:space="preserve">The financial contributions shall be available </w:t>
      </w:r>
      <w:r>
        <w:t>to promote</w:t>
      </w:r>
      <w:r w:rsidRPr="00DB363B">
        <w:t xml:space="preserve"> the following thematic priorities:</w:t>
      </w:r>
    </w:p>
    <w:p w14:paraId="68A111E8" w14:textId="77777777" w:rsidR="00B646B6" w:rsidRPr="00B646B6" w:rsidRDefault="00B646B6" w:rsidP="00B646B6">
      <w:pPr>
        <w:pStyle w:val="Listeavsnitt"/>
      </w:pPr>
      <w:r w:rsidRPr="00B646B6">
        <w:t>European green transition;</w:t>
      </w:r>
    </w:p>
    <w:p w14:paraId="0638D8E9" w14:textId="77777777" w:rsidR="00B646B6" w:rsidRPr="00B646B6" w:rsidRDefault="00B646B6" w:rsidP="00B646B6">
      <w:pPr>
        <w:pStyle w:val="Listeavsnitt"/>
      </w:pPr>
      <w:r w:rsidRPr="00B646B6">
        <w:t>Democracy, rule of law and human rights;</w:t>
      </w:r>
    </w:p>
    <w:p w14:paraId="4DE61E23" w14:textId="77777777" w:rsidR="00B646B6" w:rsidRPr="00B646B6" w:rsidRDefault="00B646B6" w:rsidP="00B646B6">
      <w:pPr>
        <w:pStyle w:val="Listeavsnitt"/>
      </w:pPr>
      <w:r w:rsidRPr="00B646B6">
        <w:t>Social inclusion and resilience.</w:t>
      </w:r>
    </w:p>
    <w:p w14:paraId="101F0719" w14:textId="77777777" w:rsidR="00B646B6" w:rsidRPr="0073706D" w:rsidRDefault="00B646B6" w:rsidP="00B646B6">
      <w:pPr>
        <w:pStyle w:val="StyleMoUSub-paragraphsLeft0cmHanging063cm"/>
      </w:pPr>
    </w:p>
    <w:p w14:paraId="11601085" w14:textId="77777777" w:rsidR="00B646B6" w:rsidRPr="00883B85" w:rsidRDefault="00B646B6" w:rsidP="00883B85">
      <w:pPr>
        <w:pStyle w:val="MoUArticles"/>
      </w:pPr>
      <w:r w:rsidRPr="00883B85">
        <w:t>Article 2</w:t>
      </w:r>
    </w:p>
    <w:p w14:paraId="2D6667E7" w14:textId="12707B3E" w:rsidR="00B646B6" w:rsidRPr="00883B85" w:rsidRDefault="00B646B6" w:rsidP="00883B85">
      <w:pPr>
        <w:pStyle w:val="MoUArticles"/>
      </w:pPr>
      <w:r w:rsidRPr="00883B85">
        <w:t xml:space="preserve">Legal </w:t>
      </w:r>
      <w:r w:rsidR="00EF7068">
        <w:t>f</w:t>
      </w:r>
      <w:r w:rsidRPr="00883B85">
        <w:t>ramework</w:t>
      </w:r>
    </w:p>
    <w:p w14:paraId="4CACDB7D" w14:textId="1ADA639B" w:rsidR="00B646B6" w:rsidRPr="00B70149" w:rsidRDefault="00B646B6" w:rsidP="00B646B6">
      <w:pPr>
        <w:pStyle w:val="MoUparagraphs"/>
      </w:pPr>
      <w:r w:rsidRPr="00B70149">
        <w:t xml:space="preserve">This Memorandum of Understanding shall be read in conjunction with the following documents which, together with this Memorandum of Understanding, constitute the legal framework of the </w:t>
      </w:r>
      <w:r w:rsidR="00D6545C">
        <w:t>Norwegian</w:t>
      </w:r>
      <w:r w:rsidRPr="00B70149">
        <w:t xml:space="preserve"> Financial Mechanism </w:t>
      </w:r>
      <w:r>
        <w:t>2021-2028</w:t>
      </w:r>
      <w:r w:rsidRPr="00B70149">
        <w:t>:</w:t>
      </w:r>
    </w:p>
    <w:p w14:paraId="1E6D2AB2" w14:textId="3C9CFB7C" w:rsidR="00B646B6" w:rsidRPr="00B70149" w:rsidRDefault="00D6545C" w:rsidP="009C4CAE">
      <w:pPr>
        <w:pStyle w:val="Listeavsnitt"/>
        <w:numPr>
          <w:ilvl w:val="0"/>
          <w:numId w:val="6"/>
        </w:numPr>
      </w:pPr>
      <w:r>
        <w:t>the Agreement between the Kingdom of Norway and the European Union on the Norwegian Financial Mechanism for the period May 2021–April 2028 (hereinafter referred to as the “Agreement”</w:t>
      </w:r>
      <w:r w:rsidR="00B646B6" w:rsidRPr="00B70149">
        <w:t>;</w:t>
      </w:r>
    </w:p>
    <w:p w14:paraId="5D0BB1CC" w14:textId="738D6D8A" w:rsidR="00B646B6" w:rsidRDefault="00B646B6" w:rsidP="00B646B6">
      <w:pPr>
        <w:pStyle w:val="Listeavsnitt"/>
      </w:pPr>
      <w:r w:rsidRPr="00B70149">
        <w:t xml:space="preserve">the Regulation on the implementation of the </w:t>
      </w:r>
      <w:r w:rsidR="00D6545C">
        <w:t>Norwegian</w:t>
      </w:r>
      <w:r w:rsidRPr="00B70149">
        <w:t xml:space="preserve"> Financial Mechanism </w:t>
      </w:r>
      <w:r>
        <w:t>2021-2028</w:t>
      </w:r>
      <w:r w:rsidRPr="00B70149">
        <w:t xml:space="preserve"> (hereinafter referred to as the “Regulation”) issued by </w:t>
      </w:r>
      <w:r w:rsidR="00D6545C">
        <w:t>Norway</w:t>
      </w:r>
      <w:r w:rsidRPr="00B70149">
        <w:t xml:space="preserve"> in accordance with Article </w:t>
      </w:r>
      <w:r>
        <w:t>9.4</w:t>
      </w:r>
      <w:r w:rsidRPr="00B70149">
        <w:t xml:space="preserve"> of </w:t>
      </w:r>
      <w:r w:rsidR="00D6545C">
        <w:t>the Agreement</w:t>
      </w:r>
      <w:r w:rsidRPr="00B70149">
        <w:t>;</w:t>
      </w:r>
    </w:p>
    <w:p w14:paraId="24B0D5B9" w14:textId="77777777" w:rsidR="00B646B6" w:rsidRPr="00B70149" w:rsidRDefault="00B646B6" w:rsidP="00B646B6">
      <w:pPr>
        <w:pStyle w:val="Listeavsnitt"/>
      </w:pPr>
      <w:r w:rsidRPr="00B70149">
        <w:t>the programme agreements that will be concluded for each programme; and</w:t>
      </w:r>
    </w:p>
    <w:p w14:paraId="2F03E24A" w14:textId="13B03701" w:rsidR="00B646B6" w:rsidRDefault="00B646B6" w:rsidP="00B646B6">
      <w:pPr>
        <w:pStyle w:val="Listeavsnitt"/>
      </w:pPr>
      <w:r w:rsidRPr="00B70149">
        <w:t xml:space="preserve">any guidelines adopted by the </w:t>
      </w:r>
      <w:r w:rsidR="00842483">
        <w:t>Norwegian Ministry of Foreign Affairs (hereinafter referred to as the “NMFA”)</w:t>
      </w:r>
      <w:r w:rsidRPr="00B70149">
        <w:t xml:space="preserve"> in accordance with the Regulation. </w:t>
      </w:r>
    </w:p>
    <w:p w14:paraId="2BFBAC26" w14:textId="77777777" w:rsidR="002D3A98" w:rsidRPr="00B70149" w:rsidRDefault="002D3A98" w:rsidP="002D3A98"/>
    <w:p w14:paraId="430D00AE" w14:textId="77777777" w:rsidR="00B646B6" w:rsidRPr="00883B85" w:rsidRDefault="00B646B6" w:rsidP="00883B85">
      <w:pPr>
        <w:pStyle w:val="MoUArticles"/>
      </w:pPr>
      <w:r w:rsidRPr="00883B85">
        <w:lastRenderedPageBreak/>
        <w:t>Article 3</w:t>
      </w:r>
    </w:p>
    <w:p w14:paraId="64DFFE35" w14:textId="27E61C77" w:rsidR="00B646B6" w:rsidRPr="00883B85" w:rsidRDefault="00B646B6" w:rsidP="00883B85">
      <w:pPr>
        <w:pStyle w:val="MoUArticles"/>
      </w:pPr>
      <w:r w:rsidRPr="00883B85">
        <w:t xml:space="preserve">Financial </w:t>
      </w:r>
      <w:r w:rsidR="00EF7068">
        <w:t>f</w:t>
      </w:r>
      <w:r w:rsidRPr="00883B85">
        <w:t>ramework</w:t>
      </w:r>
    </w:p>
    <w:p w14:paraId="00281FC8" w14:textId="3DF3E542" w:rsidR="00B646B6" w:rsidRPr="00B70149" w:rsidRDefault="00B646B6" w:rsidP="00B646B6">
      <w:pPr>
        <w:pStyle w:val="MoUparagraphs"/>
      </w:pPr>
      <w:r w:rsidRPr="00B70149">
        <w:t xml:space="preserve">1. In accordance with </w:t>
      </w:r>
      <w:r w:rsidRPr="00EE5769">
        <w:t xml:space="preserve">Article 2 of </w:t>
      </w:r>
      <w:r w:rsidR="00F85FB6">
        <w:t>the Agreement</w:t>
      </w:r>
      <w:r w:rsidRPr="00EE5769">
        <w:t xml:space="preserve">, the total amount of the financial contribution is € </w:t>
      </w:r>
      <w:r>
        <w:t xml:space="preserve">1 </w:t>
      </w:r>
      <w:r w:rsidR="00AA771D">
        <w:t>463</w:t>
      </w:r>
      <w:r w:rsidR="00AA771D" w:rsidRPr="00EE5769">
        <w:t xml:space="preserve"> </w:t>
      </w:r>
      <w:r w:rsidRPr="00EE5769">
        <w:t xml:space="preserve">million in annual tranches of € </w:t>
      </w:r>
      <w:r w:rsidR="009A6C7C">
        <w:t>209</w:t>
      </w:r>
      <w:r w:rsidRPr="00EE5769">
        <w:t xml:space="preserve"> million over the period running from 1 May 20</w:t>
      </w:r>
      <w:r>
        <w:t>21</w:t>
      </w:r>
      <w:r w:rsidRPr="00EE5769">
        <w:t xml:space="preserve"> to 30 April 202</w:t>
      </w:r>
      <w:r>
        <w:t>8</w:t>
      </w:r>
      <w:r w:rsidRPr="00EE5769">
        <w:t>, inclusive.</w:t>
      </w:r>
      <w:r w:rsidRPr="00B70149">
        <w:t xml:space="preserve">  </w:t>
      </w:r>
    </w:p>
    <w:p w14:paraId="30B9C34A" w14:textId="7E25393F" w:rsidR="00B646B6" w:rsidRPr="00D6441D" w:rsidRDefault="00B646B6" w:rsidP="00B646B6">
      <w:pPr>
        <w:pStyle w:val="MoUparagraphs"/>
      </w:pPr>
      <w:r>
        <w:t xml:space="preserve">2. In accordance with Article 6 of </w:t>
      </w:r>
      <w:r w:rsidR="009A6C7C">
        <w:t>the Agreement</w:t>
      </w:r>
      <w:r>
        <w:t xml:space="preserve">, a total of € </w:t>
      </w:r>
      <w:r w:rsidR="007A362E">
        <w:t>21,918,09</w:t>
      </w:r>
      <w:r w:rsidR="04A9E06A">
        <w:t>9</w:t>
      </w:r>
      <w:r w:rsidR="007A362E">
        <w:t xml:space="preserve"> </w:t>
      </w:r>
      <w:r>
        <w:t>shall be made available to the Beneficiary State over the period referred to in Paragraph 1.</w:t>
      </w:r>
    </w:p>
    <w:p w14:paraId="6185C732" w14:textId="4028E817" w:rsidR="00B646B6" w:rsidRDefault="00B646B6" w:rsidP="00B646B6">
      <w:pPr>
        <w:pStyle w:val="MoUparagraphs"/>
      </w:pPr>
      <w:r>
        <w:t xml:space="preserve">3. In accordance with Article 9.7 of </w:t>
      </w:r>
      <w:r w:rsidR="009A6C7C">
        <w:t>the Agreement</w:t>
      </w:r>
      <w:r>
        <w:t xml:space="preserve"> and Article 1.9 of the Regulation, the management costs of </w:t>
      </w:r>
      <w:r w:rsidR="00F33771">
        <w:t>Norway</w:t>
      </w:r>
      <w:r>
        <w:t xml:space="preserve"> shall be covered by the overall amount referred to above. Further provisions to this effect are set out in the Regulation. The net amount of the allocation to be made available to the Beneficiary State is € </w:t>
      </w:r>
      <w:r w:rsidR="00231689">
        <w:t>20,383,83</w:t>
      </w:r>
      <w:r w:rsidR="5DE9C928">
        <w:t>2</w:t>
      </w:r>
      <w:r>
        <w:t>.</w:t>
      </w:r>
    </w:p>
    <w:p w14:paraId="1D0000AE" w14:textId="77777777" w:rsidR="00B646B6" w:rsidRPr="00B70149" w:rsidRDefault="00B646B6" w:rsidP="00B646B6">
      <w:pPr>
        <w:pStyle w:val="MoUparagraphs"/>
      </w:pPr>
    </w:p>
    <w:p w14:paraId="6437B6C8" w14:textId="77777777" w:rsidR="00B646B6" w:rsidRPr="00883B85" w:rsidRDefault="00B646B6" w:rsidP="00883B85">
      <w:pPr>
        <w:pStyle w:val="MoUArticles"/>
      </w:pPr>
      <w:r w:rsidRPr="00883B85">
        <w:t>Article 4</w:t>
      </w:r>
    </w:p>
    <w:p w14:paraId="486C0CE5" w14:textId="77777777" w:rsidR="00B646B6" w:rsidRPr="00883B85" w:rsidRDefault="00B646B6" w:rsidP="00883B85">
      <w:pPr>
        <w:pStyle w:val="MoUArticles"/>
      </w:pPr>
      <w:r w:rsidRPr="00883B85">
        <w:t>Roles and responsibilities</w:t>
      </w:r>
    </w:p>
    <w:p w14:paraId="743778CB" w14:textId="744D0A98" w:rsidR="00B646B6" w:rsidRPr="00B70149" w:rsidRDefault="00B646B6" w:rsidP="00B646B6">
      <w:pPr>
        <w:pStyle w:val="MoUparagraphs"/>
      </w:pPr>
      <w:r w:rsidRPr="00B70149">
        <w:t xml:space="preserve">1. </w:t>
      </w:r>
      <w:r w:rsidR="00F33771">
        <w:t>Norway</w:t>
      </w:r>
      <w:r w:rsidRPr="00B70149">
        <w:t xml:space="preserve"> shall make funds available in support of eligible programmes proposed by the Beneficiary State and agreed on by the </w:t>
      </w:r>
      <w:r w:rsidR="002D3A98">
        <w:t>NMFA</w:t>
      </w:r>
      <w:r w:rsidRPr="00B70149">
        <w:t xml:space="preserve"> </w:t>
      </w:r>
      <w:r w:rsidRPr="00BB0A44">
        <w:t xml:space="preserve">within </w:t>
      </w:r>
      <w:r w:rsidRPr="009535EC">
        <w:t xml:space="preserve">the </w:t>
      </w:r>
      <w:r>
        <w:t>thematic priorities</w:t>
      </w:r>
      <w:r w:rsidRPr="009535EC">
        <w:t xml:space="preserve"> listed in Article 3.1 of </w:t>
      </w:r>
      <w:r w:rsidR="009A6C7C">
        <w:t>the Agreement</w:t>
      </w:r>
      <w:r w:rsidRPr="009535EC">
        <w:t xml:space="preserve"> and</w:t>
      </w:r>
      <w:r w:rsidRPr="00B70149">
        <w:t xml:space="preserve"> the programme areas listed in the Annex to </w:t>
      </w:r>
      <w:r w:rsidR="009A6C7C">
        <w:t>the Agreement</w:t>
      </w:r>
      <w:r w:rsidRPr="00B70149">
        <w:t xml:space="preserve">. </w:t>
      </w:r>
      <w:r w:rsidR="00F33771">
        <w:t>Norway</w:t>
      </w:r>
      <w:r w:rsidRPr="00B70149">
        <w:t xml:space="preserve"> and the Beneficiary State shall cooperate on the preparation of </w:t>
      </w:r>
      <w:r w:rsidR="00EF7068">
        <w:t>c</w:t>
      </w:r>
      <w:r w:rsidRPr="00B70149">
        <w:t xml:space="preserve">oncept </w:t>
      </w:r>
      <w:r w:rsidR="00EF7068">
        <w:t>n</w:t>
      </w:r>
      <w:r w:rsidRPr="00B70149">
        <w:t>otes defining the scope and planned results for each programme.</w:t>
      </w:r>
      <w:r>
        <w:t xml:space="preserve"> </w:t>
      </w:r>
    </w:p>
    <w:p w14:paraId="0F21E827" w14:textId="4A9C4C0D" w:rsidR="00B646B6" w:rsidRPr="00B70149" w:rsidRDefault="00B646B6" w:rsidP="00B646B6">
      <w:pPr>
        <w:pStyle w:val="MoUparagraphs"/>
      </w:pPr>
      <w:r w:rsidRPr="00B70149">
        <w:t xml:space="preserve">2. The Beneficiary State shall assure the full co-financing of programmes that benefit from support from the </w:t>
      </w:r>
      <w:r w:rsidR="00D6545C">
        <w:t>Norwegian</w:t>
      </w:r>
      <w:r w:rsidRPr="00B70149">
        <w:t xml:space="preserve"> Financial Mechanism </w:t>
      </w:r>
      <w:r>
        <w:t>2021-2028</w:t>
      </w:r>
      <w:r w:rsidRPr="00B70149">
        <w:t xml:space="preserve"> in accordance with Annex B and the </w:t>
      </w:r>
      <w:r>
        <w:t>P</w:t>
      </w:r>
      <w:r w:rsidRPr="00B70149">
        <w:t xml:space="preserve">rogramme </w:t>
      </w:r>
      <w:r>
        <w:t>A</w:t>
      </w:r>
      <w:r w:rsidRPr="00B70149">
        <w:t xml:space="preserve">greements. </w:t>
      </w:r>
    </w:p>
    <w:p w14:paraId="22D3E2EE" w14:textId="77777777" w:rsidR="00B646B6" w:rsidRPr="00B70149" w:rsidRDefault="00B646B6" w:rsidP="00B646B6">
      <w:pPr>
        <w:pStyle w:val="MoUparagraphs"/>
      </w:pPr>
      <w:r>
        <w:t xml:space="preserve">3. </w:t>
      </w:r>
      <w:r w:rsidRPr="0053045E">
        <w:t>The Beneficiary State shall ensure an enabling environment for the unimpeded implementation of the Civil Society Fund in the Beneficiary State and shall refrain from taking any measures that might prevent Fund Operators from independently exercising their role.</w:t>
      </w:r>
    </w:p>
    <w:p w14:paraId="35B5983B" w14:textId="4C3CC967" w:rsidR="00B646B6" w:rsidRPr="00B70149" w:rsidRDefault="00B646B6" w:rsidP="00B646B6">
      <w:pPr>
        <w:pStyle w:val="MoUparagraphs"/>
      </w:pPr>
      <w:r>
        <w:t>4.</w:t>
      </w:r>
      <w:r w:rsidRPr="00B70149">
        <w:t xml:space="preserve"> The </w:t>
      </w:r>
      <w:r w:rsidR="002D3A98">
        <w:t>NMFA</w:t>
      </w:r>
      <w:r w:rsidRPr="00B70149">
        <w:t xml:space="preserve"> shall manage the </w:t>
      </w:r>
      <w:r w:rsidR="00D6545C">
        <w:t>Norwegian</w:t>
      </w:r>
      <w:r w:rsidRPr="00B70149">
        <w:t xml:space="preserve"> Financial Mechanism </w:t>
      </w:r>
      <w:r>
        <w:t>2021-2028</w:t>
      </w:r>
      <w:r w:rsidRPr="00B70149">
        <w:t xml:space="preserve"> and take decisions on the granting of financial assistance in accordance with the Regulation.</w:t>
      </w:r>
    </w:p>
    <w:p w14:paraId="129DEC1F" w14:textId="5307451D" w:rsidR="00B646B6" w:rsidRDefault="00B646B6" w:rsidP="00B646B6">
      <w:pPr>
        <w:pStyle w:val="MoUparagraphs"/>
      </w:pPr>
      <w:r>
        <w:t>5.</w:t>
      </w:r>
      <w:r w:rsidRPr="00B70149">
        <w:t xml:space="preserve"> The </w:t>
      </w:r>
      <w:r w:rsidR="00741EC5">
        <w:t>NMFA</w:t>
      </w:r>
      <w:r w:rsidRPr="00B70149">
        <w:t xml:space="preserve"> shall be assisted by the Financial Mechanism Office (hereinafter referred to as the “FMO”). The FMO shall serve as a contact point </w:t>
      </w:r>
      <w:r>
        <w:t xml:space="preserve">for the Beneficiary State </w:t>
      </w:r>
      <w:r w:rsidRPr="00B70149">
        <w:t xml:space="preserve">for the day-to-day operations of the </w:t>
      </w:r>
      <w:r w:rsidR="00D6545C">
        <w:t>Norwegian</w:t>
      </w:r>
      <w:r w:rsidRPr="00B70149">
        <w:t xml:space="preserve"> Financial Mechanism </w:t>
      </w:r>
      <w:r>
        <w:t>2021-2028</w:t>
      </w:r>
      <w:r w:rsidRPr="00B70149">
        <w:t xml:space="preserve">. </w:t>
      </w:r>
    </w:p>
    <w:p w14:paraId="0110E38D" w14:textId="77777777" w:rsidR="00B646B6" w:rsidRPr="00B70149" w:rsidRDefault="00B646B6" w:rsidP="00B646B6">
      <w:pPr>
        <w:pStyle w:val="MoUparagraphs"/>
      </w:pPr>
    </w:p>
    <w:p w14:paraId="4F782F30" w14:textId="77777777" w:rsidR="00B646B6" w:rsidRPr="00883B85" w:rsidRDefault="00B646B6" w:rsidP="00883B85">
      <w:pPr>
        <w:pStyle w:val="MoUArticles"/>
      </w:pPr>
      <w:r w:rsidRPr="00883B85">
        <w:t>Article 5</w:t>
      </w:r>
    </w:p>
    <w:p w14:paraId="50B71AAE" w14:textId="77777777" w:rsidR="00B646B6" w:rsidRPr="00883B85" w:rsidRDefault="00B646B6" w:rsidP="00883B85">
      <w:pPr>
        <w:pStyle w:val="MoUArticles"/>
      </w:pPr>
      <w:r w:rsidRPr="00883B85">
        <w:t>Designation of authorities</w:t>
      </w:r>
    </w:p>
    <w:p w14:paraId="1B8761AD" w14:textId="0B074209" w:rsidR="00B646B6" w:rsidRDefault="00B646B6" w:rsidP="00B646B6">
      <w:r w:rsidRPr="00B70149">
        <w:t xml:space="preserve">The Beneficiary State has authorised a National Focal Point to act on its behalf. The National Focal Point shall have the overall responsibility for reaching the objectives of the </w:t>
      </w:r>
      <w:r w:rsidR="00D6545C">
        <w:t>Norwegian</w:t>
      </w:r>
      <w:r w:rsidRPr="00B70149">
        <w:t xml:space="preserve"> Financial Mechanism </w:t>
      </w:r>
      <w:r>
        <w:t>2021-2028</w:t>
      </w:r>
      <w:r w:rsidRPr="00B70149">
        <w:t xml:space="preserve"> as well as for the implementation of </w:t>
      </w:r>
      <w:r w:rsidRPr="00B646B6">
        <w:t>the</w:t>
      </w:r>
      <w:r w:rsidRPr="00B70149">
        <w:t xml:space="preserve"> </w:t>
      </w:r>
      <w:r w:rsidR="00D6545C">
        <w:t>Norwegian</w:t>
      </w:r>
      <w:r w:rsidRPr="00B70149">
        <w:t xml:space="preserve"> Financial Mechanism </w:t>
      </w:r>
      <w:r>
        <w:t>2021-2028</w:t>
      </w:r>
      <w:r w:rsidRPr="00B70149">
        <w:t xml:space="preserve"> in the Beneficiary State in accordance with the Regulation. In accordance with Article 5.2 of the Regulation, the National Focal Point, the Certifying Authority</w:t>
      </w:r>
      <w:r>
        <w:t xml:space="preserve"> and</w:t>
      </w:r>
      <w:r w:rsidRPr="00B70149">
        <w:t xml:space="preserve"> the Audit Authority are designated in Annex A.  </w:t>
      </w:r>
    </w:p>
    <w:p w14:paraId="24E8990B" w14:textId="77777777" w:rsidR="00B646B6" w:rsidRPr="00B70149" w:rsidRDefault="00B646B6" w:rsidP="00B646B6">
      <w:pPr>
        <w:pStyle w:val="MoUparagraphs"/>
      </w:pPr>
    </w:p>
    <w:p w14:paraId="33BAE2DF" w14:textId="77777777" w:rsidR="00B646B6" w:rsidRPr="00883B85" w:rsidRDefault="00B646B6" w:rsidP="00883B85">
      <w:pPr>
        <w:pStyle w:val="MoUArticles"/>
      </w:pPr>
      <w:r w:rsidRPr="00883B85">
        <w:t>Article 6</w:t>
      </w:r>
    </w:p>
    <w:p w14:paraId="239E4142" w14:textId="19439158" w:rsidR="00B646B6" w:rsidRPr="00883B85" w:rsidRDefault="00B646B6" w:rsidP="00883B85">
      <w:pPr>
        <w:pStyle w:val="MoUArticles"/>
      </w:pPr>
      <w:r w:rsidRPr="00883B85">
        <w:t xml:space="preserve">Multi-annual </w:t>
      </w:r>
      <w:r w:rsidR="00B803D5">
        <w:t>p</w:t>
      </w:r>
      <w:r w:rsidRPr="00883B85">
        <w:t xml:space="preserve">rogramming </w:t>
      </w:r>
      <w:r w:rsidR="00B803D5">
        <w:t>f</w:t>
      </w:r>
      <w:r w:rsidRPr="00883B85">
        <w:t>ramework</w:t>
      </w:r>
    </w:p>
    <w:p w14:paraId="093A35F4" w14:textId="77777777" w:rsidR="00B646B6" w:rsidRPr="00B70149" w:rsidRDefault="00B646B6" w:rsidP="00B646B6">
      <w:pPr>
        <w:pStyle w:val="MoUparagraphs"/>
      </w:pPr>
      <w:r w:rsidRPr="00B70149">
        <w:t xml:space="preserve">1. In accordance with Article 2.5 of the Regulation, the Parties have agreed on an implementation framework consisting of the following financial and substantive parameters: </w:t>
      </w:r>
    </w:p>
    <w:p w14:paraId="1934953B" w14:textId="23A2111C" w:rsidR="00B646B6" w:rsidRPr="00B70149" w:rsidRDefault="00B646B6" w:rsidP="0003471E">
      <w:pPr>
        <w:pStyle w:val="Listeavsnitt"/>
        <w:numPr>
          <w:ilvl w:val="0"/>
          <w:numId w:val="10"/>
        </w:numPr>
      </w:pPr>
      <w:r>
        <w:t xml:space="preserve">a list of agreed programmes, the financial contribution from the </w:t>
      </w:r>
      <w:r w:rsidR="00D6545C">
        <w:t>Norwegian</w:t>
      </w:r>
      <w:r>
        <w:t xml:space="preserve"> Financial Mechanism 2021-2028 and from the Beneficiary State;</w:t>
      </w:r>
    </w:p>
    <w:p w14:paraId="114DA5C5" w14:textId="12DA6F6B" w:rsidR="00B646B6" w:rsidRPr="00B70149" w:rsidRDefault="00B646B6" w:rsidP="00B646B6">
      <w:pPr>
        <w:pStyle w:val="Listeavsnitt"/>
      </w:pPr>
      <w:r>
        <w:lastRenderedPageBreak/>
        <w:t xml:space="preserve">identification of programmes, their objective(s), the Programme Operators, the grant amount and amount of co-financing by programme, the bilateral ambitions as well as any specific concerns relating to the implementation of the </w:t>
      </w:r>
      <w:proofErr w:type="gramStart"/>
      <w:r>
        <w:t>programmes;</w:t>
      </w:r>
      <w:proofErr w:type="gramEnd"/>
    </w:p>
    <w:p w14:paraId="6ADD25EB" w14:textId="77777777" w:rsidR="00B646B6" w:rsidRPr="00B70149" w:rsidRDefault="00B646B6" w:rsidP="00B646B6">
      <w:pPr>
        <w:pStyle w:val="Listeavsnitt"/>
      </w:pPr>
      <w:r>
        <w:t>conditions and/or specific concerns at Beneficiary State level relating to target groups, geographical areas or other issues;</w:t>
      </w:r>
    </w:p>
    <w:p w14:paraId="4104A0C8" w14:textId="107A4ABE" w:rsidR="00B646B6" w:rsidRPr="00B70149" w:rsidRDefault="00B646B6" w:rsidP="00B646B6">
      <w:pPr>
        <w:pStyle w:val="Listeavsnitt"/>
      </w:pPr>
      <w:r>
        <w:t xml:space="preserve">identification of Donor Programme Partners, as appropriate; </w:t>
      </w:r>
    </w:p>
    <w:p w14:paraId="6998EE99" w14:textId="426635C0" w:rsidR="00B646B6" w:rsidRPr="00B70149" w:rsidRDefault="00B646B6" w:rsidP="00B646B6">
      <w:pPr>
        <w:pStyle w:val="Listeavsnitt"/>
      </w:pPr>
      <w:r>
        <w:t xml:space="preserve">identification of International Partner Organisations, as appropriate; </w:t>
      </w:r>
      <w:r w:rsidR="0061071C">
        <w:t>and</w:t>
      </w:r>
    </w:p>
    <w:p w14:paraId="2B064A89" w14:textId="77777777" w:rsidR="00B646B6" w:rsidRPr="00B70149" w:rsidRDefault="00B646B6" w:rsidP="00B646B6">
      <w:pPr>
        <w:pStyle w:val="Listeavsnitt"/>
      </w:pPr>
      <w:r>
        <w:t>identification of pre-defined projects to be included in relevant programmes.</w:t>
      </w:r>
    </w:p>
    <w:p w14:paraId="2B663347" w14:textId="77777777" w:rsidR="00B646B6" w:rsidRDefault="00B646B6" w:rsidP="00B646B6">
      <w:pPr>
        <w:pStyle w:val="MoUparagraphs"/>
      </w:pPr>
      <w:r w:rsidRPr="00B70149">
        <w:t>2. The implementation framework is outlined in Annex B.</w:t>
      </w:r>
    </w:p>
    <w:p w14:paraId="14CA9F8D" w14:textId="77777777" w:rsidR="001B34AE" w:rsidRPr="00B70149" w:rsidRDefault="001B34AE" w:rsidP="00B646B6">
      <w:pPr>
        <w:pStyle w:val="MoUparagraphs"/>
      </w:pPr>
    </w:p>
    <w:p w14:paraId="0AC9E58A" w14:textId="77777777" w:rsidR="00B646B6" w:rsidRPr="00883B85" w:rsidRDefault="00B646B6" w:rsidP="00883B85">
      <w:pPr>
        <w:pStyle w:val="MoUArticles"/>
      </w:pPr>
      <w:r w:rsidRPr="00883B85">
        <w:t>Article 7</w:t>
      </w:r>
    </w:p>
    <w:p w14:paraId="7E77A231" w14:textId="77777777" w:rsidR="00B646B6" w:rsidRPr="00883B85" w:rsidRDefault="00B646B6" w:rsidP="00883B85">
      <w:pPr>
        <w:pStyle w:val="MoUArticles"/>
      </w:pPr>
      <w:r w:rsidRPr="00883B85">
        <w:t>Funds for bilateral relations</w:t>
      </w:r>
    </w:p>
    <w:p w14:paraId="4E962172" w14:textId="4A611D90" w:rsidR="00B646B6" w:rsidRDefault="00B646B6" w:rsidP="00B646B6">
      <w:pPr>
        <w:pStyle w:val="MoUparagraphs"/>
      </w:pPr>
      <w:r w:rsidRPr="003F3189">
        <w:t>In accordance with Article 4.6</w:t>
      </w:r>
      <w:r>
        <w:t>.1</w:t>
      </w:r>
      <w:r w:rsidRPr="003F3189">
        <w:t xml:space="preserve"> of the Regulation the Beneficiary State shall set aside funds to strengthen bilateral relations between </w:t>
      </w:r>
      <w:r w:rsidR="00F33771">
        <w:t>Norway</w:t>
      </w:r>
      <w:r w:rsidRPr="003F3189">
        <w:t xml:space="preserve"> and the Beneficiary State. </w:t>
      </w:r>
      <w:r>
        <w:t xml:space="preserve">The agreed amount is reflected in Annex B and is </w:t>
      </w:r>
      <w:r w:rsidRPr="08AC6233">
        <w:t xml:space="preserve">allocated to the funds for bilateral relations </w:t>
      </w:r>
      <w:r>
        <w:t xml:space="preserve">at national and programme level. </w:t>
      </w:r>
      <w:r w:rsidRPr="003F3189">
        <w:t xml:space="preserve">The National Focal Point shall manage the use of the fund for bilateral relations </w:t>
      </w:r>
      <w:r>
        <w:t xml:space="preserve">at national level </w:t>
      </w:r>
      <w:r w:rsidRPr="003F3189">
        <w:t xml:space="preserve">and shall establish a Joint Committee for </w:t>
      </w:r>
      <w:r>
        <w:t xml:space="preserve">the </w:t>
      </w:r>
      <w:r w:rsidRPr="003F3189">
        <w:t>Bilateral Fund in accordance with Article 4.</w:t>
      </w:r>
      <w:r>
        <w:t>9.1</w:t>
      </w:r>
      <w:r w:rsidRPr="003F3189">
        <w:t xml:space="preserve"> of the Regulation. </w:t>
      </w:r>
      <w:r>
        <w:t xml:space="preserve">The Programme Operators shall manage the use of the funds for bilateral relations allocated to their programmes. </w:t>
      </w:r>
      <w:r w:rsidRPr="00977C1B">
        <w:t xml:space="preserve">For </w:t>
      </w:r>
      <w:r w:rsidR="005E0F13">
        <w:t>D</w:t>
      </w:r>
      <w:r w:rsidRPr="00977C1B">
        <w:t xml:space="preserve">onor partnership programmes, decisions on the use of the funds for bilateral relations in the programme shall be taken by consensus between the Programme Operator and the Donor Programme Partner(s).   </w:t>
      </w:r>
    </w:p>
    <w:p w14:paraId="25D37305" w14:textId="77777777" w:rsidR="001B34AE" w:rsidRPr="003F3189" w:rsidRDefault="001B34AE" w:rsidP="00B646B6">
      <w:pPr>
        <w:pStyle w:val="MoUparagraphs"/>
      </w:pPr>
    </w:p>
    <w:p w14:paraId="708DDEC3" w14:textId="77777777" w:rsidR="00B646B6" w:rsidRPr="00883B85" w:rsidRDefault="00B646B6" w:rsidP="00883B85">
      <w:pPr>
        <w:pStyle w:val="MoUArticles"/>
      </w:pPr>
      <w:r w:rsidRPr="00883B85">
        <w:t xml:space="preserve">Article 8 </w:t>
      </w:r>
    </w:p>
    <w:p w14:paraId="0DA7E291" w14:textId="77777777" w:rsidR="00B646B6" w:rsidRPr="00883B85" w:rsidRDefault="00B646B6" w:rsidP="00883B85">
      <w:pPr>
        <w:pStyle w:val="MoUArticles"/>
      </w:pPr>
      <w:r w:rsidRPr="00883B85">
        <w:t>Country Report</w:t>
      </w:r>
    </w:p>
    <w:p w14:paraId="7CAB94BC" w14:textId="58378E33" w:rsidR="00B646B6" w:rsidRDefault="00B646B6" w:rsidP="001B34AE">
      <w:pPr>
        <w:pStyle w:val="MoUparagraphs"/>
      </w:pPr>
      <w:r w:rsidRPr="1785B9A8">
        <w:t xml:space="preserve">In accordance with Article 2.6 of the Regulation, the National Focal Point shall submit to the </w:t>
      </w:r>
      <w:r w:rsidR="002D3A98">
        <w:t>NMFA</w:t>
      </w:r>
      <w:r w:rsidRPr="1785B9A8">
        <w:t xml:space="preserve"> an annual Country Report on the implementation of the </w:t>
      </w:r>
      <w:r w:rsidR="00D6545C">
        <w:t>Norwegian</w:t>
      </w:r>
      <w:r w:rsidRPr="1785B9A8">
        <w:t xml:space="preserve"> Financial Mechanism 2021-2028 in the Beneficiary State. The </w:t>
      </w:r>
      <w:r>
        <w:t>Country</w:t>
      </w:r>
      <w:r w:rsidRPr="1785B9A8">
        <w:t xml:space="preserve"> Report shall be submitted to the </w:t>
      </w:r>
      <w:r w:rsidR="002D3A98">
        <w:t>NMFA</w:t>
      </w:r>
      <w:r w:rsidRPr="1785B9A8">
        <w:t xml:space="preserve"> not later than </w:t>
      </w:r>
      <w:r>
        <w:t>10 March</w:t>
      </w:r>
      <w:r w:rsidRPr="1785B9A8">
        <w:t xml:space="preserve"> each year.</w:t>
      </w:r>
    </w:p>
    <w:p w14:paraId="0A215F1C" w14:textId="77777777" w:rsidR="001B34AE" w:rsidRPr="00D6458C" w:rsidRDefault="001B34AE" w:rsidP="00D520BB">
      <w:pPr>
        <w:pStyle w:val="Undertittel"/>
      </w:pPr>
    </w:p>
    <w:p w14:paraId="5D75FC1D" w14:textId="77777777" w:rsidR="00B646B6" w:rsidRPr="00883B85" w:rsidRDefault="00B646B6" w:rsidP="00883B85">
      <w:pPr>
        <w:pStyle w:val="MoUArticles"/>
      </w:pPr>
      <w:r w:rsidRPr="00883B85">
        <w:t>Article 9</w:t>
      </w:r>
    </w:p>
    <w:p w14:paraId="1255BC48" w14:textId="77777777" w:rsidR="00B646B6" w:rsidRPr="00883B85" w:rsidRDefault="00B646B6" w:rsidP="00883B85">
      <w:pPr>
        <w:pStyle w:val="MoUArticles"/>
      </w:pPr>
      <w:r w:rsidRPr="00883B85">
        <w:t>Annual meetings</w:t>
      </w:r>
    </w:p>
    <w:p w14:paraId="7E24BE2A" w14:textId="38BD48E7" w:rsidR="00B646B6" w:rsidRDefault="00B646B6" w:rsidP="00B646B6">
      <w:pPr>
        <w:pStyle w:val="MoUparagraphs"/>
      </w:pPr>
      <w:r w:rsidRPr="00B70149">
        <w:t xml:space="preserve">In accordance with Article 2.7 of the Regulation an annual meeting shall be held between the </w:t>
      </w:r>
      <w:r w:rsidR="002D3A98">
        <w:t>NMFA</w:t>
      </w:r>
      <w:r w:rsidRPr="00B70149">
        <w:t xml:space="preserve"> and the National Focal Point. The annual meeting shall allow the </w:t>
      </w:r>
      <w:r w:rsidR="002D3A98">
        <w:t>NMFA</w:t>
      </w:r>
      <w:r w:rsidRPr="00B70149">
        <w:t xml:space="preserve"> and the National Focal Point to examine progress achieved over the previous reporting period</w:t>
      </w:r>
      <w:r>
        <w:t>s, discuss risks</w:t>
      </w:r>
      <w:r w:rsidRPr="00B70149">
        <w:t xml:space="preserve"> and agree on any necessary measures to be taken. The annual meeting shall provide a forum for discussion of issues of bilateral interest. </w:t>
      </w:r>
    </w:p>
    <w:p w14:paraId="6D6659E7" w14:textId="77777777" w:rsidR="001B34AE" w:rsidRPr="00B70149" w:rsidRDefault="001B34AE" w:rsidP="00B646B6">
      <w:pPr>
        <w:pStyle w:val="MoUparagraphs"/>
      </w:pPr>
    </w:p>
    <w:p w14:paraId="62A0514F" w14:textId="77777777" w:rsidR="00B646B6" w:rsidRPr="00883B85" w:rsidRDefault="00B646B6" w:rsidP="00883B85">
      <w:pPr>
        <w:pStyle w:val="MoUArticles"/>
      </w:pPr>
      <w:r w:rsidRPr="00883B85">
        <w:t>Article 10</w:t>
      </w:r>
    </w:p>
    <w:p w14:paraId="3B5C2DE0" w14:textId="77777777" w:rsidR="00B646B6" w:rsidRPr="00883B85" w:rsidRDefault="00B646B6" w:rsidP="00883B85">
      <w:pPr>
        <w:pStyle w:val="MoUArticles"/>
      </w:pPr>
      <w:r w:rsidRPr="00883B85">
        <w:t>Modification of the annexes</w:t>
      </w:r>
    </w:p>
    <w:p w14:paraId="67D41D60" w14:textId="4D314B89" w:rsidR="00E63E4D" w:rsidRPr="00E63E4D" w:rsidRDefault="00E63E4D" w:rsidP="00E63E4D">
      <w:pPr>
        <w:pStyle w:val="MoUparagraphs"/>
      </w:pPr>
      <w:r w:rsidRPr="00E63E4D">
        <w:t xml:space="preserve">1. Annex A and B may be amended through an exchange of letters between the </w:t>
      </w:r>
      <w:r>
        <w:t>NMFA</w:t>
      </w:r>
      <w:r w:rsidRPr="00E63E4D">
        <w:t xml:space="preserve"> and the National Focal Point. </w:t>
      </w:r>
    </w:p>
    <w:p w14:paraId="4F77CF74" w14:textId="36427BCA" w:rsidR="00E63E4D" w:rsidRPr="00E63E4D" w:rsidRDefault="00E63E4D" w:rsidP="00E63E4D">
      <w:pPr>
        <w:pStyle w:val="MoUparagraphs"/>
      </w:pPr>
      <w:r w:rsidRPr="00E63E4D">
        <w:t xml:space="preserve">2. Cumulative transfers up to 10% of the total eligible expenditure of a programme may be made between programmes without a modification of the Annexes to this Memorandum of Understanding, provided that the change has been agreed by the </w:t>
      </w:r>
      <w:r>
        <w:t>NMFA</w:t>
      </w:r>
      <w:r w:rsidRPr="00E63E4D">
        <w:t xml:space="preserve"> through modifications of the relevant Programme Agreements. </w:t>
      </w:r>
    </w:p>
    <w:p w14:paraId="425E7E57" w14:textId="44D894B0" w:rsidR="00E63E4D" w:rsidRPr="00E63E4D" w:rsidRDefault="00E63E4D" w:rsidP="00E63E4D">
      <w:pPr>
        <w:pStyle w:val="MoUparagraphs"/>
      </w:pPr>
      <w:r w:rsidRPr="00E63E4D">
        <w:t xml:space="preserve">3. In addition, cost savings and amounts not committed to projects may be transferred to the funds for bilateral relations without a modification of the Annexes to this Memorandum of Understanding or the approval of the </w:t>
      </w:r>
      <w:r>
        <w:lastRenderedPageBreak/>
        <w:t>NMFA</w:t>
      </w:r>
      <w:r w:rsidRPr="00E63E4D">
        <w:t xml:space="preserve">, provided that the transfer has been the subject of prior consultation with the Cooperation Committee of the concerned </w:t>
      </w:r>
      <w:r w:rsidR="00F902B9">
        <w:t>p</w:t>
      </w:r>
      <w:r w:rsidRPr="00E63E4D">
        <w:t xml:space="preserve">rogramme. Any such transfer of funds from a programme shall not affect the objectives or outcomes of the Programme. The National Focal Point shall notify the </w:t>
      </w:r>
      <w:r w:rsidR="00897AFF">
        <w:t>NMFA</w:t>
      </w:r>
      <w:r w:rsidRPr="00E63E4D">
        <w:t xml:space="preserve"> of such transfers without delay and the </w:t>
      </w:r>
      <w:r w:rsidR="00897AFF">
        <w:t>NMFA</w:t>
      </w:r>
      <w:r w:rsidRPr="00E63E4D">
        <w:t xml:space="preserve"> shall update the concerned Programme Agreements and the Bilateral Funds Agreement, as relevant. </w:t>
      </w:r>
    </w:p>
    <w:p w14:paraId="3E21AA58" w14:textId="77777777" w:rsidR="00E63E4D" w:rsidRPr="00E63E4D" w:rsidRDefault="00E63E4D" w:rsidP="00E63E4D">
      <w:pPr>
        <w:pStyle w:val="MoUparagraphs"/>
      </w:pPr>
      <w:r w:rsidRPr="00E63E4D">
        <w:t>4. All transfers made in accordance with paragraphs 2 and 3 shall not affect any specific concerns, conditions, objectives or other priorities referred to in this Memorandum of Understanding and shall be in accordance with the provisions of the legal framework.</w:t>
      </w:r>
    </w:p>
    <w:p w14:paraId="6522A934" w14:textId="77777777" w:rsidR="001B34AE" w:rsidRPr="00B70149" w:rsidRDefault="001B34AE" w:rsidP="00B646B6">
      <w:pPr>
        <w:pStyle w:val="MoUparagraphs"/>
      </w:pPr>
    </w:p>
    <w:p w14:paraId="16E2CC65" w14:textId="77777777" w:rsidR="00B646B6" w:rsidRPr="00883B85" w:rsidRDefault="00B646B6" w:rsidP="00883B85">
      <w:pPr>
        <w:pStyle w:val="MoUArticles"/>
      </w:pPr>
      <w:r w:rsidRPr="00883B85">
        <w:t>Article 11</w:t>
      </w:r>
    </w:p>
    <w:p w14:paraId="15C7EB80" w14:textId="0EA4FF02" w:rsidR="00B646B6" w:rsidRPr="00883B85" w:rsidRDefault="00B646B6" w:rsidP="00883B85">
      <w:pPr>
        <w:pStyle w:val="MoUArticles"/>
      </w:pPr>
      <w:r w:rsidRPr="00883B85">
        <w:t xml:space="preserve">Control and </w:t>
      </w:r>
      <w:r w:rsidR="00150476">
        <w:t>a</w:t>
      </w:r>
      <w:r w:rsidRPr="00883B85">
        <w:t>ccess to</w:t>
      </w:r>
      <w:r w:rsidR="00755F17">
        <w:t xml:space="preserve"> </w:t>
      </w:r>
      <w:r w:rsidR="00150476">
        <w:t>i</w:t>
      </w:r>
      <w:r w:rsidRPr="00883B85">
        <w:t>nformation</w:t>
      </w:r>
    </w:p>
    <w:p w14:paraId="31A258CE" w14:textId="3F00E712" w:rsidR="00B646B6" w:rsidRDefault="00B646B6" w:rsidP="00B646B6">
      <w:pPr>
        <w:pStyle w:val="MoUparagraphs"/>
      </w:pPr>
      <w:r w:rsidRPr="00B70149">
        <w:t xml:space="preserve">The </w:t>
      </w:r>
      <w:r w:rsidR="002D3A98">
        <w:t>NMFA</w:t>
      </w:r>
      <w:r w:rsidRPr="00B70149">
        <w:t xml:space="preserve">, the </w:t>
      </w:r>
      <w:r w:rsidR="002D3A98">
        <w:t>Office of the Auditor General of Norway</w:t>
      </w:r>
      <w:r w:rsidRPr="00B70149">
        <w:t xml:space="preserve"> and their representatives have the right to carry out any technical or financial mission or review they consider necessary to follow the planning, implementation and monitoring of programmes and projects as well as the use of funds. The Beneficiary State shall provide all necessary assistance, information and documentation.</w:t>
      </w:r>
    </w:p>
    <w:p w14:paraId="1843F960" w14:textId="77777777" w:rsidR="001B34AE" w:rsidRPr="00B70149" w:rsidRDefault="001B34AE" w:rsidP="00B646B6">
      <w:pPr>
        <w:pStyle w:val="MoUparagraphs"/>
      </w:pPr>
    </w:p>
    <w:p w14:paraId="3C359F5E" w14:textId="77777777" w:rsidR="00B646B6" w:rsidRPr="00883B85" w:rsidRDefault="00B646B6" w:rsidP="00883B85">
      <w:pPr>
        <w:pStyle w:val="MoUArticles"/>
      </w:pPr>
      <w:r w:rsidRPr="00883B85">
        <w:t>Article 12</w:t>
      </w:r>
    </w:p>
    <w:p w14:paraId="702FAC64" w14:textId="6BEDA6F6" w:rsidR="00B646B6" w:rsidRPr="00883B85" w:rsidRDefault="00B646B6" w:rsidP="00883B85">
      <w:pPr>
        <w:pStyle w:val="MoUArticles"/>
      </w:pPr>
      <w:r w:rsidRPr="00883B85">
        <w:t xml:space="preserve">Governing </w:t>
      </w:r>
      <w:r w:rsidR="00755F17">
        <w:t>p</w:t>
      </w:r>
      <w:r w:rsidRPr="00883B85">
        <w:t>rinciples</w:t>
      </w:r>
    </w:p>
    <w:p w14:paraId="6FF570F6" w14:textId="77777777" w:rsidR="00B646B6" w:rsidRPr="00B70149" w:rsidRDefault="00B646B6" w:rsidP="00B646B6">
      <w:pPr>
        <w:pStyle w:val="MoUparagraphs"/>
      </w:pPr>
      <w:r w:rsidRPr="00B70149">
        <w:t>1. The implementation of this Memorandum of Understanding shall in all aspects be governed by the Regulation and subsequent amendments thereof.</w:t>
      </w:r>
    </w:p>
    <w:p w14:paraId="35FB784A" w14:textId="05E63C5C" w:rsidR="00B646B6" w:rsidRPr="00B70149" w:rsidRDefault="00B646B6" w:rsidP="00B646B6">
      <w:pPr>
        <w:pStyle w:val="MoUparagraphs"/>
      </w:pPr>
      <w:r w:rsidRPr="00B70149">
        <w:t xml:space="preserve">2. The objectives of the </w:t>
      </w:r>
      <w:r w:rsidR="00D6545C">
        <w:t>Norwegian</w:t>
      </w:r>
      <w:r w:rsidRPr="00B70149">
        <w:t xml:space="preserve"> Financial Mechanism </w:t>
      </w:r>
      <w:r>
        <w:t>2021-2028</w:t>
      </w:r>
      <w:r w:rsidRPr="00B70149">
        <w:t xml:space="preserve"> shall be pursued in </w:t>
      </w:r>
      <w:r>
        <w:t>a</w:t>
      </w:r>
      <w:r w:rsidRPr="00B70149">
        <w:t xml:space="preserve"> framework of close co-operation between </w:t>
      </w:r>
      <w:r w:rsidR="00F33771">
        <w:t>Norway</w:t>
      </w:r>
      <w:r w:rsidRPr="00B70149">
        <w:t xml:space="preserve"> and the Beneficiary State</w:t>
      </w:r>
      <w:r>
        <w:t xml:space="preserve">, </w:t>
      </w:r>
      <w:r w:rsidRPr="00747A39">
        <w:t xml:space="preserve">respecting the </w:t>
      </w:r>
      <w:r>
        <w:t xml:space="preserve">common </w:t>
      </w:r>
      <w:r w:rsidRPr="00747A39">
        <w:t xml:space="preserve">values and principles </w:t>
      </w:r>
      <w:r w:rsidRPr="00A80DDE">
        <w:t>of respect for human dignity, freedom, democracy, equality, the rule of law and the respect for human rights, including the rights of persons belonging to minorities</w:t>
      </w:r>
      <w:r w:rsidRPr="00B70149">
        <w:t>. The Parties agree to apply the highest degree of transparency, accountability and cost efficiency</w:t>
      </w:r>
      <w:r w:rsidRPr="00B70149">
        <w:rPr>
          <w:color w:val="000000"/>
        </w:rPr>
        <w:t xml:space="preserve"> as well as the principles of good governance, partnership and multi-level governance, sustainable development, gender equality and </w:t>
      </w:r>
      <w:r>
        <w:rPr>
          <w:color w:val="000000"/>
        </w:rPr>
        <w:t>non-discrimination</w:t>
      </w:r>
      <w:r w:rsidRPr="00B70149">
        <w:t xml:space="preserve"> in all implementation phases of the </w:t>
      </w:r>
      <w:r w:rsidR="00D6545C">
        <w:t>Norwegian</w:t>
      </w:r>
      <w:r w:rsidRPr="00B70149">
        <w:t xml:space="preserve"> Financial Mechanism </w:t>
      </w:r>
      <w:r>
        <w:t>2021-2028</w:t>
      </w:r>
      <w:r w:rsidRPr="00B70149">
        <w:t>.</w:t>
      </w:r>
    </w:p>
    <w:p w14:paraId="0B429085" w14:textId="6CA640F4" w:rsidR="00B646B6" w:rsidRPr="00B70149" w:rsidRDefault="00B646B6" w:rsidP="00B646B6">
      <w:pPr>
        <w:pStyle w:val="MoUparagraphs"/>
      </w:pPr>
      <w:r>
        <w:t xml:space="preserve">3. </w:t>
      </w:r>
      <w:r w:rsidRPr="00453C57">
        <w:t xml:space="preserve">All programmes and activities funded by the </w:t>
      </w:r>
      <w:r w:rsidR="00D6545C">
        <w:t>Norwegian</w:t>
      </w:r>
      <w:r w:rsidRPr="00453C57">
        <w:t xml:space="preserve"> Financial Mechanism 2021-2028 shall be consistent with respect for these values and principles and abstain from supporting operations that may fail to do so. Their implementation shall comply with the fundamental rights and obligations enshrined in relevant instruments and standards.</w:t>
      </w:r>
    </w:p>
    <w:p w14:paraId="13AEE56F" w14:textId="4116BEEF" w:rsidR="00B646B6" w:rsidRPr="00B70149" w:rsidRDefault="00B646B6" w:rsidP="00B646B6">
      <w:pPr>
        <w:pStyle w:val="MoUparagraphs"/>
      </w:pPr>
      <w:r>
        <w:t>4</w:t>
      </w:r>
      <w:r w:rsidRPr="00B70149">
        <w:t>. The Beneficiary State shall take proactive steps in order to ensure adherence to these</w:t>
      </w:r>
      <w:r>
        <w:t xml:space="preserve"> values and</w:t>
      </w:r>
      <w:r w:rsidRPr="00B70149">
        <w:t xml:space="preserve"> principles at all levels involved in the implementation of the </w:t>
      </w:r>
      <w:r w:rsidR="00D6545C">
        <w:t>Norwegian</w:t>
      </w:r>
      <w:r w:rsidRPr="00B70149">
        <w:t xml:space="preserve"> Financial Mechanism </w:t>
      </w:r>
      <w:r>
        <w:t>2021-2028</w:t>
      </w:r>
      <w:r w:rsidRPr="00B70149">
        <w:t>.</w:t>
      </w:r>
    </w:p>
    <w:p w14:paraId="37A47FC2" w14:textId="77777777" w:rsidR="00B646B6" w:rsidRPr="00B70149" w:rsidRDefault="00B646B6" w:rsidP="00B646B6">
      <w:pPr>
        <w:pStyle w:val="MoUparagraphs"/>
      </w:pPr>
    </w:p>
    <w:p w14:paraId="3CC6044D" w14:textId="77777777" w:rsidR="00B646B6" w:rsidRPr="00883B85" w:rsidRDefault="00B646B6" w:rsidP="00883B85">
      <w:pPr>
        <w:pStyle w:val="MoUArticles"/>
      </w:pPr>
      <w:r w:rsidRPr="00883B85">
        <w:t>Article 13</w:t>
      </w:r>
    </w:p>
    <w:p w14:paraId="139FDB1D" w14:textId="442F7BBB" w:rsidR="00B646B6" w:rsidRPr="00883B85" w:rsidRDefault="00B646B6" w:rsidP="00883B85">
      <w:pPr>
        <w:pStyle w:val="MoUArticles"/>
      </w:pPr>
      <w:r w:rsidRPr="00883B85">
        <w:t xml:space="preserve">Entry into </w:t>
      </w:r>
      <w:r w:rsidR="00201CB0">
        <w:t>f</w:t>
      </w:r>
      <w:r w:rsidRPr="00883B85">
        <w:t>orce</w:t>
      </w:r>
    </w:p>
    <w:p w14:paraId="76A5928A" w14:textId="77777777" w:rsidR="00B646B6" w:rsidRDefault="00B646B6" w:rsidP="00B646B6">
      <w:pPr>
        <w:pStyle w:val="MoUparagraphs"/>
      </w:pPr>
      <w:r w:rsidRPr="00B70149">
        <w:t>This Memorandum of Understanding shall enter into force on the day after the date of its last signature.</w:t>
      </w:r>
    </w:p>
    <w:p w14:paraId="76873AFD" w14:textId="77777777" w:rsidR="001B34AE" w:rsidRPr="00B70149" w:rsidRDefault="001B34AE" w:rsidP="00171CC9">
      <w:pPr>
        <w:pStyle w:val="MoUparagraphs"/>
        <w:spacing w:line="240" w:lineRule="auto"/>
      </w:pPr>
    </w:p>
    <w:p w14:paraId="4FA61328" w14:textId="77777777" w:rsidR="00D419B7" w:rsidRDefault="00D419B7" w:rsidP="00171CC9">
      <w:pPr>
        <w:spacing w:line="240" w:lineRule="auto"/>
      </w:pPr>
    </w:p>
    <w:p w14:paraId="154C87F2" w14:textId="249A5470" w:rsidR="001B34AE" w:rsidRDefault="001B34AE" w:rsidP="00171CC9">
      <w:pPr>
        <w:spacing w:line="240" w:lineRule="auto"/>
      </w:pPr>
      <w:r>
        <w:t>*******</w:t>
      </w:r>
    </w:p>
    <w:p w14:paraId="18E81B12" w14:textId="77777777" w:rsidR="00EB4A19" w:rsidRPr="00B70149" w:rsidRDefault="00EB4A19" w:rsidP="00EB4A19"/>
    <w:p w14:paraId="4A74BBA9" w14:textId="55CAD2AD" w:rsidR="00B646B6" w:rsidRPr="001B34AE" w:rsidRDefault="00D419B7" w:rsidP="00171CC9">
      <w:pPr>
        <w:pStyle w:val="Paragraph"/>
        <w:rPr>
          <w:sz w:val="22"/>
        </w:rPr>
      </w:pPr>
      <w:r>
        <w:rPr>
          <w:sz w:val="22"/>
        </w:rPr>
        <w:br w:type="column"/>
      </w:r>
      <w:r w:rsidR="00B646B6" w:rsidRPr="001B34AE">
        <w:rPr>
          <w:sz w:val="22"/>
        </w:rPr>
        <w:lastRenderedPageBreak/>
        <w:t xml:space="preserve">This Memorandum of Understanding is signed in </w:t>
      </w:r>
      <w:r w:rsidR="002C00FD">
        <w:rPr>
          <w:sz w:val="22"/>
        </w:rPr>
        <w:t>two</w:t>
      </w:r>
      <w:r w:rsidR="00B646B6" w:rsidRPr="001B34AE">
        <w:rPr>
          <w:sz w:val="22"/>
        </w:rPr>
        <w:t xml:space="preserve"> originals in the English Language.</w:t>
      </w:r>
    </w:p>
    <w:p w14:paraId="189086BE" w14:textId="77777777" w:rsidR="001B34AE" w:rsidRDefault="001B34AE" w:rsidP="00171CC9">
      <w:pPr>
        <w:pStyle w:val="Paragraph"/>
        <w:rPr>
          <w:sz w:val="22"/>
        </w:rPr>
      </w:pPr>
    </w:p>
    <w:p w14:paraId="74A4ED91" w14:textId="4DD9A16E" w:rsidR="007F3FA7" w:rsidRPr="007F3FA7" w:rsidRDefault="00B646B6" w:rsidP="00171CC9">
      <w:pPr>
        <w:pStyle w:val="Paragraph"/>
        <w:rPr>
          <w:sz w:val="22"/>
        </w:rPr>
      </w:pPr>
      <w:r w:rsidRPr="001B34AE">
        <w:rPr>
          <w:sz w:val="22"/>
        </w:rPr>
        <w:t>Signed in ………………………… on ………….</w:t>
      </w:r>
      <w:r w:rsidRPr="001B34AE">
        <w:rPr>
          <w:sz w:val="22"/>
        </w:rPr>
        <w:tab/>
        <w:t>Signed in……………on… ………………</w:t>
      </w:r>
    </w:p>
    <w:p w14:paraId="4A0D6A57" w14:textId="0B52D3DB" w:rsidR="00B646B6" w:rsidRPr="001B34AE" w:rsidRDefault="00B646B6" w:rsidP="47054A75">
      <w:pPr>
        <w:pStyle w:val="Paragraph"/>
        <w:rPr>
          <w:sz w:val="22"/>
          <w:lang w:val="en-GB"/>
        </w:rPr>
      </w:pPr>
      <w:r w:rsidRPr="47054A75">
        <w:rPr>
          <w:sz w:val="22"/>
          <w:lang w:val="en-GB"/>
        </w:rPr>
        <w:t xml:space="preserve">For </w:t>
      </w:r>
      <w:r w:rsidR="02CFF9B7" w:rsidRPr="47054A75">
        <w:rPr>
          <w:sz w:val="22"/>
          <w:lang w:val="en-GB"/>
        </w:rPr>
        <w:t xml:space="preserve">the Kingdom of </w:t>
      </w:r>
      <w:r w:rsidR="00BA3E60" w:rsidRPr="47054A75">
        <w:rPr>
          <w:sz w:val="22"/>
          <w:lang w:val="en-GB"/>
        </w:rPr>
        <w:t>Norway</w:t>
      </w:r>
      <w:r>
        <w:tab/>
      </w:r>
      <w:r>
        <w:tab/>
      </w:r>
      <w:r>
        <w:tab/>
      </w:r>
      <w:r>
        <w:tab/>
      </w:r>
      <w:r w:rsidRPr="47054A75">
        <w:rPr>
          <w:sz w:val="22"/>
          <w:lang w:val="en-GB"/>
        </w:rPr>
        <w:t xml:space="preserve">For </w:t>
      </w:r>
      <w:r w:rsidR="72F9E111" w:rsidRPr="25946581">
        <w:rPr>
          <w:sz w:val="22"/>
          <w:lang w:val="en-GB"/>
        </w:rPr>
        <w:t>the Republic</w:t>
      </w:r>
      <w:r w:rsidRPr="25946581">
        <w:rPr>
          <w:sz w:val="22"/>
          <w:lang w:val="en-GB"/>
        </w:rPr>
        <w:t xml:space="preserve"> of </w:t>
      </w:r>
      <w:r w:rsidR="72F9E111" w:rsidRPr="25946581">
        <w:rPr>
          <w:sz w:val="22"/>
          <w:lang w:val="en-GB"/>
        </w:rPr>
        <w:t>Slovenia</w:t>
      </w:r>
    </w:p>
    <w:p w14:paraId="3AF9F66D" w14:textId="77777777" w:rsidR="007F3FA7" w:rsidRDefault="007F3FA7" w:rsidP="00171CC9">
      <w:pPr>
        <w:pStyle w:val="Paragraph"/>
        <w:rPr>
          <w:sz w:val="22"/>
        </w:rPr>
      </w:pPr>
    </w:p>
    <w:p w14:paraId="7FB572A1" w14:textId="3112D81F" w:rsidR="00B646B6" w:rsidRPr="001B34AE" w:rsidRDefault="00B646B6" w:rsidP="00171CC9">
      <w:pPr>
        <w:pStyle w:val="Paragraph"/>
        <w:rPr>
          <w:sz w:val="22"/>
        </w:rPr>
      </w:pPr>
      <w:r w:rsidRPr="001B34AE">
        <w:rPr>
          <w:sz w:val="22"/>
        </w:rPr>
        <w:t>…………………………………….</w:t>
      </w:r>
      <w:r w:rsidRPr="001B34AE">
        <w:rPr>
          <w:sz w:val="22"/>
        </w:rPr>
        <w:tab/>
      </w:r>
      <w:r w:rsidRPr="001B34AE">
        <w:rPr>
          <w:sz w:val="22"/>
        </w:rPr>
        <w:tab/>
      </w:r>
      <w:r w:rsidRPr="001B34AE">
        <w:rPr>
          <w:sz w:val="22"/>
        </w:rPr>
        <w:tab/>
        <w:t>…………………………………</w:t>
      </w:r>
    </w:p>
    <w:p w14:paraId="45C31FD1" w14:textId="77777777" w:rsidR="007F3FA7" w:rsidRDefault="007F3FA7" w:rsidP="00171CC9">
      <w:pPr>
        <w:pStyle w:val="Paragraph"/>
        <w:rPr>
          <w:sz w:val="22"/>
        </w:rPr>
      </w:pPr>
    </w:p>
    <w:p w14:paraId="510B4F22" w14:textId="77777777" w:rsidR="00D469FF" w:rsidRPr="003E5A84" w:rsidRDefault="007C1920" w:rsidP="00B646B6">
      <w:pPr>
        <w:rPr>
          <w:rFonts w:eastAsia="Calibri"/>
        </w:rPr>
      </w:pPr>
      <w:r>
        <w:rPr>
          <w:rFonts w:eastAsia="Calibri"/>
        </w:rPr>
        <w:br w:type="column"/>
      </w:r>
    </w:p>
    <w:p w14:paraId="69DCB0CE" w14:textId="77777777" w:rsidR="00D469FF" w:rsidRPr="00B70149" w:rsidRDefault="00D469FF">
      <w:pPr>
        <w:jc w:val="right"/>
        <w:rPr>
          <w:sz w:val="24"/>
          <w:szCs w:val="24"/>
        </w:rPr>
      </w:pPr>
      <w:r w:rsidRPr="00B70149">
        <w:rPr>
          <w:sz w:val="24"/>
          <w:szCs w:val="24"/>
        </w:rPr>
        <w:t>ANNEX A</w:t>
      </w:r>
    </w:p>
    <w:p w14:paraId="5277BEDA" w14:textId="77777777" w:rsidR="00D469FF" w:rsidRPr="00D520BB" w:rsidRDefault="00D469FF" w:rsidP="00D520BB">
      <w:pPr>
        <w:pStyle w:val="Tittel"/>
      </w:pPr>
      <w:r w:rsidRPr="00D520BB">
        <w:t>National management and control structures</w:t>
      </w:r>
    </w:p>
    <w:p w14:paraId="56E1A03D" w14:textId="77777777" w:rsidR="00D469FF" w:rsidRPr="00D520BB" w:rsidRDefault="00D469FF" w:rsidP="00D520BB">
      <w:pPr>
        <w:pStyle w:val="Undertittel"/>
      </w:pPr>
      <w:r w:rsidRPr="00D520BB">
        <w:t xml:space="preserve">1. National Focal Point </w:t>
      </w:r>
    </w:p>
    <w:p w14:paraId="250653F7" w14:textId="77777777" w:rsidR="00647414" w:rsidRDefault="00647414" w:rsidP="00647414">
      <w:pPr>
        <w:pStyle w:val="MoUparagraphs"/>
      </w:pPr>
      <w:r w:rsidRPr="001C31F3">
        <w:t>The Financial Mechanisms Division, within the Interreg and Financial Mechanisms Office, within the Ministry of Cohesion and Regional Development (hereinafter MCRD), shall act as National Focal Point.</w:t>
      </w:r>
    </w:p>
    <w:p w14:paraId="7ECFEF70" w14:textId="77777777" w:rsidR="00647414" w:rsidRDefault="00647414" w:rsidP="00647414">
      <w:pPr>
        <w:pStyle w:val="MoUparagraphs"/>
      </w:pPr>
      <w:r w:rsidRPr="001C31F3">
        <w:t>The MCRD is an administrative body fully funded from the State Budget, under the supervision of the Minister responsible for Cohesion and Regional Development.  The Head of the Financial Mechanisms Division shall act as the Head of the National Focal Point.</w:t>
      </w:r>
    </w:p>
    <w:p w14:paraId="0A218B2F" w14:textId="77777777" w:rsidR="00647414" w:rsidRDefault="00647414" w:rsidP="00647414">
      <w:pPr>
        <w:pStyle w:val="MoUparagraphs"/>
      </w:pPr>
      <w:r w:rsidRPr="001C31F3">
        <w:t>The roles and responsibilities of the National Focal Point are stipulated in the Regulation, in particular Article 5.3 thereof.</w:t>
      </w:r>
    </w:p>
    <w:p w14:paraId="7AADDB71" w14:textId="77777777" w:rsidR="006C4AD4" w:rsidRPr="001C31F3" w:rsidRDefault="006C4AD4" w:rsidP="00647414">
      <w:pPr>
        <w:pStyle w:val="MoUparagraphs"/>
      </w:pPr>
    </w:p>
    <w:p w14:paraId="606E57D6" w14:textId="77777777" w:rsidR="00D469FF" w:rsidRPr="00B70149" w:rsidRDefault="00D469FF" w:rsidP="00D520BB">
      <w:pPr>
        <w:pStyle w:val="Undertittel"/>
      </w:pPr>
      <w:r w:rsidRPr="00B70149">
        <w:t>2. Certifying Authority</w:t>
      </w:r>
    </w:p>
    <w:p w14:paraId="53572AC9" w14:textId="77777777" w:rsidR="000B78C4" w:rsidRDefault="000B78C4" w:rsidP="000B78C4">
      <w:pPr>
        <w:pStyle w:val="MoUparagraphs"/>
      </w:pPr>
      <w:r w:rsidRPr="001C31F3">
        <w:t>The Ministry of Finance, the EU/CA Funds Management Division within the Budget Directorate is acting as the Certifying Authority.</w:t>
      </w:r>
    </w:p>
    <w:p w14:paraId="52113AEF" w14:textId="77777777" w:rsidR="000B78C4" w:rsidRDefault="000B78C4" w:rsidP="000B78C4">
      <w:pPr>
        <w:pStyle w:val="MoUparagraphs"/>
      </w:pPr>
      <w:r w:rsidRPr="001C31F3">
        <w:t>The Head of the EU/CA Funds Management Division shall act as the Head of the Certifying Authority.</w:t>
      </w:r>
    </w:p>
    <w:p w14:paraId="7A0EBB76" w14:textId="77777777" w:rsidR="000B78C4" w:rsidRDefault="000B78C4" w:rsidP="000B78C4">
      <w:pPr>
        <w:pStyle w:val="MoUparagraphs"/>
      </w:pPr>
      <w:r w:rsidRPr="001C31F3">
        <w:t>The roles and responsibilities of the Certifying Authority are stipulated in the Regulation, in particular Article 5.4 thereof.</w:t>
      </w:r>
    </w:p>
    <w:p w14:paraId="76EE48CF" w14:textId="77777777" w:rsidR="006C4AD4" w:rsidRPr="001C31F3" w:rsidRDefault="006C4AD4" w:rsidP="000B78C4">
      <w:pPr>
        <w:pStyle w:val="MoUparagraphs"/>
      </w:pPr>
    </w:p>
    <w:p w14:paraId="354BCA72" w14:textId="77777777" w:rsidR="00D469FF" w:rsidRPr="00B70149" w:rsidRDefault="00D469FF" w:rsidP="00D520BB">
      <w:pPr>
        <w:pStyle w:val="Undertittel"/>
      </w:pPr>
      <w:r w:rsidRPr="00B70149">
        <w:t>3. Audit Authority</w:t>
      </w:r>
    </w:p>
    <w:p w14:paraId="0A9A139B" w14:textId="77777777" w:rsidR="004B5952" w:rsidRDefault="004B5952" w:rsidP="004B5952">
      <w:pPr>
        <w:pStyle w:val="MoUparagraphs"/>
      </w:pPr>
      <w:r w:rsidRPr="001C31F3">
        <w:t>The Budget Supervision Office of The Republic of Slovenia (hereinafter BSO) shall act as the Audit Authority. The performance of the tasks of the Audit Authority has been assigned to the</w:t>
      </w:r>
      <w:r>
        <w:t xml:space="preserve"> European Shared Management Funds Audit Division.</w:t>
      </w:r>
    </w:p>
    <w:p w14:paraId="53EEDA07" w14:textId="77777777" w:rsidR="004B5952" w:rsidRDefault="004B5952" w:rsidP="004B5952">
      <w:pPr>
        <w:pStyle w:val="MoUparagraphs"/>
      </w:pPr>
      <w:r w:rsidRPr="001C31F3">
        <w:t>The BSO is an autonomous body under the umbrella of the Ministry of Finance. The BSO Director reports on the execution of the budget of the BSO directly to the Minister of Finance.</w:t>
      </w:r>
    </w:p>
    <w:p w14:paraId="0D2F2BA4" w14:textId="77777777" w:rsidR="004B5952" w:rsidRDefault="004B5952" w:rsidP="004B5952">
      <w:pPr>
        <w:pStyle w:val="MoUparagraphs"/>
      </w:pPr>
      <w:r>
        <w:t>T</w:t>
      </w:r>
      <w:r w:rsidRPr="001C31F3">
        <w:t>he Director of the BSO shall act as the Head of the Audit Authority.</w:t>
      </w:r>
    </w:p>
    <w:p w14:paraId="65A9F809" w14:textId="77777777" w:rsidR="004B5952" w:rsidRPr="001C31F3" w:rsidRDefault="004B5952" w:rsidP="004B5952">
      <w:pPr>
        <w:pStyle w:val="MoUparagraphs"/>
      </w:pPr>
      <w:r w:rsidRPr="001C31F3">
        <w:t>The roles and responsibilities of the Audit Authority are stipulated in the Regulation, in particular Article 5.5 thereof.</w:t>
      </w:r>
    </w:p>
    <w:p w14:paraId="449D59B8" w14:textId="77777777" w:rsidR="004B5952" w:rsidRDefault="004B5952" w:rsidP="004B5952">
      <w:pPr>
        <w:pStyle w:val="MoUparagraphs"/>
      </w:pPr>
      <w:r w:rsidRPr="001C31F3">
        <w:t>The Audit Authority shall be functionally independent of the National Focal Point and the Certifying Authority.</w:t>
      </w:r>
    </w:p>
    <w:p w14:paraId="3D35EC1C" w14:textId="77777777" w:rsidR="00D469FF" w:rsidRPr="00B70149" w:rsidRDefault="00D469FF" w:rsidP="00D520BB">
      <w:pPr>
        <w:pStyle w:val="Undertittel"/>
      </w:pPr>
    </w:p>
    <w:p w14:paraId="6C7EB6E7" w14:textId="4CD8B57A" w:rsidR="00D469FF" w:rsidRPr="00B70149" w:rsidRDefault="001C5D97" w:rsidP="00D520BB">
      <w:pPr>
        <w:pStyle w:val="Undertittel"/>
      </w:pPr>
      <w:r>
        <w:br w:type="column"/>
      </w:r>
      <w:r w:rsidR="00D469FF">
        <w:lastRenderedPageBreak/>
        <w:t>4</w:t>
      </w:r>
      <w:r w:rsidR="00D469FF" w:rsidRPr="00B70149">
        <w:t>. Organigram</w:t>
      </w:r>
    </w:p>
    <w:p w14:paraId="60C0AE76" w14:textId="77777777" w:rsidR="005B6D9E" w:rsidRDefault="005B6D9E">
      <w:pPr>
        <w:rPr>
          <w:sz w:val="24"/>
          <w:szCs w:val="24"/>
        </w:rPr>
      </w:pPr>
    </w:p>
    <w:p w14:paraId="11B86E14" w14:textId="471DBA85" w:rsidR="00D469FF" w:rsidRPr="00B70149" w:rsidRDefault="005B6D9E">
      <w:pPr>
        <w:rPr>
          <w:sz w:val="24"/>
          <w:szCs w:val="24"/>
        </w:rPr>
      </w:pPr>
      <w:r w:rsidRPr="00122EBE">
        <w:rPr>
          <w:noProof/>
          <w:lang w:eastAsia="sl-SI"/>
        </w:rPr>
        <mc:AlternateContent>
          <mc:Choice Requires="wpc">
            <w:drawing>
              <wp:inline distT="0" distB="0" distL="0" distR="0" wp14:anchorId="5A895522" wp14:editId="7D111490">
                <wp:extent cx="5760085" cy="5349240"/>
                <wp:effectExtent l="0" t="0" r="0" b="0"/>
                <wp:docPr id="16" name="Platn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1940560" y="1659255"/>
                            <a:ext cx="1160145" cy="1071245"/>
                          </a:xfrm>
                          <a:prstGeom prst="rect">
                            <a:avLst/>
                          </a:prstGeom>
                          <a:solidFill>
                            <a:srgbClr val="FFFFFF"/>
                          </a:solidFill>
                          <a:ln w="9525">
                            <a:solidFill>
                              <a:srgbClr val="000000"/>
                            </a:solidFill>
                            <a:miter lim="800000"/>
                            <a:headEnd/>
                            <a:tailEnd/>
                          </a:ln>
                        </wps:spPr>
                        <wps:txbx>
                          <w:txbxContent>
                            <w:p w14:paraId="0B0ACAF1" w14:textId="77777777" w:rsidR="005B6D9E" w:rsidRPr="00D266D8" w:rsidRDefault="005B6D9E" w:rsidP="005B6D9E">
                              <w:pPr>
                                <w:jc w:val="center"/>
                                <w:rPr>
                                  <w:szCs w:val="24"/>
                                </w:rPr>
                              </w:pPr>
                              <w:r>
                                <w:rPr>
                                  <w:noProof/>
                                  <w:szCs w:val="24"/>
                                </w:rPr>
                                <w:t>Budget Supervision Office of the Republic of Slovenia</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14300" y="191135"/>
                            <a:ext cx="1385570" cy="1104900"/>
                          </a:xfrm>
                          <a:prstGeom prst="rect">
                            <a:avLst/>
                          </a:prstGeom>
                          <a:solidFill>
                            <a:srgbClr val="FFFFFF"/>
                          </a:solidFill>
                          <a:ln w="9525">
                            <a:solidFill>
                              <a:srgbClr val="000000"/>
                            </a:solidFill>
                            <a:miter lim="800000"/>
                            <a:headEnd/>
                            <a:tailEnd/>
                          </a:ln>
                        </wps:spPr>
                        <wps:txbx>
                          <w:txbxContent>
                            <w:p w14:paraId="34AD3A67" w14:textId="77777777" w:rsidR="005B6D9E" w:rsidRPr="00242CC8" w:rsidRDefault="005B6D9E" w:rsidP="005B6D9E">
                              <w:pPr>
                                <w:jc w:val="center"/>
                                <w:rPr>
                                  <w:szCs w:val="24"/>
                                </w:rPr>
                              </w:pPr>
                              <w:r w:rsidRPr="00242CC8">
                                <w:rPr>
                                  <w:szCs w:val="24"/>
                                </w:rPr>
                                <w:t>Ministry of Cohesion and Regional Development</w:t>
                              </w:r>
                            </w:p>
                            <w:p w14:paraId="74A65662" w14:textId="77777777" w:rsidR="005B6D9E" w:rsidRDefault="005B6D9E" w:rsidP="005B6D9E">
                              <w:pPr>
                                <w:jc w:val="center"/>
                                <w:rPr>
                                  <w:szCs w:val="24"/>
                                  <w:lang w:val="de-DE"/>
                                </w:rPr>
                              </w:pPr>
                              <w:r>
                                <w:rPr>
                                  <w:szCs w:val="24"/>
                                  <w:lang w:val="de-DE"/>
                                </w:rPr>
                                <w:t>(MCRD)</w:t>
                              </w:r>
                            </w:p>
                            <w:p w14:paraId="2C4CED0E" w14:textId="77777777" w:rsidR="005B6D9E" w:rsidRDefault="005B6D9E" w:rsidP="005B6D9E">
                              <w:pPr>
                                <w:jc w:val="center"/>
                                <w:rPr>
                                  <w:szCs w:val="24"/>
                                  <w:lang w:val="de-DE"/>
                                </w:rPr>
                              </w:pPr>
                            </w:p>
                          </w:txbxContent>
                        </wps:txbx>
                        <wps:bodyPr rot="0" vert="horz" wrap="square" lIns="91440" tIns="45720" rIns="91440" bIns="45720" anchor="t" anchorCtr="0" upright="1">
                          <a:noAutofit/>
                        </wps:bodyPr>
                      </wps:wsp>
                      <wps:wsp>
                        <wps:cNvPr id="4" name="Line 6"/>
                        <wps:cNvCnPr>
                          <a:cxnSpLocks noChangeShapeType="1"/>
                        </wps:cNvCnPr>
                        <wps:spPr bwMode="auto">
                          <a:xfrm>
                            <a:off x="2527935" y="2730500"/>
                            <a:ext cx="635" cy="53784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810895" y="3134360"/>
                            <a:ext cx="635" cy="4876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3259455" y="3477260"/>
                            <a:ext cx="2447290" cy="1570228"/>
                          </a:xfrm>
                          <a:prstGeom prst="rect">
                            <a:avLst/>
                          </a:prstGeom>
                          <a:solidFill>
                            <a:srgbClr val="FFFFFF"/>
                          </a:solidFill>
                          <a:ln w="9525">
                            <a:solidFill>
                              <a:srgbClr val="000000"/>
                            </a:solidFill>
                            <a:miter lim="800000"/>
                            <a:headEnd/>
                            <a:tailEnd/>
                          </a:ln>
                        </wps:spPr>
                        <wps:txbx>
                          <w:txbxContent>
                            <w:p w14:paraId="0DC11695" w14:textId="752DBC64" w:rsidR="005B6D9E" w:rsidRPr="004A5AAC" w:rsidRDefault="008479EA" w:rsidP="005B6D9E">
                              <w:pPr>
                                <w:jc w:val="center"/>
                                <w:rPr>
                                  <w:szCs w:val="24"/>
                                </w:rPr>
                              </w:pPr>
                              <w:r w:rsidRPr="008479EA">
                                <w:rPr>
                                  <w:szCs w:val="24"/>
                                </w:rPr>
                                <w:t>EU/CA Funds Management Division</w:t>
                              </w:r>
                            </w:p>
                            <w:p w14:paraId="438C187D" w14:textId="77777777" w:rsidR="005B6D9E" w:rsidRPr="004A5AAC" w:rsidRDefault="005B6D9E" w:rsidP="005B6D9E">
                              <w:pPr>
                                <w:jc w:val="center"/>
                                <w:rPr>
                                  <w:b/>
                                  <w:szCs w:val="24"/>
                                </w:rPr>
                              </w:pPr>
                            </w:p>
                            <w:p w14:paraId="70943C63" w14:textId="77777777" w:rsidR="005B6D9E" w:rsidRPr="004A5AAC" w:rsidRDefault="005B6D9E" w:rsidP="005B6D9E">
                              <w:pPr>
                                <w:jc w:val="center"/>
                                <w:rPr>
                                  <w:b/>
                                  <w:szCs w:val="24"/>
                                </w:rPr>
                              </w:pPr>
                              <w:r w:rsidRPr="004A5AAC">
                                <w:rPr>
                                  <w:b/>
                                  <w:szCs w:val="24"/>
                                </w:rPr>
                                <w:t>Certifying</w:t>
                              </w:r>
                            </w:p>
                            <w:p w14:paraId="01DD9F06" w14:textId="77777777" w:rsidR="005B6D9E" w:rsidRPr="004A5AAC" w:rsidRDefault="005B6D9E" w:rsidP="005B6D9E">
                              <w:pPr>
                                <w:jc w:val="center"/>
                                <w:rPr>
                                  <w:b/>
                                  <w:szCs w:val="24"/>
                                </w:rPr>
                              </w:pPr>
                              <w:r w:rsidRPr="004A5AAC">
                                <w:rPr>
                                  <w:b/>
                                  <w:szCs w:val="24"/>
                                </w:rPr>
                                <w:t>Authority</w:t>
                              </w:r>
                            </w:p>
                            <w:p w14:paraId="2E2A62CD" w14:textId="77777777" w:rsidR="005B6D9E" w:rsidRPr="004A5AAC" w:rsidRDefault="005B6D9E" w:rsidP="005B6D9E">
                              <w:pPr>
                                <w:jc w:val="center"/>
                                <w:rPr>
                                  <w:b/>
                                  <w:szCs w:val="24"/>
                                </w:rPr>
                              </w:pPr>
                            </w:p>
                            <w:p w14:paraId="2B1D201A" w14:textId="77777777" w:rsidR="005B6D9E" w:rsidRPr="004A5AAC" w:rsidRDefault="005B6D9E" w:rsidP="005B6D9E">
                              <w:pPr>
                                <w:jc w:val="center"/>
                                <w:rPr>
                                  <w:b/>
                                  <w:szCs w:val="24"/>
                                </w:rPr>
                              </w:pPr>
                              <w:r w:rsidRPr="004A5AAC">
                                <w:rPr>
                                  <w:b/>
                                  <w:szCs w:val="24"/>
                                </w:rPr>
                                <w:t xml:space="preserve"> </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251200" y="1659255"/>
                            <a:ext cx="2458720" cy="462280"/>
                          </a:xfrm>
                          <a:prstGeom prst="rect">
                            <a:avLst/>
                          </a:prstGeom>
                          <a:solidFill>
                            <a:srgbClr val="FFFFFF"/>
                          </a:solidFill>
                          <a:ln w="9525">
                            <a:solidFill>
                              <a:srgbClr val="000000"/>
                            </a:solidFill>
                            <a:miter lim="800000"/>
                            <a:headEnd/>
                            <a:tailEnd/>
                          </a:ln>
                        </wps:spPr>
                        <wps:txbx>
                          <w:txbxContent>
                            <w:p w14:paraId="25C073CF" w14:textId="77777777" w:rsidR="005B6D9E" w:rsidRPr="00D266D8" w:rsidRDefault="005B6D9E" w:rsidP="005B6D9E">
                              <w:pPr>
                                <w:jc w:val="center"/>
                                <w:rPr>
                                  <w:szCs w:val="24"/>
                                </w:rPr>
                              </w:pPr>
                              <w:r>
                                <w:rPr>
                                  <w:noProof/>
                                  <w:szCs w:val="24"/>
                                </w:rPr>
                                <w:t>Budget Directorate</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1928495" y="201930"/>
                            <a:ext cx="3781425" cy="494030"/>
                          </a:xfrm>
                          <a:prstGeom prst="rect">
                            <a:avLst/>
                          </a:prstGeom>
                          <a:solidFill>
                            <a:srgbClr val="FFFFFF"/>
                          </a:solidFill>
                          <a:ln w="9525">
                            <a:solidFill>
                              <a:srgbClr val="000000"/>
                            </a:solidFill>
                            <a:miter lim="800000"/>
                            <a:headEnd/>
                            <a:tailEnd/>
                          </a:ln>
                        </wps:spPr>
                        <wps:txbx>
                          <w:txbxContent>
                            <w:p w14:paraId="7E14B91C" w14:textId="77777777" w:rsidR="005B6D9E" w:rsidRPr="00D266D8" w:rsidRDefault="005B6D9E" w:rsidP="005B6D9E">
                              <w:pPr>
                                <w:spacing w:before="120"/>
                                <w:jc w:val="center"/>
                                <w:rPr>
                                  <w:szCs w:val="24"/>
                                </w:rPr>
                              </w:pPr>
                              <w:r>
                                <w:rPr>
                                  <w:szCs w:val="24"/>
                                </w:rPr>
                                <w:t>Ministry of Finance</w:t>
                              </w:r>
                            </w:p>
                          </w:txbxContent>
                        </wps:txbx>
                        <wps:bodyPr rot="0" vert="horz" wrap="square" lIns="91440" tIns="45720" rIns="91440" bIns="45720" anchor="t" anchorCtr="0" upright="1">
                          <a:noAutofit/>
                        </wps:bodyPr>
                      </wps:wsp>
                      <wps:wsp>
                        <wps:cNvPr id="9" name="Line 11"/>
                        <wps:cNvCnPr>
                          <a:cxnSpLocks noChangeShapeType="1"/>
                        </wps:cNvCnPr>
                        <wps:spPr bwMode="auto">
                          <a:xfrm>
                            <a:off x="4492625" y="695960"/>
                            <a:ext cx="635" cy="96710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811530" y="1300480"/>
                            <a:ext cx="635" cy="35052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2496185" y="695960"/>
                            <a:ext cx="635" cy="97409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1953260" y="3272154"/>
                            <a:ext cx="1147445" cy="1775333"/>
                          </a:xfrm>
                          <a:prstGeom prst="rect">
                            <a:avLst/>
                          </a:prstGeom>
                          <a:solidFill>
                            <a:srgbClr val="FFFFFF"/>
                          </a:solidFill>
                          <a:ln w="9525">
                            <a:solidFill>
                              <a:srgbClr val="000000"/>
                            </a:solidFill>
                            <a:miter lim="800000"/>
                            <a:headEnd/>
                            <a:tailEnd/>
                          </a:ln>
                        </wps:spPr>
                        <wps:txbx>
                          <w:txbxContent>
                            <w:p w14:paraId="4FA93F4F" w14:textId="77777777" w:rsidR="005B6D9E" w:rsidRDefault="005B6D9E" w:rsidP="005B6D9E">
                              <w:pPr>
                                <w:jc w:val="center"/>
                                <w:rPr>
                                  <w:b/>
                                  <w:szCs w:val="24"/>
                                </w:rPr>
                              </w:pPr>
                              <w:r>
                                <w:t>European Shared Management Funds Audit Division</w:t>
                              </w:r>
                            </w:p>
                            <w:p w14:paraId="2AEE94BD" w14:textId="77777777" w:rsidR="005B6D9E" w:rsidRPr="00D266D8" w:rsidRDefault="005B6D9E" w:rsidP="005B6D9E">
                              <w:pPr>
                                <w:jc w:val="center"/>
                                <w:rPr>
                                  <w:b/>
                                  <w:szCs w:val="24"/>
                                </w:rPr>
                              </w:pPr>
                              <w:r w:rsidRPr="00D266D8">
                                <w:rPr>
                                  <w:b/>
                                  <w:szCs w:val="24"/>
                                </w:rPr>
                                <w:t>Audit Authority</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124460" y="1651000"/>
                            <a:ext cx="1385570" cy="1490345"/>
                          </a:xfrm>
                          <a:prstGeom prst="rect">
                            <a:avLst/>
                          </a:prstGeom>
                          <a:solidFill>
                            <a:srgbClr val="FFFFFF"/>
                          </a:solidFill>
                          <a:ln w="9525">
                            <a:solidFill>
                              <a:srgbClr val="000000"/>
                            </a:solidFill>
                            <a:miter lim="800000"/>
                            <a:headEnd/>
                            <a:tailEnd/>
                          </a:ln>
                        </wps:spPr>
                        <wps:txbx>
                          <w:txbxContent>
                            <w:p w14:paraId="579CF08A" w14:textId="77777777" w:rsidR="005B6D9E" w:rsidRDefault="005B6D9E" w:rsidP="005B6D9E">
                              <w:pPr>
                                <w:jc w:val="center"/>
                                <w:rPr>
                                  <w:bCs/>
                                  <w:lang w:val="en"/>
                                </w:rPr>
                              </w:pPr>
                              <w:r>
                                <w:rPr>
                                  <w:bCs/>
                                  <w:lang w:val="en"/>
                                </w:rPr>
                                <w:t xml:space="preserve">Head of </w:t>
                              </w:r>
                              <w:r w:rsidRPr="000C02B0">
                                <w:rPr>
                                  <w:bCs/>
                                  <w:lang w:val="en"/>
                                </w:rPr>
                                <w:t>Financial Mechanism</w:t>
                              </w:r>
                              <w:r>
                                <w:rPr>
                                  <w:bCs/>
                                  <w:lang w:val="en"/>
                                </w:rPr>
                                <w:t>s</w:t>
                              </w:r>
                              <w:r>
                                <w:rPr>
                                  <w:b/>
                                  <w:bCs/>
                                  <w:lang w:val="en"/>
                                </w:rPr>
                                <w:t xml:space="preserve"> </w:t>
                              </w:r>
                              <w:r>
                                <w:rPr>
                                  <w:bCs/>
                                  <w:lang w:val="en"/>
                                </w:rPr>
                                <w:t>Division</w:t>
                              </w:r>
                            </w:p>
                            <w:p w14:paraId="3AC4BE44" w14:textId="77777777" w:rsidR="005B6D9E" w:rsidRDefault="005B6D9E" w:rsidP="005B6D9E">
                              <w:pPr>
                                <w:jc w:val="center"/>
                                <w:rPr>
                                  <w:b/>
                                  <w:bCs/>
                                  <w:lang w:val="en"/>
                                </w:rPr>
                              </w:pPr>
                            </w:p>
                            <w:p w14:paraId="28C41244" w14:textId="77777777" w:rsidR="005B6D9E" w:rsidRPr="00D266D8" w:rsidRDefault="005B6D9E" w:rsidP="005B6D9E">
                              <w:pPr>
                                <w:jc w:val="center"/>
                                <w:rPr>
                                  <w:b/>
                                  <w:szCs w:val="24"/>
                                </w:rPr>
                              </w:pPr>
                              <w:r w:rsidRPr="00D266D8">
                                <w:rPr>
                                  <w:b/>
                                  <w:bCs/>
                                  <w:lang w:val="en"/>
                                </w:rPr>
                                <w:t>Head of the National Focal Point</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124460" y="3625215"/>
                            <a:ext cx="1385570" cy="1422273"/>
                          </a:xfrm>
                          <a:prstGeom prst="rect">
                            <a:avLst/>
                          </a:prstGeom>
                          <a:solidFill>
                            <a:srgbClr val="FFFFFF"/>
                          </a:solidFill>
                          <a:ln w="9525">
                            <a:solidFill>
                              <a:srgbClr val="000000"/>
                            </a:solidFill>
                            <a:miter lim="800000"/>
                            <a:headEnd/>
                            <a:tailEnd/>
                          </a:ln>
                        </wps:spPr>
                        <wps:txbx>
                          <w:txbxContent>
                            <w:p w14:paraId="0F04AC80" w14:textId="77777777" w:rsidR="005B6D9E" w:rsidRDefault="005B6D9E" w:rsidP="005B6D9E">
                              <w:pPr>
                                <w:jc w:val="center"/>
                                <w:rPr>
                                  <w:b/>
                                  <w:szCs w:val="24"/>
                                  <w:lang w:val="de-DE"/>
                                </w:rPr>
                              </w:pPr>
                              <w:r>
                                <w:rPr>
                                  <w:szCs w:val="24"/>
                                  <w:lang w:val="de-DE"/>
                                </w:rPr>
                                <w:t>Financial Mechanisms Division</w:t>
                              </w:r>
                            </w:p>
                            <w:p w14:paraId="415A5AFB" w14:textId="77777777" w:rsidR="005B6D9E" w:rsidRDefault="005B6D9E" w:rsidP="005B6D9E">
                              <w:pPr>
                                <w:jc w:val="center"/>
                                <w:rPr>
                                  <w:b/>
                                  <w:color w:val="000000"/>
                                  <w:szCs w:val="24"/>
                                </w:rPr>
                              </w:pPr>
                            </w:p>
                            <w:p w14:paraId="426116AA" w14:textId="77777777" w:rsidR="005B6D9E" w:rsidRDefault="005B6D9E" w:rsidP="005B6D9E">
                              <w:pPr>
                                <w:jc w:val="center"/>
                                <w:rPr>
                                  <w:szCs w:val="24"/>
                                  <w:lang w:val="de-DE"/>
                                </w:rPr>
                              </w:pPr>
                              <w:r>
                                <w:rPr>
                                  <w:b/>
                                  <w:color w:val="000000"/>
                                  <w:szCs w:val="24"/>
                                </w:rPr>
                                <w:t>National Focal Point</w:t>
                              </w:r>
                              <w:r>
                                <w:rPr>
                                  <w:b/>
                                  <w:szCs w:val="24"/>
                                  <w:lang w:val="de-DE"/>
                                </w:rPr>
                                <w:t xml:space="preserve"> </w:t>
                              </w:r>
                            </w:p>
                          </w:txbxContent>
                        </wps:txbx>
                        <wps:bodyPr rot="0" vert="horz" wrap="square" lIns="91440" tIns="45720" rIns="91440" bIns="45720" anchor="t" anchorCtr="0" upright="1">
                          <a:noAutofit/>
                        </wps:bodyPr>
                      </wps:wsp>
                      <wps:wsp>
                        <wps:cNvPr id="15" name="Line 17"/>
                        <wps:cNvCnPr>
                          <a:cxnSpLocks noChangeShapeType="1"/>
                        </wps:cNvCnPr>
                        <wps:spPr bwMode="auto">
                          <a:xfrm>
                            <a:off x="4485005" y="3212327"/>
                            <a:ext cx="635" cy="270648"/>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Pravokotnik 18"/>
                        <wps:cNvSpPr/>
                        <wps:spPr>
                          <a:xfrm>
                            <a:off x="3259455" y="2452977"/>
                            <a:ext cx="2447290" cy="759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aven puščični povezovalnik 20"/>
                        <wps:cNvCnPr>
                          <a:stCxn id="7" idx="2"/>
                          <a:endCxn id="18" idx="0"/>
                        </wps:cNvCnPr>
                        <wps:spPr>
                          <a:xfrm>
                            <a:off x="4480560" y="2121535"/>
                            <a:ext cx="2540" cy="331442"/>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65" name="Polje z besedilom 65"/>
                        <wps:cNvSpPr txBox="1"/>
                        <wps:spPr>
                          <a:xfrm>
                            <a:off x="3259455" y="2452977"/>
                            <a:ext cx="2447290" cy="759350"/>
                          </a:xfrm>
                          <a:prstGeom prst="rect">
                            <a:avLst/>
                          </a:prstGeom>
                          <a:solidFill>
                            <a:schemeClr val="lt1"/>
                          </a:solidFill>
                          <a:ln w="6350">
                            <a:solidFill>
                              <a:prstClr val="black"/>
                            </a:solidFill>
                          </a:ln>
                        </wps:spPr>
                        <wps:txbx>
                          <w:txbxContent>
                            <w:p w14:paraId="5F7DD95F" w14:textId="77777777" w:rsidR="005B6D9E" w:rsidRPr="009921BC" w:rsidRDefault="005B6D9E" w:rsidP="005B6D9E">
                              <w:pPr>
                                <w:jc w:val="center"/>
                                <w:rPr>
                                  <w:sz w:val="21"/>
                                  <w:szCs w:val="21"/>
                                </w:rPr>
                              </w:pPr>
                              <w:r w:rsidRPr="009921BC">
                                <w:rPr>
                                  <w:sz w:val="21"/>
                                  <w:szCs w:val="21"/>
                                </w:rPr>
                                <w:t>Head of EU/CA Funds Management Division</w:t>
                              </w:r>
                            </w:p>
                            <w:p w14:paraId="7A08F709" w14:textId="77777777" w:rsidR="005B6D9E" w:rsidRPr="009921BC" w:rsidRDefault="005B6D9E" w:rsidP="005B6D9E">
                              <w:pPr>
                                <w:jc w:val="center"/>
                                <w:rPr>
                                  <w:b/>
                                  <w:sz w:val="21"/>
                                  <w:szCs w:val="21"/>
                                </w:rPr>
                              </w:pPr>
                              <w:r w:rsidRPr="009921BC">
                                <w:rPr>
                                  <w:b/>
                                  <w:sz w:val="21"/>
                                  <w:szCs w:val="21"/>
                                </w:rPr>
                                <w:t>Head of the Certifying Authority</w:t>
                              </w:r>
                            </w:p>
                            <w:p w14:paraId="44FA1931" w14:textId="77777777" w:rsidR="005B6D9E" w:rsidRDefault="005B6D9E" w:rsidP="005B6D9E"/>
                            <w:p w14:paraId="49A54FA2" w14:textId="77777777" w:rsidR="005B6D9E" w:rsidRDefault="005B6D9E" w:rsidP="005B6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a="http://schemas.openxmlformats.org/drawingml/2006/main" xmlns:a14="http://schemas.microsoft.com/office/drawing/2010/main" xmlns:arto="http://schemas.microsoft.com/office/word/2006/arto">
            <w:pict w14:anchorId="0AA3FBA4">
              <v:group id="Platno 16" style="width:453.55pt;height:421.2pt;mso-position-horizontal-relative:char;mso-position-vertical-relative:line" coordsize="57600,53492" o:spid="_x0000_s1026" editas="canvas" w14:anchorId="5A89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600;height:53492;visibility:visible;mso-wrap-style:square" type="#_x0000_t75">
                  <v:fill o:detectmouseclick="t"/>
                  <v:path o:connecttype="none"/>
                </v:shape>
                <v:shapetype id="_x0000_t202" coordsize="21600,21600" o:spt="202" path="m,l,21600r21600,l21600,xe">
                  <v:stroke joinstyle="miter"/>
                  <v:path gradientshapeok="t" o:connecttype="rect"/>
                </v:shapetype>
                <v:shape id="Text Box 4" style="position:absolute;left:19405;top:16592;width:11602;height:10713;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D266D8" w:rsidR="005B6D9E" w:rsidP="005B6D9E" w:rsidRDefault="005B6D9E" w14:paraId="565CC35A" w14:textId="77777777">
                        <w:pPr>
                          <w:jc w:val="center"/>
                          <w:rPr>
                            <w:szCs w:val="24"/>
                          </w:rPr>
                        </w:pPr>
                        <w:r>
                          <w:rPr>
                            <w:noProof/>
                            <w:szCs w:val="24"/>
                          </w:rPr>
                          <w:t>Budget Supervision Office of the Republic of Slovenia</w:t>
                        </w:r>
                      </w:p>
                    </w:txbxContent>
                  </v:textbox>
                </v:shape>
                <v:shape id="Text Box 5" style="position:absolute;left:1143;top:1911;width:13855;height:11049;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Pr="00242CC8" w:rsidR="005B6D9E" w:rsidP="005B6D9E" w:rsidRDefault="005B6D9E" w14:paraId="4C94B08C" w14:textId="77777777">
                        <w:pPr>
                          <w:jc w:val="center"/>
                          <w:rPr>
                            <w:szCs w:val="24"/>
                          </w:rPr>
                        </w:pPr>
                        <w:r w:rsidRPr="00242CC8">
                          <w:rPr>
                            <w:szCs w:val="24"/>
                          </w:rPr>
                          <w:t>Ministry of Cohesion and Regional Development</w:t>
                        </w:r>
                      </w:p>
                      <w:p w:rsidR="005B6D9E" w:rsidP="005B6D9E" w:rsidRDefault="005B6D9E" w14:paraId="2A1335AD" w14:textId="77777777">
                        <w:pPr>
                          <w:jc w:val="center"/>
                          <w:rPr>
                            <w:szCs w:val="24"/>
                            <w:lang w:val="de-DE"/>
                          </w:rPr>
                        </w:pPr>
                        <w:r>
                          <w:rPr>
                            <w:szCs w:val="24"/>
                            <w:lang w:val="de-DE"/>
                          </w:rPr>
                          <w:t>(MCRD)</w:t>
                        </w:r>
                      </w:p>
                      <w:p w:rsidR="005B6D9E" w:rsidP="005B6D9E" w:rsidRDefault="005B6D9E" w14:paraId="672A6659" w14:textId="77777777">
                        <w:pPr>
                          <w:jc w:val="center"/>
                          <w:rPr>
                            <w:szCs w:val="24"/>
                            <w:lang w:val="de-DE"/>
                          </w:rPr>
                        </w:pPr>
                      </w:p>
                    </w:txbxContent>
                  </v:textbox>
                </v:shape>
                <v:line id="Line 6" style="position:absolute;visibility:visible;mso-wrap-style:square" o:spid="_x0000_s1030" strokeweight="2.25pt" o:connectortype="straight" from="25279,27305" to="25285,3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sxAAAANoAAAAPAAAAZHJzL2Rvd25yZXYueG1sRI9Pa8JA&#10;FMTvBb/D8gRvdWMt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P9DM6zEAAAA2gAAAA8A&#10;AAAAAAAAAAAAAAAABwIAAGRycy9kb3ducmV2LnhtbFBLBQYAAAAAAwADALcAAAD4AgAAAAA=&#10;">
                  <v:stroke startarrow="block" endarrow="block"/>
                </v:line>
                <v:line id="Line 7" style="position:absolute;visibility:visible;mso-wrap-style:square" o:spid="_x0000_s1031" strokeweight="2.25pt" o:connectortype="straight" from="8108,31343" to="8115,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Y3xAAAANoAAAAPAAAAZHJzL2Rvd25yZXYueG1sRI9Pa8JA&#10;FMTvBb/D8gRvdWOl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JAPljfEAAAA2gAAAA8A&#10;AAAAAAAAAAAAAAAABwIAAGRycy9kb3ducmV2LnhtbFBLBQYAAAAAAwADALcAAAD4AgAAAAA=&#10;">
                  <v:stroke startarrow="block" endarrow="block"/>
                </v:line>
                <v:shape id="Text Box 8" style="position:absolute;left:32594;top:34772;width:24473;height:15702;visibility:visible;mso-wrap-style:square;v-text-anchor:top"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Pr="004A5AAC" w:rsidR="005B6D9E" w:rsidP="005B6D9E" w:rsidRDefault="008479EA" w14:paraId="19CE9FFD" w14:textId="752DBC64">
                        <w:pPr>
                          <w:jc w:val="center"/>
                          <w:rPr>
                            <w:szCs w:val="24"/>
                          </w:rPr>
                        </w:pPr>
                        <w:r w:rsidRPr="008479EA">
                          <w:rPr>
                            <w:szCs w:val="24"/>
                          </w:rPr>
                          <w:t>EU/CA Funds Management Division</w:t>
                        </w:r>
                      </w:p>
                      <w:p w:rsidRPr="004A5AAC" w:rsidR="005B6D9E" w:rsidP="005B6D9E" w:rsidRDefault="005B6D9E" w14:paraId="0A37501D" w14:textId="77777777">
                        <w:pPr>
                          <w:jc w:val="center"/>
                          <w:rPr>
                            <w:b/>
                            <w:szCs w:val="24"/>
                          </w:rPr>
                        </w:pPr>
                      </w:p>
                      <w:p w:rsidRPr="004A5AAC" w:rsidR="005B6D9E" w:rsidP="005B6D9E" w:rsidRDefault="005B6D9E" w14:paraId="5DF2F477" w14:textId="77777777">
                        <w:pPr>
                          <w:jc w:val="center"/>
                          <w:rPr>
                            <w:b/>
                            <w:szCs w:val="24"/>
                          </w:rPr>
                        </w:pPr>
                        <w:r w:rsidRPr="004A5AAC">
                          <w:rPr>
                            <w:b/>
                            <w:szCs w:val="24"/>
                          </w:rPr>
                          <w:t>Certifying</w:t>
                        </w:r>
                      </w:p>
                      <w:p w:rsidRPr="004A5AAC" w:rsidR="005B6D9E" w:rsidP="005B6D9E" w:rsidRDefault="005B6D9E" w14:paraId="0FB00C8A" w14:textId="77777777">
                        <w:pPr>
                          <w:jc w:val="center"/>
                          <w:rPr>
                            <w:b/>
                            <w:szCs w:val="24"/>
                          </w:rPr>
                        </w:pPr>
                        <w:r w:rsidRPr="004A5AAC">
                          <w:rPr>
                            <w:b/>
                            <w:szCs w:val="24"/>
                          </w:rPr>
                          <w:t>Authority</w:t>
                        </w:r>
                      </w:p>
                      <w:p w:rsidRPr="004A5AAC" w:rsidR="005B6D9E" w:rsidP="005B6D9E" w:rsidRDefault="005B6D9E" w14:paraId="5DAB6C7B" w14:textId="77777777">
                        <w:pPr>
                          <w:jc w:val="center"/>
                          <w:rPr>
                            <w:b/>
                            <w:szCs w:val="24"/>
                          </w:rPr>
                        </w:pPr>
                      </w:p>
                      <w:p w:rsidRPr="004A5AAC" w:rsidR="005B6D9E" w:rsidP="005B6D9E" w:rsidRDefault="005B6D9E" w14:paraId="29D6B04F" w14:textId="77777777">
                        <w:pPr>
                          <w:jc w:val="center"/>
                          <w:rPr>
                            <w:b/>
                            <w:szCs w:val="24"/>
                          </w:rPr>
                        </w:pPr>
                        <w:r w:rsidRPr="004A5AAC">
                          <w:rPr>
                            <w:b/>
                            <w:szCs w:val="24"/>
                          </w:rPr>
                          <w:t xml:space="preserve"> </w:t>
                        </w:r>
                      </w:p>
                    </w:txbxContent>
                  </v:textbox>
                </v:shape>
                <v:shape id="Text Box 9" style="position:absolute;left:32512;top:16592;width:24587;height:4623;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Pr="00D266D8" w:rsidR="005B6D9E" w:rsidP="005B6D9E" w:rsidRDefault="005B6D9E" w14:paraId="1638854B" w14:textId="77777777">
                        <w:pPr>
                          <w:jc w:val="center"/>
                          <w:rPr>
                            <w:szCs w:val="24"/>
                          </w:rPr>
                        </w:pPr>
                        <w:r>
                          <w:rPr>
                            <w:noProof/>
                            <w:szCs w:val="24"/>
                          </w:rPr>
                          <w:t>Budget Directorate</w:t>
                        </w:r>
                      </w:p>
                    </w:txbxContent>
                  </v:textbox>
                </v:shape>
                <v:shape id="Text Box 10" style="position:absolute;left:19284;top:2019;width:37815;height:4940;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Pr="00D266D8" w:rsidR="005B6D9E" w:rsidP="005B6D9E" w:rsidRDefault="005B6D9E" w14:paraId="61CC679B" w14:textId="77777777">
                        <w:pPr>
                          <w:spacing w:before="120"/>
                          <w:jc w:val="center"/>
                          <w:rPr>
                            <w:szCs w:val="24"/>
                          </w:rPr>
                        </w:pPr>
                        <w:r>
                          <w:rPr>
                            <w:szCs w:val="24"/>
                          </w:rPr>
                          <w:t>Ministry of Finance</w:t>
                        </w:r>
                      </w:p>
                    </w:txbxContent>
                  </v:textbox>
                </v:shape>
                <v:line id="Line 11" style="position:absolute;visibility:visible;mso-wrap-style:square" o:spid="_x0000_s1035" strokeweight="2.25pt" o:connectortype="straight" from="44926,6959" to="44932,1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">
                  <v:stroke startarrow="block" endarrow="block"/>
                </v:line>
                <v:line id="Line 12" style="position:absolute;visibility:visible;mso-wrap-style:square" o:spid="_x0000_s1036" strokeweight="2.25pt" o:connectortype="straight" from="8115,13004" to="8121,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">
                  <v:stroke startarrow="block" endarrow="block"/>
                </v:line>
                <v:line id="Line 13" style="position:absolute;visibility:visible;mso-wrap-style:square" o:spid="_x0000_s1037" strokeweight="2.25pt" o:connectortype="straight" from="24961,6959" to="24968,1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">
                  <v:stroke startarrow="block" endarrow="block"/>
                </v:line>
                <v:shape id="Text Box 14" style="position:absolute;left:19532;top:32721;width:11475;height:17753;visibility:visible;mso-wrap-style:square;v-text-anchor:top"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5B6D9E" w:rsidP="005B6D9E" w:rsidRDefault="005B6D9E" w14:paraId="24786D7A" w14:textId="77777777">
                        <w:pPr>
                          <w:jc w:val="center"/>
                          <w:rPr>
                            <w:b/>
                            <w:szCs w:val="24"/>
                          </w:rPr>
                        </w:pPr>
                        <w:r>
                          <w:t>European Shared Management Funds Audit Division</w:t>
                        </w:r>
                      </w:p>
                      <w:p w:rsidRPr="00D266D8" w:rsidR="005B6D9E" w:rsidP="005B6D9E" w:rsidRDefault="005B6D9E" w14:paraId="7F06585F" w14:textId="77777777">
                        <w:pPr>
                          <w:jc w:val="center"/>
                          <w:rPr>
                            <w:b/>
                            <w:szCs w:val="24"/>
                          </w:rPr>
                        </w:pPr>
                        <w:r w:rsidRPr="00D266D8">
                          <w:rPr>
                            <w:b/>
                            <w:szCs w:val="24"/>
                          </w:rPr>
                          <w:t>Audit Authority</w:t>
                        </w:r>
                      </w:p>
                    </w:txbxContent>
                  </v:textbox>
                </v:shape>
                <v:shape id="Text Box 15" style="position:absolute;left:1244;top:16510;width:13856;height:14903;visibility:visible;mso-wrap-style:square;v-text-anchor:top" o:spid="_x0000_s103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5B6D9E" w:rsidP="005B6D9E" w:rsidRDefault="005B6D9E" w14:paraId="5A6F4E1C" w14:textId="77777777">
                        <w:pPr>
                          <w:jc w:val="center"/>
                          <w:rPr>
                            <w:bCs/>
                            <w:lang w:val="en"/>
                          </w:rPr>
                        </w:pPr>
                        <w:r>
                          <w:rPr>
                            <w:bCs/>
                            <w:lang w:val="en"/>
                          </w:rPr>
                          <w:t xml:space="preserve">Head of </w:t>
                        </w:r>
                        <w:r w:rsidRPr="000C02B0">
                          <w:rPr>
                            <w:bCs/>
                            <w:lang w:val="en"/>
                          </w:rPr>
                          <w:t>Financial Mechanism</w:t>
                        </w:r>
                        <w:r>
                          <w:rPr>
                            <w:bCs/>
                            <w:lang w:val="en"/>
                          </w:rPr>
                          <w:t>s</w:t>
                        </w:r>
                        <w:r>
                          <w:rPr>
                            <w:b/>
                            <w:bCs/>
                            <w:lang w:val="en"/>
                          </w:rPr>
                          <w:t xml:space="preserve"> </w:t>
                        </w:r>
                        <w:r>
                          <w:rPr>
                            <w:bCs/>
                            <w:lang w:val="en"/>
                          </w:rPr>
                          <w:t>Division</w:t>
                        </w:r>
                      </w:p>
                      <w:p w:rsidR="005B6D9E" w:rsidP="005B6D9E" w:rsidRDefault="005B6D9E" w14:paraId="02EB378F" w14:textId="77777777">
                        <w:pPr>
                          <w:jc w:val="center"/>
                          <w:rPr>
                            <w:b/>
                            <w:bCs/>
                            <w:lang w:val="en"/>
                          </w:rPr>
                        </w:pPr>
                      </w:p>
                      <w:p w:rsidRPr="00D266D8" w:rsidR="005B6D9E" w:rsidP="005B6D9E" w:rsidRDefault="005B6D9E" w14:paraId="28AB0874" w14:textId="77777777">
                        <w:pPr>
                          <w:jc w:val="center"/>
                          <w:rPr>
                            <w:b/>
                            <w:szCs w:val="24"/>
                          </w:rPr>
                        </w:pPr>
                        <w:r w:rsidRPr="00D266D8">
                          <w:rPr>
                            <w:b/>
                            <w:bCs/>
                            <w:lang w:val="en"/>
                          </w:rPr>
                          <w:t>Head of the National Focal Point</w:t>
                        </w:r>
                      </w:p>
                    </w:txbxContent>
                  </v:textbox>
                </v:shape>
                <v:shape id="Text Box 16" style="position:absolute;left:1244;top:36252;width:13856;height:14222;visibility:visible;mso-wrap-style:square;v-text-anchor:top" o:spid="_x0000_s104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5B6D9E" w:rsidP="005B6D9E" w:rsidRDefault="005B6D9E" w14:paraId="7ECAA44C" w14:textId="77777777">
                        <w:pPr>
                          <w:jc w:val="center"/>
                          <w:rPr>
                            <w:b/>
                            <w:szCs w:val="24"/>
                            <w:lang w:val="de-DE"/>
                          </w:rPr>
                        </w:pPr>
                        <w:r>
                          <w:rPr>
                            <w:szCs w:val="24"/>
                            <w:lang w:val="de-DE"/>
                          </w:rPr>
                          <w:t>Financial Mechanisms Division</w:t>
                        </w:r>
                      </w:p>
                      <w:p w:rsidR="005B6D9E" w:rsidP="005B6D9E" w:rsidRDefault="005B6D9E" w14:paraId="6A05A809" w14:textId="77777777">
                        <w:pPr>
                          <w:jc w:val="center"/>
                          <w:rPr>
                            <w:b/>
                            <w:color w:val="000000"/>
                            <w:szCs w:val="24"/>
                          </w:rPr>
                        </w:pPr>
                      </w:p>
                      <w:p w:rsidR="005B6D9E" w:rsidP="005B6D9E" w:rsidRDefault="005B6D9E" w14:paraId="371411E3" w14:textId="77777777">
                        <w:pPr>
                          <w:jc w:val="center"/>
                          <w:rPr>
                            <w:szCs w:val="24"/>
                            <w:lang w:val="de-DE"/>
                          </w:rPr>
                        </w:pPr>
                        <w:r>
                          <w:rPr>
                            <w:b/>
                            <w:color w:val="000000"/>
                            <w:szCs w:val="24"/>
                          </w:rPr>
                          <w:t>National Focal Point</w:t>
                        </w:r>
                        <w:r>
                          <w:rPr>
                            <w:b/>
                            <w:szCs w:val="24"/>
                            <w:lang w:val="de-DE"/>
                          </w:rPr>
                          <w:t xml:space="preserve"> </w:t>
                        </w:r>
                      </w:p>
                    </w:txbxContent>
                  </v:textbox>
                </v:shape>
                <v:line id="Line 17" style="position:absolute;visibility:visible;mso-wrap-style:square" o:spid="_x0000_s1041" strokeweight="2.25pt" o:connectortype="straight" from="44850,32123" to="44856,3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">
                  <v:stroke startarrow="block" endarrow="block"/>
                </v:line>
                <v:rect id="Pravokotnik 18" style="position:absolute;left:32594;top:24529;width:24473;height:7594;visibility:visible;mso-wrap-style:square;v-text-anchor:middle" o:spid="_x0000_s1042"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v:shapetype id="_x0000_t32" coordsize="21600,21600" o:oned="t" filled="f" o:spt="32" path="m,l21600,21600e">
                  <v:path fillok="f" arrowok="t" o:connecttype="none"/>
                  <o:lock v:ext="edit" shapetype="t"/>
                </v:shapetype>
                <v:shape id="Raven puščični povezovalnik 20" style="position:absolute;left:44805;top:21215;width:26;height:3314;visibility:visible;mso-wrap-style:square" o:spid="_x0000_s1043" strokecolor="black [320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">
                  <v:stroke joinstyle="miter" startarrow="block" endarrow="block"/>
                </v:shape>
                <v:shape id="Polje z besedilom 65" style="position:absolute;left:32594;top:24529;width:24473;height:7594;visibility:visible;mso-wrap-style:square;v-text-anchor:top" o:spid="_x0000_s1044"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v:textbox>
                    <w:txbxContent>
                      <w:p w:rsidRPr="009921BC" w:rsidR="005B6D9E" w:rsidP="005B6D9E" w:rsidRDefault="005B6D9E" w14:paraId="36349F2E" w14:textId="77777777">
                        <w:pPr>
                          <w:jc w:val="center"/>
                          <w:rPr>
                            <w:sz w:val="21"/>
                            <w:szCs w:val="21"/>
                          </w:rPr>
                        </w:pPr>
                        <w:r w:rsidRPr="009921BC">
                          <w:rPr>
                            <w:sz w:val="21"/>
                            <w:szCs w:val="21"/>
                          </w:rPr>
                          <w:t>Head of EU/CA Funds Management Division</w:t>
                        </w:r>
                      </w:p>
                      <w:p w:rsidRPr="009921BC" w:rsidR="005B6D9E" w:rsidP="005B6D9E" w:rsidRDefault="005B6D9E" w14:paraId="12F60888" w14:textId="77777777">
                        <w:pPr>
                          <w:jc w:val="center"/>
                          <w:rPr>
                            <w:b/>
                            <w:sz w:val="21"/>
                            <w:szCs w:val="21"/>
                          </w:rPr>
                        </w:pPr>
                        <w:r w:rsidRPr="009921BC">
                          <w:rPr>
                            <w:b/>
                            <w:sz w:val="21"/>
                            <w:szCs w:val="21"/>
                          </w:rPr>
                          <w:t>Head of the Certifying Authority</w:t>
                        </w:r>
                      </w:p>
                      <w:p w:rsidR="005B6D9E" w:rsidP="005B6D9E" w:rsidRDefault="005B6D9E" w14:paraId="5A39BBE3" w14:textId="77777777"/>
                      <w:p w:rsidR="005B6D9E" w:rsidP="005B6D9E" w:rsidRDefault="005B6D9E" w14:paraId="41C8F396" w14:textId="77777777"/>
                    </w:txbxContent>
                  </v:textbox>
                </v:shape>
                <w10:anchorlock/>
              </v:group>
            </w:pict>
          </mc:Fallback>
        </mc:AlternateContent>
      </w:r>
      <w:r w:rsidR="00D469FF">
        <w:rPr>
          <w:sz w:val="24"/>
          <w:szCs w:val="24"/>
        </w:rPr>
        <w:br w:type="column"/>
      </w:r>
      <w:r w:rsidR="00D469FF" w:rsidRPr="00B70149">
        <w:rPr>
          <w:sz w:val="24"/>
          <w:szCs w:val="24"/>
        </w:rPr>
        <w:lastRenderedPageBreak/>
        <w:t>ANNEX B</w:t>
      </w:r>
    </w:p>
    <w:p w14:paraId="6B63BB3F" w14:textId="77777777" w:rsidR="00D469FF" w:rsidRPr="00B70149" w:rsidRDefault="00D469FF">
      <w:pPr>
        <w:jc w:val="center"/>
        <w:rPr>
          <w:b/>
          <w:bCs/>
          <w:sz w:val="28"/>
          <w:szCs w:val="28"/>
        </w:rPr>
      </w:pPr>
      <w:r w:rsidRPr="00B70149">
        <w:rPr>
          <w:b/>
          <w:bCs/>
          <w:sz w:val="28"/>
          <w:szCs w:val="28"/>
        </w:rPr>
        <w:t>Implementation framework</w:t>
      </w:r>
    </w:p>
    <w:p w14:paraId="265E43C5" w14:textId="55F90460" w:rsidR="00D469FF" w:rsidRDefault="00D469FF">
      <w:pPr>
        <w:pStyle w:val="MoUparagraphs"/>
      </w:pPr>
      <w:r w:rsidRPr="00B70149">
        <w:t xml:space="preserve">In accordance with Article 2.5 of the Regulation, the Parties to this Memorandum of Understanding have agreed on an implementation framework outlined in this annex. </w:t>
      </w:r>
    </w:p>
    <w:p w14:paraId="726BC6A1" w14:textId="77777777" w:rsidR="00D469FF" w:rsidRPr="00B70149" w:rsidRDefault="00D469FF">
      <w:pPr>
        <w:pStyle w:val="MoUparagraphs"/>
      </w:pPr>
    </w:p>
    <w:p w14:paraId="76323956" w14:textId="5B96F45A" w:rsidR="00D469FF" w:rsidRPr="00D06C55" w:rsidRDefault="00D469FF" w:rsidP="00D06C55">
      <w:pPr>
        <w:pStyle w:val="Undertittel"/>
      </w:pPr>
      <w:r w:rsidRPr="00B70149">
        <w:t>1. Financial parameters of the implementation framework</w:t>
      </w:r>
    </w:p>
    <w:tbl>
      <w:tblPr>
        <w:tblW w:w="7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239"/>
        <w:gridCol w:w="1687"/>
        <w:gridCol w:w="1560"/>
      </w:tblGrid>
      <w:tr w:rsidR="00351153" w:rsidRPr="004D598D" w14:paraId="63463CDB" w14:textId="77777777" w:rsidTr="00AD206B">
        <w:tc>
          <w:tcPr>
            <w:tcW w:w="468" w:type="dxa"/>
            <w:shd w:val="clear" w:color="auto" w:fill="C0C0C0"/>
          </w:tcPr>
          <w:p w14:paraId="1D45BB70" w14:textId="77777777" w:rsidR="00351153" w:rsidRPr="004D598D" w:rsidRDefault="00351153" w:rsidP="00AD206B">
            <w:pPr>
              <w:jc w:val="center"/>
              <w:rPr>
                <w:b/>
              </w:rPr>
            </w:pPr>
          </w:p>
        </w:tc>
        <w:tc>
          <w:tcPr>
            <w:tcW w:w="4239" w:type="dxa"/>
            <w:shd w:val="clear" w:color="auto" w:fill="C0C0C0"/>
          </w:tcPr>
          <w:p w14:paraId="17347342" w14:textId="77777777" w:rsidR="00351153" w:rsidRPr="004D598D" w:rsidRDefault="00351153" w:rsidP="00AD206B">
            <w:pPr>
              <w:rPr>
                <w:b/>
              </w:rPr>
            </w:pPr>
            <w:r>
              <w:rPr>
                <w:b/>
              </w:rPr>
              <w:t>Slovenia</w:t>
            </w:r>
          </w:p>
          <w:p w14:paraId="52366DF6" w14:textId="77777777" w:rsidR="00351153" w:rsidRPr="004D598D" w:rsidRDefault="00351153" w:rsidP="00AD206B">
            <w:pPr>
              <w:rPr>
                <w:b/>
              </w:rPr>
            </w:pPr>
          </w:p>
          <w:p w14:paraId="0D255F0C" w14:textId="77777777" w:rsidR="00351153" w:rsidRPr="004D598D" w:rsidRDefault="00351153" w:rsidP="00AD206B">
            <w:pPr>
              <w:rPr>
                <w:b/>
              </w:rPr>
            </w:pPr>
          </w:p>
        </w:tc>
        <w:tc>
          <w:tcPr>
            <w:tcW w:w="1687" w:type="dxa"/>
            <w:vMerge w:val="restart"/>
            <w:shd w:val="clear" w:color="auto" w:fill="C0C0C0"/>
          </w:tcPr>
          <w:p w14:paraId="6DBBF951" w14:textId="77777777" w:rsidR="00351153" w:rsidRPr="004D598D" w:rsidRDefault="00351153" w:rsidP="00AD206B">
            <w:pPr>
              <w:jc w:val="center"/>
              <w:rPr>
                <w:b/>
              </w:rPr>
            </w:pPr>
            <w:r>
              <w:rPr>
                <w:b/>
              </w:rPr>
              <w:t>Norwegian</w:t>
            </w:r>
            <w:r w:rsidRPr="004D598D">
              <w:rPr>
                <w:b/>
              </w:rPr>
              <w:t xml:space="preserve"> FM contribution</w:t>
            </w:r>
          </w:p>
        </w:tc>
        <w:tc>
          <w:tcPr>
            <w:tcW w:w="1560" w:type="dxa"/>
            <w:vMerge w:val="restart"/>
            <w:shd w:val="clear" w:color="auto" w:fill="C0C0C0"/>
          </w:tcPr>
          <w:p w14:paraId="5F588DD6" w14:textId="77777777" w:rsidR="00351153" w:rsidRPr="004D598D" w:rsidRDefault="00351153" w:rsidP="00AD206B">
            <w:pPr>
              <w:jc w:val="center"/>
              <w:rPr>
                <w:b/>
              </w:rPr>
            </w:pPr>
            <w:r w:rsidRPr="004D598D">
              <w:rPr>
                <w:b/>
              </w:rPr>
              <w:t>National contribution</w:t>
            </w:r>
          </w:p>
        </w:tc>
      </w:tr>
      <w:tr w:rsidR="00351153" w:rsidRPr="004D598D" w14:paraId="1BDBECA3" w14:textId="77777777" w:rsidTr="00AD206B">
        <w:tc>
          <w:tcPr>
            <w:tcW w:w="468" w:type="dxa"/>
            <w:shd w:val="clear" w:color="auto" w:fill="C0C0C0"/>
          </w:tcPr>
          <w:p w14:paraId="18998FE7" w14:textId="77777777" w:rsidR="00351153" w:rsidRPr="004D598D" w:rsidRDefault="00351153" w:rsidP="00AD206B">
            <w:pPr>
              <w:jc w:val="center"/>
              <w:rPr>
                <w:b/>
              </w:rPr>
            </w:pPr>
          </w:p>
        </w:tc>
        <w:tc>
          <w:tcPr>
            <w:tcW w:w="4239" w:type="dxa"/>
            <w:shd w:val="clear" w:color="auto" w:fill="C0C0C0"/>
          </w:tcPr>
          <w:p w14:paraId="56324B70" w14:textId="77777777" w:rsidR="00351153" w:rsidRPr="004D598D" w:rsidRDefault="00351153" w:rsidP="00AD206B">
            <w:pPr>
              <w:rPr>
                <w:b/>
              </w:rPr>
            </w:pPr>
            <w:r w:rsidRPr="004D598D">
              <w:rPr>
                <w:b/>
              </w:rPr>
              <w:t xml:space="preserve">Programmes </w:t>
            </w:r>
          </w:p>
        </w:tc>
        <w:tc>
          <w:tcPr>
            <w:tcW w:w="1687" w:type="dxa"/>
            <w:vMerge/>
          </w:tcPr>
          <w:p w14:paraId="6284DC34" w14:textId="77777777" w:rsidR="00351153" w:rsidRPr="004D598D" w:rsidRDefault="00351153" w:rsidP="00AD206B">
            <w:pPr>
              <w:jc w:val="center"/>
              <w:rPr>
                <w:b/>
                <w:sz w:val="18"/>
                <w:szCs w:val="18"/>
              </w:rPr>
            </w:pPr>
          </w:p>
        </w:tc>
        <w:tc>
          <w:tcPr>
            <w:tcW w:w="1560" w:type="dxa"/>
            <w:vMerge/>
          </w:tcPr>
          <w:p w14:paraId="1E00B2E6" w14:textId="77777777" w:rsidR="00351153" w:rsidRPr="004D598D" w:rsidRDefault="00351153" w:rsidP="00AD206B">
            <w:pPr>
              <w:jc w:val="center"/>
              <w:rPr>
                <w:b/>
                <w:sz w:val="18"/>
                <w:szCs w:val="18"/>
              </w:rPr>
            </w:pPr>
          </w:p>
        </w:tc>
      </w:tr>
      <w:tr w:rsidR="00351153" w:rsidRPr="004D598D" w14:paraId="019660F2" w14:textId="77777777" w:rsidTr="00AD206B">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1DCD7" w14:textId="77777777" w:rsidR="00351153" w:rsidRPr="004D598D" w:rsidRDefault="00351153" w:rsidP="00AD206B">
            <w:pPr>
              <w:jc w:val="center"/>
            </w:pPr>
            <w:r w:rsidRPr="004D598D">
              <w:t>1</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203B7" w14:textId="77777777" w:rsidR="00351153" w:rsidRPr="004D598D" w:rsidRDefault="00351153" w:rsidP="00AD206B">
            <w:r>
              <w:rPr>
                <w:bCs/>
                <w:color w:val="000000"/>
              </w:rPr>
              <w:t>Public Health</w:t>
            </w:r>
            <w:r w:rsidRPr="004D598D" w:rsidDel="00416F82">
              <w:t xml:space="preserve">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554A1" w14:textId="6B6AF031" w:rsidR="00351153" w:rsidRPr="0060667D" w:rsidRDefault="00351153" w:rsidP="00AD206B">
            <w:pPr>
              <w:jc w:val="right"/>
            </w:pPr>
            <w:r w:rsidRPr="0060667D">
              <w:t>€ 19,</w:t>
            </w:r>
            <w:r>
              <w:t>200,000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C7376" w14:textId="77777777" w:rsidR="00351153" w:rsidRPr="0060667D" w:rsidRDefault="00351153" w:rsidP="00AD206B">
            <w:pPr>
              <w:jc w:val="right"/>
            </w:pPr>
            <w:r w:rsidRPr="0060667D">
              <w:t>€ 3,</w:t>
            </w:r>
            <w:r>
              <w:t>388,235</w:t>
            </w:r>
          </w:p>
        </w:tc>
      </w:tr>
      <w:tr w:rsidR="00351153" w:rsidRPr="004D598D" w14:paraId="01B8CE04" w14:textId="77777777" w:rsidTr="00AD206B">
        <w:tc>
          <w:tcPr>
            <w:tcW w:w="468" w:type="dxa"/>
            <w:shd w:val="clear" w:color="auto" w:fill="C0C0C0"/>
          </w:tcPr>
          <w:p w14:paraId="0111C6AF" w14:textId="77777777" w:rsidR="00351153" w:rsidRPr="004D598D" w:rsidRDefault="00351153" w:rsidP="00AD206B">
            <w:pPr>
              <w:jc w:val="center"/>
              <w:rPr>
                <w:b/>
              </w:rPr>
            </w:pPr>
          </w:p>
        </w:tc>
        <w:tc>
          <w:tcPr>
            <w:tcW w:w="4239" w:type="dxa"/>
            <w:shd w:val="clear" w:color="auto" w:fill="C0C0C0"/>
          </w:tcPr>
          <w:p w14:paraId="21FFE5D8" w14:textId="77777777" w:rsidR="00351153" w:rsidRPr="004D598D" w:rsidRDefault="00351153" w:rsidP="00AD206B">
            <w:pPr>
              <w:rPr>
                <w:b/>
              </w:rPr>
            </w:pPr>
            <w:r w:rsidRPr="004D598D">
              <w:rPr>
                <w:b/>
              </w:rPr>
              <w:t>Other allocations</w:t>
            </w:r>
          </w:p>
        </w:tc>
        <w:tc>
          <w:tcPr>
            <w:tcW w:w="1687" w:type="dxa"/>
          </w:tcPr>
          <w:p w14:paraId="71214C45" w14:textId="77777777" w:rsidR="00351153" w:rsidRPr="0060667D" w:rsidRDefault="00351153" w:rsidP="00AD206B">
            <w:pPr>
              <w:jc w:val="right"/>
            </w:pPr>
          </w:p>
        </w:tc>
        <w:tc>
          <w:tcPr>
            <w:tcW w:w="1560" w:type="dxa"/>
          </w:tcPr>
          <w:p w14:paraId="2577D87C" w14:textId="77777777" w:rsidR="00351153" w:rsidRPr="0060667D" w:rsidRDefault="00351153" w:rsidP="00AD206B">
            <w:pPr>
              <w:jc w:val="right"/>
            </w:pPr>
          </w:p>
        </w:tc>
      </w:tr>
      <w:tr w:rsidR="00351153" w:rsidRPr="004D598D" w14:paraId="2A34A0CE" w14:textId="77777777" w:rsidTr="00AD206B">
        <w:tc>
          <w:tcPr>
            <w:tcW w:w="468" w:type="dxa"/>
          </w:tcPr>
          <w:p w14:paraId="29C40F13" w14:textId="77777777" w:rsidR="00351153" w:rsidRPr="004D598D" w:rsidRDefault="00351153" w:rsidP="00AD206B">
            <w:pPr>
              <w:jc w:val="center"/>
            </w:pPr>
          </w:p>
        </w:tc>
        <w:tc>
          <w:tcPr>
            <w:tcW w:w="4239" w:type="dxa"/>
          </w:tcPr>
          <w:p w14:paraId="61831868" w14:textId="77777777" w:rsidR="00351153" w:rsidRPr="004D598D" w:rsidRDefault="00351153" w:rsidP="00AD206B">
            <w:r w:rsidRPr="004D598D">
              <w:t>Technical assistance to the Beneficiary State (Art. 1.10)</w:t>
            </w:r>
          </w:p>
        </w:tc>
        <w:tc>
          <w:tcPr>
            <w:tcW w:w="1687" w:type="dxa"/>
          </w:tcPr>
          <w:p w14:paraId="7D4C29B7" w14:textId="77777777" w:rsidR="00351153" w:rsidRPr="0060667D" w:rsidRDefault="00351153" w:rsidP="00AD206B">
            <w:pPr>
              <w:jc w:val="right"/>
            </w:pPr>
            <w:r w:rsidRPr="0060667D">
              <w:t>€ 722,09</w:t>
            </w:r>
            <w:r>
              <w:t>4</w:t>
            </w:r>
          </w:p>
        </w:tc>
        <w:tc>
          <w:tcPr>
            <w:tcW w:w="1560" w:type="dxa"/>
          </w:tcPr>
          <w:p w14:paraId="6DE94CCF" w14:textId="77777777" w:rsidR="00351153" w:rsidRPr="0060667D" w:rsidRDefault="00351153" w:rsidP="00AD206B">
            <w:pPr>
              <w:jc w:val="right"/>
            </w:pPr>
            <w:r w:rsidRPr="0060667D">
              <w:t>N/A</w:t>
            </w:r>
          </w:p>
        </w:tc>
      </w:tr>
      <w:tr w:rsidR="00351153" w:rsidRPr="004D598D" w14:paraId="350DC57B" w14:textId="77777777" w:rsidTr="00AD206B">
        <w:tc>
          <w:tcPr>
            <w:tcW w:w="468" w:type="dxa"/>
          </w:tcPr>
          <w:p w14:paraId="4009BF33" w14:textId="77777777" w:rsidR="00351153" w:rsidRPr="004D598D" w:rsidRDefault="00351153" w:rsidP="00AD206B">
            <w:pPr>
              <w:jc w:val="center"/>
            </w:pPr>
          </w:p>
        </w:tc>
        <w:tc>
          <w:tcPr>
            <w:tcW w:w="4239" w:type="dxa"/>
          </w:tcPr>
          <w:p w14:paraId="50F8E27D" w14:textId="77777777" w:rsidR="00351153" w:rsidRPr="004D598D" w:rsidRDefault="00351153" w:rsidP="00AD206B">
            <w:r w:rsidRPr="004D598D">
              <w:t>Reserve for completion of projects under FM 2014-21 (Art. 1.11)</w:t>
            </w:r>
          </w:p>
        </w:tc>
        <w:tc>
          <w:tcPr>
            <w:tcW w:w="1687" w:type="dxa"/>
          </w:tcPr>
          <w:p w14:paraId="7715C2E1" w14:textId="77777777" w:rsidR="00351153" w:rsidRPr="0060667D" w:rsidRDefault="00351153" w:rsidP="00AD206B">
            <w:pPr>
              <w:jc w:val="right"/>
            </w:pPr>
            <w:r w:rsidRPr="0060667D">
              <w:t>€ 0</w:t>
            </w:r>
          </w:p>
        </w:tc>
        <w:tc>
          <w:tcPr>
            <w:tcW w:w="1560" w:type="dxa"/>
          </w:tcPr>
          <w:p w14:paraId="18E21A0B" w14:textId="77777777" w:rsidR="00351153" w:rsidRPr="0060667D" w:rsidRDefault="00351153" w:rsidP="00AD206B">
            <w:pPr>
              <w:jc w:val="right"/>
            </w:pPr>
            <w:r w:rsidRPr="0060667D">
              <w:t>€ 0</w:t>
            </w:r>
          </w:p>
        </w:tc>
      </w:tr>
      <w:tr w:rsidR="00351153" w:rsidRPr="004D598D" w14:paraId="701DB166" w14:textId="77777777" w:rsidTr="00AD206B">
        <w:tc>
          <w:tcPr>
            <w:tcW w:w="468" w:type="dxa"/>
            <w:tcBorders>
              <w:bottom w:val="single" w:sz="4" w:space="0" w:color="000000" w:themeColor="text1"/>
            </w:tcBorders>
          </w:tcPr>
          <w:p w14:paraId="6C5DBCF9" w14:textId="77777777" w:rsidR="00351153" w:rsidRPr="004D598D" w:rsidRDefault="00351153" w:rsidP="00AD206B">
            <w:pPr>
              <w:jc w:val="center"/>
            </w:pPr>
          </w:p>
        </w:tc>
        <w:tc>
          <w:tcPr>
            <w:tcW w:w="4239" w:type="dxa"/>
            <w:tcBorders>
              <w:bottom w:val="single" w:sz="4" w:space="0" w:color="000000" w:themeColor="text1"/>
            </w:tcBorders>
          </w:tcPr>
          <w:p w14:paraId="63278C9F" w14:textId="77777777" w:rsidR="00351153" w:rsidRPr="004D598D" w:rsidRDefault="00351153" w:rsidP="00AD206B">
            <w:r w:rsidRPr="004D598D">
              <w:t>Funds for bilateral relations at national level (Art. 4.7)</w:t>
            </w:r>
          </w:p>
        </w:tc>
        <w:tc>
          <w:tcPr>
            <w:tcW w:w="1687" w:type="dxa"/>
          </w:tcPr>
          <w:p w14:paraId="7F4AACD0" w14:textId="77777777" w:rsidR="00351153" w:rsidRPr="0060667D" w:rsidRDefault="00351153" w:rsidP="00AD206B">
            <w:pPr>
              <w:jc w:val="right"/>
            </w:pPr>
            <w:r w:rsidRPr="0060667D">
              <w:t xml:space="preserve">€ </w:t>
            </w:r>
            <w:r>
              <w:t>331,738</w:t>
            </w:r>
          </w:p>
        </w:tc>
        <w:tc>
          <w:tcPr>
            <w:tcW w:w="1560" w:type="dxa"/>
          </w:tcPr>
          <w:p w14:paraId="6ED4ADD5" w14:textId="77777777" w:rsidR="00351153" w:rsidRPr="0060667D" w:rsidRDefault="00351153" w:rsidP="00AD206B">
            <w:pPr>
              <w:jc w:val="right"/>
            </w:pPr>
            <w:r w:rsidRPr="00385658">
              <w:t>N/A</w:t>
            </w:r>
          </w:p>
        </w:tc>
      </w:tr>
      <w:tr w:rsidR="00351153" w:rsidRPr="004D598D" w14:paraId="1B389E8C" w14:textId="77777777" w:rsidTr="00AD206B">
        <w:tc>
          <w:tcPr>
            <w:tcW w:w="468" w:type="dxa"/>
            <w:tcBorders>
              <w:bottom w:val="single" w:sz="4" w:space="0" w:color="000000" w:themeColor="text1"/>
            </w:tcBorders>
          </w:tcPr>
          <w:p w14:paraId="3E2B7AFC" w14:textId="77777777" w:rsidR="00351153" w:rsidRPr="004D598D" w:rsidRDefault="00351153" w:rsidP="00AD206B">
            <w:pPr>
              <w:jc w:val="center"/>
            </w:pPr>
          </w:p>
        </w:tc>
        <w:tc>
          <w:tcPr>
            <w:tcW w:w="4239" w:type="dxa"/>
            <w:tcBorders>
              <w:bottom w:val="single" w:sz="4" w:space="0" w:color="000000" w:themeColor="text1"/>
            </w:tcBorders>
          </w:tcPr>
          <w:p w14:paraId="2519E2CD" w14:textId="77777777" w:rsidR="00351153" w:rsidRPr="004D598D" w:rsidRDefault="00351153" w:rsidP="00AD206B">
            <w:r w:rsidRPr="004D598D">
              <w:t>Funds for bilateral relations at programme level (Art. 4.10)</w:t>
            </w:r>
          </w:p>
        </w:tc>
        <w:tc>
          <w:tcPr>
            <w:tcW w:w="1687" w:type="dxa"/>
          </w:tcPr>
          <w:p w14:paraId="6D1E905C" w14:textId="77777777" w:rsidR="00351153" w:rsidRPr="0060667D" w:rsidRDefault="00351153" w:rsidP="00AD206B">
            <w:pPr>
              <w:jc w:val="right"/>
            </w:pPr>
            <w:r w:rsidRPr="0060667D">
              <w:t xml:space="preserve">€ </w:t>
            </w:r>
            <w:r>
              <w:t>130,000</w:t>
            </w:r>
          </w:p>
        </w:tc>
        <w:tc>
          <w:tcPr>
            <w:tcW w:w="1560" w:type="dxa"/>
          </w:tcPr>
          <w:p w14:paraId="48951AF9" w14:textId="77777777" w:rsidR="00351153" w:rsidRPr="0060667D" w:rsidRDefault="00351153" w:rsidP="00AD206B">
            <w:pPr>
              <w:jc w:val="right"/>
            </w:pPr>
            <w:r w:rsidRPr="00385658">
              <w:t>N/A</w:t>
            </w:r>
          </w:p>
        </w:tc>
      </w:tr>
      <w:tr w:rsidR="00351153" w:rsidRPr="004D598D" w14:paraId="27304E8F" w14:textId="77777777" w:rsidTr="00AD206B">
        <w:tc>
          <w:tcPr>
            <w:tcW w:w="468" w:type="dxa"/>
            <w:shd w:val="clear" w:color="auto" w:fill="C0C0C0"/>
          </w:tcPr>
          <w:p w14:paraId="66271D66" w14:textId="77777777" w:rsidR="00351153" w:rsidRPr="004D598D" w:rsidRDefault="00351153" w:rsidP="00AD206B">
            <w:pPr>
              <w:jc w:val="center"/>
            </w:pPr>
          </w:p>
        </w:tc>
        <w:tc>
          <w:tcPr>
            <w:tcW w:w="4239" w:type="dxa"/>
            <w:shd w:val="clear" w:color="auto" w:fill="C0C0C0"/>
          </w:tcPr>
          <w:p w14:paraId="059FC945" w14:textId="77777777" w:rsidR="00351153" w:rsidRPr="004D598D" w:rsidRDefault="00351153" w:rsidP="00AD206B">
            <w:r w:rsidRPr="004D598D">
              <w:t xml:space="preserve">Net allocation to </w:t>
            </w:r>
            <w:r>
              <w:t>Slovenia</w:t>
            </w:r>
          </w:p>
        </w:tc>
        <w:tc>
          <w:tcPr>
            <w:tcW w:w="1687" w:type="dxa"/>
          </w:tcPr>
          <w:p w14:paraId="5DF90F2A" w14:textId="77777777" w:rsidR="00351153" w:rsidRPr="0060667D" w:rsidRDefault="00351153" w:rsidP="00AD206B">
            <w:pPr>
              <w:jc w:val="right"/>
            </w:pPr>
            <w:r w:rsidRPr="0060667D">
              <w:t>€ 2</w:t>
            </w:r>
            <w:r>
              <w:t>0</w:t>
            </w:r>
            <w:r w:rsidRPr="0060667D">
              <w:t>,383,83</w:t>
            </w:r>
            <w:r>
              <w:t>2</w:t>
            </w:r>
          </w:p>
        </w:tc>
        <w:tc>
          <w:tcPr>
            <w:tcW w:w="1560" w:type="dxa"/>
          </w:tcPr>
          <w:p w14:paraId="36C7B9D1" w14:textId="77777777" w:rsidR="00351153" w:rsidRPr="0060667D" w:rsidRDefault="00351153" w:rsidP="00AD206B">
            <w:pPr>
              <w:jc w:val="right"/>
            </w:pPr>
            <w:r w:rsidRPr="0060667D">
              <w:t>€ 3,</w:t>
            </w:r>
            <w:r>
              <w:t>388,235</w:t>
            </w:r>
          </w:p>
        </w:tc>
      </w:tr>
    </w:tbl>
    <w:p w14:paraId="25F50235" w14:textId="77777777" w:rsidR="00D469FF" w:rsidRPr="00B70149" w:rsidRDefault="00D469FF">
      <w:pPr>
        <w:rPr>
          <w:b/>
        </w:rPr>
      </w:pPr>
    </w:p>
    <w:p w14:paraId="436270CA" w14:textId="77777777" w:rsidR="00D469FF" w:rsidRDefault="00D469FF" w:rsidP="009844F8">
      <w:pPr>
        <w:pStyle w:val="Undertittel"/>
      </w:pPr>
      <w:r>
        <w:t>2. Conditions</w:t>
      </w:r>
    </w:p>
    <w:p w14:paraId="328DBE70" w14:textId="6376CBB7" w:rsidR="00D469FF" w:rsidRDefault="00351153" w:rsidP="00D520BB">
      <w:pPr>
        <w:pStyle w:val="MoUparagraphs"/>
      </w:pPr>
      <w:r>
        <w:t>N/A</w:t>
      </w:r>
    </w:p>
    <w:p w14:paraId="02CFAC5A" w14:textId="77777777" w:rsidR="00D469FF" w:rsidRPr="00B70149" w:rsidRDefault="00D469FF" w:rsidP="009844F8">
      <w:pPr>
        <w:pStyle w:val="Undertittel"/>
        <w:rPr>
          <w:rFonts w:eastAsia="Calibri"/>
        </w:rPr>
      </w:pPr>
      <w:r>
        <w:t>3</w:t>
      </w:r>
      <w:r w:rsidRPr="00B70149">
        <w:t xml:space="preserve">. </w:t>
      </w:r>
      <w:r w:rsidRPr="00B70149">
        <w:rPr>
          <w:rFonts w:eastAsia="Calibri"/>
        </w:rPr>
        <w:t xml:space="preserve">Specific concerns </w:t>
      </w:r>
    </w:p>
    <w:p w14:paraId="3C10DC33" w14:textId="77777777" w:rsidR="008A270C" w:rsidRDefault="008A270C" w:rsidP="008A270C">
      <w:pPr>
        <w:spacing w:line="280" w:lineRule="exact"/>
      </w:pPr>
      <w:r w:rsidRPr="00FD0509">
        <w:t>The amount of funds for bilateral relations allocated to</w:t>
      </w:r>
      <w:r>
        <w:t xml:space="preserve"> the</w:t>
      </w:r>
      <w:r w:rsidRPr="00FD0509">
        <w:t xml:space="preserve"> programme shall be included in the </w:t>
      </w:r>
      <w:r>
        <w:t>P</w:t>
      </w:r>
      <w:r w:rsidRPr="00FD0509">
        <w:t xml:space="preserve">rogramme </w:t>
      </w:r>
      <w:r>
        <w:t>A</w:t>
      </w:r>
      <w:r w:rsidRPr="00FD0509">
        <w:t>greement.  </w:t>
      </w:r>
    </w:p>
    <w:p w14:paraId="6DDC6A4A" w14:textId="688E79F6" w:rsidR="008A270C" w:rsidRPr="00FD0509" w:rsidRDefault="008A270C" w:rsidP="008A270C">
      <w:pPr>
        <w:spacing w:line="280" w:lineRule="exact"/>
      </w:pPr>
      <w:r>
        <w:t>The agreed allocations to the programme and bilateral funds include the Norwegian Financial Mechanism contribution to Slovenia related to the challenges experienced as a result of the invasion of Ukraine, which amounts to € 1,243,48</w:t>
      </w:r>
      <w:r w:rsidR="7934765D">
        <w:t>4</w:t>
      </w:r>
      <w:r>
        <w:t xml:space="preserve"> The planned use of these funds shall be described in the Concept Note and, as relevant, the bilateral workplan.  </w:t>
      </w:r>
    </w:p>
    <w:p w14:paraId="3BE689F3" w14:textId="77777777" w:rsidR="008A270C" w:rsidRDefault="008A270C" w:rsidP="008A270C">
      <w:pPr>
        <w:spacing w:before="120" w:after="120" w:line="280" w:lineRule="exact"/>
      </w:pPr>
      <w:r w:rsidRPr="4FD76464">
        <w:t>In accordance with Article 8.11.4 of the Regulation, the allocation to technical assistance is set at 3.29 %</w:t>
      </w:r>
      <w:r w:rsidRPr="006C2B12">
        <w:t>, further to the request of the National Focal Point and the submission of justifications. The National Focal Point shall ensure that the entire allocation is necessary for the performance of the tasks of the National Focal Point, the Certifying Authority and the Audit Authority.</w:t>
      </w:r>
      <w:r w:rsidRPr="6A841149">
        <w:t xml:space="preserve"> </w:t>
      </w:r>
    </w:p>
    <w:p w14:paraId="16470CDE" w14:textId="77777777" w:rsidR="008A270C" w:rsidRDefault="008A270C" w:rsidP="008A270C">
      <w:pPr>
        <w:spacing w:before="120" w:after="120" w:line="280" w:lineRule="exact"/>
      </w:pPr>
      <w:r w:rsidRPr="00FD0509">
        <w:t>Gender equality and digitalization will be mainstreamed and form part of all relevant programme</w:t>
      </w:r>
      <w:r>
        <w:t xml:space="preserve"> </w:t>
      </w:r>
      <w:r w:rsidRPr="00FD0509">
        <w:t xml:space="preserve">areas. The </w:t>
      </w:r>
      <w:r>
        <w:t>C</w:t>
      </w:r>
      <w:r w:rsidRPr="00FD0509">
        <w:t xml:space="preserve">oncept </w:t>
      </w:r>
      <w:r>
        <w:t>N</w:t>
      </w:r>
      <w:r w:rsidRPr="00FD0509">
        <w:t>ote shall describe how this shall be achieved. </w:t>
      </w:r>
    </w:p>
    <w:p w14:paraId="1DA7E338" w14:textId="77777777" w:rsidR="00883B85" w:rsidRPr="00420FBA" w:rsidRDefault="00883B85">
      <w:pPr>
        <w:pStyle w:val="Default"/>
        <w:spacing w:line="360" w:lineRule="auto"/>
        <w:jc w:val="both"/>
        <w:rPr>
          <w:b/>
        </w:rPr>
      </w:pPr>
    </w:p>
    <w:p w14:paraId="320BA24C" w14:textId="77777777" w:rsidR="00D469FF" w:rsidRPr="00B70149" w:rsidRDefault="00D469FF" w:rsidP="009844F8">
      <w:pPr>
        <w:pStyle w:val="Undertittel"/>
      </w:pPr>
      <w:r>
        <w:lastRenderedPageBreak/>
        <w:t>4</w:t>
      </w:r>
      <w:r w:rsidRPr="00B70149">
        <w:t xml:space="preserve">. Substantive </w:t>
      </w:r>
      <w:r w:rsidRPr="009844F8">
        <w:t>parameters</w:t>
      </w:r>
      <w:r w:rsidRPr="00B70149">
        <w:t xml:space="preserve"> of the implementation framework </w:t>
      </w:r>
    </w:p>
    <w:p w14:paraId="035E0FA9" w14:textId="08D2A5DB" w:rsidR="00D469FF" w:rsidRDefault="00D469FF" w:rsidP="00D520BB">
      <w:pPr>
        <w:pStyle w:val="MoUparagraphs"/>
      </w:pPr>
      <w:r w:rsidRPr="00B70149">
        <w:t xml:space="preserve">The programmes described below are to be implemented subject to the approval of the </w:t>
      </w:r>
      <w:r w:rsidR="002D3A98">
        <w:t>NMFA</w:t>
      </w:r>
      <w:r w:rsidRPr="00B70149">
        <w:t xml:space="preserve">, in accordance with Article </w:t>
      </w:r>
      <w:r w:rsidRPr="00DF5E09">
        <w:t>6.3</w:t>
      </w:r>
      <w:r w:rsidRPr="00B70149">
        <w:t xml:space="preserve"> of the Regulation.</w:t>
      </w:r>
    </w:p>
    <w:p w14:paraId="477CCB7B" w14:textId="77777777" w:rsidR="00967EE7" w:rsidRPr="00D520BB" w:rsidRDefault="00967EE7" w:rsidP="00D520BB">
      <w:pPr>
        <w:pStyle w:val="MoUparagraphs"/>
      </w:pPr>
    </w:p>
    <w:p w14:paraId="502A981A" w14:textId="48C146FB" w:rsidR="00D469FF" w:rsidRPr="00967EE7" w:rsidRDefault="00D469FF" w:rsidP="00967EE7">
      <w:pPr>
        <w:pStyle w:val="Undertittel"/>
        <w:rPr>
          <w:rStyle w:val="UndertittelTegn"/>
          <w:b/>
        </w:rPr>
      </w:pPr>
      <w:r w:rsidRPr="00B70149">
        <w:t xml:space="preserve">A. </w:t>
      </w:r>
      <w:r w:rsidR="008F1128">
        <w:t>Public Health</w:t>
      </w:r>
      <w:r w:rsidRPr="00B70149">
        <w:t xml:space="preserve">     </w:t>
      </w:r>
      <w:r w:rsidRPr="00B70149">
        <w:rPr>
          <w:i/>
        </w:rPr>
        <w:tab/>
      </w:r>
    </w:p>
    <w:tbl>
      <w:tblPr>
        <w:tblW w:w="0" w:type="auto"/>
        <w:tblLook w:val="01E0" w:firstRow="1" w:lastRow="1" w:firstColumn="1" w:lastColumn="1" w:noHBand="0" w:noVBand="0"/>
      </w:tblPr>
      <w:tblGrid>
        <w:gridCol w:w="1949"/>
        <w:gridCol w:w="7746"/>
      </w:tblGrid>
      <w:tr w:rsidR="00D50F48" w:rsidRPr="00B70149" w14:paraId="22B713BA" w14:textId="77777777" w:rsidTr="00396415">
        <w:tc>
          <w:tcPr>
            <w:tcW w:w="0" w:type="auto"/>
          </w:tcPr>
          <w:p w14:paraId="1BB1BD3B" w14:textId="3593A2D7" w:rsidR="00D50F48" w:rsidRPr="00B70149" w:rsidRDefault="00D50F48" w:rsidP="00552A86">
            <w:pPr>
              <w:pStyle w:val="MoUparagraphs"/>
              <w:ind w:left="-108"/>
              <w:jc w:val="left"/>
              <w:rPr>
                <w:i/>
              </w:rPr>
            </w:pPr>
            <w:r w:rsidRPr="0069705E">
              <w:rPr>
                <w:i/>
                <w:iCs/>
              </w:rPr>
              <w:t>Programme objective(s):</w:t>
            </w:r>
          </w:p>
        </w:tc>
        <w:tc>
          <w:tcPr>
            <w:tcW w:w="0" w:type="auto"/>
          </w:tcPr>
          <w:p w14:paraId="0CB54F7D" w14:textId="057D6D7D" w:rsidR="00D50F48" w:rsidRPr="00B70149" w:rsidRDefault="00D50F48" w:rsidP="00552A86">
            <w:pPr>
              <w:pStyle w:val="MoUparagraphs"/>
            </w:pPr>
            <w:r>
              <w:t>More resilient and inclusive public health systems.</w:t>
            </w:r>
          </w:p>
        </w:tc>
      </w:tr>
      <w:tr w:rsidR="00D50F48" w:rsidRPr="00B70149" w14:paraId="0929B8D7" w14:textId="77777777" w:rsidTr="00396415">
        <w:tc>
          <w:tcPr>
            <w:tcW w:w="0" w:type="auto"/>
          </w:tcPr>
          <w:p w14:paraId="758A9877" w14:textId="369FCDAE" w:rsidR="00D50F48" w:rsidRPr="00B70149" w:rsidRDefault="00D50F48" w:rsidP="00552A86">
            <w:pPr>
              <w:pStyle w:val="MoUparagraphs"/>
              <w:ind w:left="-108"/>
              <w:jc w:val="left"/>
              <w:rPr>
                <w:i/>
              </w:rPr>
            </w:pPr>
            <w:r w:rsidRPr="00157215">
              <w:rPr>
                <w:i/>
              </w:rPr>
              <w:t>Programme grant:</w:t>
            </w:r>
          </w:p>
        </w:tc>
        <w:tc>
          <w:tcPr>
            <w:tcW w:w="0" w:type="auto"/>
          </w:tcPr>
          <w:p w14:paraId="6107F408" w14:textId="599CBB42" w:rsidR="00D50F48" w:rsidRPr="00B70149" w:rsidRDefault="00D50F48" w:rsidP="00552A86">
            <w:pPr>
              <w:pStyle w:val="MoUparagraphs"/>
            </w:pPr>
            <w:r w:rsidRPr="000A5393">
              <w:t>€ 19,</w:t>
            </w:r>
            <w:r>
              <w:t>200,000</w:t>
            </w:r>
          </w:p>
        </w:tc>
      </w:tr>
      <w:tr w:rsidR="00D50F48" w:rsidRPr="00B70149" w14:paraId="2DC5F03C" w14:textId="77777777" w:rsidTr="00396415">
        <w:tc>
          <w:tcPr>
            <w:tcW w:w="0" w:type="auto"/>
          </w:tcPr>
          <w:p w14:paraId="32895631" w14:textId="04EBEA83" w:rsidR="00D50F48" w:rsidRPr="00B70149" w:rsidRDefault="00D50F48" w:rsidP="00552A86">
            <w:pPr>
              <w:pStyle w:val="MoUparagraphs"/>
              <w:ind w:left="-108"/>
              <w:jc w:val="left"/>
              <w:rPr>
                <w:i/>
              </w:rPr>
            </w:pPr>
            <w:r w:rsidRPr="00B70149">
              <w:rPr>
                <w:i/>
              </w:rPr>
              <w:t>Programme co-financing:</w:t>
            </w:r>
          </w:p>
        </w:tc>
        <w:tc>
          <w:tcPr>
            <w:tcW w:w="0" w:type="auto"/>
          </w:tcPr>
          <w:p w14:paraId="59BC7449" w14:textId="6D8E7213" w:rsidR="00D50F48" w:rsidRPr="00B70149" w:rsidRDefault="00D50F48" w:rsidP="00552A86">
            <w:pPr>
              <w:pStyle w:val="MoUparagraphs"/>
            </w:pPr>
            <w:r w:rsidRPr="000A5393">
              <w:t>€ 3,</w:t>
            </w:r>
            <w:r>
              <w:t>388,235</w:t>
            </w:r>
          </w:p>
        </w:tc>
      </w:tr>
      <w:tr w:rsidR="00D50F48" w:rsidRPr="00B70149" w14:paraId="79000402" w14:textId="77777777" w:rsidTr="00396415">
        <w:tc>
          <w:tcPr>
            <w:tcW w:w="0" w:type="auto"/>
          </w:tcPr>
          <w:p w14:paraId="25429FE2" w14:textId="0C6718BC" w:rsidR="00D50F48" w:rsidRPr="00B70149" w:rsidRDefault="00D50F48" w:rsidP="00552A86">
            <w:pPr>
              <w:pStyle w:val="MoUparagraphs"/>
              <w:ind w:left="-108"/>
              <w:jc w:val="left"/>
              <w:rPr>
                <w:i/>
              </w:rPr>
            </w:pPr>
            <w:r w:rsidRPr="00B70149">
              <w:rPr>
                <w:i/>
              </w:rPr>
              <w:t>Programme Operator:</w:t>
            </w:r>
          </w:p>
        </w:tc>
        <w:tc>
          <w:tcPr>
            <w:tcW w:w="0" w:type="auto"/>
          </w:tcPr>
          <w:p w14:paraId="07FC66CA" w14:textId="31719363" w:rsidR="00D50F48" w:rsidRPr="00B70149" w:rsidRDefault="00D50F48" w:rsidP="00552A86">
            <w:pPr>
              <w:pStyle w:val="MoUparagraphs"/>
            </w:pPr>
            <w:r w:rsidRPr="002A7B33">
              <w:t>Ministry of Cohesion and Regional Development</w:t>
            </w:r>
            <w:r>
              <w:t xml:space="preserve"> </w:t>
            </w:r>
          </w:p>
        </w:tc>
      </w:tr>
      <w:tr w:rsidR="00D50F48" w:rsidRPr="00B70149" w14:paraId="32D80606" w14:textId="77777777" w:rsidTr="00396415">
        <w:tc>
          <w:tcPr>
            <w:tcW w:w="0" w:type="auto"/>
          </w:tcPr>
          <w:p w14:paraId="56219722" w14:textId="225DCB9B" w:rsidR="00D50F48" w:rsidRPr="00B70149" w:rsidRDefault="00D50F48" w:rsidP="00552A86">
            <w:pPr>
              <w:pStyle w:val="MoUparagraphs"/>
              <w:ind w:left="-108"/>
              <w:jc w:val="left"/>
              <w:rPr>
                <w:i/>
              </w:rPr>
            </w:pPr>
            <w:r w:rsidRPr="00B70149">
              <w:rPr>
                <w:i/>
              </w:rPr>
              <w:t xml:space="preserve">Donor </w:t>
            </w:r>
            <w:r>
              <w:rPr>
                <w:i/>
              </w:rPr>
              <w:t>P</w:t>
            </w:r>
            <w:r w:rsidRPr="00B70149">
              <w:rPr>
                <w:i/>
              </w:rPr>
              <w:t xml:space="preserve">rogramme </w:t>
            </w:r>
            <w:r>
              <w:rPr>
                <w:i/>
              </w:rPr>
              <w:t>P</w:t>
            </w:r>
            <w:r w:rsidRPr="00B70149">
              <w:rPr>
                <w:i/>
              </w:rPr>
              <w:t>artner(s):</w:t>
            </w:r>
          </w:p>
        </w:tc>
        <w:tc>
          <w:tcPr>
            <w:tcW w:w="0" w:type="auto"/>
          </w:tcPr>
          <w:p w14:paraId="61AFDDAC" w14:textId="7A9677DB" w:rsidR="00D50F48" w:rsidRPr="00B70149" w:rsidRDefault="00D50F48" w:rsidP="00552A86">
            <w:pPr>
              <w:pStyle w:val="MoUparagraphs"/>
            </w:pPr>
            <w:r w:rsidRPr="000A5393">
              <w:t>Norwegian Directorate of Health</w:t>
            </w:r>
          </w:p>
        </w:tc>
      </w:tr>
      <w:tr w:rsidR="00D50F48" w:rsidRPr="00B70149" w14:paraId="5DCDD4BB" w14:textId="77777777" w:rsidTr="00396415">
        <w:tc>
          <w:tcPr>
            <w:tcW w:w="0" w:type="auto"/>
          </w:tcPr>
          <w:p w14:paraId="05BFF2BE" w14:textId="6F06B62D" w:rsidR="00D50F48" w:rsidRPr="00B70149" w:rsidRDefault="00D50F48" w:rsidP="00552A86">
            <w:pPr>
              <w:pStyle w:val="MoUparagraphs"/>
              <w:ind w:left="-108"/>
              <w:jc w:val="left"/>
              <w:rPr>
                <w:i/>
              </w:rPr>
            </w:pPr>
            <w:r w:rsidRPr="00B70149">
              <w:rPr>
                <w:i/>
              </w:rPr>
              <w:t>International Partner Organisation(s):</w:t>
            </w:r>
          </w:p>
        </w:tc>
        <w:tc>
          <w:tcPr>
            <w:tcW w:w="0" w:type="auto"/>
          </w:tcPr>
          <w:p w14:paraId="798104F7" w14:textId="77777777" w:rsidR="00D50F48" w:rsidRPr="000A5393" w:rsidRDefault="00D50F48" w:rsidP="00552A86">
            <w:pPr>
              <w:spacing w:line="280" w:lineRule="exact"/>
            </w:pPr>
            <w:r w:rsidRPr="000A5393">
              <w:t>N/A</w:t>
            </w:r>
          </w:p>
          <w:p w14:paraId="2FD01BF8" w14:textId="77777777" w:rsidR="00D50F48" w:rsidRPr="00B70149" w:rsidRDefault="00D50F48" w:rsidP="00552A86">
            <w:pPr>
              <w:pStyle w:val="MoUparagraphs"/>
              <w:ind w:left="72"/>
            </w:pPr>
          </w:p>
        </w:tc>
      </w:tr>
      <w:tr w:rsidR="00D50F48" w:rsidRPr="00B70149" w14:paraId="645DF9D9" w14:textId="77777777" w:rsidTr="00396415">
        <w:tc>
          <w:tcPr>
            <w:tcW w:w="0" w:type="auto"/>
          </w:tcPr>
          <w:p w14:paraId="0D887CA3" w14:textId="0CF5EC64" w:rsidR="00D50F48" w:rsidRPr="00B70149" w:rsidRDefault="00D50F48" w:rsidP="00552A86">
            <w:pPr>
              <w:pStyle w:val="MoUparagraphs"/>
              <w:ind w:left="-108"/>
              <w:jc w:val="left"/>
              <w:rPr>
                <w:i/>
              </w:rPr>
            </w:pPr>
            <w:r w:rsidRPr="00B70149">
              <w:rPr>
                <w:i/>
              </w:rPr>
              <w:t>Programme area(s):</w:t>
            </w:r>
          </w:p>
        </w:tc>
        <w:tc>
          <w:tcPr>
            <w:tcW w:w="0" w:type="auto"/>
          </w:tcPr>
          <w:p w14:paraId="65A87409" w14:textId="77777777" w:rsidR="00D50F48" w:rsidRDefault="00D50F48" w:rsidP="00552A86">
            <w:pPr>
              <w:spacing w:line="280" w:lineRule="exact"/>
            </w:pPr>
            <w:r>
              <w:t>Public health</w:t>
            </w:r>
          </w:p>
          <w:p w14:paraId="0A78644D" w14:textId="77777777" w:rsidR="00D50F48" w:rsidRPr="004D598D" w:rsidRDefault="00D50F48" w:rsidP="00552A86">
            <w:pPr>
              <w:spacing w:line="280" w:lineRule="exact"/>
            </w:pPr>
            <w:r>
              <w:t>Domestic and gender-based violence</w:t>
            </w:r>
          </w:p>
          <w:p w14:paraId="48223BD3" w14:textId="77777777" w:rsidR="00D50F48" w:rsidRPr="00B70149" w:rsidRDefault="00D50F48" w:rsidP="00552A86">
            <w:pPr>
              <w:pStyle w:val="MoUparagraphs"/>
              <w:ind w:left="72"/>
            </w:pPr>
          </w:p>
        </w:tc>
      </w:tr>
      <w:tr w:rsidR="00D50F48" w:rsidRPr="00B70149" w14:paraId="6DAB4C4F" w14:textId="77777777" w:rsidTr="00396415">
        <w:tc>
          <w:tcPr>
            <w:tcW w:w="0" w:type="auto"/>
          </w:tcPr>
          <w:p w14:paraId="6B6A5046" w14:textId="50F3AD0A" w:rsidR="00D50F48" w:rsidRPr="00B70149" w:rsidRDefault="00D50F48" w:rsidP="00552A86">
            <w:pPr>
              <w:pStyle w:val="MoUparagraphs"/>
              <w:ind w:left="-108"/>
              <w:jc w:val="left"/>
              <w:rPr>
                <w:i/>
              </w:rPr>
            </w:pPr>
            <w:r>
              <w:rPr>
                <w:i/>
              </w:rPr>
              <w:t>Programme s</w:t>
            </w:r>
            <w:r w:rsidRPr="00B70149">
              <w:rPr>
                <w:i/>
              </w:rPr>
              <w:t>peci</w:t>
            </w:r>
            <w:r>
              <w:rPr>
                <w:i/>
              </w:rPr>
              <w:t>fic</w:t>
            </w:r>
            <w:r w:rsidRPr="00B70149">
              <w:rPr>
                <w:i/>
              </w:rPr>
              <w:t xml:space="preserve"> </w:t>
            </w:r>
            <w:r>
              <w:rPr>
                <w:i/>
              </w:rPr>
              <w:t>conditions</w:t>
            </w:r>
            <w:r w:rsidRPr="00B70149">
              <w:rPr>
                <w:i/>
              </w:rPr>
              <w:t>:</w:t>
            </w:r>
          </w:p>
        </w:tc>
        <w:tc>
          <w:tcPr>
            <w:tcW w:w="0" w:type="auto"/>
          </w:tcPr>
          <w:p w14:paraId="68966B9D" w14:textId="40ED6A9D" w:rsidR="00D50F48" w:rsidRPr="00B70149" w:rsidRDefault="00D50F48" w:rsidP="00552A86">
            <w:pPr>
              <w:pStyle w:val="MoUparagraphs"/>
            </w:pPr>
            <w:r>
              <w:t>N/A</w:t>
            </w:r>
          </w:p>
        </w:tc>
      </w:tr>
      <w:tr w:rsidR="00D50F48" w:rsidRPr="00B70149" w14:paraId="5A4EB668" w14:textId="77777777" w:rsidTr="00396415">
        <w:tc>
          <w:tcPr>
            <w:tcW w:w="0" w:type="auto"/>
          </w:tcPr>
          <w:p w14:paraId="38C88028" w14:textId="48A9AD4A" w:rsidR="00D50F48" w:rsidRPr="00B70149" w:rsidRDefault="00D50F48" w:rsidP="00552A86">
            <w:pPr>
              <w:pStyle w:val="MoUparagraphs"/>
              <w:ind w:left="-108"/>
              <w:jc w:val="left"/>
              <w:rPr>
                <w:i/>
              </w:rPr>
            </w:pPr>
            <w:r>
              <w:rPr>
                <w:i/>
              </w:rPr>
              <w:t>Programme s</w:t>
            </w:r>
            <w:r w:rsidRPr="00B70149">
              <w:rPr>
                <w:i/>
              </w:rPr>
              <w:t>peci</w:t>
            </w:r>
            <w:r>
              <w:rPr>
                <w:i/>
              </w:rPr>
              <w:t>fic</w:t>
            </w:r>
            <w:r w:rsidRPr="00B70149">
              <w:rPr>
                <w:i/>
              </w:rPr>
              <w:t xml:space="preserve"> concerns:</w:t>
            </w:r>
          </w:p>
        </w:tc>
        <w:tc>
          <w:tcPr>
            <w:tcW w:w="0" w:type="auto"/>
          </w:tcPr>
          <w:p w14:paraId="37B3C180" w14:textId="20309550" w:rsidR="00D50F48" w:rsidRDefault="00D50F48" w:rsidP="00552A86">
            <w:pPr>
              <w:spacing w:before="120" w:after="120" w:line="280" w:lineRule="exact"/>
              <w:rPr>
                <w:color w:val="000000" w:themeColor="text1"/>
                <w:lang w:eastAsia="pl-PL"/>
              </w:rPr>
            </w:pPr>
            <w:r w:rsidRPr="5F489C57">
              <w:rPr>
                <w:color w:val="000000" w:themeColor="text1"/>
                <w:lang w:eastAsia="pl-PL"/>
              </w:rPr>
              <w:t xml:space="preserve">The </w:t>
            </w:r>
            <w:r w:rsidR="00F42330">
              <w:rPr>
                <w:color w:val="000000" w:themeColor="text1"/>
                <w:lang w:eastAsia="pl-PL"/>
              </w:rPr>
              <w:t>programme</w:t>
            </w:r>
            <w:r w:rsidRPr="5F489C57">
              <w:rPr>
                <w:color w:val="000000" w:themeColor="text1"/>
                <w:lang w:eastAsia="pl-PL"/>
              </w:rPr>
              <w:t xml:space="preserve"> shall address key public health and gender</w:t>
            </w:r>
            <w:r>
              <w:rPr>
                <w:color w:val="000000" w:themeColor="text1"/>
                <w:lang w:eastAsia="pl-PL"/>
              </w:rPr>
              <w:t xml:space="preserve"> </w:t>
            </w:r>
            <w:r w:rsidRPr="5F489C57">
              <w:rPr>
                <w:color w:val="000000" w:themeColor="text1"/>
                <w:lang w:eastAsia="pl-PL"/>
              </w:rPr>
              <w:t xml:space="preserve">equality challenges in Slovenia through preventive, rights‑based and inclusive measures. It shall contribute to improved public health outcomes, reduced inequalities, and strengthened protection against domestic and gender‑based violence. The </w:t>
            </w:r>
            <w:r w:rsidR="00F42330">
              <w:rPr>
                <w:color w:val="000000" w:themeColor="text1"/>
                <w:lang w:eastAsia="pl-PL"/>
              </w:rPr>
              <w:t>programme</w:t>
            </w:r>
            <w:r w:rsidRPr="5F489C57">
              <w:rPr>
                <w:color w:val="000000" w:themeColor="text1"/>
                <w:lang w:eastAsia="pl-PL"/>
              </w:rPr>
              <w:t xml:space="preserve"> shall contribute to improving public health</w:t>
            </w:r>
            <w:r>
              <w:rPr>
                <w:color w:val="000000" w:themeColor="text1"/>
                <w:lang w:eastAsia="pl-PL"/>
              </w:rPr>
              <w:t xml:space="preserve">, </w:t>
            </w:r>
            <w:r w:rsidRPr="5F489C57">
              <w:rPr>
                <w:color w:val="000000" w:themeColor="text1"/>
                <w:lang w:eastAsia="pl-PL"/>
              </w:rPr>
              <w:t>social inclusion</w:t>
            </w:r>
            <w:r>
              <w:rPr>
                <w:color w:val="000000" w:themeColor="text1"/>
                <w:lang w:eastAsia="pl-PL"/>
              </w:rPr>
              <w:t>, and strengthened protection against domestic and gender-based violence</w:t>
            </w:r>
            <w:r w:rsidRPr="5F489C57">
              <w:rPr>
                <w:color w:val="000000" w:themeColor="text1"/>
                <w:lang w:eastAsia="pl-PL"/>
              </w:rPr>
              <w:t xml:space="preserve"> </w:t>
            </w:r>
            <w:r>
              <w:rPr>
                <w:color w:val="000000" w:themeColor="text1"/>
                <w:lang w:eastAsia="pl-PL"/>
              </w:rPr>
              <w:t>for</w:t>
            </w:r>
            <w:r w:rsidRPr="5F489C57">
              <w:rPr>
                <w:color w:val="000000" w:themeColor="text1"/>
                <w:lang w:eastAsia="pl-PL"/>
              </w:rPr>
              <w:t xml:space="preserve"> </w:t>
            </w:r>
            <w:r>
              <w:rPr>
                <w:color w:val="000000" w:themeColor="text1"/>
                <w:lang w:eastAsia="pl-PL"/>
              </w:rPr>
              <w:t xml:space="preserve">groups in </w:t>
            </w:r>
            <w:r w:rsidRPr="5F489C57">
              <w:rPr>
                <w:color w:val="000000" w:themeColor="text1"/>
                <w:lang w:eastAsia="pl-PL"/>
              </w:rPr>
              <w:t xml:space="preserve">vulnerable </w:t>
            </w:r>
            <w:r>
              <w:rPr>
                <w:color w:val="000000" w:themeColor="text1"/>
                <w:lang w:eastAsia="pl-PL"/>
              </w:rPr>
              <w:t>situations.</w:t>
            </w:r>
          </w:p>
          <w:p w14:paraId="0613298A" w14:textId="11873FA1" w:rsidR="00D50F48" w:rsidRDefault="00D50F48" w:rsidP="00552A86">
            <w:pPr>
              <w:spacing w:before="120" w:after="120" w:line="280" w:lineRule="exact"/>
            </w:pPr>
            <w:r w:rsidRPr="5F489C57">
              <w:rPr>
                <w:color w:val="000000" w:themeColor="text1"/>
                <w:lang w:eastAsia="pl-PL"/>
              </w:rPr>
              <w:t xml:space="preserve">The </w:t>
            </w:r>
            <w:r w:rsidR="00F42330">
              <w:rPr>
                <w:color w:val="000000" w:themeColor="text1"/>
                <w:lang w:eastAsia="pl-PL"/>
              </w:rPr>
              <w:t>programme</w:t>
            </w:r>
            <w:r w:rsidRPr="5F489C57">
              <w:rPr>
                <w:color w:val="000000" w:themeColor="text1"/>
                <w:lang w:eastAsia="pl-PL"/>
              </w:rPr>
              <w:t xml:space="preserve"> shall support women’s health, including access to gynaecological, perinatal and reproductive health services, as well as mental health promotion and early‑intervention activities. Particular attention shall be given to underserved </w:t>
            </w:r>
            <w:r>
              <w:rPr>
                <w:color w:val="000000" w:themeColor="text1"/>
                <w:lang w:eastAsia="pl-PL"/>
              </w:rPr>
              <w:t xml:space="preserve">groups </w:t>
            </w:r>
            <w:r w:rsidRPr="5F489C57">
              <w:rPr>
                <w:color w:val="000000" w:themeColor="text1"/>
                <w:lang w:eastAsia="pl-PL"/>
              </w:rPr>
              <w:t>and groups</w:t>
            </w:r>
            <w:r>
              <w:rPr>
                <w:color w:val="000000" w:themeColor="text1"/>
                <w:lang w:eastAsia="pl-PL"/>
              </w:rPr>
              <w:t xml:space="preserve"> in vulnerable situations</w:t>
            </w:r>
            <w:r w:rsidRPr="5F489C57">
              <w:rPr>
                <w:color w:val="000000" w:themeColor="text1"/>
                <w:lang w:eastAsia="pl-PL"/>
              </w:rPr>
              <w:t>.</w:t>
            </w:r>
          </w:p>
          <w:p w14:paraId="282D4509" w14:textId="77777777" w:rsidR="00D50F48" w:rsidRDefault="00D50F48" w:rsidP="00552A86">
            <w:pPr>
              <w:spacing w:before="120" w:after="120" w:line="280" w:lineRule="exact"/>
              <w:rPr>
                <w:color w:val="000000" w:themeColor="text1"/>
                <w:lang w:eastAsia="pl-PL"/>
              </w:rPr>
            </w:pPr>
            <w:r w:rsidRPr="47C9824A">
              <w:rPr>
                <w:color w:val="000000" w:themeColor="text1"/>
                <w:lang w:eastAsia="pl-PL"/>
              </w:rPr>
              <w:t>At least 40 % of the total eligible expenditure of the programme shall be allocated to projects that contribute to the “domestic and gender-based violence” programme area. Within this allocation, prevention of domestic and gender‑based violence and improved access to coordinated and victim‑centred support services shall be supported. Activities aimed at child protection and child‑friendly justice, including strengthening multidisciplinary responses for child victims through the Barnahus model, shall be supported. Cooperation with the Council of Europe shall be facilitated. Participation in the SYNERGY Network against Gender-based and Domestic Violence shall be supported.</w:t>
            </w:r>
          </w:p>
          <w:p w14:paraId="6BBE430F" w14:textId="77777777" w:rsidR="00D50F48" w:rsidRPr="00656AD3" w:rsidRDefault="00D50F48" w:rsidP="00552A86">
            <w:pPr>
              <w:spacing w:before="120" w:after="120" w:line="280" w:lineRule="exact"/>
              <w:rPr>
                <w:color w:val="000000"/>
                <w:lang w:eastAsia="pl-PL"/>
              </w:rPr>
            </w:pPr>
          </w:p>
          <w:p w14:paraId="7D1F79A7" w14:textId="77777777" w:rsidR="00D50F48" w:rsidRDefault="00D50F48" w:rsidP="00552A86">
            <w:pPr>
              <w:spacing w:before="120" w:after="120" w:line="280" w:lineRule="exact"/>
            </w:pPr>
          </w:p>
          <w:p w14:paraId="3B8AE864" w14:textId="71B70B5A" w:rsidR="00D50F48" w:rsidRDefault="00D50F48" w:rsidP="00552A86">
            <w:pPr>
              <w:spacing w:before="120" w:after="120" w:line="280" w:lineRule="exact"/>
            </w:pPr>
            <w:r w:rsidRPr="47C9824A">
              <w:rPr>
                <w:color w:val="000000" w:themeColor="text1"/>
                <w:lang w:eastAsia="pl-PL"/>
              </w:rPr>
              <w:t xml:space="preserve">The </w:t>
            </w:r>
            <w:r w:rsidR="00F42330">
              <w:rPr>
                <w:color w:val="000000" w:themeColor="text1"/>
                <w:lang w:eastAsia="pl-PL"/>
              </w:rPr>
              <w:t>programme</w:t>
            </w:r>
            <w:r w:rsidRPr="47C9824A">
              <w:rPr>
                <w:color w:val="000000" w:themeColor="text1"/>
                <w:lang w:eastAsia="pl-PL"/>
              </w:rPr>
              <w:t xml:space="preserve"> shall strengthen cooperation with civil society organisations and promote community‑based and cross‑sectoral approaches.</w:t>
            </w:r>
          </w:p>
          <w:p w14:paraId="5B020D62" w14:textId="77777777" w:rsidR="00D50F48" w:rsidRPr="00C45859" w:rsidRDefault="00D50F48" w:rsidP="00552A86">
            <w:pPr>
              <w:spacing w:before="120" w:after="120" w:line="280" w:lineRule="exact"/>
              <w:rPr>
                <w:color w:val="000000"/>
                <w:lang w:eastAsia="pl-PL"/>
              </w:rPr>
            </w:pPr>
            <w:r w:rsidRPr="47C9824A">
              <w:rPr>
                <w:color w:val="000000" w:themeColor="text1"/>
                <w:lang w:eastAsia="pl-PL"/>
              </w:rPr>
              <w:t>The public institution(s) in the Republic of Slovenia in charge of the relevant policy area(s) shall be actively involved in the preparation and implementation of the programme.</w:t>
            </w:r>
          </w:p>
          <w:p w14:paraId="78C84642" w14:textId="77777777" w:rsidR="00D50F48" w:rsidRDefault="00D50F48" w:rsidP="00552A86">
            <w:pPr>
              <w:spacing w:before="120" w:after="120" w:line="280" w:lineRule="exact"/>
            </w:pPr>
            <w:r w:rsidRPr="008B41EF">
              <w:t xml:space="preserve">Investment in infrastructure and equipment (hard measures) shall only be supported alongside capacity building, training, or experience sharing (soft measures).  </w:t>
            </w:r>
          </w:p>
          <w:p w14:paraId="363C5421" w14:textId="6EBA6CC2" w:rsidR="00D50F48" w:rsidRDefault="00D50F48" w:rsidP="00552A86">
            <w:pPr>
              <w:spacing w:line="280" w:lineRule="exact"/>
            </w:pPr>
            <w:r w:rsidRPr="008B41EF">
              <w:t>The maximum level of funding for investment in infrastructure and equipment (hard measures) shall be</w:t>
            </w:r>
            <w:r>
              <w:t xml:space="preserve"> approximately 50%.</w:t>
            </w:r>
            <w:r w:rsidRPr="008B41EF">
              <w:t xml:space="preserve"> </w:t>
            </w:r>
            <w:r w:rsidRPr="00D27E77">
              <w:t>The final level shall be set in the Programme Agreement</w:t>
            </w:r>
            <w:r>
              <w:t>.</w:t>
            </w:r>
          </w:p>
          <w:p w14:paraId="3DEA58D5" w14:textId="2BF56FE1" w:rsidR="00D50F48" w:rsidRDefault="00D50F48" w:rsidP="00552A86">
            <w:pPr>
              <w:spacing w:line="280" w:lineRule="exact"/>
            </w:pPr>
            <w:r>
              <w:t>The possibility of pre-defining projects shall be explored when developing the Concept Note.</w:t>
            </w:r>
          </w:p>
          <w:p w14:paraId="7EE96182" w14:textId="6F1FF2D5" w:rsidR="00D50F48" w:rsidRPr="00B70149" w:rsidRDefault="00D50F48" w:rsidP="00552A86">
            <w:pPr>
              <w:pStyle w:val="MoUparagraphs"/>
            </w:pPr>
          </w:p>
        </w:tc>
      </w:tr>
    </w:tbl>
    <w:p w14:paraId="58B71851" w14:textId="19A45987" w:rsidR="007D0E2B" w:rsidRPr="003E5A84" w:rsidRDefault="007D0E2B" w:rsidP="00B646B6">
      <w:pPr>
        <w:rPr>
          <w:rFonts w:eastAsia="Calibri"/>
        </w:rPr>
      </w:pPr>
    </w:p>
    <w:sectPr w:rsidR="007D0E2B" w:rsidRPr="003E5A84" w:rsidSect="009E675A">
      <w:pgSz w:w="11906" w:h="16838"/>
      <w:pgMar w:top="1440" w:right="907"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D06E" w14:textId="77777777" w:rsidR="00D12F51" w:rsidRDefault="00D12F51" w:rsidP="00B646B6">
      <w:r>
        <w:separator/>
      </w:r>
    </w:p>
  </w:endnote>
  <w:endnote w:type="continuationSeparator" w:id="0">
    <w:p w14:paraId="534AC36C" w14:textId="77777777" w:rsidR="00D12F51" w:rsidRDefault="00D12F51" w:rsidP="00B646B6">
      <w:r>
        <w:continuationSeparator/>
      </w:r>
    </w:p>
  </w:endnote>
  <w:endnote w:type="continuationNotice" w:id="1">
    <w:p w14:paraId="57D2D3A0" w14:textId="77777777" w:rsidR="00D12F51" w:rsidRDefault="00D12F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20448"/>
      <w:docPartObj>
        <w:docPartGallery w:val="Page Numbers (Bottom of Page)"/>
        <w:docPartUnique/>
      </w:docPartObj>
    </w:sdtPr>
    <w:sdtEndPr>
      <w:rPr>
        <w:noProof/>
        <w:sz w:val="20"/>
        <w:szCs w:val="20"/>
      </w:rPr>
    </w:sdtEndPr>
    <w:sdtContent>
      <w:p w14:paraId="2E7793B3" w14:textId="4E1C6542" w:rsidR="00C4425E" w:rsidRPr="00764E26" w:rsidRDefault="00C4425E">
        <w:pPr>
          <w:pStyle w:val="Bunntekst"/>
          <w:jc w:val="center"/>
          <w:rPr>
            <w:sz w:val="20"/>
            <w:szCs w:val="20"/>
          </w:rPr>
        </w:pPr>
        <w:r w:rsidRPr="00764E26">
          <w:rPr>
            <w:sz w:val="20"/>
            <w:szCs w:val="20"/>
          </w:rPr>
          <w:fldChar w:fldCharType="begin"/>
        </w:r>
        <w:r w:rsidRPr="00764E26">
          <w:rPr>
            <w:sz w:val="20"/>
            <w:szCs w:val="20"/>
          </w:rPr>
          <w:instrText xml:space="preserve"> PAGE   \* MERGEFORMAT </w:instrText>
        </w:r>
        <w:r w:rsidRPr="00764E26">
          <w:rPr>
            <w:sz w:val="20"/>
            <w:szCs w:val="20"/>
          </w:rPr>
          <w:fldChar w:fldCharType="separate"/>
        </w:r>
        <w:r w:rsidRPr="00764E26">
          <w:rPr>
            <w:noProof/>
            <w:sz w:val="20"/>
            <w:szCs w:val="20"/>
          </w:rPr>
          <w:t>2</w:t>
        </w:r>
        <w:r w:rsidRPr="00764E26">
          <w:rPr>
            <w:noProof/>
            <w:sz w:val="20"/>
            <w:szCs w:val="20"/>
          </w:rPr>
          <w:fldChar w:fldCharType="end"/>
        </w:r>
      </w:p>
    </w:sdtContent>
  </w:sdt>
  <w:p w14:paraId="2ED2A714" w14:textId="77777777" w:rsidR="003D3B06" w:rsidRDefault="003D3B06" w:rsidP="00B646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341D" w14:textId="77777777" w:rsidR="00D12F51" w:rsidRDefault="00D12F51" w:rsidP="00B646B6">
      <w:r>
        <w:separator/>
      </w:r>
    </w:p>
  </w:footnote>
  <w:footnote w:type="continuationSeparator" w:id="0">
    <w:p w14:paraId="2F0D487B" w14:textId="77777777" w:rsidR="00D12F51" w:rsidRDefault="00D12F51" w:rsidP="00B646B6">
      <w:r>
        <w:continuationSeparator/>
      </w:r>
    </w:p>
  </w:footnote>
  <w:footnote w:type="continuationNotice" w:id="1">
    <w:p w14:paraId="11001F26" w14:textId="77777777" w:rsidR="00D12F51" w:rsidRDefault="00D12F5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EAD8"/>
    <w:multiLevelType w:val="hybridMultilevel"/>
    <w:tmpl w:val="FFFFFFFF"/>
    <w:lvl w:ilvl="0" w:tplc="4B380952">
      <w:start w:val="1"/>
      <w:numFmt w:val="lowerLetter"/>
      <w:lvlText w:val="(%1)"/>
      <w:lvlJc w:val="left"/>
      <w:pPr>
        <w:ind w:left="720" w:hanging="360"/>
      </w:pPr>
    </w:lvl>
    <w:lvl w:ilvl="1" w:tplc="FB5A6728">
      <w:start w:val="1"/>
      <w:numFmt w:val="lowerLetter"/>
      <w:lvlText w:val="%2."/>
      <w:lvlJc w:val="left"/>
      <w:pPr>
        <w:ind w:left="1440" w:hanging="360"/>
      </w:pPr>
    </w:lvl>
    <w:lvl w:ilvl="2" w:tplc="CBB43222">
      <w:start w:val="1"/>
      <w:numFmt w:val="lowerRoman"/>
      <w:lvlText w:val="%3."/>
      <w:lvlJc w:val="right"/>
      <w:pPr>
        <w:ind w:left="2160" w:hanging="180"/>
      </w:pPr>
    </w:lvl>
    <w:lvl w:ilvl="3" w:tplc="8BC2F85E">
      <w:start w:val="1"/>
      <w:numFmt w:val="decimal"/>
      <w:lvlText w:val="%4."/>
      <w:lvlJc w:val="left"/>
      <w:pPr>
        <w:ind w:left="2880" w:hanging="360"/>
      </w:pPr>
    </w:lvl>
    <w:lvl w:ilvl="4" w:tplc="F0B284E4">
      <w:start w:val="1"/>
      <w:numFmt w:val="lowerLetter"/>
      <w:lvlText w:val="%5."/>
      <w:lvlJc w:val="left"/>
      <w:pPr>
        <w:ind w:left="3600" w:hanging="360"/>
      </w:pPr>
    </w:lvl>
    <w:lvl w:ilvl="5" w:tplc="947276AC">
      <w:start w:val="1"/>
      <w:numFmt w:val="lowerRoman"/>
      <w:lvlText w:val="%6."/>
      <w:lvlJc w:val="right"/>
      <w:pPr>
        <w:ind w:left="4320" w:hanging="180"/>
      </w:pPr>
    </w:lvl>
    <w:lvl w:ilvl="6" w:tplc="237EF97E">
      <w:start w:val="1"/>
      <w:numFmt w:val="decimal"/>
      <w:lvlText w:val="%7."/>
      <w:lvlJc w:val="left"/>
      <w:pPr>
        <w:ind w:left="5040" w:hanging="360"/>
      </w:pPr>
    </w:lvl>
    <w:lvl w:ilvl="7" w:tplc="F97C9F48">
      <w:start w:val="1"/>
      <w:numFmt w:val="lowerLetter"/>
      <w:lvlText w:val="%8."/>
      <w:lvlJc w:val="left"/>
      <w:pPr>
        <w:ind w:left="5760" w:hanging="360"/>
      </w:pPr>
    </w:lvl>
    <w:lvl w:ilvl="8" w:tplc="1E42095E">
      <w:start w:val="1"/>
      <w:numFmt w:val="lowerRoman"/>
      <w:lvlText w:val="%9."/>
      <w:lvlJc w:val="right"/>
      <w:pPr>
        <w:ind w:left="6480" w:hanging="180"/>
      </w:pPr>
    </w:lvl>
  </w:abstractNum>
  <w:abstractNum w:abstractNumId="1" w15:restartNumberingAfterBreak="0">
    <w:nsid w:val="24B02B8C"/>
    <w:multiLevelType w:val="hybridMultilevel"/>
    <w:tmpl w:val="2D1C1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E5692D"/>
    <w:multiLevelType w:val="hybridMultilevel"/>
    <w:tmpl w:val="FFFFFFFF"/>
    <w:lvl w:ilvl="0" w:tplc="177E8446">
      <w:start w:val="1"/>
      <w:numFmt w:val="lowerLetter"/>
      <w:lvlText w:val="(%1)"/>
      <w:lvlJc w:val="left"/>
      <w:pPr>
        <w:ind w:left="720" w:hanging="360"/>
      </w:pPr>
    </w:lvl>
    <w:lvl w:ilvl="1" w:tplc="167AC556">
      <w:start w:val="1"/>
      <w:numFmt w:val="lowerLetter"/>
      <w:lvlText w:val="%2."/>
      <w:lvlJc w:val="left"/>
      <w:pPr>
        <w:ind w:left="1440" w:hanging="360"/>
      </w:pPr>
    </w:lvl>
    <w:lvl w:ilvl="2" w:tplc="EC8C75D6">
      <w:start w:val="1"/>
      <w:numFmt w:val="lowerRoman"/>
      <w:lvlText w:val="%3."/>
      <w:lvlJc w:val="right"/>
      <w:pPr>
        <w:ind w:left="2160" w:hanging="180"/>
      </w:pPr>
    </w:lvl>
    <w:lvl w:ilvl="3" w:tplc="11AEA918">
      <w:start w:val="1"/>
      <w:numFmt w:val="decimal"/>
      <w:lvlText w:val="%4."/>
      <w:lvlJc w:val="left"/>
      <w:pPr>
        <w:ind w:left="2880" w:hanging="360"/>
      </w:pPr>
    </w:lvl>
    <w:lvl w:ilvl="4" w:tplc="81C6E682">
      <w:start w:val="1"/>
      <w:numFmt w:val="lowerLetter"/>
      <w:lvlText w:val="%5."/>
      <w:lvlJc w:val="left"/>
      <w:pPr>
        <w:ind w:left="3600" w:hanging="360"/>
      </w:pPr>
    </w:lvl>
    <w:lvl w:ilvl="5" w:tplc="B1E64402">
      <w:start w:val="1"/>
      <w:numFmt w:val="lowerRoman"/>
      <w:lvlText w:val="%6."/>
      <w:lvlJc w:val="right"/>
      <w:pPr>
        <w:ind w:left="4320" w:hanging="180"/>
      </w:pPr>
    </w:lvl>
    <w:lvl w:ilvl="6" w:tplc="6FBAB288">
      <w:start w:val="1"/>
      <w:numFmt w:val="decimal"/>
      <w:lvlText w:val="%7."/>
      <w:lvlJc w:val="left"/>
      <w:pPr>
        <w:ind w:left="5040" w:hanging="360"/>
      </w:pPr>
    </w:lvl>
    <w:lvl w:ilvl="7" w:tplc="99EA1A96">
      <w:start w:val="1"/>
      <w:numFmt w:val="lowerLetter"/>
      <w:lvlText w:val="%8."/>
      <w:lvlJc w:val="left"/>
      <w:pPr>
        <w:ind w:left="5760" w:hanging="360"/>
      </w:pPr>
    </w:lvl>
    <w:lvl w:ilvl="8" w:tplc="336C3532">
      <w:start w:val="1"/>
      <w:numFmt w:val="lowerRoman"/>
      <w:lvlText w:val="%9."/>
      <w:lvlJc w:val="right"/>
      <w:pPr>
        <w:ind w:left="6480" w:hanging="180"/>
      </w:pPr>
    </w:lvl>
  </w:abstractNum>
  <w:abstractNum w:abstractNumId="3" w15:restartNumberingAfterBreak="0">
    <w:nsid w:val="3FD05B80"/>
    <w:multiLevelType w:val="hybridMultilevel"/>
    <w:tmpl w:val="A52E45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F9648B"/>
    <w:multiLevelType w:val="hybridMultilevel"/>
    <w:tmpl w:val="6988F09E"/>
    <w:lvl w:ilvl="0" w:tplc="95C06CF0">
      <w:start w:val="1"/>
      <w:numFmt w:val="lowerLetter"/>
      <w:pStyle w:val="Listeavsnit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A608F2"/>
    <w:multiLevelType w:val="hybridMultilevel"/>
    <w:tmpl w:val="A57ADD60"/>
    <w:lvl w:ilvl="0" w:tplc="6B82BC7E">
      <w:start w:val="1"/>
      <w:numFmt w:val="lowerLetter"/>
      <w:lvlText w:val="(%1)"/>
      <w:lvlJc w:val="left"/>
      <w:pPr>
        <w:ind w:left="720" w:hanging="360"/>
      </w:pPr>
    </w:lvl>
    <w:lvl w:ilvl="1" w:tplc="DC869E22">
      <w:start w:val="1"/>
      <w:numFmt w:val="lowerLetter"/>
      <w:lvlText w:val="%2."/>
      <w:lvlJc w:val="left"/>
      <w:pPr>
        <w:ind w:left="1440" w:hanging="360"/>
      </w:pPr>
    </w:lvl>
    <w:lvl w:ilvl="2" w:tplc="F6FA6508">
      <w:start w:val="1"/>
      <w:numFmt w:val="lowerRoman"/>
      <w:lvlText w:val="%3."/>
      <w:lvlJc w:val="right"/>
      <w:pPr>
        <w:ind w:left="2160" w:hanging="180"/>
      </w:pPr>
    </w:lvl>
    <w:lvl w:ilvl="3" w:tplc="3F4471AC">
      <w:start w:val="1"/>
      <w:numFmt w:val="decimal"/>
      <w:lvlText w:val="%4."/>
      <w:lvlJc w:val="left"/>
      <w:pPr>
        <w:ind w:left="2880" w:hanging="360"/>
      </w:pPr>
    </w:lvl>
    <w:lvl w:ilvl="4" w:tplc="52084E2A">
      <w:start w:val="1"/>
      <w:numFmt w:val="lowerLetter"/>
      <w:lvlText w:val="%5."/>
      <w:lvlJc w:val="left"/>
      <w:pPr>
        <w:ind w:left="3600" w:hanging="360"/>
      </w:pPr>
    </w:lvl>
    <w:lvl w:ilvl="5" w:tplc="2B8AD296">
      <w:start w:val="1"/>
      <w:numFmt w:val="lowerRoman"/>
      <w:lvlText w:val="%6."/>
      <w:lvlJc w:val="right"/>
      <w:pPr>
        <w:ind w:left="4320" w:hanging="180"/>
      </w:pPr>
    </w:lvl>
    <w:lvl w:ilvl="6" w:tplc="58D0B47C">
      <w:start w:val="1"/>
      <w:numFmt w:val="decimal"/>
      <w:lvlText w:val="%7."/>
      <w:lvlJc w:val="left"/>
      <w:pPr>
        <w:ind w:left="5040" w:hanging="360"/>
      </w:pPr>
    </w:lvl>
    <w:lvl w:ilvl="7" w:tplc="6DC47218">
      <w:start w:val="1"/>
      <w:numFmt w:val="lowerLetter"/>
      <w:lvlText w:val="%8."/>
      <w:lvlJc w:val="left"/>
      <w:pPr>
        <w:ind w:left="5760" w:hanging="360"/>
      </w:pPr>
    </w:lvl>
    <w:lvl w:ilvl="8" w:tplc="713C8E2E">
      <w:start w:val="1"/>
      <w:numFmt w:val="lowerRoman"/>
      <w:lvlText w:val="%9."/>
      <w:lvlJc w:val="right"/>
      <w:pPr>
        <w:ind w:left="6480" w:hanging="180"/>
      </w:pPr>
    </w:lvl>
  </w:abstractNum>
  <w:abstractNum w:abstractNumId="6" w15:restartNumberingAfterBreak="0">
    <w:nsid w:val="79A0C0D5"/>
    <w:multiLevelType w:val="hybridMultilevel"/>
    <w:tmpl w:val="A648AD10"/>
    <w:lvl w:ilvl="0" w:tplc="EDBCCD3A">
      <w:start w:val="1"/>
      <w:numFmt w:val="lowerLetter"/>
      <w:lvlText w:val="(%1)"/>
      <w:lvlJc w:val="left"/>
      <w:pPr>
        <w:ind w:left="720" w:hanging="360"/>
      </w:pPr>
    </w:lvl>
    <w:lvl w:ilvl="1" w:tplc="D394963C">
      <w:start w:val="1"/>
      <w:numFmt w:val="lowerLetter"/>
      <w:lvlText w:val="%2."/>
      <w:lvlJc w:val="left"/>
      <w:pPr>
        <w:ind w:left="1440" w:hanging="360"/>
      </w:pPr>
    </w:lvl>
    <w:lvl w:ilvl="2" w:tplc="045C8E8E">
      <w:start w:val="1"/>
      <w:numFmt w:val="lowerRoman"/>
      <w:lvlText w:val="%3."/>
      <w:lvlJc w:val="right"/>
      <w:pPr>
        <w:ind w:left="2160" w:hanging="180"/>
      </w:pPr>
    </w:lvl>
    <w:lvl w:ilvl="3" w:tplc="56C062EC">
      <w:start w:val="1"/>
      <w:numFmt w:val="decimal"/>
      <w:lvlText w:val="%4."/>
      <w:lvlJc w:val="left"/>
      <w:pPr>
        <w:ind w:left="2880" w:hanging="360"/>
      </w:pPr>
    </w:lvl>
    <w:lvl w:ilvl="4" w:tplc="943EB7D4">
      <w:start w:val="1"/>
      <w:numFmt w:val="lowerLetter"/>
      <w:lvlText w:val="%5."/>
      <w:lvlJc w:val="left"/>
      <w:pPr>
        <w:ind w:left="3600" w:hanging="360"/>
      </w:pPr>
    </w:lvl>
    <w:lvl w:ilvl="5" w:tplc="C6A2F316">
      <w:start w:val="1"/>
      <w:numFmt w:val="lowerRoman"/>
      <w:lvlText w:val="%6."/>
      <w:lvlJc w:val="right"/>
      <w:pPr>
        <w:ind w:left="4320" w:hanging="180"/>
      </w:pPr>
    </w:lvl>
    <w:lvl w:ilvl="6" w:tplc="415CD160">
      <w:start w:val="1"/>
      <w:numFmt w:val="decimal"/>
      <w:lvlText w:val="%7."/>
      <w:lvlJc w:val="left"/>
      <w:pPr>
        <w:ind w:left="5040" w:hanging="360"/>
      </w:pPr>
    </w:lvl>
    <w:lvl w:ilvl="7" w:tplc="EBC68B06">
      <w:start w:val="1"/>
      <w:numFmt w:val="lowerLetter"/>
      <w:lvlText w:val="%8."/>
      <w:lvlJc w:val="left"/>
      <w:pPr>
        <w:ind w:left="5760" w:hanging="360"/>
      </w:pPr>
    </w:lvl>
    <w:lvl w:ilvl="8" w:tplc="DCD2E61C">
      <w:start w:val="1"/>
      <w:numFmt w:val="lowerRoman"/>
      <w:lvlText w:val="%9."/>
      <w:lvlJc w:val="right"/>
      <w:pPr>
        <w:ind w:left="6480" w:hanging="180"/>
      </w:pPr>
    </w:lvl>
  </w:abstractNum>
  <w:num w:numId="1" w16cid:durableId="1605917472">
    <w:abstractNumId w:val="2"/>
  </w:num>
  <w:num w:numId="2" w16cid:durableId="1272663166">
    <w:abstractNumId w:val="0"/>
  </w:num>
  <w:num w:numId="3" w16cid:durableId="164706825">
    <w:abstractNumId w:val="3"/>
  </w:num>
  <w:num w:numId="4" w16cid:durableId="1250384428">
    <w:abstractNumId w:val="1"/>
  </w:num>
  <w:num w:numId="5" w16cid:durableId="1893080503">
    <w:abstractNumId w:val="4"/>
  </w:num>
  <w:num w:numId="6" w16cid:durableId="1308824060">
    <w:abstractNumId w:val="4"/>
    <w:lvlOverride w:ilvl="0">
      <w:startOverride w:val="1"/>
    </w:lvlOverride>
  </w:num>
  <w:num w:numId="7" w16cid:durableId="160660309">
    <w:abstractNumId w:val="4"/>
    <w:lvlOverride w:ilvl="0">
      <w:startOverride w:val="1"/>
    </w:lvlOverride>
  </w:num>
  <w:num w:numId="8" w16cid:durableId="467167507">
    <w:abstractNumId w:val="5"/>
  </w:num>
  <w:num w:numId="9" w16cid:durableId="473449370">
    <w:abstractNumId w:val="6"/>
  </w:num>
  <w:num w:numId="10" w16cid:durableId="121866134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35"/>
    <w:rsid w:val="000337C4"/>
    <w:rsid w:val="0003471E"/>
    <w:rsid w:val="000A1D49"/>
    <w:rsid w:val="000A3A99"/>
    <w:rsid w:val="000A6AC1"/>
    <w:rsid w:val="000B78C4"/>
    <w:rsid w:val="000D4B02"/>
    <w:rsid w:val="00103A74"/>
    <w:rsid w:val="00150476"/>
    <w:rsid w:val="00163806"/>
    <w:rsid w:val="00171CC9"/>
    <w:rsid w:val="00182482"/>
    <w:rsid w:val="00191973"/>
    <w:rsid w:val="001A7E04"/>
    <w:rsid w:val="001B34AE"/>
    <w:rsid w:val="001C5D97"/>
    <w:rsid w:val="00201CB0"/>
    <w:rsid w:val="00217BBE"/>
    <w:rsid w:val="00231689"/>
    <w:rsid w:val="00286672"/>
    <w:rsid w:val="00291E7A"/>
    <w:rsid w:val="002A2CDD"/>
    <w:rsid w:val="002B40E8"/>
    <w:rsid w:val="002C00FD"/>
    <w:rsid w:val="002C6FC5"/>
    <w:rsid w:val="002D0F5C"/>
    <w:rsid w:val="002D3A98"/>
    <w:rsid w:val="002F4846"/>
    <w:rsid w:val="002F6F04"/>
    <w:rsid w:val="002F7996"/>
    <w:rsid w:val="00307326"/>
    <w:rsid w:val="00314CA8"/>
    <w:rsid w:val="003264B8"/>
    <w:rsid w:val="00334B5F"/>
    <w:rsid w:val="00343C28"/>
    <w:rsid w:val="00351153"/>
    <w:rsid w:val="00383055"/>
    <w:rsid w:val="00396415"/>
    <w:rsid w:val="003A43EB"/>
    <w:rsid w:val="003D3B06"/>
    <w:rsid w:val="003E5A84"/>
    <w:rsid w:val="003E624E"/>
    <w:rsid w:val="00401E40"/>
    <w:rsid w:val="0040280B"/>
    <w:rsid w:val="00407548"/>
    <w:rsid w:val="00430010"/>
    <w:rsid w:val="00452884"/>
    <w:rsid w:val="004830B9"/>
    <w:rsid w:val="004919AA"/>
    <w:rsid w:val="004A5AAC"/>
    <w:rsid w:val="004B5952"/>
    <w:rsid w:val="004C7919"/>
    <w:rsid w:val="004F2095"/>
    <w:rsid w:val="005006FD"/>
    <w:rsid w:val="00500852"/>
    <w:rsid w:val="00552A86"/>
    <w:rsid w:val="0057179D"/>
    <w:rsid w:val="00597260"/>
    <w:rsid w:val="005B6D9E"/>
    <w:rsid w:val="005D1820"/>
    <w:rsid w:val="005E0F13"/>
    <w:rsid w:val="00603BCB"/>
    <w:rsid w:val="0061071C"/>
    <w:rsid w:val="00615437"/>
    <w:rsid w:val="00624979"/>
    <w:rsid w:val="0063781E"/>
    <w:rsid w:val="00647414"/>
    <w:rsid w:val="006504D3"/>
    <w:rsid w:val="00672759"/>
    <w:rsid w:val="006C4AD4"/>
    <w:rsid w:val="006D0E91"/>
    <w:rsid w:val="006D3253"/>
    <w:rsid w:val="006E2809"/>
    <w:rsid w:val="00705083"/>
    <w:rsid w:val="007213BC"/>
    <w:rsid w:val="00726226"/>
    <w:rsid w:val="00727CB6"/>
    <w:rsid w:val="00735EA3"/>
    <w:rsid w:val="00741EC5"/>
    <w:rsid w:val="00755F17"/>
    <w:rsid w:val="00764E26"/>
    <w:rsid w:val="00770A9A"/>
    <w:rsid w:val="00771BB5"/>
    <w:rsid w:val="007A362E"/>
    <w:rsid w:val="007B2204"/>
    <w:rsid w:val="007B390D"/>
    <w:rsid w:val="007C1920"/>
    <w:rsid w:val="007D0E2B"/>
    <w:rsid w:val="007F3FA7"/>
    <w:rsid w:val="00800180"/>
    <w:rsid w:val="00842483"/>
    <w:rsid w:val="008479EA"/>
    <w:rsid w:val="00875F44"/>
    <w:rsid w:val="00883B85"/>
    <w:rsid w:val="0088728B"/>
    <w:rsid w:val="00897AFF"/>
    <w:rsid w:val="008A270C"/>
    <w:rsid w:val="008F1128"/>
    <w:rsid w:val="008F1BBE"/>
    <w:rsid w:val="00942246"/>
    <w:rsid w:val="009646A6"/>
    <w:rsid w:val="009648BE"/>
    <w:rsid w:val="00967EE7"/>
    <w:rsid w:val="009844F8"/>
    <w:rsid w:val="00992703"/>
    <w:rsid w:val="009A14C5"/>
    <w:rsid w:val="009A6C7C"/>
    <w:rsid w:val="009A7FB2"/>
    <w:rsid w:val="009C4CAE"/>
    <w:rsid w:val="009D00E0"/>
    <w:rsid w:val="009E08B6"/>
    <w:rsid w:val="009E675A"/>
    <w:rsid w:val="00A0482E"/>
    <w:rsid w:val="00A25C6C"/>
    <w:rsid w:val="00A34561"/>
    <w:rsid w:val="00A91BD7"/>
    <w:rsid w:val="00A97125"/>
    <w:rsid w:val="00AA771D"/>
    <w:rsid w:val="00AB722E"/>
    <w:rsid w:val="00AD0CF2"/>
    <w:rsid w:val="00AD206B"/>
    <w:rsid w:val="00AE7CA9"/>
    <w:rsid w:val="00B03E35"/>
    <w:rsid w:val="00B646B6"/>
    <w:rsid w:val="00B803D5"/>
    <w:rsid w:val="00BA3383"/>
    <w:rsid w:val="00BA3E60"/>
    <w:rsid w:val="00BC0915"/>
    <w:rsid w:val="00BE4B3B"/>
    <w:rsid w:val="00C20587"/>
    <w:rsid w:val="00C25008"/>
    <w:rsid w:val="00C30660"/>
    <w:rsid w:val="00C4425E"/>
    <w:rsid w:val="00C646B2"/>
    <w:rsid w:val="00C717F1"/>
    <w:rsid w:val="00C80707"/>
    <w:rsid w:val="00CA26EE"/>
    <w:rsid w:val="00CB6967"/>
    <w:rsid w:val="00CC63B1"/>
    <w:rsid w:val="00CF4AA2"/>
    <w:rsid w:val="00D06C55"/>
    <w:rsid w:val="00D12F51"/>
    <w:rsid w:val="00D1481D"/>
    <w:rsid w:val="00D26C58"/>
    <w:rsid w:val="00D26E18"/>
    <w:rsid w:val="00D365D4"/>
    <w:rsid w:val="00D419B7"/>
    <w:rsid w:val="00D469FF"/>
    <w:rsid w:val="00D50F48"/>
    <w:rsid w:val="00D520BB"/>
    <w:rsid w:val="00D62076"/>
    <w:rsid w:val="00D62F78"/>
    <w:rsid w:val="00D6545C"/>
    <w:rsid w:val="00D66952"/>
    <w:rsid w:val="00D676F3"/>
    <w:rsid w:val="00DA2496"/>
    <w:rsid w:val="00DA2CFE"/>
    <w:rsid w:val="00E20627"/>
    <w:rsid w:val="00E219A4"/>
    <w:rsid w:val="00E344FA"/>
    <w:rsid w:val="00E5298E"/>
    <w:rsid w:val="00E63E4D"/>
    <w:rsid w:val="00EA4CE1"/>
    <w:rsid w:val="00EB4A19"/>
    <w:rsid w:val="00EC6C10"/>
    <w:rsid w:val="00EF7068"/>
    <w:rsid w:val="00F17D21"/>
    <w:rsid w:val="00F32B0A"/>
    <w:rsid w:val="00F33771"/>
    <w:rsid w:val="00F42330"/>
    <w:rsid w:val="00F46F03"/>
    <w:rsid w:val="00F6385D"/>
    <w:rsid w:val="00F826A6"/>
    <w:rsid w:val="00F85FB6"/>
    <w:rsid w:val="00F902B9"/>
    <w:rsid w:val="00F97BF1"/>
    <w:rsid w:val="00FA20A1"/>
    <w:rsid w:val="00FB6457"/>
    <w:rsid w:val="00FD07BB"/>
    <w:rsid w:val="00FE16E2"/>
    <w:rsid w:val="00FE182F"/>
    <w:rsid w:val="02CFF9B7"/>
    <w:rsid w:val="04A9E06A"/>
    <w:rsid w:val="083E5F48"/>
    <w:rsid w:val="09F875E4"/>
    <w:rsid w:val="0B7F129C"/>
    <w:rsid w:val="0DE9200C"/>
    <w:rsid w:val="0F11EFE1"/>
    <w:rsid w:val="10474B87"/>
    <w:rsid w:val="12CCF1E0"/>
    <w:rsid w:val="146EC9EA"/>
    <w:rsid w:val="1677D769"/>
    <w:rsid w:val="16A53526"/>
    <w:rsid w:val="1F675C5F"/>
    <w:rsid w:val="2534DA87"/>
    <w:rsid w:val="25946581"/>
    <w:rsid w:val="276EB20A"/>
    <w:rsid w:val="2ABB2BB0"/>
    <w:rsid w:val="2B9B3712"/>
    <w:rsid w:val="2EE010EE"/>
    <w:rsid w:val="3104BC35"/>
    <w:rsid w:val="38DAC43C"/>
    <w:rsid w:val="393AE978"/>
    <w:rsid w:val="3DC0B181"/>
    <w:rsid w:val="43A67C83"/>
    <w:rsid w:val="45D688F8"/>
    <w:rsid w:val="47054A75"/>
    <w:rsid w:val="4F450314"/>
    <w:rsid w:val="4FAF002E"/>
    <w:rsid w:val="4FEEF11A"/>
    <w:rsid w:val="50D41370"/>
    <w:rsid w:val="553FAC3E"/>
    <w:rsid w:val="55CCDB7B"/>
    <w:rsid w:val="59189671"/>
    <w:rsid w:val="5C65803B"/>
    <w:rsid w:val="5DE9C928"/>
    <w:rsid w:val="5DF6D165"/>
    <w:rsid w:val="5DF6E85B"/>
    <w:rsid w:val="5F15AE3B"/>
    <w:rsid w:val="5F8EC1A5"/>
    <w:rsid w:val="60E393B4"/>
    <w:rsid w:val="611C9D01"/>
    <w:rsid w:val="65C59224"/>
    <w:rsid w:val="65D32C27"/>
    <w:rsid w:val="6DECD8FE"/>
    <w:rsid w:val="6F5AC0F2"/>
    <w:rsid w:val="70B28E40"/>
    <w:rsid w:val="72F9E111"/>
    <w:rsid w:val="74C8F37F"/>
    <w:rsid w:val="77F7596D"/>
    <w:rsid w:val="78246FC8"/>
    <w:rsid w:val="7934765D"/>
    <w:rsid w:val="7EE5AC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505D"/>
  <w15:chartTrackingRefBased/>
  <w15:docId w15:val="{8ABE454A-47A4-4D51-A6B0-7BDB5EA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EA3"/>
    <w:pPr>
      <w:spacing w:before="80" w:after="60" w:line="276" w:lineRule="auto"/>
      <w:jc w:val="both"/>
    </w:pPr>
    <w:rPr>
      <w:rFonts w:ascii="Times New Roman" w:eastAsia="Times New Roman" w:hAnsi="Times New Roman" w:cs="Times New Roman"/>
      <w:kern w:val="0"/>
      <w14:ligatures w14:val="none"/>
    </w:rPr>
  </w:style>
  <w:style w:type="paragraph" w:styleId="Overskrift3">
    <w:name w:val="heading 3"/>
    <w:basedOn w:val="Normal"/>
    <w:next w:val="Normal"/>
    <w:link w:val="Overskrift3Tegn"/>
    <w:uiPriority w:val="9"/>
    <w:semiHidden/>
    <w:unhideWhenUsed/>
    <w:qFormat/>
    <w:rsid w:val="00B64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D3B06"/>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D3B06"/>
  </w:style>
  <w:style w:type="paragraph" w:styleId="Bunntekst">
    <w:name w:val="footer"/>
    <w:basedOn w:val="Normal"/>
    <w:link w:val="BunntekstTegn"/>
    <w:uiPriority w:val="99"/>
    <w:unhideWhenUsed/>
    <w:rsid w:val="003D3B0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D3B06"/>
  </w:style>
  <w:style w:type="table" w:styleId="Tabellrutenett">
    <w:name w:val="Table Grid"/>
    <w:basedOn w:val="Vanligtabell"/>
    <w:rsid w:val="00B64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Char"/>
    <w:rsid w:val="00B646B6"/>
    <w:pPr>
      <w:spacing w:before="120" w:after="120" w:line="240" w:lineRule="auto"/>
    </w:pPr>
    <w:rPr>
      <w:sz w:val="20"/>
      <w:lang w:val="en-US"/>
    </w:rPr>
  </w:style>
  <w:style w:type="character" w:customStyle="1" w:styleId="ParagraphCharChar">
    <w:name w:val="Paragraph Char Char"/>
    <w:link w:val="Paragraph"/>
    <w:locked/>
    <w:rsid w:val="00B646B6"/>
    <w:rPr>
      <w:rFonts w:ascii="Times New Roman" w:eastAsia="Times New Roman" w:hAnsi="Times New Roman" w:cs="Times New Roman"/>
      <w:kern w:val="0"/>
      <w:sz w:val="20"/>
      <w:lang w:val="en-US"/>
      <w14:ligatures w14:val="none"/>
    </w:rPr>
  </w:style>
  <w:style w:type="paragraph" w:customStyle="1" w:styleId="MoUparagraphs">
    <w:name w:val="MoU paragraphs"/>
    <w:basedOn w:val="Normal"/>
    <w:rsid w:val="009C4CAE"/>
    <w:pPr>
      <w:spacing w:line="280" w:lineRule="exact"/>
    </w:pPr>
  </w:style>
  <w:style w:type="paragraph" w:customStyle="1" w:styleId="MoUArticles">
    <w:name w:val="MoU Articles"/>
    <w:basedOn w:val="Overskrift3"/>
    <w:rsid w:val="00D66952"/>
    <w:pPr>
      <w:keepLines w:val="0"/>
      <w:spacing w:before="0" w:line="240" w:lineRule="auto"/>
      <w:jc w:val="center"/>
    </w:pPr>
    <w:rPr>
      <w:rFonts w:ascii="Times New Roman" w:eastAsia="Times New Roman" w:hAnsi="Times New Roman" w:cs="Times New Roman"/>
      <w:b/>
      <w:bCs/>
      <w:color w:val="auto"/>
      <w:szCs w:val="22"/>
      <w:lang w:eastAsia="en-GB"/>
    </w:rPr>
  </w:style>
  <w:style w:type="paragraph" w:customStyle="1" w:styleId="MoUSub-paragraphs">
    <w:name w:val="MoU Sub-paragraphs"/>
    <w:basedOn w:val="MoUparagraphs"/>
    <w:rsid w:val="00B646B6"/>
  </w:style>
  <w:style w:type="paragraph" w:customStyle="1" w:styleId="StyleMoUSub-paragraphsLeft0cmHanging063cm">
    <w:name w:val="Style MoU Sub-paragraphs + Left:  0 cm Hanging:  0.63 cm"/>
    <w:basedOn w:val="MoUSub-paragraphs"/>
    <w:rsid w:val="00B646B6"/>
    <w:pPr>
      <w:ind w:left="357" w:hanging="357"/>
    </w:pPr>
    <w:rPr>
      <w:szCs w:val="20"/>
    </w:rPr>
  </w:style>
  <w:style w:type="character" w:customStyle="1" w:styleId="Overskrift3Tegn">
    <w:name w:val="Overskrift 3 Tegn"/>
    <w:basedOn w:val="Standardskriftforavsnitt"/>
    <w:link w:val="Overskrift3"/>
    <w:uiPriority w:val="9"/>
    <w:semiHidden/>
    <w:rsid w:val="00B646B6"/>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rsid w:val="00B646B6"/>
    <w:pPr>
      <w:numPr>
        <w:numId w:val="5"/>
      </w:numPr>
      <w:spacing w:before="120" w:after="120"/>
    </w:pPr>
  </w:style>
  <w:style w:type="paragraph" w:customStyle="1" w:styleId="AgreementFrontpagetext">
    <w:name w:val="Agreement Front page text"/>
    <w:basedOn w:val="Normal"/>
    <w:qFormat/>
    <w:rsid w:val="00163806"/>
    <w:pPr>
      <w:spacing w:before="0" w:after="160" w:line="278" w:lineRule="auto"/>
      <w:jc w:val="center"/>
    </w:pPr>
    <w:rPr>
      <w:sz w:val="24"/>
      <w:szCs w:val="24"/>
      <w:lang w:eastAsia="ja-JP"/>
    </w:rPr>
  </w:style>
  <w:style w:type="paragraph" w:customStyle="1" w:styleId="Annextitle">
    <w:name w:val="Annex title"/>
    <w:basedOn w:val="Normal"/>
    <w:qFormat/>
    <w:rsid w:val="00C646B2"/>
    <w:pPr>
      <w:spacing w:before="0" w:after="0" w:line="240" w:lineRule="auto"/>
      <w:jc w:val="center"/>
      <w:outlineLvl w:val="0"/>
    </w:pPr>
    <w:rPr>
      <w:rFonts w:eastAsia="Aptos"/>
      <w:b/>
      <w:bCs/>
      <w:sz w:val="28"/>
      <w:szCs w:val="28"/>
      <w:lang w:eastAsia="ar-SA"/>
    </w:rPr>
  </w:style>
  <w:style w:type="paragraph" w:customStyle="1" w:styleId="Default">
    <w:name w:val="Default"/>
    <w:rsid w:val="00D469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Tittel">
    <w:name w:val="Title"/>
    <w:basedOn w:val="Normal"/>
    <w:next w:val="Normal"/>
    <w:link w:val="TittelTegn"/>
    <w:uiPriority w:val="10"/>
    <w:qFormat/>
    <w:rsid w:val="00D520BB"/>
    <w:pPr>
      <w:jc w:val="center"/>
    </w:pPr>
    <w:rPr>
      <w:b/>
      <w:bCs/>
      <w:sz w:val="28"/>
      <w:szCs w:val="28"/>
    </w:rPr>
  </w:style>
  <w:style w:type="character" w:customStyle="1" w:styleId="TittelTegn">
    <w:name w:val="Tittel Tegn"/>
    <w:basedOn w:val="Standardskriftforavsnitt"/>
    <w:link w:val="Tittel"/>
    <w:uiPriority w:val="10"/>
    <w:rsid w:val="00D520BB"/>
    <w:rPr>
      <w:rFonts w:ascii="Times New Roman" w:eastAsia="Times New Roman" w:hAnsi="Times New Roman" w:cs="Times New Roman"/>
      <w:b/>
      <w:bCs/>
      <w:kern w:val="0"/>
      <w:sz w:val="28"/>
      <w:szCs w:val="28"/>
      <w14:ligatures w14:val="none"/>
    </w:rPr>
  </w:style>
  <w:style w:type="paragraph" w:styleId="Undertittel">
    <w:name w:val="Subtitle"/>
    <w:basedOn w:val="MoUparagraphs"/>
    <w:next w:val="Normal"/>
    <w:link w:val="UndertittelTegn"/>
    <w:uiPriority w:val="11"/>
    <w:qFormat/>
    <w:rsid w:val="00D520BB"/>
    <w:rPr>
      <w:b/>
    </w:rPr>
  </w:style>
  <w:style w:type="character" w:customStyle="1" w:styleId="UndertittelTegn">
    <w:name w:val="Undertittel Tegn"/>
    <w:basedOn w:val="Standardskriftforavsnitt"/>
    <w:link w:val="Undertittel"/>
    <w:uiPriority w:val="11"/>
    <w:rsid w:val="00D520BB"/>
    <w:rPr>
      <w:rFonts w:ascii="Times New Roman" w:eastAsia="Times New Roman" w:hAnsi="Times New Roman" w:cs="Times New Roman"/>
      <w:b/>
      <w:kern w:val="0"/>
      <w14:ligatures w14:val="none"/>
    </w:rPr>
  </w:style>
  <w:style w:type="paragraph" w:styleId="Revisjon">
    <w:name w:val="Revision"/>
    <w:hidden/>
    <w:uiPriority w:val="99"/>
    <w:semiHidden/>
    <w:rsid w:val="009E08B6"/>
    <w:pPr>
      <w:spacing w:after="0" w:line="240" w:lineRule="auto"/>
    </w:pPr>
    <w:rPr>
      <w:rFonts w:ascii="Times New Roman" w:eastAsia="Times New Roman" w:hAnsi="Times New Roman" w:cs="Times New Roman"/>
      <w:kern w:val="0"/>
      <w14:ligatures w14:val="none"/>
    </w:rPr>
  </w:style>
  <w:style w:type="character" w:styleId="Merknadsreferanse">
    <w:name w:val="annotation reference"/>
    <w:basedOn w:val="Standardskriftforavsnitt"/>
    <w:uiPriority w:val="99"/>
    <w:semiHidden/>
    <w:unhideWhenUsed/>
    <w:rsid w:val="00E20627"/>
    <w:rPr>
      <w:sz w:val="16"/>
      <w:szCs w:val="16"/>
    </w:rPr>
  </w:style>
  <w:style w:type="paragraph" w:styleId="Merknadstekst">
    <w:name w:val="annotation text"/>
    <w:basedOn w:val="Normal"/>
    <w:link w:val="MerknadstekstTegn"/>
    <w:uiPriority w:val="99"/>
    <w:unhideWhenUsed/>
    <w:rsid w:val="00E20627"/>
    <w:pPr>
      <w:spacing w:line="240" w:lineRule="auto"/>
    </w:pPr>
    <w:rPr>
      <w:sz w:val="20"/>
      <w:szCs w:val="20"/>
    </w:rPr>
  </w:style>
  <w:style w:type="character" w:customStyle="1" w:styleId="MerknadstekstTegn">
    <w:name w:val="Merknadstekst Tegn"/>
    <w:basedOn w:val="Standardskriftforavsnitt"/>
    <w:link w:val="Merknadstekst"/>
    <w:uiPriority w:val="99"/>
    <w:rsid w:val="00E20627"/>
    <w:rPr>
      <w:rFonts w:ascii="Times New Roman" w:eastAsia="Times New Roman" w:hAnsi="Times New Roman" w:cs="Times New Roman"/>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E20627"/>
    <w:rPr>
      <w:b/>
      <w:bCs/>
    </w:rPr>
  </w:style>
  <w:style w:type="character" w:customStyle="1" w:styleId="KommentaremneTegn">
    <w:name w:val="Kommentaremne Tegn"/>
    <w:basedOn w:val="MerknadstekstTegn"/>
    <w:link w:val="Kommentaremne"/>
    <w:uiPriority w:val="99"/>
    <w:semiHidden/>
    <w:rsid w:val="00E20627"/>
    <w:rPr>
      <w:rFonts w:ascii="Times New Roman" w:eastAsia="Times New Roman" w:hAnsi="Times New Roman" w:cs="Times New Roman"/>
      <w:b/>
      <w:bCs/>
      <w:kern w:val="0"/>
      <w:sz w:val="20"/>
      <w:szCs w:val="20"/>
      <w14:ligatures w14:val="none"/>
    </w:rPr>
  </w:style>
  <w:style w:type="character" w:styleId="Omtale">
    <w:name w:val="Mention"/>
    <w:basedOn w:val="Standardskriftforavsnitt"/>
    <w:uiPriority w:val="99"/>
    <w:unhideWhenUsed/>
    <w:rsid w:val="00E206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385991">
      <w:bodyDiv w:val="1"/>
      <w:marLeft w:val="0"/>
      <w:marRight w:val="0"/>
      <w:marTop w:val="0"/>
      <w:marBottom w:val="0"/>
      <w:divBdr>
        <w:top w:val="none" w:sz="0" w:space="0" w:color="auto"/>
        <w:left w:val="none" w:sz="0" w:space="0" w:color="auto"/>
        <w:bottom w:val="none" w:sz="0" w:space="0" w:color="auto"/>
        <w:right w:val="none" w:sz="0" w:space="0" w:color="auto"/>
      </w:divBdr>
    </w:div>
    <w:div w:id="16623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479380d4-fcc2-4e8c-bbf9-50d9e599bc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8F9CF897FBF4B96696ABB4C2B45C3" ma:contentTypeVersion="5" ma:contentTypeDescription="Create a new document." ma:contentTypeScope="" ma:versionID="2f8351dfab2738032fae4a1de8fd80fc">
  <xsd:schema xmlns:xsd="http://www.w3.org/2001/XMLSchema" xmlns:xs="http://www.w3.org/2001/XMLSchema" xmlns:p="http://schemas.microsoft.com/office/2006/metadata/properties" xmlns:ns2="479380d4-fcc2-4e8c-bbf9-50d9e599bc88" targetNamespace="http://schemas.microsoft.com/office/2006/metadata/properties" ma:root="true" ma:fieldsID="91d65721ca02484773f26aef05d8f8c5" ns2:_="">
    <xsd:import namespace="479380d4-fcc2-4e8c-bbf9-50d9e599bc88"/>
    <xsd:element name="properties">
      <xsd:complexType>
        <xsd:sequence>
          <xsd:element name="documentManagement">
            <xsd:complexType>
              <xsd:all>
                <xsd:element ref="ns2:Dat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380d4-fcc2-4e8c-bbf9-50d9e599bc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B6032-5AE0-4366-9AE5-E59709B98114}">
  <ds:schemaRefs>
    <ds:schemaRef ds:uri="http://schemas.microsoft.com/office/2006/metadata/properties"/>
    <ds:schemaRef ds:uri="http://schemas.microsoft.com/office/infopath/2007/PartnerControls"/>
    <ds:schemaRef ds:uri="479380d4-fcc2-4e8c-bbf9-50d9e599bc88"/>
  </ds:schemaRefs>
</ds:datastoreItem>
</file>

<file path=customXml/itemProps2.xml><?xml version="1.0" encoding="utf-8"?>
<ds:datastoreItem xmlns:ds="http://schemas.openxmlformats.org/officeDocument/2006/customXml" ds:itemID="{23F63D22-D296-4A1E-93E5-24FA0C3CD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380d4-fcc2-4e8c-bbf9-50d9e599b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6A013-CEAA-48C6-BE52-795BB14F4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2724</Words>
  <Characters>15530</Characters>
  <Application>Microsoft Office Word</Application>
  <DocSecurity>0</DocSecurity>
  <Lines>129</Lines>
  <Paragraphs>36</Paragraphs>
  <ScaleCrop>false</ScaleCrop>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GISKE Johannes</dc:creator>
  <cp:keywords/>
  <dc:description/>
  <cp:lastModifiedBy>SELAND Astrid</cp:lastModifiedBy>
  <cp:revision>2</cp:revision>
  <dcterms:created xsi:type="dcterms:W3CDTF">2026-03-24T13:58:00Z</dcterms:created>
  <dcterms:modified xsi:type="dcterms:W3CDTF">2026-03-24T13:58:00Z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0x0101002FB8F9CF897FBF4B96696ABB4C2B45C3</vt:lpwstr>
  </property>
  <property fmtid="{D5CDD505-2E9C-101B-9397-08002B2CF9AE}" pid="3" name="docLang">
    <vt:lpwstr>en</vt:lpwstr>
  </property>
</Properties>
</file>