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0529" w14:textId="77777777" w:rsidR="003F5664" w:rsidRPr="00E17453" w:rsidRDefault="003F5664" w:rsidP="00F154F0">
      <w:pPr>
        <w:jc w:val="center"/>
        <w:rPr>
          <w:rFonts w:cs="Arial"/>
          <w:b/>
          <w:sz w:val="20"/>
          <w:szCs w:val="20"/>
        </w:rPr>
      </w:pPr>
    </w:p>
    <w:p w14:paraId="7434C192" w14:textId="1FC5B1E1" w:rsidR="003F5664" w:rsidRPr="00BF72F5" w:rsidRDefault="003F5664" w:rsidP="00F154F0">
      <w:pPr>
        <w:pStyle w:val="datumtevilka"/>
        <w:spacing w:line="240" w:lineRule="auto"/>
      </w:pPr>
      <w:r w:rsidRPr="00BF72F5">
        <w:t>Številka:</w:t>
      </w:r>
      <w:r w:rsidR="003218B6" w:rsidRPr="00BF72F5">
        <w:t xml:space="preserve"> 303-</w:t>
      </w:r>
      <w:r w:rsidR="007D32A0">
        <w:t>10</w:t>
      </w:r>
      <w:r w:rsidR="003218B6" w:rsidRPr="00BF72F5">
        <w:t>/202</w:t>
      </w:r>
      <w:r w:rsidR="007D32A0">
        <w:t>5</w:t>
      </w:r>
      <w:r w:rsidR="003E30C6" w:rsidRPr="00BF72F5">
        <w:t>-2180-</w:t>
      </w:r>
      <w:r w:rsidR="007D32A0">
        <w:t>8</w:t>
      </w:r>
      <w:r w:rsidRPr="00BF72F5">
        <w:tab/>
      </w:r>
    </w:p>
    <w:p w14:paraId="26F2E96A" w14:textId="7C6ECF98" w:rsidR="003F5664" w:rsidRPr="00E17453" w:rsidRDefault="003F5664" w:rsidP="00F154F0">
      <w:pPr>
        <w:pStyle w:val="datumtevilka"/>
        <w:spacing w:line="240" w:lineRule="auto"/>
      </w:pPr>
      <w:r w:rsidRPr="00BF72F5">
        <w:t>Datum:</w:t>
      </w:r>
      <w:r w:rsidR="00F154F0" w:rsidRPr="00BF72F5">
        <w:t xml:space="preserve"> </w:t>
      </w:r>
      <w:r w:rsidR="003218B6" w:rsidRPr="00BF72F5">
        <w:t xml:space="preserve"> </w:t>
      </w:r>
      <w:r w:rsidRPr="00BF72F5">
        <w:t xml:space="preserve"> </w:t>
      </w:r>
      <w:r w:rsidR="007D32A0">
        <w:t>3</w:t>
      </w:r>
      <w:r w:rsidR="00515EF8">
        <w:t>1</w:t>
      </w:r>
      <w:r w:rsidR="00C96494" w:rsidRPr="00BF72F5">
        <w:t>.</w:t>
      </w:r>
      <w:r w:rsidR="00020350" w:rsidRPr="00BF72F5">
        <w:t xml:space="preserve"> </w:t>
      </w:r>
      <w:r w:rsidR="003E30C6" w:rsidRPr="00BF72F5">
        <w:t>7</w:t>
      </w:r>
      <w:r w:rsidR="00C96494" w:rsidRPr="00BF72F5">
        <w:t>.</w:t>
      </w:r>
      <w:r w:rsidR="00020350" w:rsidRPr="00BF72F5">
        <w:t xml:space="preserve"> </w:t>
      </w:r>
      <w:r w:rsidR="00C96494" w:rsidRPr="00BF72F5">
        <w:t>202</w:t>
      </w:r>
      <w:r w:rsidR="00F26500" w:rsidRPr="00BF72F5">
        <w:t>5</w:t>
      </w:r>
      <w:r w:rsidRPr="00E17453">
        <w:tab/>
        <w:t xml:space="preserve"> </w:t>
      </w:r>
    </w:p>
    <w:p w14:paraId="4FF14639" w14:textId="77777777" w:rsidR="003F5664" w:rsidRPr="00E17453" w:rsidRDefault="003F5664" w:rsidP="00F154F0">
      <w:pPr>
        <w:jc w:val="center"/>
        <w:rPr>
          <w:rFonts w:cs="Arial"/>
          <w:b/>
          <w:sz w:val="20"/>
          <w:szCs w:val="20"/>
        </w:rPr>
      </w:pPr>
    </w:p>
    <w:p w14:paraId="761FD3D1" w14:textId="77777777" w:rsidR="003F5664" w:rsidRPr="00E17453" w:rsidRDefault="003F5664" w:rsidP="00F154F0">
      <w:pPr>
        <w:jc w:val="center"/>
        <w:rPr>
          <w:rFonts w:cs="Arial"/>
          <w:b/>
          <w:sz w:val="20"/>
          <w:szCs w:val="20"/>
        </w:rPr>
      </w:pPr>
    </w:p>
    <w:p w14:paraId="3E0DF455" w14:textId="77777777" w:rsidR="003F5664" w:rsidRDefault="003F5664" w:rsidP="00F154F0">
      <w:pPr>
        <w:jc w:val="center"/>
        <w:rPr>
          <w:rFonts w:cs="Arial"/>
          <w:b/>
          <w:sz w:val="20"/>
          <w:szCs w:val="20"/>
        </w:rPr>
      </w:pPr>
    </w:p>
    <w:p w14:paraId="743191A0" w14:textId="77777777" w:rsidR="00F154F0" w:rsidRDefault="00F154F0" w:rsidP="00F154F0">
      <w:pPr>
        <w:jc w:val="center"/>
        <w:rPr>
          <w:rFonts w:cs="Arial"/>
          <w:b/>
          <w:sz w:val="20"/>
          <w:szCs w:val="20"/>
        </w:rPr>
      </w:pPr>
    </w:p>
    <w:p w14:paraId="73A2559B" w14:textId="77777777" w:rsidR="00F154F0" w:rsidRDefault="00F154F0" w:rsidP="00F154F0">
      <w:pPr>
        <w:jc w:val="center"/>
        <w:rPr>
          <w:rFonts w:cs="Arial"/>
          <w:b/>
          <w:sz w:val="20"/>
          <w:szCs w:val="20"/>
        </w:rPr>
      </w:pPr>
    </w:p>
    <w:p w14:paraId="650FEE70" w14:textId="77777777" w:rsidR="00F154F0" w:rsidRDefault="00F154F0" w:rsidP="00F154F0">
      <w:pPr>
        <w:jc w:val="center"/>
        <w:rPr>
          <w:rFonts w:cs="Arial"/>
          <w:b/>
          <w:sz w:val="20"/>
          <w:szCs w:val="20"/>
        </w:rPr>
      </w:pPr>
    </w:p>
    <w:p w14:paraId="0B1FCE16" w14:textId="77777777" w:rsidR="00F154F0" w:rsidRDefault="00F154F0" w:rsidP="00F154F0">
      <w:pPr>
        <w:jc w:val="center"/>
        <w:rPr>
          <w:rFonts w:cs="Arial"/>
          <w:b/>
          <w:sz w:val="20"/>
          <w:szCs w:val="20"/>
        </w:rPr>
      </w:pPr>
    </w:p>
    <w:p w14:paraId="39EE01B9" w14:textId="77777777" w:rsidR="00F154F0" w:rsidRPr="00E17453" w:rsidRDefault="00F154F0" w:rsidP="00F154F0">
      <w:pPr>
        <w:jc w:val="center"/>
        <w:rPr>
          <w:rFonts w:cs="Arial"/>
          <w:b/>
          <w:sz w:val="20"/>
          <w:szCs w:val="20"/>
        </w:rPr>
      </w:pPr>
    </w:p>
    <w:p w14:paraId="6DBE8A9C" w14:textId="49720299" w:rsidR="00F154F0" w:rsidRPr="00F154F0" w:rsidRDefault="00F154F0" w:rsidP="00F154F0">
      <w:pPr>
        <w:jc w:val="center"/>
        <w:rPr>
          <w:rFonts w:cs="Arial"/>
          <w:b/>
          <w:sz w:val="36"/>
          <w:szCs w:val="36"/>
        </w:rPr>
      </w:pPr>
      <w:r w:rsidRPr="00F154F0">
        <w:rPr>
          <w:rFonts w:cs="Arial"/>
          <w:b/>
          <w:sz w:val="36"/>
          <w:szCs w:val="36"/>
        </w:rPr>
        <w:t>Načrt izvajanja</w:t>
      </w:r>
    </w:p>
    <w:p w14:paraId="08CE89BE" w14:textId="77777777" w:rsidR="00F154F0" w:rsidRDefault="00F154F0" w:rsidP="00F154F0">
      <w:pPr>
        <w:jc w:val="center"/>
        <w:rPr>
          <w:rFonts w:cs="Arial"/>
          <w:b/>
          <w:sz w:val="36"/>
          <w:szCs w:val="36"/>
        </w:rPr>
      </w:pPr>
    </w:p>
    <w:p w14:paraId="3DAC7F5D" w14:textId="276A2FE9" w:rsidR="00BE5B0A" w:rsidRPr="00F154F0" w:rsidRDefault="00BE5B0A" w:rsidP="00F154F0">
      <w:pPr>
        <w:jc w:val="center"/>
        <w:rPr>
          <w:rFonts w:cs="Arial"/>
          <w:b/>
          <w:sz w:val="36"/>
          <w:szCs w:val="36"/>
        </w:rPr>
      </w:pPr>
      <w:r w:rsidRPr="00F154F0">
        <w:rPr>
          <w:rFonts w:cs="Arial"/>
          <w:b/>
          <w:sz w:val="36"/>
          <w:szCs w:val="36"/>
        </w:rPr>
        <w:t>finančnih instrumentov</w:t>
      </w:r>
      <w:r w:rsidR="00EB48F1">
        <w:rPr>
          <w:rFonts w:cs="Arial"/>
          <w:b/>
          <w:sz w:val="36"/>
          <w:szCs w:val="36"/>
        </w:rPr>
        <w:t xml:space="preserve"> </w:t>
      </w:r>
      <w:r w:rsidR="00777994">
        <w:rPr>
          <w:rFonts w:cs="Arial"/>
          <w:b/>
          <w:sz w:val="36"/>
          <w:szCs w:val="36"/>
        </w:rPr>
        <w:t xml:space="preserve">za leti </w:t>
      </w:r>
      <w:r w:rsidR="00EB48F1">
        <w:rPr>
          <w:rFonts w:cs="Arial"/>
          <w:b/>
          <w:sz w:val="36"/>
          <w:szCs w:val="36"/>
        </w:rPr>
        <w:t>202</w:t>
      </w:r>
      <w:r w:rsidR="007F40E4">
        <w:rPr>
          <w:rFonts w:cs="Arial"/>
          <w:b/>
          <w:sz w:val="36"/>
          <w:szCs w:val="36"/>
        </w:rPr>
        <w:t>6</w:t>
      </w:r>
      <w:r w:rsidR="00BB3654">
        <w:rPr>
          <w:rFonts w:cs="Arial"/>
          <w:b/>
          <w:sz w:val="36"/>
          <w:szCs w:val="36"/>
        </w:rPr>
        <w:t xml:space="preserve"> in </w:t>
      </w:r>
      <w:r w:rsidR="00EB48F1">
        <w:rPr>
          <w:rFonts w:cs="Arial"/>
          <w:b/>
          <w:sz w:val="36"/>
          <w:szCs w:val="36"/>
        </w:rPr>
        <w:t>202</w:t>
      </w:r>
      <w:r w:rsidR="007F40E4">
        <w:rPr>
          <w:rFonts w:cs="Arial"/>
          <w:b/>
          <w:sz w:val="36"/>
          <w:szCs w:val="36"/>
        </w:rPr>
        <w:t>7</w:t>
      </w:r>
      <w:r w:rsidR="00EB48F1">
        <w:rPr>
          <w:rFonts w:cs="Arial"/>
          <w:b/>
          <w:sz w:val="36"/>
          <w:szCs w:val="36"/>
        </w:rPr>
        <w:t xml:space="preserve"> </w:t>
      </w:r>
    </w:p>
    <w:p w14:paraId="1D9EF997" w14:textId="77777777" w:rsidR="00BE5B0A" w:rsidRPr="00F154F0" w:rsidRDefault="00BE5B0A" w:rsidP="00F154F0">
      <w:pPr>
        <w:jc w:val="center"/>
        <w:rPr>
          <w:rFonts w:cs="Arial"/>
          <w:b/>
          <w:sz w:val="36"/>
          <w:szCs w:val="36"/>
        </w:rPr>
      </w:pPr>
    </w:p>
    <w:p w14:paraId="76D9D16C" w14:textId="066AB3DD" w:rsidR="00BE5B0A" w:rsidRPr="00F154F0" w:rsidRDefault="00BE5B0A" w:rsidP="00F154F0">
      <w:pPr>
        <w:jc w:val="center"/>
        <w:rPr>
          <w:rFonts w:cs="Arial"/>
          <w:b/>
          <w:sz w:val="36"/>
          <w:szCs w:val="36"/>
        </w:rPr>
      </w:pPr>
      <w:r w:rsidRPr="00F154F0">
        <w:rPr>
          <w:rFonts w:cs="Arial"/>
          <w:b/>
          <w:sz w:val="36"/>
          <w:szCs w:val="36"/>
        </w:rPr>
        <w:t>programske</w:t>
      </w:r>
      <w:r w:rsidR="00C014A4">
        <w:rPr>
          <w:rFonts w:cs="Arial"/>
          <w:b/>
          <w:sz w:val="36"/>
          <w:szCs w:val="36"/>
        </w:rPr>
        <w:t>ga</w:t>
      </w:r>
      <w:r w:rsidRPr="00F154F0">
        <w:rPr>
          <w:rFonts w:cs="Arial"/>
          <w:b/>
          <w:sz w:val="36"/>
          <w:szCs w:val="36"/>
        </w:rPr>
        <w:t xml:space="preserve"> obdobj</w:t>
      </w:r>
      <w:r w:rsidR="00C014A4">
        <w:rPr>
          <w:rFonts w:cs="Arial"/>
          <w:b/>
          <w:sz w:val="36"/>
          <w:szCs w:val="36"/>
        </w:rPr>
        <w:t>a</w:t>
      </w:r>
    </w:p>
    <w:p w14:paraId="1D440596" w14:textId="77777777" w:rsidR="00BE5B0A" w:rsidRPr="00F154F0" w:rsidRDefault="00BE5B0A" w:rsidP="00F154F0">
      <w:pPr>
        <w:jc w:val="center"/>
        <w:rPr>
          <w:rFonts w:cs="Arial"/>
          <w:b/>
          <w:sz w:val="36"/>
          <w:szCs w:val="36"/>
        </w:rPr>
      </w:pPr>
    </w:p>
    <w:p w14:paraId="55970DF4" w14:textId="77777777" w:rsidR="00BE5B0A" w:rsidRPr="00F154F0" w:rsidRDefault="00BE5B0A" w:rsidP="00F154F0">
      <w:pPr>
        <w:jc w:val="center"/>
        <w:rPr>
          <w:rFonts w:cs="Arial"/>
          <w:b/>
          <w:sz w:val="36"/>
          <w:szCs w:val="36"/>
        </w:rPr>
      </w:pPr>
      <w:r w:rsidRPr="00F154F0">
        <w:rPr>
          <w:rFonts w:cs="Arial"/>
          <w:b/>
          <w:sz w:val="36"/>
          <w:szCs w:val="36"/>
        </w:rPr>
        <w:t>2021–2027</w:t>
      </w:r>
    </w:p>
    <w:p w14:paraId="133C4FC8" w14:textId="77777777" w:rsidR="00BE5B0A" w:rsidRDefault="00BE5B0A" w:rsidP="00F154F0">
      <w:pPr>
        <w:rPr>
          <w:rFonts w:cs="Arial"/>
          <w:b/>
          <w:sz w:val="72"/>
          <w:szCs w:val="72"/>
        </w:rPr>
      </w:pPr>
    </w:p>
    <w:p w14:paraId="7CD79036" w14:textId="77777777" w:rsidR="00BE5B0A" w:rsidRDefault="00BE5B0A" w:rsidP="00F154F0">
      <w:pPr>
        <w:rPr>
          <w:rFonts w:cs="Arial"/>
          <w:b/>
          <w:sz w:val="72"/>
          <w:szCs w:val="72"/>
        </w:rPr>
      </w:pPr>
    </w:p>
    <w:p w14:paraId="2CB041F8" w14:textId="77777777" w:rsidR="00BE5B0A" w:rsidRPr="00400989" w:rsidRDefault="00BE5B0A" w:rsidP="00F154F0">
      <w:pPr>
        <w:rPr>
          <w:rFonts w:cs="Arial"/>
          <w:b/>
          <w:sz w:val="72"/>
          <w:szCs w:val="72"/>
        </w:rPr>
      </w:pPr>
    </w:p>
    <w:p w14:paraId="38634103" w14:textId="77777777" w:rsidR="003F5664" w:rsidRDefault="003F5664" w:rsidP="00F154F0">
      <w:pPr>
        <w:jc w:val="center"/>
        <w:rPr>
          <w:rFonts w:cs="Arial"/>
          <w:b/>
          <w:sz w:val="20"/>
          <w:szCs w:val="20"/>
        </w:rPr>
      </w:pPr>
    </w:p>
    <w:p w14:paraId="3438D2A9" w14:textId="77777777" w:rsidR="00F154F0" w:rsidRDefault="00F154F0" w:rsidP="00F154F0">
      <w:pPr>
        <w:jc w:val="center"/>
        <w:rPr>
          <w:rFonts w:cs="Arial"/>
          <w:b/>
          <w:sz w:val="20"/>
          <w:szCs w:val="20"/>
        </w:rPr>
      </w:pPr>
    </w:p>
    <w:p w14:paraId="441B0C8A" w14:textId="77777777" w:rsidR="00F154F0" w:rsidRDefault="00F154F0" w:rsidP="00F154F0">
      <w:pPr>
        <w:jc w:val="center"/>
        <w:rPr>
          <w:rFonts w:cs="Arial"/>
          <w:b/>
          <w:sz w:val="20"/>
          <w:szCs w:val="20"/>
        </w:rPr>
      </w:pPr>
    </w:p>
    <w:p w14:paraId="53D38388" w14:textId="77777777" w:rsidR="00F154F0" w:rsidRDefault="00F154F0" w:rsidP="00F154F0">
      <w:pPr>
        <w:jc w:val="center"/>
        <w:rPr>
          <w:rFonts w:cs="Arial"/>
          <w:b/>
          <w:sz w:val="20"/>
          <w:szCs w:val="20"/>
        </w:rPr>
      </w:pPr>
    </w:p>
    <w:p w14:paraId="19ED357C" w14:textId="77777777" w:rsidR="00F154F0" w:rsidRDefault="00F154F0" w:rsidP="00F154F0">
      <w:pPr>
        <w:jc w:val="center"/>
        <w:rPr>
          <w:rFonts w:cs="Arial"/>
          <w:b/>
          <w:sz w:val="20"/>
          <w:szCs w:val="20"/>
        </w:rPr>
      </w:pPr>
    </w:p>
    <w:p w14:paraId="22DDD0B6" w14:textId="77777777" w:rsidR="00F154F0" w:rsidRDefault="00F154F0" w:rsidP="00F154F0">
      <w:pPr>
        <w:jc w:val="center"/>
        <w:rPr>
          <w:rFonts w:cs="Arial"/>
          <w:b/>
          <w:sz w:val="20"/>
          <w:szCs w:val="20"/>
        </w:rPr>
      </w:pPr>
    </w:p>
    <w:p w14:paraId="3F4824FD" w14:textId="77777777" w:rsidR="00F154F0" w:rsidRDefault="00F154F0" w:rsidP="00F154F0">
      <w:pPr>
        <w:jc w:val="center"/>
        <w:rPr>
          <w:rFonts w:cs="Arial"/>
          <w:b/>
          <w:sz w:val="20"/>
          <w:szCs w:val="20"/>
        </w:rPr>
      </w:pPr>
    </w:p>
    <w:p w14:paraId="522C84C9" w14:textId="77777777" w:rsidR="00F154F0" w:rsidRDefault="00F154F0" w:rsidP="00F154F0">
      <w:pPr>
        <w:jc w:val="center"/>
        <w:rPr>
          <w:rFonts w:cs="Arial"/>
          <w:b/>
          <w:sz w:val="20"/>
          <w:szCs w:val="20"/>
        </w:rPr>
      </w:pPr>
    </w:p>
    <w:p w14:paraId="3A65F58F" w14:textId="77777777" w:rsidR="00F154F0" w:rsidRDefault="00F154F0" w:rsidP="00F154F0">
      <w:pPr>
        <w:jc w:val="center"/>
        <w:rPr>
          <w:rFonts w:cs="Arial"/>
          <w:b/>
          <w:sz w:val="20"/>
          <w:szCs w:val="20"/>
        </w:rPr>
      </w:pPr>
    </w:p>
    <w:p w14:paraId="762E9509" w14:textId="77777777" w:rsidR="00F154F0" w:rsidRDefault="00F154F0" w:rsidP="00F154F0">
      <w:pPr>
        <w:jc w:val="center"/>
        <w:rPr>
          <w:rFonts w:cs="Arial"/>
          <w:b/>
          <w:sz w:val="20"/>
          <w:szCs w:val="20"/>
        </w:rPr>
      </w:pPr>
    </w:p>
    <w:p w14:paraId="6B8F3526" w14:textId="77777777" w:rsidR="00F154F0" w:rsidRPr="00E17453" w:rsidRDefault="00F154F0" w:rsidP="00F154F0">
      <w:pPr>
        <w:jc w:val="center"/>
        <w:rPr>
          <w:rFonts w:cs="Arial"/>
          <w:b/>
          <w:sz w:val="20"/>
          <w:szCs w:val="20"/>
        </w:rPr>
      </w:pPr>
    </w:p>
    <w:p w14:paraId="747A3E28" w14:textId="77777777" w:rsidR="003F5664" w:rsidRPr="00E17453" w:rsidRDefault="003F5664" w:rsidP="00F154F0">
      <w:pPr>
        <w:jc w:val="both"/>
        <w:rPr>
          <w:rFonts w:cs="Arial"/>
          <w:sz w:val="20"/>
          <w:szCs w:val="20"/>
        </w:rPr>
      </w:pPr>
    </w:p>
    <w:p w14:paraId="10AF723B" w14:textId="3774B4F8" w:rsidR="003F5664" w:rsidRPr="00E17453" w:rsidRDefault="006E7E26" w:rsidP="00F154F0">
      <w:pPr>
        <w:jc w:val="center"/>
        <w:rPr>
          <w:rFonts w:cs="Arial"/>
          <w:sz w:val="20"/>
          <w:szCs w:val="20"/>
        </w:rPr>
      </w:pPr>
      <w:r w:rsidRPr="00400989">
        <w:rPr>
          <w:rFonts w:cs="Arial"/>
          <w:noProof/>
        </w:rPr>
        <w:drawing>
          <wp:inline distT="0" distB="0" distL="0" distR="0" wp14:anchorId="134F6B88" wp14:editId="68DD0749">
            <wp:extent cx="2326943" cy="612341"/>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091" cy="616590"/>
                    </a:xfrm>
                    <a:prstGeom prst="rect">
                      <a:avLst/>
                    </a:prstGeom>
                    <a:noFill/>
                    <a:ln>
                      <a:noFill/>
                    </a:ln>
                  </pic:spPr>
                </pic:pic>
              </a:graphicData>
            </a:graphic>
          </wp:inline>
        </w:drawing>
      </w:r>
    </w:p>
    <w:p w14:paraId="35BDF1EA" w14:textId="77777777" w:rsidR="003F5664" w:rsidRDefault="003F5664" w:rsidP="00F154F0">
      <w:pPr>
        <w:jc w:val="both"/>
        <w:rPr>
          <w:rFonts w:cs="Arial"/>
          <w:sz w:val="20"/>
          <w:szCs w:val="20"/>
        </w:rPr>
      </w:pPr>
    </w:p>
    <w:p w14:paraId="6C828BC0" w14:textId="77777777" w:rsidR="00F154F0" w:rsidRDefault="00F154F0" w:rsidP="00F154F0">
      <w:pPr>
        <w:jc w:val="both"/>
        <w:rPr>
          <w:rFonts w:cs="Arial"/>
          <w:sz w:val="20"/>
          <w:szCs w:val="20"/>
        </w:rPr>
      </w:pPr>
    </w:p>
    <w:p w14:paraId="748C1874" w14:textId="77777777" w:rsidR="00F154F0" w:rsidRDefault="00F154F0" w:rsidP="00F154F0">
      <w:pPr>
        <w:jc w:val="both"/>
        <w:rPr>
          <w:rFonts w:cs="Arial"/>
          <w:sz w:val="20"/>
          <w:szCs w:val="20"/>
        </w:rPr>
      </w:pPr>
    </w:p>
    <w:p w14:paraId="4EC29B29" w14:textId="77777777" w:rsidR="00F154F0" w:rsidRDefault="00F154F0" w:rsidP="00F154F0">
      <w:pPr>
        <w:jc w:val="both"/>
        <w:rPr>
          <w:rFonts w:cs="Arial"/>
          <w:sz w:val="20"/>
          <w:szCs w:val="20"/>
        </w:rPr>
      </w:pPr>
    </w:p>
    <w:p w14:paraId="6DB8778A" w14:textId="77777777" w:rsidR="00F154F0" w:rsidRPr="00E17453" w:rsidRDefault="00F154F0" w:rsidP="00F154F0">
      <w:pPr>
        <w:jc w:val="both"/>
        <w:rPr>
          <w:rFonts w:cs="Arial"/>
          <w:sz w:val="20"/>
          <w:szCs w:val="20"/>
        </w:rPr>
      </w:pPr>
    </w:p>
    <w:p w14:paraId="52F6657D" w14:textId="06408AB7" w:rsidR="003F5664" w:rsidRPr="00E17453" w:rsidRDefault="00D406A9" w:rsidP="00F154F0">
      <w:pPr>
        <w:jc w:val="center"/>
        <w:rPr>
          <w:rFonts w:cs="Arial"/>
          <w:sz w:val="20"/>
          <w:szCs w:val="20"/>
        </w:rPr>
      </w:pPr>
      <w:r>
        <w:rPr>
          <w:rFonts w:cs="Arial"/>
          <w:sz w:val="20"/>
          <w:szCs w:val="20"/>
        </w:rPr>
        <w:t xml:space="preserve"> </w:t>
      </w:r>
    </w:p>
    <w:p w14:paraId="5D9A9FEB" w14:textId="49230A32" w:rsidR="006E7E26" w:rsidRPr="00400989" w:rsidRDefault="006E7E26" w:rsidP="00F154F0">
      <w:pPr>
        <w:jc w:val="both"/>
        <w:rPr>
          <w:rFonts w:cs="Arial"/>
          <w:szCs w:val="22"/>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400989">
        <w:rPr>
          <w:rFonts w:cs="Arial"/>
          <w:szCs w:val="22"/>
        </w:rPr>
        <w:t xml:space="preserve">Različica </w:t>
      </w:r>
      <w:r w:rsidR="00F26500">
        <w:rPr>
          <w:rFonts w:cs="Arial"/>
          <w:szCs w:val="22"/>
        </w:rPr>
        <w:t>2</w:t>
      </w:r>
      <w:r w:rsidRPr="00400989">
        <w:rPr>
          <w:rFonts w:cs="Arial"/>
          <w:szCs w:val="22"/>
        </w:rPr>
        <w:t>.0</w:t>
      </w:r>
    </w:p>
    <w:p w14:paraId="51A05130" w14:textId="2F0E4349" w:rsidR="003F5664" w:rsidRPr="00E17453" w:rsidRDefault="003F5664" w:rsidP="00F154F0">
      <w:pPr>
        <w:jc w:val="both"/>
        <w:rPr>
          <w:rFonts w:cs="Arial"/>
          <w:sz w:val="20"/>
          <w:szCs w:val="20"/>
        </w:rPr>
      </w:pPr>
    </w:p>
    <w:p w14:paraId="0E57840B" w14:textId="570F29E8" w:rsidR="003F5664" w:rsidRPr="00E17453" w:rsidRDefault="003F5664" w:rsidP="00F154F0">
      <w:pPr>
        <w:jc w:val="center"/>
        <w:rPr>
          <w:rFonts w:cs="Arial"/>
          <w:sz w:val="20"/>
          <w:szCs w:val="20"/>
        </w:rPr>
      </w:pPr>
    </w:p>
    <w:p w14:paraId="45EFC2B7" w14:textId="77777777" w:rsidR="00F70CA0" w:rsidRDefault="00F70CA0" w:rsidP="00F154F0">
      <w:pPr>
        <w:pStyle w:val="Kazalovsebine1"/>
        <w:spacing w:after="0" w:line="240" w:lineRule="auto"/>
        <w:rPr>
          <w:rFonts w:ascii="Arial" w:hAnsi="Arial" w:cs="Arial"/>
          <w:b/>
          <w:bCs/>
          <w:sz w:val="20"/>
          <w:szCs w:val="20"/>
        </w:rPr>
      </w:pPr>
    </w:p>
    <w:p w14:paraId="6D765874" w14:textId="5FB4D13B" w:rsidR="003F5664" w:rsidRPr="00E17453" w:rsidRDefault="003F5664" w:rsidP="00F154F0">
      <w:pPr>
        <w:pStyle w:val="Kazalovsebine1"/>
        <w:spacing w:after="0" w:line="240" w:lineRule="auto"/>
        <w:rPr>
          <w:rFonts w:ascii="Arial" w:hAnsi="Arial" w:cs="Arial"/>
          <w:b/>
          <w:bCs/>
          <w:sz w:val="20"/>
          <w:szCs w:val="20"/>
        </w:rPr>
      </w:pPr>
      <w:r w:rsidRPr="00E17453">
        <w:rPr>
          <w:rFonts w:ascii="Arial" w:hAnsi="Arial" w:cs="Arial"/>
          <w:b/>
          <w:bCs/>
          <w:sz w:val="20"/>
          <w:szCs w:val="20"/>
        </w:rPr>
        <w:lastRenderedPageBreak/>
        <w:t>KAZALO</w:t>
      </w:r>
    </w:p>
    <w:p w14:paraId="234C14C0" w14:textId="32BC7CBD" w:rsidR="00E70227" w:rsidRPr="00E17453" w:rsidRDefault="00E70227" w:rsidP="00F154F0">
      <w:pPr>
        <w:rPr>
          <w:sz w:val="20"/>
          <w:szCs w:val="20"/>
          <w:lang w:eastAsia="sl-SI"/>
        </w:rPr>
      </w:pPr>
    </w:p>
    <w:sdt>
      <w:sdtPr>
        <w:rPr>
          <w:rFonts w:ascii="Arial" w:eastAsia="Times New Roman" w:hAnsi="Arial" w:cs="Arial"/>
          <w:color w:val="auto"/>
          <w:sz w:val="20"/>
          <w:szCs w:val="20"/>
          <w:lang w:eastAsia="en-US"/>
        </w:rPr>
        <w:id w:val="-1248722395"/>
        <w:docPartObj>
          <w:docPartGallery w:val="Table of Contents"/>
          <w:docPartUnique/>
        </w:docPartObj>
      </w:sdtPr>
      <w:sdtEndPr>
        <w:rPr>
          <w:rFonts w:cs="Times New Roman"/>
          <w:b/>
          <w:bCs/>
        </w:rPr>
      </w:sdtEndPr>
      <w:sdtContent>
        <w:p w14:paraId="7CDAF5CE" w14:textId="7EC3BA66" w:rsidR="00E70227" w:rsidRPr="00F154F0" w:rsidRDefault="00E70227" w:rsidP="00F154F0">
          <w:pPr>
            <w:pStyle w:val="NaslovTOC"/>
            <w:spacing w:line="240" w:lineRule="auto"/>
            <w:rPr>
              <w:rFonts w:ascii="Arial" w:hAnsi="Arial" w:cs="Arial"/>
              <w:sz w:val="20"/>
              <w:szCs w:val="20"/>
            </w:rPr>
          </w:pPr>
        </w:p>
        <w:p w14:paraId="65096FE6" w14:textId="193B326F" w:rsidR="0079336D" w:rsidRPr="00D451F8" w:rsidRDefault="00E70227">
          <w:pPr>
            <w:pStyle w:val="Kazalovsebine2"/>
            <w:rPr>
              <w:rFonts w:ascii="Arial" w:hAnsi="Arial" w:cs="Arial"/>
              <w:noProof/>
              <w:kern w:val="2"/>
              <w:sz w:val="20"/>
              <w:szCs w:val="20"/>
              <w14:ligatures w14:val="standardContextual"/>
            </w:rPr>
          </w:pPr>
          <w:r w:rsidRPr="00F154F0">
            <w:rPr>
              <w:rFonts w:ascii="Arial" w:hAnsi="Arial" w:cs="Arial"/>
              <w:sz w:val="20"/>
              <w:szCs w:val="20"/>
            </w:rPr>
            <w:fldChar w:fldCharType="begin"/>
          </w:r>
          <w:r w:rsidRPr="00F154F0">
            <w:rPr>
              <w:rFonts w:ascii="Arial" w:hAnsi="Arial" w:cs="Arial"/>
              <w:sz w:val="20"/>
              <w:szCs w:val="20"/>
            </w:rPr>
            <w:instrText xml:space="preserve"> TOC \o "1-3" \h \z \u </w:instrText>
          </w:r>
          <w:r w:rsidRPr="00F154F0">
            <w:rPr>
              <w:rFonts w:ascii="Arial" w:hAnsi="Arial" w:cs="Arial"/>
              <w:sz w:val="20"/>
              <w:szCs w:val="20"/>
            </w:rPr>
            <w:fldChar w:fldCharType="separate"/>
          </w:r>
          <w:hyperlink w:anchor="_Toc175120972" w:history="1">
            <w:r w:rsidR="0079336D" w:rsidRPr="00D451F8">
              <w:rPr>
                <w:rStyle w:val="Hiperpovezava"/>
                <w:rFonts w:ascii="Arial" w:hAnsi="Arial" w:cs="Arial"/>
                <w:noProof/>
                <w:sz w:val="20"/>
                <w:szCs w:val="20"/>
              </w:rPr>
              <w:t>1.</w:t>
            </w:r>
            <w:r w:rsidR="0079336D" w:rsidRPr="00D451F8">
              <w:rPr>
                <w:rFonts w:ascii="Arial" w:hAnsi="Arial" w:cs="Arial"/>
                <w:noProof/>
                <w:kern w:val="2"/>
                <w:sz w:val="20"/>
                <w:szCs w:val="20"/>
                <w14:ligatures w14:val="standardContextual"/>
              </w:rPr>
              <w:tab/>
            </w:r>
            <w:r w:rsidR="0079336D" w:rsidRPr="00D451F8">
              <w:rPr>
                <w:rStyle w:val="Hiperpovezava"/>
                <w:rFonts w:ascii="Arial" w:hAnsi="Arial" w:cs="Arial"/>
                <w:noProof/>
                <w:sz w:val="20"/>
                <w:szCs w:val="20"/>
              </w:rPr>
              <w:t>UVODNO POJASNILO</w:t>
            </w:r>
            <w:r w:rsidR="0079336D" w:rsidRPr="00D451F8">
              <w:rPr>
                <w:rFonts w:ascii="Arial" w:hAnsi="Arial" w:cs="Arial"/>
                <w:noProof/>
                <w:webHidden/>
                <w:sz w:val="20"/>
                <w:szCs w:val="20"/>
              </w:rPr>
              <w:tab/>
            </w:r>
            <w:r w:rsidR="0079336D" w:rsidRPr="00D451F8">
              <w:rPr>
                <w:rFonts w:ascii="Arial" w:hAnsi="Arial" w:cs="Arial"/>
                <w:noProof/>
                <w:webHidden/>
                <w:sz w:val="20"/>
                <w:szCs w:val="20"/>
              </w:rPr>
              <w:fldChar w:fldCharType="begin"/>
            </w:r>
            <w:r w:rsidR="0079336D" w:rsidRPr="00D451F8">
              <w:rPr>
                <w:rFonts w:ascii="Arial" w:hAnsi="Arial" w:cs="Arial"/>
                <w:noProof/>
                <w:webHidden/>
                <w:sz w:val="20"/>
                <w:szCs w:val="20"/>
              </w:rPr>
              <w:instrText xml:space="preserve"> PAGEREF _Toc175120972 \h </w:instrText>
            </w:r>
            <w:r w:rsidR="0079336D" w:rsidRPr="00D451F8">
              <w:rPr>
                <w:rFonts w:ascii="Arial" w:hAnsi="Arial" w:cs="Arial"/>
                <w:noProof/>
                <w:webHidden/>
                <w:sz w:val="20"/>
                <w:szCs w:val="20"/>
              </w:rPr>
            </w:r>
            <w:r w:rsidR="0079336D" w:rsidRPr="00D451F8">
              <w:rPr>
                <w:rFonts w:ascii="Arial" w:hAnsi="Arial" w:cs="Arial"/>
                <w:noProof/>
                <w:webHidden/>
                <w:sz w:val="20"/>
                <w:szCs w:val="20"/>
              </w:rPr>
              <w:fldChar w:fldCharType="separate"/>
            </w:r>
            <w:r w:rsidR="003E30C6">
              <w:rPr>
                <w:rFonts w:ascii="Arial" w:hAnsi="Arial" w:cs="Arial"/>
                <w:noProof/>
                <w:webHidden/>
                <w:sz w:val="20"/>
                <w:szCs w:val="20"/>
              </w:rPr>
              <w:t>3</w:t>
            </w:r>
            <w:r w:rsidR="0079336D" w:rsidRPr="00D451F8">
              <w:rPr>
                <w:rFonts w:ascii="Arial" w:hAnsi="Arial" w:cs="Arial"/>
                <w:noProof/>
                <w:webHidden/>
                <w:sz w:val="20"/>
                <w:szCs w:val="20"/>
              </w:rPr>
              <w:fldChar w:fldCharType="end"/>
            </w:r>
          </w:hyperlink>
        </w:p>
        <w:p w14:paraId="3616C9DC" w14:textId="68A0AEAD" w:rsidR="0079336D" w:rsidRPr="00D451F8" w:rsidRDefault="00515EF8">
          <w:pPr>
            <w:pStyle w:val="Kazalovsebine2"/>
            <w:rPr>
              <w:rFonts w:ascii="Arial" w:hAnsi="Arial" w:cs="Arial"/>
              <w:noProof/>
              <w:kern w:val="2"/>
              <w:sz w:val="20"/>
              <w:szCs w:val="20"/>
              <w14:ligatures w14:val="standardContextual"/>
            </w:rPr>
          </w:pPr>
          <w:hyperlink w:anchor="_Toc175120973" w:history="1">
            <w:r w:rsidR="0079336D" w:rsidRPr="00D451F8">
              <w:rPr>
                <w:rStyle w:val="Hiperpovezava"/>
                <w:rFonts w:ascii="Arial" w:hAnsi="Arial" w:cs="Arial"/>
                <w:noProof/>
                <w:sz w:val="20"/>
                <w:szCs w:val="20"/>
              </w:rPr>
              <w:t>2.</w:t>
            </w:r>
            <w:r w:rsidR="0079336D" w:rsidRPr="00D451F8">
              <w:rPr>
                <w:rFonts w:ascii="Arial" w:hAnsi="Arial" w:cs="Arial"/>
                <w:noProof/>
                <w:kern w:val="2"/>
                <w:sz w:val="20"/>
                <w:szCs w:val="20"/>
                <w14:ligatures w14:val="standardContextual"/>
              </w:rPr>
              <w:tab/>
            </w:r>
            <w:r w:rsidR="0079336D" w:rsidRPr="00D451F8">
              <w:rPr>
                <w:rStyle w:val="Hiperpovezava"/>
                <w:rFonts w:ascii="Arial" w:hAnsi="Arial" w:cs="Arial"/>
                <w:noProof/>
                <w:sz w:val="20"/>
                <w:szCs w:val="20"/>
              </w:rPr>
              <w:t>OBLIKE FINANČNIH INSTRUMENTOV</w:t>
            </w:r>
            <w:r w:rsidR="0079336D" w:rsidRPr="00D451F8">
              <w:rPr>
                <w:rFonts w:ascii="Arial" w:hAnsi="Arial" w:cs="Arial"/>
                <w:noProof/>
                <w:webHidden/>
                <w:sz w:val="20"/>
                <w:szCs w:val="20"/>
              </w:rPr>
              <w:tab/>
            </w:r>
            <w:r w:rsidR="0079336D" w:rsidRPr="00D451F8">
              <w:rPr>
                <w:rFonts w:ascii="Arial" w:hAnsi="Arial" w:cs="Arial"/>
                <w:noProof/>
                <w:webHidden/>
                <w:sz w:val="20"/>
                <w:szCs w:val="20"/>
              </w:rPr>
              <w:fldChar w:fldCharType="begin"/>
            </w:r>
            <w:r w:rsidR="0079336D" w:rsidRPr="00D451F8">
              <w:rPr>
                <w:rFonts w:ascii="Arial" w:hAnsi="Arial" w:cs="Arial"/>
                <w:noProof/>
                <w:webHidden/>
                <w:sz w:val="20"/>
                <w:szCs w:val="20"/>
              </w:rPr>
              <w:instrText xml:space="preserve"> PAGEREF _Toc175120973 \h </w:instrText>
            </w:r>
            <w:r w:rsidR="0079336D" w:rsidRPr="00D451F8">
              <w:rPr>
                <w:rFonts w:ascii="Arial" w:hAnsi="Arial" w:cs="Arial"/>
                <w:noProof/>
                <w:webHidden/>
                <w:sz w:val="20"/>
                <w:szCs w:val="20"/>
              </w:rPr>
            </w:r>
            <w:r w:rsidR="0079336D" w:rsidRPr="00D451F8">
              <w:rPr>
                <w:rFonts w:ascii="Arial" w:hAnsi="Arial" w:cs="Arial"/>
                <w:noProof/>
                <w:webHidden/>
                <w:sz w:val="20"/>
                <w:szCs w:val="20"/>
              </w:rPr>
              <w:fldChar w:fldCharType="separate"/>
            </w:r>
            <w:r w:rsidR="003E30C6">
              <w:rPr>
                <w:rFonts w:ascii="Arial" w:hAnsi="Arial" w:cs="Arial"/>
                <w:noProof/>
                <w:webHidden/>
                <w:sz w:val="20"/>
                <w:szCs w:val="20"/>
              </w:rPr>
              <w:t>3</w:t>
            </w:r>
            <w:r w:rsidR="0079336D" w:rsidRPr="00D451F8">
              <w:rPr>
                <w:rFonts w:ascii="Arial" w:hAnsi="Arial" w:cs="Arial"/>
                <w:noProof/>
                <w:webHidden/>
                <w:sz w:val="20"/>
                <w:szCs w:val="20"/>
              </w:rPr>
              <w:fldChar w:fldCharType="end"/>
            </w:r>
          </w:hyperlink>
        </w:p>
        <w:p w14:paraId="234AC7B4" w14:textId="57644261" w:rsidR="0079336D" w:rsidRPr="00D451F8" w:rsidRDefault="00515EF8">
          <w:pPr>
            <w:pStyle w:val="Kazalovsebine2"/>
            <w:rPr>
              <w:rFonts w:ascii="Arial" w:hAnsi="Arial" w:cs="Arial"/>
              <w:noProof/>
              <w:kern w:val="2"/>
              <w:sz w:val="20"/>
              <w:szCs w:val="20"/>
              <w14:ligatures w14:val="standardContextual"/>
            </w:rPr>
          </w:pPr>
          <w:hyperlink w:anchor="_Toc175120974" w:history="1">
            <w:r w:rsidR="0079336D" w:rsidRPr="00D451F8">
              <w:rPr>
                <w:rStyle w:val="Hiperpovezava"/>
                <w:rFonts w:ascii="Arial" w:hAnsi="Arial" w:cs="Arial"/>
                <w:noProof/>
                <w:sz w:val="20"/>
                <w:szCs w:val="20"/>
              </w:rPr>
              <w:t>3.</w:t>
            </w:r>
            <w:r w:rsidR="0079336D" w:rsidRPr="00D451F8">
              <w:rPr>
                <w:rFonts w:ascii="Arial" w:hAnsi="Arial" w:cs="Arial"/>
                <w:noProof/>
                <w:kern w:val="2"/>
                <w:sz w:val="20"/>
                <w:szCs w:val="20"/>
                <w14:ligatures w14:val="standardContextual"/>
              </w:rPr>
              <w:tab/>
            </w:r>
            <w:r w:rsidR="0079336D" w:rsidRPr="00D451F8">
              <w:rPr>
                <w:rStyle w:val="Hiperpovezava"/>
                <w:rFonts w:ascii="Arial" w:hAnsi="Arial" w:cs="Arial"/>
                <w:noProof/>
                <w:sz w:val="20"/>
                <w:szCs w:val="20"/>
              </w:rPr>
              <w:t>NAČRTOVAN OBSEG EU SREDSTEV FINANČNIH INSTRUMENTOV TER OKVIRNA DINAMIKA IZPLAČIL SREDSTEV UPRAVLJAVCU FINANČNIH INSTRUMENTOV</w:t>
            </w:r>
            <w:r w:rsidR="0079336D" w:rsidRPr="00D451F8">
              <w:rPr>
                <w:rFonts w:ascii="Arial" w:hAnsi="Arial" w:cs="Arial"/>
                <w:noProof/>
                <w:webHidden/>
                <w:sz w:val="20"/>
                <w:szCs w:val="20"/>
              </w:rPr>
              <w:tab/>
            </w:r>
            <w:r w:rsidR="0079336D" w:rsidRPr="00D451F8">
              <w:rPr>
                <w:rFonts w:ascii="Arial" w:hAnsi="Arial" w:cs="Arial"/>
                <w:noProof/>
                <w:webHidden/>
                <w:sz w:val="20"/>
                <w:szCs w:val="20"/>
              </w:rPr>
              <w:fldChar w:fldCharType="begin"/>
            </w:r>
            <w:r w:rsidR="0079336D" w:rsidRPr="00D451F8">
              <w:rPr>
                <w:rFonts w:ascii="Arial" w:hAnsi="Arial" w:cs="Arial"/>
                <w:noProof/>
                <w:webHidden/>
                <w:sz w:val="20"/>
                <w:szCs w:val="20"/>
              </w:rPr>
              <w:instrText xml:space="preserve"> PAGEREF _Toc175120974 \h </w:instrText>
            </w:r>
            <w:r w:rsidR="0079336D" w:rsidRPr="00D451F8">
              <w:rPr>
                <w:rFonts w:ascii="Arial" w:hAnsi="Arial" w:cs="Arial"/>
                <w:noProof/>
                <w:webHidden/>
                <w:sz w:val="20"/>
                <w:szCs w:val="20"/>
              </w:rPr>
            </w:r>
            <w:r w:rsidR="0079336D" w:rsidRPr="00D451F8">
              <w:rPr>
                <w:rFonts w:ascii="Arial" w:hAnsi="Arial" w:cs="Arial"/>
                <w:noProof/>
                <w:webHidden/>
                <w:sz w:val="20"/>
                <w:szCs w:val="20"/>
              </w:rPr>
              <w:fldChar w:fldCharType="separate"/>
            </w:r>
            <w:r w:rsidR="003E30C6">
              <w:rPr>
                <w:rFonts w:ascii="Arial" w:hAnsi="Arial" w:cs="Arial"/>
                <w:noProof/>
                <w:webHidden/>
                <w:sz w:val="20"/>
                <w:szCs w:val="20"/>
              </w:rPr>
              <w:t>5</w:t>
            </w:r>
            <w:r w:rsidR="0079336D" w:rsidRPr="00D451F8">
              <w:rPr>
                <w:rFonts w:ascii="Arial" w:hAnsi="Arial" w:cs="Arial"/>
                <w:noProof/>
                <w:webHidden/>
                <w:sz w:val="20"/>
                <w:szCs w:val="20"/>
              </w:rPr>
              <w:fldChar w:fldCharType="end"/>
            </w:r>
          </w:hyperlink>
        </w:p>
        <w:p w14:paraId="06DC0283" w14:textId="63F027E7" w:rsidR="0079336D" w:rsidRPr="00D451F8" w:rsidRDefault="00515EF8">
          <w:pPr>
            <w:pStyle w:val="Kazalovsebine2"/>
            <w:rPr>
              <w:rFonts w:ascii="Arial" w:hAnsi="Arial" w:cs="Arial"/>
              <w:noProof/>
              <w:kern w:val="2"/>
              <w:sz w:val="20"/>
              <w:szCs w:val="20"/>
              <w14:ligatures w14:val="standardContextual"/>
            </w:rPr>
          </w:pPr>
          <w:hyperlink w:anchor="_Toc175120975" w:history="1">
            <w:r w:rsidR="0079336D" w:rsidRPr="00D451F8">
              <w:rPr>
                <w:rStyle w:val="Hiperpovezava"/>
                <w:rFonts w:ascii="Arial" w:hAnsi="Arial" w:cs="Arial"/>
                <w:noProof/>
                <w:sz w:val="20"/>
                <w:szCs w:val="20"/>
              </w:rPr>
              <w:t>4.</w:t>
            </w:r>
            <w:r w:rsidR="0079336D" w:rsidRPr="00D451F8">
              <w:rPr>
                <w:rFonts w:ascii="Arial" w:hAnsi="Arial" w:cs="Arial"/>
                <w:noProof/>
                <w:kern w:val="2"/>
                <w:sz w:val="20"/>
                <w:szCs w:val="20"/>
                <w14:ligatures w14:val="standardContextual"/>
              </w:rPr>
              <w:tab/>
            </w:r>
            <w:r w:rsidR="0079336D" w:rsidRPr="00D451F8">
              <w:rPr>
                <w:rStyle w:val="Hiperpovezava"/>
                <w:rFonts w:ascii="Arial" w:hAnsi="Arial" w:cs="Arial"/>
                <w:noProof/>
                <w:sz w:val="20"/>
                <w:szCs w:val="20"/>
              </w:rPr>
              <w:t>PROGRAMSKA KLASIFIKACIJA</w:t>
            </w:r>
            <w:r w:rsidR="0079336D" w:rsidRPr="00D451F8">
              <w:rPr>
                <w:rFonts w:ascii="Arial" w:hAnsi="Arial" w:cs="Arial"/>
                <w:noProof/>
                <w:webHidden/>
                <w:sz w:val="20"/>
                <w:szCs w:val="20"/>
              </w:rPr>
              <w:tab/>
            </w:r>
            <w:r w:rsidR="0079336D" w:rsidRPr="00D451F8">
              <w:rPr>
                <w:rFonts w:ascii="Arial" w:hAnsi="Arial" w:cs="Arial"/>
                <w:noProof/>
                <w:webHidden/>
                <w:sz w:val="20"/>
                <w:szCs w:val="20"/>
              </w:rPr>
              <w:fldChar w:fldCharType="begin"/>
            </w:r>
            <w:r w:rsidR="0079336D" w:rsidRPr="00D451F8">
              <w:rPr>
                <w:rFonts w:ascii="Arial" w:hAnsi="Arial" w:cs="Arial"/>
                <w:noProof/>
                <w:webHidden/>
                <w:sz w:val="20"/>
                <w:szCs w:val="20"/>
              </w:rPr>
              <w:instrText xml:space="preserve"> PAGEREF _Toc175120975 \h </w:instrText>
            </w:r>
            <w:r w:rsidR="0079336D" w:rsidRPr="00D451F8">
              <w:rPr>
                <w:rFonts w:ascii="Arial" w:hAnsi="Arial" w:cs="Arial"/>
                <w:noProof/>
                <w:webHidden/>
                <w:sz w:val="20"/>
                <w:szCs w:val="20"/>
              </w:rPr>
            </w:r>
            <w:r w:rsidR="0079336D" w:rsidRPr="00D451F8">
              <w:rPr>
                <w:rFonts w:ascii="Arial" w:hAnsi="Arial" w:cs="Arial"/>
                <w:noProof/>
                <w:webHidden/>
                <w:sz w:val="20"/>
                <w:szCs w:val="20"/>
              </w:rPr>
              <w:fldChar w:fldCharType="separate"/>
            </w:r>
            <w:r w:rsidR="003E30C6">
              <w:rPr>
                <w:rFonts w:ascii="Arial" w:hAnsi="Arial" w:cs="Arial"/>
                <w:noProof/>
                <w:webHidden/>
                <w:sz w:val="20"/>
                <w:szCs w:val="20"/>
              </w:rPr>
              <w:t>6</w:t>
            </w:r>
            <w:r w:rsidR="0079336D" w:rsidRPr="00D451F8">
              <w:rPr>
                <w:rFonts w:ascii="Arial" w:hAnsi="Arial" w:cs="Arial"/>
                <w:noProof/>
                <w:webHidden/>
                <w:sz w:val="20"/>
                <w:szCs w:val="20"/>
              </w:rPr>
              <w:fldChar w:fldCharType="end"/>
            </w:r>
          </w:hyperlink>
        </w:p>
        <w:p w14:paraId="4158FEF5" w14:textId="67CFD717" w:rsidR="0079336D" w:rsidRPr="00D451F8" w:rsidRDefault="00515EF8">
          <w:pPr>
            <w:pStyle w:val="Kazalovsebine2"/>
            <w:rPr>
              <w:rFonts w:ascii="Arial" w:hAnsi="Arial" w:cs="Arial"/>
              <w:noProof/>
              <w:kern w:val="2"/>
              <w:sz w:val="20"/>
              <w:szCs w:val="20"/>
              <w14:ligatures w14:val="standardContextual"/>
            </w:rPr>
          </w:pPr>
          <w:hyperlink w:anchor="_Toc175120976" w:history="1">
            <w:r w:rsidR="0079336D" w:rsidRPr="00D451F8">
              <w:rPr>
                <w:rStyle w:val="Hiperpovezava"/>
                <w:rFonts w:ascii="Arial" w:hAnsi="Arial" w:cs="Arial"/>
                <w:noProof/>
                <w:sz w:val="20"/>
                <w:szCs w:val="20"/>
              </w:rPr>
              <w:t>5.</w:t>
            </w:r>
            <w:r w:rsidR="0079336D" w:rsidRPr="00D451F8">
              <w:rPr>
                <w:rFonts w:ascii="Arial" w:hAnsi="Arial" w:cs="Arial"/>
                <w:noProof/>
                <w:kern w:val="2"/>
                <w:sz w:val="20"/>
                <w:szCs w:val="20"/>
                <w14:ligatures w14:val="standardContextual"/>
              </w:rPr>
              <w:tab/>
            </w:r>
            <w:r w:rsidR="0079336D" w:rsidRPr="00D451F8">
              <w:rPr>
                <w:rStyle w:val="Hiperpovezava"/>
                <w:rFonts w:ascii="Arial" w:hAnsi="Arial" w:cs="Arial"/>
                <w:noProof/>
                <w:sz w:val="20"/>
                <w:szCs w:val="20"/>
              </w:rPr>
              <w:t>OBLIKE FINANCIRANJA IN PODROČJA UKREPANJA ZA FI V OKVIRU PEKP</w:t>
            </w:r>
            <w:r w:rsidR="0079336D" w:rsidRPr="00D451F8">
              <w:rPr>
                <w:rFonts w:ascii="Arial" w:hAnsi="Arial" w:cs="Arial"/>
                <w:noProof/>
                <w:webHidden/>
                <w:sz w:val="20"/>
                <w:szCs w:val="20"/>
              </w:rPr>
              <w:tab/>
            </w:r>
            <w:r w:rsidR="0079336D" w:rsidRPr="00D451F8">
              <w:rPr>
                <w:rFonts w:ascii="Arial" w:hAnsi="Arial" w:cs="Arial"/>
                <w:noProof/>
                <w:webHidden/>
                <w:sz w:val="20"/>
                <w:szCs w:val="20"/>
              </w:rPr>
              <w:fldChar w:fldCharType="begin"/>
            </w:r>
            <w:r w:rsidR="0079336D" w:rsidRPr="00D451F8">
              <w:rPr>
                <w:rFonts w:ascii="Arial" w:hAnsi="Arial" w:cs="Arial"/>
                <w:noProof/>
                <w:webHidden/>
                <w:sz w:val="20"/>
                <w:szCs w:val="20"/>
              </w:rPr>
              <w:instrText xml:space="preserve"> PAGEREF _Toc175120976 \h </w:instrText>
            </w:r>
            <w:r w:rsidR="0079336D" w:rsidRPr="00D451F8">
              <w:rPr>
                <w:rFonts w:ascii="Arial" w:hAnsi="Arial" w:cs="Arial"/>
                <w:noProof/>
                <w:webHidden/>
                <w:sz w:val="20"/>
                <w:szCs w:val="20"/>
              </w:rPr>
            </w:r>
            <w:r w:rsidR="0079336D" w:rsidRPr="00D451F8">
              <w:rPr>
                <w:rFonts w:ascii="Arial" w:hAnsi="Arial" w:cs="Arial"/>
                <w:noProof/>
                <w:webHidden/>
                <w:sz w:val="20"/>
                <w:szCs w:val="20"/>
              </w:rPr>
              <w:fldChar w:fldCharType="separate"/>
            </w:r>
            <w:r w:rsidR="003E30C6">
              <w:rPr>
                <w:rFonts w:ascii="Arial" w:hAnsi="Arial" w:cs="Arial"/>
                <w:noProof/>
                <w:webHidden/>
                <w:sz w:val="20"/>
                <w:szCs w:val="20"/>
              </w:rPr>
              <w:t>7</w:t>
            </w:r>
            <w:r w:rsidR="0079336D" w:rsidRPr="00D451F8">
              <w:rPr>
                <w:rFonts w:ascii="Arial" w:hAnsi="Arial" w:cs="Arial"/>
                <w:noProof/>
                <w:webHidden/>
                <w:sz w:val="20"/>
                <w:szCs w:val="20"/>
              </w:rPr>
              <w:fldChar w:fldCharType="end"/>
            </w:r>
          </w:hyperlink>
        </w:p>
        <w:p w14:paraId="73D24B8C" w14:textId="1689AAB5" w:rsidR="00E70227" w:rsidRPr="00F154F0" w:rsidRDefault="00E70227" w:rsidP="00F154F0">
          <w:pPr>
            <w:rPr>
              <w:sz w:val="20"/>
              <w:szCs w:val="20"/>
            </w:rPr>
          </w:pPr>
          <w:r w:rsidRPr="00F154F0">
            <w:rPr>
              <w:rFonts w:cs="Arial"/>
              <w:b/>
              <w:bCs/>
              <w:sz w:val="20"/>
              <w:szCs w:val="20"/>
            </w:rPr>
            <w:fldChar w:fldCharType="end"/>
          </w:r>
        </w:p>
      </w:sdtContent>
    </w:sdt>
    <w:p w14:paraId="72AD2B42" w14:textId="2D46B675" w:rsidR="00E70227" w:rsidRPr="00E17453" w:rsidRDefault="003F5664" w:rsidP="00F154F0">
      <w:pPr>
        <w:pStyle w:val="Kazalovsebine2"/>
        <w:spacing w:after="0" w:line="240" w:lineRule="auto"/>
        <w:rPr>
          <w:rFonts w:cstheme="minorBidi"/>
          <w:noProof/>
        </w:rPr>
      </w:pPr>
      <w:r w:rsidRPr="00E17453">
        <w:rPr>
          <w:rStyle w:val="Hiperpovezava"/>
          <w:rFonts w:ascii="Arial" w:hAnsi="Arial" w:cs="Arial"/>
          <w:sz w:val="20"/>
          <w:szCs w:val="20"/>
        </w:rPr>
        <w:fldChar w:fldCharType="begin"/>
      </w:r>
      <w:r w:rsidRPr="00E17453">
        <w:rPr>
          <w:rStyle w:val="Hiperpovezava"/>
          <w:rFonts w:ascii="Arial" w:hAnsi="Arial" w:cs="Arial"/>
          <w:sz w:val="20"/>
          <w:szCs w:val="20"/>
        </w:rPr>
        <w:instrText xml:space="preserve"> TOC \o "1-3" \h \z \u </w:instrText>
      </w:r>
      <w:r w:rsidRPr="00E17453">
        <w:rPr>
          <w:rStyle w:val="Hiperpovezava"/>
          <w:rFonts w:ascii="Arial" w:hAnsi="Arial" w:cs="Arial"/>
          <w:sz w:val="20"/>
          <w:szCs w:val="20"/>
        </w:rPr>
        <w:fldChar w:fldCharType="separate"/>
      </w:r>
    </w:p>
    <w:p w14:paraId="07FE6CEF" w14:textId="5C7B326E" w:rsidR="00E70227" w:rsidRPr="00E17453" w:rsidRDefault="00E70227" w:rsidP="00F154F0">
      <w:pPr>
        <w:pStyle w:val="Kazalovsebine2"/>
        <w:spacing w:after="0" w:line="240" w:lineRule="auto"/>
        <w:rPr>
          <w:noProof/>
        </w:rPr>
      </w:pPr>
    </w:p>
    <w:p w14:paraId="01ED9B20" w14:textId="46A5AF37" w:rsidR="003F5664" w:rsidRPr="00E17453" w:rsidRDefault="003F5664" w:rsidP="00F154F0">
      <w:pPr>
        <w:pStyle w:val="Kazalovsebine1"/>
        <w:spacing w:after="0" w:line="240" w:lineRule="auto"/>
        <w:rPr>
          <w:rFonts w:ascii="Arial" w:hAnsi="Arial" w:cs="Arial"/>
          <w:sz w:val="20"/>
          <w:szCs w:val="20"/>
        </w:rPr>
      </w:pPr>
      <w:r w:rsidRPr="00E17453">
        <w:rPr>
          <w:rStyle w:val="Hiperpovezava"/>
          <w:rFonts w:ascii="Arial" w:hAnsi="Arial" w:cs="Arial"/>
          <w:sz w:val="20"/>
          <w:szCs w:val="20"/>
        </w:rPr>
        <w:fldChar w:fldCharType="end"/>
      </w:r>
    </w:p>
    <w:p w14:paraId="1364D0CD" w14:textId="77777777" w:rsidR="003F5664" w:rsidRPr="00E17453" w:rsidRDefault="003F5664" w:rsidP="00F154F0">
      <w:pPr>
        <w:pStyle w:val="Kazaloslik"/>
        <w:tabs>
          <w:tab w:val="right" w:leader="dot" w:pos="9055"/>
        </w:tabs>
        <w:rPr>
          <w:rFonts w:ascii="Arial" w:hAnsi="Arial" w:cs="Arial"/>
          <w:sz w:val="20"/>
        </w:rPr>
      </w:pPr>
      <w:r w:rsidRPr="00E17453">
        <w:rPr>
          <w:rFonts w:ascii="Arial" w:hAnsi="Arial" w:cs="Arial"/>
          <w:sz w:val="20"/>
        </w:rPr>
        <w:fldChar w:fldCharType="begin"/>
      </w:r>
      <w:r w:rsidRPr="00E17453">
        <w:rPr>
          <w:rFonts w:ascii="Arial" w:hAnsi="Arial" w:cs="Arial"/>
          <w:sz w:val="20"/>
        </w:rPr>
        <w:instrText xml:space="preserve"> TOC \h \z \c "Priloga" </w:instrText>
      </w:r>
      <w:r w:rsidRPr="00E17453">
        <w:rPr>
          <w:rFonts w:ascii="Arial" w:hAnsi="Arial" w:cs="Arial"/>
          <w:sz w:val="20"/>
        </w:rPr>
        <w:fldChar w:fldCharType="separate"/>
      </w:r>
    </w:p>
    <w:p w14:paraId="1DAB0877" w14:textId="77777777" w:rsidR="003F5664" w:rsidRPr="00E17453" w:rsidRDefault="003F5664" w:rsidP="00F154F0">
      <w:pPr>
        <w:rPr>
          <w:rFonts w:cs="Arial"/>
          <w:sz w:val="20"/>
          <w:szCs w:val="20"/>
        </w:rPr>
      </w:pPr>
      <w:r w:rsidRPr="00E17453">
        <w:rPr>
          <w:rFonts w:cs="Arial"/>
          <w:sz w:val="20"/>
          <w:szCs w:val="20"/>
        </w:rPr>
        <w:br w:type="page"/>
      </w:r>
    </w:p>
    <w:p w14:paraId="7A1A47C4" w14:textId="47C26E39" w:rsidR="00483D96" w:rsidRDefault="003F5664" w:rsidP="00F154F0">
      <w:pPr>
        <w:jc w:val="both"/>
        <w:rPr>
          <w:rFonts w:cs="Arial"/>
          <w:sz w:val="20"/>
          <w:szCs w:val="20"/>
        </w:rPr>
      </w:pPr>
      <w:r w:rsidRPr="00E17453">
        <w:rPr>
          <w:rFonts w:cs="Arial"/>
          <w:sz w:val="20"/>
          <w:szCs w:val="20"/>
        </w:rPr>
        <w:lastRenderedPageBreak/>
        <w:fldChar w:fldCharType="end"/>
      </w:r>
      <w:bookmarkStart w:id="0" w:name="_Hlk175051009"/>
      <w:r w:rsidR="00483D96">
        <w:rPr>
          <w:rFonts w:cs="Arial"/>
          <w:sz w:val="20"/>
          <w:szCs w:val="20"/>
        </w:rPr>
        <w:t xml:space="preserve">Načrt izvajanja finančnih instrumentov </w:t>
      </w:r>
      <w:bookmarkEnd w:id="0"/>
      <w:r w:rsidR="00483D96">
        <w:rPr>
          <w:rFonts w:cs="Arial"/>
          <w:sz w:val="20"/>
          <w:szCs w:val="20"/>
        </w:rPr>
        <w:t xml:space="preserve">(v nadaljevanju: NIFI) </w:t>
      </w:r>
      <w:r w:rsidR="009D3FC0">
        <w:rPr>
          <w:rFonts w:cs="Arial"/>
          <w:sz w:val="20"/>
          <w:szCs w:val="20"/>
        </w:rPr>
        <w:t>predstavlja dokument, v katerem so predstavljeni finančni instrumenti, njihove oblike, obseg predvidenih EU sredstev, planirana dinamika izplačil izvajalcu finančnih instrumentov (holdinškemu skladu) in programsk</w:t>
      </w:r>
      <w:r w:rsidR="007834DC">
        <w:rPr>
          <w:rFonts w:cs="Arial"/>
          <w:sz w:val="20"/>
          <w:szCs w:val="20"/>
        </w:rPr>
        <w:t>a</w:t>
      </w:r>
      <w:r w:rsidR="009D3FC0">
        <w:rPr>
          <w:rFonts w:cs="Arial"/>
          <w:sz w:val="20"/>
          <w:szCs w:val="20"/>
        </w:rPr>
        <w:t xml:space="preserve"> klasifikacij</w:t>
      </w:r>
      <w:r w:rsidR="007834DC">
        <w:rPr>
          <w:rFonts w:cs="Arial"/>
          <w:sz w:val="20"/>
          <w:szCs w:val="20"/>
        </w:rPr>
        <w:t>a</w:t>
      </w:r>
      <w:r w:rsidR="00307486">
        <w:rPr>
          <w:rFonts w:cs="Arial"/>
          <w:sz w:val="20"/>
          <w:szCs w:val="20"/>
        </w:rPr>
        <w:t>.</w:t>
      </w:r>
      <w:r w:rsidR="009D3FC0">
        <w:rPr>
          <w:rFonts w:cs="Arial"/>
          <w:sz w:val="20"/>
          <w:szCs w:val="20"/>
        </w:rPr>
        <w:t xml:space="preserve"> NIFI </w:t>
      </w:r>
      <w:r w:rsidR="00483D96">
        <w:rPr>
          <w:rFonts w:cs="Arial"/>
          <w:sz w:val="20"/>
          <w:szCs w:val="20"/>
        </w:rPr>
        <w:t>pripravi posredniško telo, pristojno za izvajanje finančnih instrumentov (</w:t>
      </w:r>
      <w:r w:rsidR="00617FE6">
        <w:rPr>
          <w:rFonts w:cs="Arial"/>
          <w:sz w:val="20"/>
          <w:szCs w:val="20"/>
        </w:rPr>
        <w:t>Ministrstvo za gospodarstvo, turizem in šport</w:t>
      </w:r>
      <w:r w:rsidR="00EA4E5E">
        <w:rPr>
          <w:rFonts w:cs="Arial"/>
          <w:sz w:val="20"/>
          <w:szCs w:val="20"/>
        </w:rPr>
        <w:t>, v nadaljevanju: PT</w:t>
      </w:r>
      <w:r w:rsidR="00483D96">
        <w:rPr>
          <w:rFonts w:cs="Arial"/>
          <w:sz w:val="20"/>
          <w:szCs w:val="20"/>
        </w:rPr>
        <w:t>), v sodelovanju s sodelujočima ministrstvoma (</w:t>
      </w:r>
      <w:r w:rsidR="00617FE6">
        <w:rPr>
          <w:rFonts w:cs="Arial"/>
          <w:sz w:val="20"/>
          <w:szCs w:val="20"/>
        </w:rPr>
        <w:t>Ministrstvo za naravne vire in prostor</w:t>
      </w:r>
      <w:r w:rsidR="00483D96">
        <w:rPr>
          <w:rFonts w:cs="Arial"/>
          <w:sz w:val="20"/>
          <w:szCs w:val="20"/>
        </w:rPr>
        <w:t>, M</w:t>
      </w:r>
      <w:r w:rsidR="00617FE6">
        <w:rPr>
          <w:rFonts w:cs="Arial"/>
          <w:sz w:val="20"/>
          <w:szCs w:val="20"/>
        </w:rPr>
        <w:t>inistrstvo za okolje, podnebje in energijo</w:t>
      </w:r>
      <w:r w:rsidR="00483D96">
        <w:rPr>
          <w:rFonts w:cs="Arial"/>
          <w:sz w:val="20"/>
          <w:szCs w:val="20"/>
        </w:rPr>
        <w:t xml:space="preserve">) na podlagi tretjega odstavka </w:t>
      </w:r>
      <w:bookmarkStart w:id="1" w:name="_Hlk175051453"/>
      <w:r w:rsidR="00483D96">
        <w:rPr>
          <w:rFonts w:cs="Arial"/>
          <w:sz w:val="20"/>
          <w:szCs w:val="20"/>
        </w:rPr>
        <w:t>27</w:t>
      </w:r>
      <w:r w:rsidR="00617FE6">
        <w:rPr>
          <w:rFonts w:cs="Arial"/>
          <w:sz w:val="20"/>
          <w:szCs w:val="20"/>
        </w:rPr>
        <w:t>.</w:t>
      </w:r>
      <w:r w:rsidR="00483D96">
        <w:rPr>
          <w:rFonts w:cs="Arial"/>
          <w:sz w:val="20"/>
          <w:szCs w:val="20"/>
        </w:rPr>
        <w:t xml:space="preserve"> člena Uredbe </w:t>
      </w:r>
      <w:r w:rsidR="00483D96" w:rsidRPr="00483D96">
        <w:rPr>
          <w:rFonts w:cs="Arial"/>
          <w:sz w:val="20"/>
          <w:szCs w:val="20"/>
        </w:rPr>
        <w:t>o izvajanju uredb (EU) in (Euratom) na področju izvajanja evropske kohezijske politike v obdobju 2021–2027 za cilj naložbe za rast in delovna mesta</w:t>
      </w:r>
      <w:r w:rsidR="00483D96">
        <w:rPr>
          <w:rFonts w:cs="Arial"/>
          <w:sz w:val="20"/>
          <w:szCs w:val="20"/>
        </w:rPr>
        <w:t xml:space="preserve"> (Uradni list RS, št. 21/23</w:t>
      </w:r>
      <w:r w:rsidR="00AD6C75">
        <w:rPr>
          <w:rFonts w:cs="Arial"/>
          <w:sz w:val="20"/>
          <w:szCs w:val="20"/>
        </w:rPr>
        <w:t xml:space="preserve"> in 13/25</w:t>
      </w:r>
      <w:r w:rsidR="00617FE6">
        <w:rPr>
          <w:rFonts w:cs="Arial"/>
          <w:sz w:val="20"/>
          <w:szCs w:val="20"/>
        </w:rPr>
        <w:t>, v nadaljevanju: Uredba EKP</w:t>
      </w:r>
      <w:r w:rsidR="00483D96">
        <w:rPr>
          <w:rFonts w:cs="Arial"/>
          <w:sz w:val="20"/>
          <w:szCs w:val="20"/>
        </w:rPr>
        <w:t>).</w:t>
      </w:r>
    </w:p>
    <w:bookmarkEnd w:id="1"/>
    <w:p w14:paraId="4C46DA93" w14:textId="77777777" w:rsidR="00F154F0" w:rsidRDefault="00F154F0" w:rsidP="00F154F0">
      <w:pPr>
        <w:jc w:val="both"/>
        <w:rPr>
          <w:rFonts w:cs="Arial"/>
          <w:sz w:val="20"/>
          <w:szCs w:val="20"/>
        </w:rPr>
      </w:pPr>
    </w:p>
    <w:p w14:paraId="7EAF2CB0" w14:textId="425E4B7F" w:rsidR="00F154F0" w:rsidRDefault="003F5664" w:rsidP="00F154F0">
      <w:pPr>
        <w:jc w:val="both"/>
        <w:rPr>
          <w:rFonts w:cs="Arial"/>
          <w:sz w:val="20"/>
          <w:szCs w:val="20"/>
        </w:rPr>
      </w:pPr>
      <w:r w:rsidRPr="00E17453">
        <w:rPr>
          <w:rFonts w:cs="Arial"/>
          <w:sz w:val="20"/>
          <w:szCs w:val="20"/>
        </w:rPr>
        <w:t xml:space="preserve">Skladno s </w:t>
      </w:r>
      <w:bookmarkStart w:id="2" w:name="_Hlk175051067"/>
      <w:r w:rsidR="00FF26F7">
        <w:rPr>
          <w:rFonts w:cs="Arial"/>
          <w:sz w:val="20"/>
          <w:szCs w:val="20"/>
        </w:rPr>
        <w:t xml:space="preserve">četrtim </w:t>
      </w:r>
      <w:r w:rsidR="000347E0">
        <w:rPr>
          <w:rFonts w:cs="Arial"/>
          <w:sz w:val="20"/>
          <w:szCs w:val="20"/>
        </w:rPr>
        <w:t xml:space="preserve">odstavkom </w:t>
      </w:r>
      <w:r w:rsidRPr="00E17453">
        <w:rPr>
          <w:rFonts w:cs="Arial"/>
          <w:sz w:val="20"/>
          <w:szCs w:val="20"/>
        </w:rPr>
        <w:t>13. člen</w:t>
      </w:r>
      <w:r w:rsidR="000347E0">
        <w:rPr>
          <w:rFonts w:cs="Arial"/>
          <w:sz w:val="20"/>
          <w:szCs w:val="20"/>
        </w:rPr>
        <w:t>a</w:t>
      </w:r>
      <w:r w:rsidRPr="00E17453">
        <w:rPr>
          <w:rFonts w:cs="Arial"/>
          <w:sz w:val="20"/>
          <w:szCs w:val="20"/>
        </w:rPr>
        <w:t xml:space="preserve"> Zakona o javnih financah (</w:t>
      </w:r>
      <w:r w:rsidR="009C7E8A" w:rsidRPr="009C7E8A">
        <w:rPr>
          <w:rFonts w:cs="Arial"/>
          <w:sz w:val="20"/>
          <w:szCs w:val="20"/>
        </w:rPr>
        <w:t>Uradni list RS, št. 11/11 – uradno prečiščeno besedilo, 14/13 – popr., 101/13, 55/15 – ZFisP, 96/15 – ZIPRS1617, 13/18, 195/20 – odl. US, 18/23 – ZDU-1O</w:t>
      </w:r>
      <w:r w:rsidR="00AD6C75">
        <w:rPr>
          <w:rFonts w:cs="Arial"/>
          <w:sz w:val="20"/>
          <w:szCs w:val="20"/>
        </w:rPr>
        <w:t>,</w:t>
      </w:r>
      <w:r w:rsidR="009C7E8A" w:rsidRPr="009C7E8A">
        <w:rPr>
          <w:rFonts w:cs="Arial"/>
          <w:sz w:val="20"/>
          <w:szCs w:val="20"/>
        </w:rPr>
        <w:t xml:space="preserve"> 76/</w:t>
      </w:r>
      <w:r w:rsidR="009C7E8A">
        <w:rPr>
          <w:rFonts w:cs="Arial"/>
          <w:sz w:val="20"/>
          <w:szCs w:val="20"/>
        </w:rPr>
        <w:t>23</w:t>
      </w:r>
      <w:r w:rsidR="00AD6C75">
        <w:rPr>
          <w:rFonts w:cs="Arial"/>
          <w:sz w:val="20"/>
          <w:szCs w:val="20"/>
        </w:rPr>
        <w:t>,</w:t>
      </w:r>
      <w:r w:rsidR="00AD6C75" w:rsidRPr="00AD6C75">
        <w:t xml:space="preserve"> </w:t>
      </w:r>
      <w:r w:rsidR="00AD6C75" w:rsidRPr="00AD6C75">
        <w:rPr>
          <w:rFonts w:cs="Arial"/>
          <w:sz w:val="20"/>
          <w:szCs w:val="20"/>
        </w:rPr>
        <w:t>24/25 – ZFisP-1 in 39/25</w:t>
      </w:r>
      <w:r w:rsidRPr="00E17453">
        <w:rPr>
          <w:rFonts w:cs="Arial"/>
          <w:sz w:val="20"/>
          <w:szCs w:val="20"/>
        </w:rPr>
        <w:t xml:space="preserve">; v </w:t>
      </w:r>
      <w:r w:rsidR="00893CAE">
        <w:rPr>
          <w:rFonts w:cs="Arial"/>
          <w:sz w:val="20"/>
          <w:szCs w:val="20"/>
        </w:rPr>
        <w:t xml:space="preserve">nadaljevanju: </w:t>
      </w:r>
      <w:r w:rsidRPr="00E17453">
        <w:rPr>
          <w:rFonts w:cs="Arial"/>
          <w:sz w:val="20"/>
          <w:szCs w:val="20"/>
        </w:rPr>
        <w:t>ZJF)</w:t>
      </w:r>
      <w:bookmarkEnd w:id="2"/>
      <w:r w:rsidRPr="00E17453">
        <w:rPr>
          <w:rFonts w:cs="Arial"/>
          <w:sz w:val="20"/>
          <w:szCs w:val="20"/>
        </w:rPr>
        <w:t xml:space="preserve"> je </w:t>
      </w:r>
      <w:r w:rsidR="009D3FC0">
        <w:rPr>
          <w:rFonts w:cs="Arial"/>
          <w:sz w:val="20"/>
          <w:szCs w:val="20"/>
        </w:rPr>
        <w:t xml:space="preserve">NIFI tudi </w:t>
      </w:r>
      <w:r w:rsidRPr="00E17453">
        <w:rPr>
          <w:rFonts w:cs="Arial"/>
          <w:sz w:val="20"/>
          <w:szCs w:val="20"/>
        </w:rPr>
        <w:t xml:space="preserve">sestavni del </w:t>
      </w:r>
      <w:r w:rsidR="00FF26F7">
        <w:rPr>
          <w:rFonts w:cs="Arial"/>
          <w:sz w:val="20"/>
          <w:szCs w:val="20"/>
        </w:rPr>
        <w:t xml:space="preserve">obrazložitve predloga </w:t>
      </w:r>
      <w:r w:rsidRPr="00E17453">
        <w:rPr>
          <w:rFonts w:cs="Arial"/>
          <w:sz w:val="20"/>
          <w:szCs w:val="20"/>
        </w:rPr>
        <w:t xml:space="preserve">proračuna </w:t>
      </w:r>
      <w:r w:rsidR="009D3FC0">
        <w:rPr>
          <w:rFonts w:cs="Arial"/>
          <w:sz w:val="20"/>
          <w:szCs w:val="20"/>
        </w:rPr>
        <w:t>Republike Slovenije</w:t>
      </w:r>
      <w:r w:rsidRPr="00E17453">
        <w:rPr>
          <w:rFonts w:cs="Arial"/>
          <w:sz w:val="20"/>
          <w:szCs w:val="20"/>
        </w:rPr>
        <w:t>.</w:t>
      </w:r>
      <w:r w:rsidR="00E17453" w:rsidRPr="00E17453">
        <w:rPr>
          <w:rFonts w:cs="Arial"/>
          <w:sz w:val="20"/>
          <w:szCs w:val="20"/>
        </w:rPr>
        <w:t xml:space="preserve"> </w:t>
      </w:r>
    </w:p>
    <w:p w14:paraId="681BC9C9" w14:textId="553C2047" w:rsidR="00E17453" w:rsidRPr="00E17453" w:rsidRDefault="00515EF8" w:rsidP="00F154F0">
      <w:pPr>
        <w:jc w:val="both"/>
        <w:rPr>
          <w:rFonts w:cs="Arial"/>
          <w:sz w:val="20"/>
          <w:szCs w:val="20"/>
        </w:rPr>
      </w:pPr>
      <w:hyperlink r:id="rId9" w:anchor="28.%C2%A0%C4%8Dlen" w:history="1"/>
    </w:p>
    <w:p w14:paraId="09C551B5" w14:textId="77777777" w:rsidR="003F5664" w:rsidRDefault="003F5664" w:rsidP="00F154F0">
      <w:pPr>
        <w:pStyle w:val="Naslov2"/>
        <w:spacing w:after="0"/>
        <w:ind w:left="0"/>
        <w:rPr>
          <w:sz w:val="20"/>
          <w:szCs w:val="20"/>
        </w:rPr>
      </w:pPr>
      <w:bookmarkStart w:id="3" w:name="_Toc51325415"/>
      <w:bookmarkStart w:id="4" w:name="_Toc141708950"/>
      <w:bookmarkStart w:id="5" w:name="_Toc175120972"/>
      <w:bookmarkStart w:id="6" w:name="_Hlk141261079"/>
      <w:r w:rsidRPr="00E17453">
        <w:rPr>
          <w:sz w:val="20"/>
          <w:szCs w:val="20"/>
        </w:rPr>
        <w:t>UVODNO POJASNILO</w:t>
      </w:r>
      <w:bookmarkEnd w:id="3"/>
      <w:bookmarkEnd w:id="4"/>
      <w:bookmarkEnd w:id="5"/>
    </w:p>
    <w:p w14:paraId="715A8F2A" w14:textId="77777777" w:rsidR="00F154F0" w:rsidRPr="00F154F0" w:rsidRDefault="00F154F0" w:rsidP="00F154F0"/>
    <w:bookmarkEnd w:id="6"/>
    <w:p w14:paraId="30317C51" w14:textId="07A778F7" w:rsidR="00F26500" w:rsidRPr="00F26500" w:rsidRDefault="000347E0" w:rsidP="00BF72F5">
      <w:pPr>
        <w:jc w:val="both"/>
        <w:rPr>
          <w:rFonts w:cs="Arial"/>
          <w:sz w:val="20"/>
          <w:szCs w:val="20"/>
        </w:rPr>
      </w:pPr>
      <w:r w:rsidRPr="00F26500">
        <w:rPr>
          <w:rFonts w:cs="Arial"/>
          <w:sz w:val="20"/>
          <w:szCs w:val="20"/>
        </w:rPr>
        <w:t>Vsebinsko podlago za pripravo NIFI predstavljajo Program za izvajanje evropske kohezijske politike v programskem obdobju 2021</w:t>
      </w:r>
      <w:r w:rsidR="00BF248B">
        <w:rPr>
          <w:rFonts w:cs="Arial"/>
          <w:sz w:val="20"/>
          <w:szCs w:val="20"/>
        </w:rPr>
        <w:t>–</w:t>
      </w:r>
      <w:r w:rsidRPr="00F26500">
        <w:rPr>
          <w:rFonts w:cs="Arial"/>
          <w:sz w:val="20"/>
          <w:szCs w:val="20"/>
        </w:rPr>
        <w:t>2027 (v nadaljevanju</w:t>
      </w:r>
      <w:r w:rsidR="00FF26F7" w:rsidRPr="00F26500">
        <w:rPr>
          <w:rFonts w:cs="Arial"/>
          <w:sz w:val="20"/>
          <w:szCs w:val="20"/>
        </w:rPr>
        <w:t>:</w:t>
      </w:r>
      <w:r w:rsidRPr="00F26500">
        <w:rPr>
          <w:rFonts w:cs="Arial"/>
          <w:sz w:val="20"/>
          <w:szCs w:val="20"/>
        </w:rPr>
        <w:t xml:space="preserve"> PEKP),  Predhodna ocena finančnih instrumentov</w:t>
      </w:r>
      <w:r w:rsidR="00874C47" w:rsidRPr="00874C47">
        <w:rPr>
          <w:rFonts w:cs="Arial"/>
          <w:sz w:val="20"/>
          <w:szCs w:val="20"/>
        </w:rPr>
        <w:t xml:space="preserve"> </w:t>
      </w:r>
      <w:r w:rsidR="00874C47" w:rsidRPr="005E7643">
        <w:rPr>
          <w:rFonts w:cs="Arial"/>
          <w:sz w:val="20"/>
          <w:szCs w:val="20"/>
        </w:rPr>
        <w:t xml:space="preserve">in vrzeli financiranja na trgu za izvajanje finančnih instrumentov v programskem obdobju </w:t>
      </w:r>
      <w:r w:rsidR="00BF248B">
        <w:rPr>
          <w:rFonts w:cs="Arial"/>
          <w:sz w:val="20"/>
          <w:szCs w:val="20"/>
        </w:rPr>
        <w:t xml:space="preserve">2021–2027 </w:t>
      </w:r>
      <w:r w:rsidR="00874C47" w:rsidRPr="00BF72F5">
        <w:footnoteReference w:id="1"/>
      </w:r>
      <w:r w:rsidR="00874C47" w:rsidRPr="00BF72F5">
        <w:rPr>
          <w:rFonts w:cs="Arial"/>
          <w:sz w:val="20"/>
          <w:szCs w:val="20"/>
          <w:vertAlign w:val="superscript"/>
        </w:rPr>
        <w:t xml:space="preserve"> </w:t>
      </w:r>
      <w:r w:rsidR="00874C47">
        <w:rPr>
          <w:rFonts w:cs="Arial"/>
          <w:sz w:val="20"/>
          <w:szCs w:val="20"/>
        </w:rPr>
        <w:t>(v nadaljevanju</w:t>
      </w:r>
      <w:r w:rsidR="00483D96">
        <w:rPr>
          <w:rFonts w:cs="Arial"/>
          <w:sz w:val="20"/>
          <w:szCs w:val="20"/>
        </w:rPr>
        <w:t>:</w:t>
      </w:r>
      <w:r w:rsidR="00874C47">
        <w:rPr>
          <w:rFonts w:cs="Arial"/>
          <w:sz w:val="20"/>
          <w:szCs w:val="20"/>
        </w:rPr>
        <w:t xml:space="preserve"> Predhodna ocena)</w:t>
      </w:r>
      <w:r w:rsidR="000532C4">
        <w:rPr>
          <w:rFonts w:cs="Arial"/>
          <w:sz w:val="20"/>
          <w:szCs w:val="20"/>
        </w:rPr>
        <w:t xml:space="preserve"> ter dodatn</w:t>
      </w:r>
      <w:r w:rsidR="00765A47">
        <w:rPr>
          <w:rFonts w:cs="Arial"/>
          <w:sz w:val="20"/>
          <w:szCs w:val="20"/>
        </w:rPr>
        <w:t>e</w:t>
      </w:r>
      <w:r w:rsidR="000532C4" w:rsidRPr="000532C4">
        <w:rPr>
          <w:rFonts w:cs="Arial"/>
          <w:sz w:val="20"/>
          <w:szCs w:val="20"/>
        </w:rPr>
        <w:t xml:space="preserve"> analiz</w:t>
      </w:r>
      <w:r w:rsidR="00765A47">
        <w:rPr>
          <w:rFonts w:cs="Arial"/>
          <w:sz w:val="20"/>
          <w:szCs w:val="20"/>
        </w:rPr>
        <w:t>e</w:t>
      </w:r>
      <w:r w:rsidR="000532C4" w:rsidRPr="000532C4">
        <w:rPr>
          <w:rFonts w:cs="Arial"/>
          <w:sz w:val="20"/>
          <w:szCs w:val="20"/>
        </w:rPr>
        <w:t xml:space="preserve"> trga za področje malih in srednje velikih podjetij in krožnega gospodarstva</w:t>
      </w:r>
      <w:r w:rsidR="00765A47">
        <w:rPr>
          <w:rFonts w:cs="Arial"/>
          <w:sz w:val="20"/>
          <w:szCs w:val="20"/>
        </w:rPr>
        <w:t xml:space="preserve"> ter energetske učinkovitosti</w:t>
      </w:r>
      <w:r w:rsidR="009D3FC0" w:rsidRPr="00F26500">
        <w:rPr>
          <w:rFonts w:cs="Arial"/>
          <w:sz w:val="20"/>
          <w:szCs w:val="20"/>
        </w:rPr>
        <w:t>.</w:t>
      </w:r>
      <w:r w:rsidR="000532C4" w:rsidRPr="00F26500">
        <w:rPr>
          <w:rFonts w:cs="Arial"/>
          <w:sz w:val="20"/>
          <w:szCs w:val="20"/>
        </w:rPr>
        <w:t xml:space="preserve"> </w:t>
      </w:r>
      <w:r w:rsidR="000C3515" w:rsidRPr="00F26500">
        <w:rPr>
          <w:rFonts w:cs="Arial"/>
          <w:sz w:val="20"/>
          <w:szCs w:val="20"/>
        </w:rPr>
        <w:t xml:space="preserve">Pred </w:t>
      </w:r>
      <w:r w:rsidR="00B56042" w:rsidRPr="00F26500">
        <w:rPr>
          <w:rFonts w:cs="Arial"/>
          <w:sz w:val="20"/>
          <w:szCs w:val="20"/>
        </w:rPr>
        <w:t>sklenitvijo sporazuma o financiranju z upravljavcem holdinškega sklada</w:t>
      </w:r>
      <w:r w:rsidR="00617FE6" w:rsidRPr="00F26500">
        <w:rPr>
          <w:rFonts w:cs="Arial"/>
          <w:sz w:val="20"/>
          <w:szCs w:val="20"/>
        </w:rPr>
        <w:t xml:space="preserve"> </w:t>
      </w:r>
      <w:r w:rsidR="00F26500" w:rsidRPr="00F26500">
        <w:rPr>
          <w:rFonts w:cs="Arial"/>
          <w:sz w:val="20"/>
          <w:szCs w:val="20"/>
        </w:rPr>
        <w:t xml:space="preserve">so bili </w:t>
      </w:r>
      <w:r w:rsidR="00617FE6" w:rsidRPr="00F26500">
        <w:rPr>
          <w:rFonts w:cs="Arial"/>
          <w:sz w:val="20"/>
          <w:szCs w:val="20"/>
        </w:rPr>
        <w:t>skladno s tretjim odstavkom 27. člena Uredbe EKP in drugim odstavkom 17. člena</w:t>
      </w:r>
      <w:r w:rsidR="00EA4E5E" w:rsidRPr="00F26500">
        <w:rPr>
          <w:rFonts w:cs="Arial"/>
          <w:sz w:val="20"/>
          <w:szCs w:val="20"/>
        </w:rPr>
        <w:t xml:space="preserve"> Uredbe o postopku, merilih in načinih dodeljevanja sredstev za spodbujanje razvojnih programov in prednostnih nalog</w:t>
      </w:r>
      <w:r w:rsidR="00617FE6" w:rsidRPr="00F26500">
        <w:rPr>
          <w:rFonts w:cs="Arial"/>
          <w:sz w:val="20"/>
          <w:szCs w:val="20"/>
        </w:rPr>
        <w:t xml:space="preserve"> </w:t>
      </w:r>
      <w:r w:rsidR="00EA4E5E" w:rsidRPr="00F26500">
        <w:rPr>
          <w:rFonts w:cs="Arial"/>
          <w:sz w:val="20"/>
          <w:szCs w:val="20"/>
        </w:rPr>
        <w:t xml:space="preserve">(Uradni list RS, št. 56/11) </w:t>
      </w:r>
      <w:r w:rsidR="00617FE6" w:rsidRPr="00F26500">
        <w:rPr>
          <w:rFonts w:cs="Arial"/>
          <w:sz w:val="20"/>
          <w:szCs w:val="20"/>
        </w:rPr>
        <w:t>pripravljeni</w:t>
      </w:r>
      <w:r w:rsidR="000532C4" w:rsidRPr="00F26500">
        <w:rPr>
          <w:rFonts w:cs="Arial"/>
          <w:sz w:val="20"/>
          <w:szCs w:val="20"/>
        </w:rPr>
        <w:t xml:space="preserve"> </w:t>
      </w:r>
      <w:r w:rsidR="000C3515" w:rsidRPr="00F26500">
        <w:rPr>
          <w:rFonts w:cs="Arial"/>
          <w:sz w:val="20"/>
          <w:szCs w:val="20"/>
        </w:rPr>
        <w:t>Ključni elementi finančnih instrumentov v</w:t>
      </w:r>
      <w:r w:rsidR="00DB6847">
        <w:rPr>
          <w:rFonts w:cs="Arial"/>
          <w:sz w:val="20"/>
          <w:szCs w:val="20"/>
        </w:rPr>
        <w:t xml:space="preserve"> programskem </w:t>
      </w:r>
      <w:r w:rsidR="000C3515" w:rsidRPr="00F26500">
        <w:rPr>
          <w:rFonts w:cs="Arial"/>
          <w:sz w:val="20"/>
          <w:szCs w:val="20"/>
        </w:rPr>
        <w:t xml:space="preserve"> obdobju 2021–2027</w:t>
      </w:r>
      <w:r w:rsidR="00DB6847">
        <w:rPr>
          <w:rFonts w:cs="Arial"/>
          <w:sz w:val="20"/>
          <w:szCs w:val="20"/>
        </w:rPr>
        <w:t xml:space="preserve"> in nova različica Ključnih elementov finančnih instrumentov v programskem obdobju </w:t>
      </w:r>
      <w:r w:rsidR="00DB6847" w:rsidRPr="00550D44">
        <w:rPr>
          <w:rFonts w:cs="Arial"/>
          <w:sz w:val="20"/>
          <w:szCs w:val="20"/>
        </w:rPr>
        <w:t>2021–2027</w:t>
      </w:r>
      <w:r w:rsidR="00DB6847">
        <w:rPr>
          <w:rFonts w:cs="Arial"/>
          <w:sz w:val="20"/>
          <w:szCs w:val="20"/>
        </w:rPr>
        <w:t>,  h katerim je Vlada Republike Slovenije dala soglasje dne 12. 9. 2024 in  21.  11. 2024</w:t>
      </w:r>
      <w:r w:rsidR="00DB6847" w:rsidRPr="00F26500">
        <w:rPr>
          <w:rFonts w:cs="Arial"/>
          <w:sz w:val="20"/>
          <w:szCs w:val="20"/>
        </w:rPr>
        <w:t xml:space="preserve"> </w:t>
      </w:r>
      <w:r w:rsidR="000C3515" w:rsidRPr="00F26500">
        <w:rPr>
          <w:rFonts w:cs="Arial"/>
          <w:sz w:val="20"/>
          <w:szCs w:val="20"/>
        </w:rPr>
        <w:t>(v nadaljevanju: KEFI)</w:t>
      </w:r>
      <w:r w:rsidR="00617FE6" w:rsidRPr="00F26500">
        <w:rPr>
          <w:rFonts w:cs="Arial"/>
          <w:sz w:val="20"/>
          <w:szCs w:val="20"/>
        </w:rPr>
        <w:t>.</w:t>
      </w:r>
      <w:r w:rsidR="00F26500" w:rsidRPr="00F26500">
        <w:rPr>
          <w:rFonts w:cs="Arial"/>
          <w:sz w:val="20"/>
          <w:szCs w:val="20"/>
        </w:rPr>
        <w:t xml:space="preserve"> Z upravljavcem holdinškega sklada, SID banko, d. d., je bil</w:t>
      </w:r>
      <w:r w:rsidR="00DB6847">
        <w:rPr>
          <w:rFonts w:cs="Arial"/>
          <w:sz w:val="20"/>
          <w:szCs w:val="20"/>
        </w:rPr>
        <w:t xml:space="preserve"> dne 28. 3. 2025 sklenjen</w:t>
      </w:r>
      <w:r w:rsidR="00F26500" w:rsidRPr="00F26500">
        <w:rPr>
          <w:rFonts w:cs="Arial"/>
          <w:sz w:val="20"/>
          <w:szCs w:val="20"/>
        </w:rPr>
        <w:t xml:space="preserve"> Sporazum o financiranju za operacijo »</w:t>
      </w:r>
      <w:r w:rsidR="00F26500">
        <w:rPr>
          <w:rFonts w:cs="Arial"/>
          <w:sz w:val="20"/>
          <w:szCs w:val="20"/>
        </w:rPr>
        <w:t>F</w:t>
      </w:r>
      <w:r w:rsidR="00F26500" w:rsidRPr="00F26500">
        <w:rPr>
          <w:rFonts w:cs="Arial"/>
          <w:sz w:val="20"/>
          <w:szCs w:val="20"/>
        </w:rPr>
        <w:t>inančni instrumenti 2021–2027«</w:t>
      </w:r>
      <w:r w:rsidR="002E347A">
        <w:rPr>
          <w:rFonts w:cs="Arial"/>
          <w:sz w:val="20"/>
          <w:szCs w:val="20"/>
        </w:rPr>
        <w:t>.</w:t>
      </w:r>
    </w:p>
    <w:p w14:paraId="151A314B" w14:textId="3CF9FEFD" w:rsidR="000347E0" w:rsidRPr="00E17453" w:rsidRDefault="000347E0" w:rsidP="00F154F0">
      <w:pPr>
        <w:jc w:val="both"/>
        <w:rPr>
          <w:rFonts w:cs="Arial"/>
          <w:sz w:val="20"/>
          <w:szCs w:val="20"/>
        </w:rPr>
      </w:pPr>
    </w:p>
    <w:p w14:paraId="2B9B71F5" w14:textId="2234D9E8" w:rsidR="003F5664" w:rsidRDefault="009D3FC0" w:rsidP="00F154F0">
      <w:pPr>
        <w:jc w:val="both"/>
        <w:rPr>
          <w:rFonts w:cs="Arial"/>
          <w:sz w:val="20"/>
          <w:szCs w:val="20"/>
        </w:rPr>
      </w:pPr>
      <w:bookmarkStart w:id="7" w:name="_Hlk175051532"/>
      <w:r>
        <w:rPr>
          <w:rFonts w:cs="Arial"/>
          <w:sz w:val="20"/>
          <w:szCs w:val="20"/>
        </w:rPr>
        <w:t xml:space="preserve">Predložen </w:t>
      </w:r>
      <w:r w:rsidR="003F5664" w:rsidRPr="00E17453">
        <w:rPr>
          <w:rFonts w:cs="Arial"/>
          <w:sz w:val="20"/>
          <w:szCs w:val="20"/>
        </w:rPr>
        <w:t xml:space="preserve">NIFI je sestavni del obrazložitve </w:t>
      </w:r>
      <w:r w:rsidR="003F5664" w:rsidRPr="00C96494">
        <w:rPr>
          <w:rFonts w:cs="Arial"/>
          <w:sz w:val="20"/>
          <w:szCs w:val="20"/>
        </w:rPr>
        <w:t xml:space="preserve">predloga proračuna </w:t>
      </w:r>
      <w:r w:rsidRPr="00C96494">
        <w:rPr>
          <w:rFonts w:cs="Arial"/>
          <w:sz w:val="20"/>
          <w:szCs w:val="20"/>
        </w:rPr>
        <w:t xml:space="preserve">Republike Slovenije </w:t>
      </w:r>
      <w:r w:rsidR="003F5664" w:rsidRPr="00C96494">
        <w:rPr>
          <w:rFonts w:cs="Arial"/>
          <w:sz w:val="20"/>
          <w:szCs w:val="20"/>
        </w:rPr>
        <w:t>za obdobje 202</w:t>
      </w:r>
      <w:r w:rsidR="002E347A">
        <w:rPr>
          <w:rFonts w:cs="Arial"/>
          <w:sz w:val="20"/>
          <w:szCs w:val="20"/>
        </w:rPr>
        <w:t>6</w:t>
      </w:r>
      <w:r w:rsidR="003F5664" w:rsidRPr="00C96494">
        <w:rPr>
          <w:rFonts w:cs="Arial"/>
          <w:sz w:val="20"/>
          <w:szCs w:val="20"/>
        </w:rPr>
        <w:t>–202</w:t>
      </w:r>
      <w:r w:rsidR="002E347A">
        <w:rPr>
          <w:rFonts w:cs="Arial"/>
          <w:sz w:val="20"/>
          <w:szCs w:val="20"/>
        </w:rPr>
        <w:t>7</w:t>
      </w:r>
      <w:r w:rsidR="003F5664" w:rsidRPr="00E17453">
        <w:rPr>
          <w:rFonts w:cs="Arial"/>
          <w:sz w:val="20"/>
          <w:szCs w:val="20"/>
        </w:rPr>
        <w:t xml:space="preserve"> </w:t>
      </w:r>
      <w:bookmarkEnd w:id="7"/>
      <w:r w:rsidR="003F5664" w:rsidRPr="00E17453">
        <w:rPr>
          <w:rFonts w:cs="Arial"/>
          <w:sz w:val="20"/>
          <w:szCs w:val="20"/>
        </w:rPr>
        <w:t>in za potrebe izvajanja proračuna</w:t>
      </w:r>
      <w:r>
        <w:rPr>
          <w:rFonts w:cs="Arial"/>
          <w:sz w:val="20"/>
          <w:szCs w:val="20"/>
        </w:rPr>
        <w:t xml:space="preserve"> Republike Sloveni</w:t>
      </w:r>
      <w:r w:rsidR="00CA353D">
        <w:rPr>
          <w:rFonts w:cs="Arial"/>
          <w:sz w:val="20"/>
          <w:szCs w:val="20"/>
        </w:rPr>
        <w:t>j</w:t>
      </w:r>
      <w:r>
        <w:rPr>
          <w:rFonts w:cs="Arial"/>
          <w:sz w:val="20"/>
          <w:szCs w:val="20"/>
        </w:rPr>
        <w:t>e</w:t>
      </w:r>
      <w:r w:rsidR="003F5664" w:rsidRPr="00E17453">
        <w:rPr>
          <w:rFonts w:cs="Arial"/>
          <w:sz w:val="20"/>
          <w:szCs w:val="20"/>
        </w:rPr>
        <w:t xml:space="preserve"> vključuje </w:t>
      </w:r>
      <w:bookmarkStart w:id="8" w:name="_Hlk175051620"/>
      <w:r w:rsidR="003F5664" w:rsidRPr="00E17453">
        <w:rPr>
          <w:rFonts w:cs="Arial"/>
          <w:sz w:val="20"/>
          <w:szCs w:val="20"/>
        </w:rPr>
        <w:t>opis ukrepov</w:t>
      </w:r>
      <w:bookmarkEnd w:id="8"/>
      <w:r w:rsidR="00DB6847">
        <w:rPr>
          <w:rFonts w:cs="Arial"/>
          <w:sz w:val="20"/>
          <w:szCs w:val="20"/>
        </w:rPr>
        <w:t>,</w:t>
      </w:r>
      <w:r w:rsidR="00162168">
        <w:rPr>
          <w:rFonts w:cs="Arial"/>
          <w:sz w:val="20"/>
          <w:szCs w:val="20"/>
        </w:rPr>
        <w:t xml:space="preserve"> (ki </w:t>
      </w:r>
      <w:r w:rsidR="00CB2FCA">
        <w:rPr>
          <w:rFonts w:cs="Arial"/>
          <w:sz w:val="20"/>
          <w:szCs w:val="20"/>
        </w:rPr>
        <w:t xml:space="preserve">so </w:t>
      </w:r>
      <w:r w:rsidR="00162168">
        <w:rPr>
          <w:rFonts w:cs="Arial"/>
          <w:sz w:val="20"/>
          <w:szCs w:val="20"/>
        </w:rPr>
        <w:t>podrobneje opisani v KEFI)</w:t>
      </w:r>
      <w:r w:rsidR="00EA4E5E">
        <w:rPr>
          <w:rFonts w:cs="Arial"/>
          <w:sz w:val="20"/>
          <w:szCs w:val="20"/>
        </w:rPr>
        <w:t>,</w:t>
      </w:r>
      <w:r w:rsidR="003F5664" w:rsidRPr="00E17453">
        <w:rPr>
          <w:rFonts w:cs="Arial"/>
          <w:sz w:val="20"/>
          <w:szCs w:val="20"/>
        </w:rPr>
        <w:t xml:space="preserve"> </w:t>
      </w:r>
      <w:bookmarkStart w:id="9" w:name="_Hlk175051640"/>
      <w:r w:rsidR="003F5664" w:rsidRPr="00E17453">
        <w:rPr>
          <w:rFonts w:cs="Arial"/>
          <w:sz w:val="20"/>
          <w:szCs w:val="20"/>
        </w:rPr>
        <w:t>oblike financiranja</w:t>
      </w:r>
      <w:r w:rsidR="00162168">
        <w:rPr>
          <w:rFonts w:cs="Arial"/>
          <w:sz w:val="20"/>
          <w:szCs w:val="20"/>
        </w:rPr>
        <w:t>,</w:t>
      </w:r>
      <w:r w:rsidR="00483D96">
        <w:rPr>
          <w:rFonts w:cs="Arial"/>
          <w:sz w:val="20"/>
          <w:szCs w:val="20"/>
        </w:rPr>
        <w:t xml:space="preserve"> </w:t>
      </w:r>
      <w:r w:rsidR="003F5664" w:rsidRPr="00E17453">
        <w:rPr>
          <w:rFonts w:cs="Arial"/>
          <w:sz w:val="20"/>
          <w:szCs w:val="20"/>
        </w:rPr>
        <w:t xml:space="preserve">obseg sredstev in terminski načrt izplačil sredstev </w:t>
      </w:r>
      <w:r w:rsidR="00162168">
        <w:rPr>
          <w:rFonts w:cs="Arial"/>
          <w:sz w:val="20"/>
          <w:szCs w:val="20"/>
        </w:rPr>
        <w:t xml:space="preserve">izvajalcu </w:t>
      </w:r>
      <w:r w:rsidR="003F5664" w:rsidRPr="00E17453">
        <w:rPr>
          <w:rFonts w:cs="Arial"/>
          <w:sz w:val="20"/>
          <w:szCs w:val="20"/>
        </w:rPr>
        <w:t>finančnih instrumentov</w:t>
      </w:r>
      <w:r w:rsidR="00EB680F">
        <w:rPr>
          <w:rFonts w:cs="Arial"/>
          <w:sz w:val="20"/>
          <w:szCs w:val="20"/>
        </w:rPr>
        <w:t xml:space="preserve"> (holdinškemu skladu)</w:t>
      </w:r>
      <w:r w:rsidR="00162168">
        <w:rPr>
          <w:rFonts w:cs="Arial"/>
          <w:sz w:val="20"/>
          <w:szCs w:val="20"/>
        </w:rPr>
        <w:t xml:space="preserve"> ter programsko klasifikacijo</w:t>
      </w:r>
      <w:r w:rsidR="00EA4E5E">
        <w:rPr>
          <w:rFonts w:cs="Arial"/>
          <w:sz w:val="20"/>
          <w:szCs w:val="20"/>
        </w:rPr>
        <w:t xml:space="preserve"> finančnih instrumentov</w:t>
      </w:r>
      <w:r w:rsidR="00162168">
        <w:rPr>
          <w:rFonts w:cs="Arial"/>
          <w:sz w:val="20"/>
          <w:szCs w:val="20"/>
        </w:rPr>
        <w:t>.</w:t>
      </w:r>
    </w:p>
    <w:p w14:paraId="53D973E0" w14:textId="77777777" w:rsidR="00135CD1" w:rsidRPr="00E17453" w:rsidRDefault="00135CD1" w:rsidP="00F154F0">
      <w:pPr>
        <w:jc w:val="both"/>
        <w:rPr>
          <w:rFonts w:cs="Arial"/>
          <w:sz w:val="20"/>
          <w:szCs w:val="20"/>
        </w:rPr>
      </w:pPr>
    </w:p>
    <w:bookmarkEnd w:id="9"/>
    <w:p w14:paraId="03CBEDA3" w14:textId="385B43A3" w:rsidR="006112BB" w:rsidRPr="00BA0DE8" w:rsidRDefault="006112BB" w:rsidP="00F154F0">
      <w:pPr>
        <w:autoSpaceDE w:val="0"/>
        <w:autoSpaceDN w:val="0"/>
        <w:adjustRightInd w:val="0"/>
        <w:jc w:val="both"/>
        <w:rPr>
          <w:bCs/>
          <w:iCs/>
          <w:sz w:val="20"/>
        </w:rPr>
      </w:pPr>
      <w:r w:rsidRPr="006112BB">
        <w:rPr>
          <w:bCs/>
          <w:iCs/>
          <w:sz w:val="20"/>
        </w:rPr>
        <w:t xml:space="preserve">Skladno s Predhodno oceno </w:t>
      </w:r>
      <w:r w:rsidR="00874C47">
        <w:rPr>
          <w:bCs/>
          <w:iCs/>
          <w:sz w:val="20"/>
        </w:rPr>
        <w:t xml:space="preserve">in </w:t>
      </w:r>
      <w:r w:rsidR="00FF26F7">
        <w:rPr>
          <w:bCs/>
          <w:iCs/>
          <w:sz w:val="20"/>
        </w:rPr>
        <w:t>s</w:t>
      </w:r>
      <w:r w:rsidR="00874C47">
        <w:rPr>
          <w:bCs/>
          <w:iCs/>
          <w:sz w:val="20"/>
        </w:rPr>
        <w:t>klep</w:t>
      </w:r>
      <w:r w:rsidR="00D623AE">
        <w:rPr>
          <w:bCs/>
          <w:iCs/>
          <w:sz w:val="20"/>
        </w:rPr>
        <w:t>om</w:t>
      </w:r>
      <w:r w:rsidR="00874C47">
        <w:rPr>
          <w:bCs/>
          <w:iCs/>
          <w:sz w:val="20"/>
        </w:rPr>
        <w:t xml:space="preserve"> Vlade Republike Slovenije</w:t>
      </w:r>
      <w:r w:rsidR="00FF26F7">
        <w:rPr>
          <w:bCs/>
          <w:iCs/>
          <w:sz w:val="20"/>
        </w:rPr>
        <w:t>,</w:t>
      </w:r>
      <w:r w:rsidR="004756E1">
        <w:rPr>
          <w:bCs/>
          <w:iCs/>
          <w:sz w:val="20"/>
        </w:rPr>
        <w:t xml:space="preserve"> št. 54402-2/2024/3</w:t>
      </w:r>
      <w:r w:rsidR="00874C47">
        <w:rPr>
          <w:bCs/>
          <w:iCs/>
          <w:sz w:val="20"/>
        </w:rPr>
        <w:t xml:space="preserve"> z dne 26. 6.2024, </w:t>
      </w:r>
      <w:r w:rsidRPr="006112BB">
        <w:rPr>
          <w:bCs/>
          <w:iCs/>
          <w:sz w:val="20"/>
        </w:rPr>
        <w:t xml:space="preserve">se FI </w:t>
      </w:r>
      <w:r w:rsidR="00874C47">
        <w:rPr>
          <w:bCs/>
          <w:iCs/>
          <w:sz w:val="20"/>
        </w:rPr>
        <w:t xml:space="preserve">v Republiki Sloveniji </w:t>
      </w:r>
      <w:r w:rsidRPr="006112BB">
        <w:rPr>
          <w:bCs/>
          <w:iCs/>
          <w:sz w:val="20"/>
        </w:rPr>
        <w:t>izvaja</w:t>
      </w:r>
      <w:r w:rsidR="00135CD1">
        <w:rPr>
          <w:bCs/>
          <w:iCs/>
          <w:sz w:val="20"/>
        </w:rPr>
        <w:t>jo</w:t>
      </w:r>
      <w:r w:rsidRPr="006112BB">
        <w:rPr>
          <w:bCs/>
          <w:iCs/>
          <w:sz w:val="20"/>
        </w:rPr>
        <w:t xml:space="preserve"> preko </w:t>
      </w:r>
      <w:r w:rsidRPr="00BA0DE8">
        <w:rPr>
          <w:bCs/>
          <w:iCs/>
          <w:sz w:val="20"/>
        </w:rPr>
        <w:t>holdinškega sklada, in sicer jih izvaja holdinški sklad prek finančnih posrednikov</w:t>
      </w:r>
      <w:r w:rsidR="009D3FC0" w:rsidRPr="00BA0DE8">
        <w:rPr>
          <w:bCs/>
          <w:iCs/>
          <w:sz w:val="20"/>
        </w:rPr>
        <w:t xml:space="preserve"> - posebni</w:t>
      </w:r>
      <w:r w:rsidR="00CB2FCA">
        <w:rPr>
          <w:bCs/>
          <w:iCs/>
          <w:sz w:val="20"/>
        </w:rPr>
        <w:t>h</w:t>
      </w:r>
      <w:r w:rsidR="009D3FC0" w:rsidRPr="00BA0DE8">
        <w:rPr>
          <w:bCs/>
          <w:iCs/>
          <w:sz w:val="20"/>
        </w:rPr>
        <w:t xml:space="preserve"> sklad</w:t>
      </w:r>
      <w:r w:rsidR="00CB2FCA">
        <w:rPr>
          <w:bCs/>
          <w:iCs/>
          <w:sz w:val="20"/>
        </w:rPr>
        <w:t>ov</w:t>
      </w:r>
      <w:r w:rsidR="009D3FC0" w:rsidRPr="00BA0DE8">
        <w:rPr>
          <w:rStyle w:val="Sprotnaopomba-sklic"/>
          <w:bCs/>
          <w:iCs/>
          <w:sz w:val="20"/>
        </w:rPr>
        <w:footnoteReference w:id="2"/>
      </w:r>
      <w:r w:rsidRPr="00BA0DE8">
        <w:rPr>
          <w:bCs/>
          <w:iCs/>
          <w:sz w:val="20"/>
        </w:rPr>
        <w:t xml:space="preserve"> ali neposredno. </w:t>
      </w:r>
      <w:r w:rsidR="00BA0DE8" w:rsidRPr="00BF72F5">
        <w:rPr>
          <w:bCs/>
          <w:iCs/>
          <w:sz w:val="20"/>
        </w:rPr>
        <w:t>Ta način izvedbe predstavlja največji potencial za dodano vrednost in ustvarjanje maksimalnega finančnega vzvoda za slovenski trg.</w:t>
      </w:r>
    </w:p>
    <w:p w14:paraId="252D5C73" w14:textId="77777777" w:rsidR="00C04AC3" w:rsidRDefault="00C04AC3" w:rsidP="00F154F0">
      <w:pPr>
        <w:autoSpaceDE w:val="0"/>
        <w:autoSpaceDN w:val="0"/>
        <w:adjustRightInd w:val="0"/>
        <w:jc w:val="both"/>
        <w:rPr>
          <w:bCs/>
          <w:iCs/>
          <w:sz w:val="20"/>
        </w:rPr>
      </w:pPr>
    </w:p>
    <w:p w14:paraId="108C9654" w14:textId="4515BEC4" w:rsidR="006112BB" w:rsidRPr="0067630C" w:rsidRDefault="006112BB" w:rsidP="00F154F0">
      <w:pPr>
        <w:autoSpaceDE w:val="0"/>
        <w:autoSpaceDN w:val="0"/>
        <w:adjustRightInd w:val="0"/>
        <w:jc w:val="both"/>
        <w:rPr>
          <w:bCs/>
          <w:iCs/>
          <w:sz w:val="20"/>
        </w:rPr>
      </w:pPr>
      <w:r w:rsidRPr="006112BB">
        <w:rPr>
          <w:bCs/>
          <w:iCs/>
          <w:sz w:val="20"/>
        </w:rPr>
        <w:t xml:space="preserve">Upravljavca holdinškega sklada </w:t>
      </w:r>
      <w:r w:rsidR="002E347A">
        <w:rPr>
          <w:bCs/>
          <w:iCs/>
          <w:sz w:val="20"/>
        </w:rPr>
        <w:t>je</w:t>
      </w:r>
      <w:r w:rsidRPr="006112BB">
        <w:rPr>
          <w:bCs/>
          <w:iCs/>
          <w:sz w:val="20"/>
        </w:rPr>
        <w:t xml:space="preserve"> </w:t>
      </w:r>
      <w:r w:rsidR="008176CC">
        <w:rPr>
          <w:bCs/>
          <w:iCs/>
          <w:sz w:val="20"/>
        </w:rPr>
        <w:t>izbral</w:t>
      </w:r>
      <w:r w:rsidR="00DB6847">
        <w:rPr>
          <w:bCs/>
          <w:iCs/>
          <w:sz w:val="20"/>
        </w:rPr>
        <w:t>o</w:t>
      </w:r>
      <w:r w:rsidR="008176CC">
        <w:rPr>
          <w:bCs/>
          <w:iCs/>
          <w:sz w:val="20"/>
        </w:rPr>
        <w:t xml:space="preserve"> </w:t>
      </w:r>
      <w:r w:rsidRPr="006112BB">
        <w:rPr>
          <w:bCs/>
          <w:iCs/>
          <w:sz w:val="20"/>
        </w:rPr>
        <w:t>PT</w:t>
      </w:r>
      <w:r w:rsidR="008176CC">
        <w:rPr>
          <w:bCs/>
          <w:iCs/>
          <w:sz w:val="20"/>
        </w:rPr>
        <w:t>,</w:t>
      </w:r>
      <w:r w:rsidRPr="006112BB">
        <w:rPr>
          <w:bCs/>
          <w:iCs/>
          <w:sz w:val="20"/>
        </w:rPr>
        <w:t xml:space="preserve"> skladno</w:t>
      </w:r>
      <w:r w:rsidR="008176CC">
        <w:rPr>
          <w:bCs/>
          <w:iCs/>
          <w:sz w:val="20"/>
        </w:rPr>
        <w:t xml:space="preserve"> s</w:t>
      </w:r>
      <w:r w:rsidRPr="006112BB">
        <w:rPr>
          <w:bCs/>
          <w:iCs/>
          <w:sz w:val="20"/>
        </w:rPr>
        <w:t xml:space="preserve"> točko c) tretjega odstavka 59. člena Uredbe o skupnih določbah</w:t>
      </w:r>
      <w:r w:rsidR="008176CC">
        <w:rPr>
          <w:bCs/>
          <w:iCs/>
          <w:sz w:val="20"/>
        </w:rPr>
        <w:t>,</w:t>
      </w:r>
      <w:r w:rsidRPr="006112BB">
        <w:rPr>
          <w:bCs/>
          <w:iCs/>
          <w:sz w:val="20"/>
        </w:rPr>
        <w:t xml:space="preserve"> upoštevajoč veljavno pravo javnega naročanja. PT </w:t>
      </w:r>
      <w:r w:rsidR="002E347A">
        <w:rPr>
          <w:bCs/>
          <w:iCs/>
          <w:sz w:val="20"/>
        </w:rPr>
        <w:t>je</w:t>
      </w:r>
      <w:r w:rsidR="002E347A" w:rsidRPr="006112BB">
        <w:rPr>
          <w:bCs/>
          <w:iCs/>
          <w:sz w:val="20"/>
        </w:rPr>
        <w:t xml:space="preserve"> </w:t>
      </w:r>
      <w:r w:rsidRPr="006112BB">
        <w:rPr>
          <w:bCs/>
          <w:iCs/>
          <w:sz w:val="20"/>
        </w:rPr>
        <w:t xml:space="preserve">na podlagi 28. člena </w:t>
      </w:r>
      <w:bookmarkStart w:id="10" w:name="_Hlk171499009"/>
      <w:r w:rsidRPr="006112BB">
        <w:rPr>
          <w:bCs/>
          <w:iCs/>
          <w:sz w:val="20"/>
        </w:rPr>
        <w:t>Zakona o javnem naročanju (</w:t>
      </w:r>
      <w:r w:rsidR="00636A95" w:rsidRPr="00636A95">
        <w:rPr>
          <w:bCs/>
          <w:iCs/>
          <w:sz w:val="20"/>
        </w:rPr>
        <w:t>Uradni list RS, št. 91/15, 14/18, 121/21, 10/22, 74/22 – odl. US, 100/22 – ZNUZSZS, 28/23 in 88/23 – ZOPNN-F</w:t>
      </w:r>
      <w:r w:rsidRPr="006112BB">
        <w:rPr>
          <w:bCs/>
          <w:iCs/>
          <w:sz w:val="20"/>
        </w:rPr>
        <w:t xml:space="preserve">) </w:t>
      </w:r>
      <w:bookmarkEnd w:id="10"/>
      <w:r w:rsidRPr="006112BB">
        <w:rPr>
          <w:bCs/>
          <w:iCs/>
          <w:sz w:val="20"/>
        </w:rPr>
        <w:t>odda</w:t>
      </w:r>
      <w:r w:rsidR="002E347A">
        <w:rPr>
          <w:bCs/>
          <w:iCs/>
          <w:sz w:val="20"/>
        </w:rPr>
        <w:t>l</w:t>
      </w:r>
      <w:r w:rsidR="002A4084">
        <w:rPr>
          <w:bCs/>
          <w:iCs/>
          <w:sz w:val="20"/>
        </w:rPr>
        <w:t>o</w:t>
      </w:r>
      <w:r w:rsidRPr="006112BB">
        <w:rPr>
          <w:bCs/>
          <w:iCs/>
          <w:sz w:val="20"/>
        </w:rPr>
        <w:t xml:space="preserve"> javno naročilo pravni osebi javnega prava in neposredno sklen</w:t>
      </w:r>
      <w:r w:rsidR="002E347A">
        <w:rPr>
          <w:bCs/>
          <w:iCs/>
          <w:sz w:val="20"/>
        </w:rPr>
        <w:t>il</w:t>
      </w:r>
      <w:r w:rsidR="002A4084">
        <w:rPr>
          <w:bCs/>
          <w:iCs/>
          <w:sz w:val="20"/>
        </w:rPr>
        <w:t>o</w:t>
      </w:r>
      <w:r w:rsidRPr="006112BB">
        <w:rPr>
          <w:bCs/>
          <w:iCs/>
          <w:sz w:val="20"/>
        </w:rPr>
        <w:t xml:space="preserve"> sporazum o financiranju z upravljavcem holdinškega sklada. </w:t>
      </w:r>
    </w:p>
    <w:p w14:paraId="0042F1F4" w14:textId="77777777" w:rsidR="00EB680F" w:rsidRDefault="00EB680F" w:rsidP="00F154F0">
      <w:pPr>
        <w:jc w:val="both"/>
        <w:rPr>
          <w:rFonts w:cs="Arial"/>
          <w:sz w:val="20"/>
          <w:szCs w:val="20"/>
        </w:rPr>
      </w:pPr>
    </w:p>
    <w:p w14:paraId="720B2E50" w14:textId="77777777" w:rsidR="00F154F0" w:rsidRPr="00E17453" w:rsidRDefault="00F154F0" w:rsidP="00F154F0">
      <w:pPr>
        <w:jc w:val="both"/>
        <w:rPr>
          <w:rFonts w:cs="Arial"/>
          <w:sz w:val="20"/>
          <w:szCs w:val="20"/>
        </w:rPr>
      </w:pPr>
    </w:p>
    <w:p w14:paraId="24A888EC" w14:textId="77777777" w:rsidR="003F5664" w:rsidRDefault="003F5664" w:rsidP="00F154F0">
      <w:pPr>
        <w:pStyle w:val="Naslov2"/>
        <w:spacing w:after="0"/>
        <w:ind w:left="0"/>
        <w:rPr>
          <w:sz w:val="20"/>
          <w:szCs w:val="20"/>
        </w:rPr>
      </w:pPr>
      <w:bookmarkStart w:id="11" w:name="_Toc141708951"/>
      <w:bookmarkStart w:id="12" w:name="_Toc175120973"/>
      <w:r w:rsidRPr="00E17453">
        <w:rPr>
          <w:sz w:val="20"/>
          <w:szCs w:val="20"/>
        </w:rPr>
        <w:t>OBLIKE FINANČNIH INSTRUMENTOV</w:t>
      </w:r>
      <w:bookmarkEnd w:id="11"/>
      <w:bookmarkEnd w:id="12"/>
    </w:p>
    <w:p w14:paraId="5A07312A" w14:textId="77777777" w:rsidR="00F154F0" w:rsidRPr="00F154F0" w:rsidRDefault="00F154F0" w:rsidP="00F154F0"/>
    <w:p w14:paraId="70997CCE" w14:textId="51A81367" w:rsidR="003F5664" w:rsidRDefault="003F5664" w:rsidP="00F154F0">
      <w:pPr>
        <w:jc w:val="both"/>
        <w:rPr>
          <w:rFonts w:cs="Arial"/>
          <w:sz w:val="20"/>
          <w:szCs w:val="20"/>
        </w:rPr>
      </w:pPr>
      <w:r w:rsidRPr="00E17453">
        <w:rPr>
          <w:rFonts w:cs="Arial"/>
          <w:sz w:val="20"/>
          <w:szCs w:val="20"/>
        </w:rPr>
        <w:t>NIFI temelji na Predhodni oceni</w:t>
      </w:r>
      <w:r w:rsidR="004756E1">
        <w:rPr>
          <w:rFonts w:cs="Arial"/>
          <w:sz w:val="20"/>
          <w:szCs w:val="20"/>
        </w:rPr>
        <w:t xml:space="preserve">, </w:t>
      </w:r>
      <w:r w:rsidR="0061634D">
        <w:rPr>
          <w:rFonts w:cs="Arial"/>
          <w:sz w:val="20"/>
          <w:szCs w:val="20"/>
        </w:rPr>
        <w:t>kater</w:t>
      </w:r>
      <w:r w:rsidR="00CB2FCA">
        <w:rPr>
          <w:rFonts w:cs="Arial"/>
          <w:sz w:val="20"/>
          <w:szCs w:val="20"/>
        </w:rPr>
        <w:t>ih</w:t>
      </w:r>
      <w:r w:rsidR="0061634D">
        <w:rPr>
          <w:rFonts w:cs="Arial"/>
          <w:sz w:val="20"/>
          <w:szCs w:val="20"/>
        </w:rPr>
        <w:t xml:space="preserve"> cilj je bila izbira specifičnih ciljev in opredelitev tematskih področij, na osnovi katerih je smotrna uporaba FI</w:t>
      </w:r>
      <w:r w:rsidR="00904756">
        <w:rPr>
          <w:rFonts w:cs="Arial"/>
          <w:sz w:val="20"/>
          <w:szCs w:val="20"/>
        </w:rPr>
        <w:t xml:space="preserve"> in dodatni</w:t>
      </w:r>
      <w:r w:rsidR="007D32A0">
        <w:rPr>
          <w:rFonts w:cs="Arial"/>
          <w:sz w:val="20"/>
          <w:szCs w:val="20"/>
        </w:rPr>
        <w:t>h</w:t>
      </w:r>
      <w:r w:rsidR="00904756">
        <w:rPr>
          <w:rFonts w:cs="Arial"/>
          <w:sz w:val="20"/>
          <w:szCs w:val="20"/>
        </w:rPr>
        <w:t xml:space="preserve"> analiz</w:t>
      </w:r>
      <w:r w:rsidR="007D32A0">
        <w:rPr>
          <w:rFonts w:cs="Arial"/>
          <w:sz w:val="20"/>
          <w:szCs w:val="20"/>
        </w:rPr>
        <w:t>ah</w:t>
      </w:r>
      <w:r w:rsidR="00904756">
        <w:rPr>
          <w:rFonts w:cs="Arial"/>
          <w:sz w:val="20"/>
          <w:szCs w:val="20"/>
        </w:rPr>
        <w:t xml:space="preserve"> trga</w:t>
      </w:r>
      <w:r w:rsidR="0061634D">
        <w:rPr>
          <w:rFonts w:cs="Arial"/>
          <w:sz w:val="20"/>
          <w:szCs w:val="20"/>
        </w:rPr>
        <w:t xml:space="preserve">.  </w:t>
      </w:r>
    </w:p>
    <w:p w14:paraId="56A31743" w14:textId="77777777" w:rsidR="00F154F0" w:rsidRPr="00E17453" w:rsidRDefault="00F154F0" w:rsidP="00F154F0">
      <w:pPr>
        <w:jc w:val="both"/>
        <w:rPr>
          <w:rFonts w:cs="Arial"/>
          <w:sz w:val="20"/>
          <w:szCs w:val="20"/>
        </w:rPr>
      </w:pPr>
    </w:p>
    <w:p w14:paraId="4B55D815" w14:textId="12A7EE65" w:rsidR="003F5664" w:rsidRPr="00E17453" w:rsidRDefault="003F5664" w:rsidP="00F154F0">
      <w:pPr>
        <w:jc w:val="both"/>
        <w:rPr>
          <w:rFonts w:cs="Arial"/>
          <w:sz w:val="20"/>
          <w:szCs w:val="20"/>
        </w:rPr>
      </w:pPr>
      <w:r w:rsidRPr="00E17453">
        <w:rPr>
          <w:rFonts w:cs="Arial"/>
          <w:sz w:val="20"/>
          <w:szCs w:val="20"/>
        </w:rPr>
        <w:lastRenderedPageBreak/>
        <w:t xml:space="preserve">V okviru analize nedelovanja trga, neoptimalnih naložbenih razmer in naložbenih potreb so bili ocenjeni velikost vrzeli med ponudbo finančnih sredstev in povpraševanjem po njih, slabosti trga, neoptimalna naložbena stanja in naložbene potrebe, z namenom identifikacije možnih rešitev za izboljšanje trenutnega stanja. </w:t>
      </w:r>
    </w:p>
    <w:p w14:paraId="234C4282" w14:textId="77777777" w:rsidR="00904756" w:rsidRDefault="00904756" w:rsidP="00F154F0">
      <w:pPr>
        <w:jc w:val="both"/>
        <w:rPr>
          <w:rFonts w:cs="Arial"/>
          <w:sz w:val="20"/>
          <w:szCs w:val="20"/>
        </w:rPr>
      </w:pPr>
    </w:p>
    <w:p w14:paraId="7DB59320" w14:textId="15F2EBC9" w:rsidR="003F5664" w:rsidRPr="00E17453" w:rsidRDefault="003F5664" w:rsidP="00F154F0">
      <w:pPr>
        <w:jc w:val="both"/>
        <w:rPr>
          <w:rFonts w:cs="Arial"/>
          <w:sz w:val="20"/>
          <w:szCs w:val="20"/>
        </w:rPr>
      </w:pPr>
      <w:r w:rsidRPr="00E17453">
        <w:rPr>
          <w:rFonts w:cs="Arial"/>
          <w:sz w:val="20"/>
          <w:szCs w:val="20"/>
        </w:rPr>
        <w:t xml:space="preserve">Vrzeli potrebnih virov financiranja zaradi prisotnosti različnih oblik nedelovanja trga so bile identificirane na področju raziskav, razvoja in inovacij (RRI), </w:t>
      </w:r>
      <w:r w:rsidR="00857664">
        <w:rPr>
          <w:rFonts w:cs="Arial"/>
          <w:sz w:val="20"/>
          <w:szCs w:val="20"/>
        </w:rPr>
        <w:t xml:space="preserve">mikro, </w:t>
      </w:r>
      <w:r w:rsidRPr="00E17453">
        <w:rPr>
          <w:rFonts w:cs="Arial"/>
          <w:sz w:val="20"/>
          <w:szCs w:val="20"/>
        </w:rPr>
        <w:t xml:space="preserve">malih in srednje velikih podjetij (MSP), digitalizacije, zelenega prehoda in urbanega razvoja. </w:t>
      </w:r>
    </w:p>
    <w:p w14:paraId="42B79184" w14:textId="77777777" w:rsidR="00904756" w:rsidRDefault="00904756" w:rsidP="00F154F0">
      <w:pPr>
        <w:jc w:val="both"/>
        <w:rPr>
          <w:rFonts w:cs="Arial"/>
          <w:sz w:val="20"/>
          <w:szCs w:val="20"/>
        </w:rPr>
      </w:pPr>
    </w:p>
    <w:p w14:paraId="39DA3347" w14:textId="1510E1FC" w:rsidR="003F5664" w:rsidRDefault="00F66CC1" w:rsidP="00F154F0">
      <w:pPr>
        <w:jc w:val="both"/>
        <w:rPr>
          <w:rFonts w:cs="Arial"/>
          <w:sz w:val="20"/>
          <w:szCs w:val="20"/>
        </w:rPr>
      </w:pPr>
      <w:r w:rsidRPr="00E17453">
        <w:rPr>
          <w:rFonts w:cs="Arial"/>
          <w:sz w:val="20"/>
          <w:szCs w:val="20"/>
        </w:rPr>
        <w:t>V</w:t>
      </w:r>
      <w:r w:rsidR="003F5664" w:rsidRPr="00E17453">
        <w:rPr>
          <w:rFonts w:cs="Arial"/>
          <w:sz w:val="20"/>
          <w:szCs w:val="20"/>
        </w:rPr>
        <w:t xml:space="preserve"> predhodn</w:t>
      </w:r>
      <w:r w:rsidRPr="00E17453">
        <w:rPr>
          <w:rFonts w:cs="Arial"/>
          <w:sz w:val="20"/>
          <w:szCs w:val="20"/>
        </w:rPr>
        <w:t>i</w:t>
      </w:r>
      <w:r w:rsidR="003F5664" w:rsidRPr="00E17453">
        <w:rPr>
          <w:rFonts w:cs="Arial"/>
          <w:sz w:val="20"/>
          <w:szCs w:val="20"/>
        </w:rPr>
        <w:t xml:space="preserve"> ocen</w:t>
      </w:r>
      <w:r w:rsidRPr="00E17453">
        <w:rPr>
          <w:rFonts w:cs="Arial"/>
          <w:sz w:val="20"/>
          <w:szCs w:val="20"/>
        </w:rPr>
        <w:t>i</w:t>
      </w:r>
      <w:r w:rsidR="003F5664" w:rsidRPr="00E17453">
        <w:rPr>
          <w:rFonts w:cs="Arial"/>
          <w:sz w:val="20"/>
          <w:szCs w:val="20"/>
        </w:rPr>
        <w:t xml:space="preserve"> je bila predlagana naložbena strategija</w:t>
      </w:r>
      <w:r w:rsidR="00417DC9">
        <w:rPr>
          <w:rStyle w:val="Sprotnaopomba-sklic"/>
          <w:rFonts w:cs="Arial"/>
          <w:sz w:val="20"/>
          <w:szCs w:val="20"/>
        </w:rPr>
        <w:footnoteReference w:id="3"/>
      </w:r>
      <w:r w:rsidR="00697A73">
        <w:rPr>
          <w:rFonts w:cs="Arial"/>
          <w:sz w:val="20"/>
          <w:szCs w:val="20"/>
        </w:rPr>
        <w:t>, ki temelji na petih naložbenih področjih</w:t>
      </w:r>
      <w:r w:rsidR="00904756">
        <w:rPr>
          <w:rFonts w:cs="Arial"/>
          <w:sz w:val="20"/>
          <w:szCs w:val="20"/>
        </w:rPr>
        <w:t xml:space="preserve">: </w:t>
      </w:r>
      <w:r w:rsidR="00E814D9">
        <w:rPr>
          <w:rFonts w:cs="Arial"/>
          <w:sz w:val="20"/>
          <w:szCs w:val="20"/>
        </w:rPr>
        <w:t>RRI</w:t>
      </w:r>
      <w:r w:rsidR="00417DC9">
        <w:rPr>
          <w:rFonts w:cs="Arial"/>
          <w:sz w:val="20"/>
          <w:szCs w:val="20"/>
        </w:rPr>
        <w:t xml:space="preserve">, </w:t>
      </w:r>
      <w:r w:rsidR="00697A73">
        <w:rPr>
          <w:rFonts w:cs="Arial"/>
          <w:sz w:val="20"/>
          <w:szCs w:val="20"/>
        </w:rPr>
        <w:t xml:space="preserve">MSP, </w:t>
      </w:r>
      <w:r w:rsidR="00417DC9">
        <w:rPr>
          <w:rFonts w:cs="Arial"/>
          <w:sz w:val="20"/>
          <w:szCs w:val="20"/>
        </w:rPr>
        <w:t>digitalizacija,</w:t>
      </w:r>
      <w:r w:rsidR="00697A73">
        <w:rPr>
          <w:rFonts w:cs="Arial"/>
          <w:sz w:val="20"/>
          <w:szCs w:val="20"/>
        </w:rPr>
        <w:t xml:space="preserve"> z</w:t>
      </w:r>
      <w:r w:rsidR="00417DC9">
        <w:rPr>
          <w:rFonts w:cs="Arial"/>
          <w:sz w:val="20"/>
          <w:szCs w:val="20"/>
        </w:rPr>
        <w:t>e</w:t>
      </w:r>
      <w:r w:rsidR="00697A73">
        <w:rPr>
          <w:rFonts w:cs="Arial"/>
          <w:sz w:val="20"/>
          <w:szCs w:val="20"/>
        </w:rPr>
        <w:t>leni prehod, urbani razvoj</w:t>
      </w:r>
      <w:r w:rsidR="00B56042">
        <w:rPr>
          <w:rFonts w:cs="Arial"/>
          <w:sz w:val="20"/>
          <w:szCs w:val="20"/>
        </w:rPr>
        <w:t xml:space="preserve">. Glede na razpoložljiva sredstva v PEKP povratna sredstva niso načrtovana na področju digitalizacije.  </w:t>
      </w:r>
      <w:r w:rsidR="00697A73">
        <w:rPr>
          <w:rFonts w:cs="Arial"/>
          <w:sz w:val="20"/>
          <w:szCs w:val="20"/>
        </w:rPr>
        <w:t xml:space="preserve"> </w:t>
      </w:r>
      <w:r w:rsidR="003F5664" w:rsidRPr="00E17453">
        <w:rPr>
          <w:rFonts w:cs="Arial"/>
          <w:sz w:val="20"/>
          <w:szCs w:val="20"/>
        </w:rPr>
        <w:t xml:space="preserve"> </w:t>
      </w:r>
    </w:p>
    <w:p w14:paraId="6FC5F38F" w14:textId="77777777" w:rsidR="00F154F0" w:rsidRDefault="00F154F0" w:rsidP="00F154F0">
      <w:pPr>
        <w:jc w:val="both"/>
        <w:rPr>
          <w:rFonts w:cs="Arial"/>
          <w:sz w:val="20"/>
          <w:szCs w:val="20"/>
        </w:rPr>
      </w:pPr>
    </w:p>
    <w:p w14:paraId="03CC6E0A" w14:textId="58BB43BD" w:rsidR="005C1582" w:rsidRDefault="00EB48F1" w:rsidP="00F154F0">
      <w:pPr>
        <w:jc w:val="both"/>
        <w:rPr>
          <w:rFonts w:cs="Arial"/>
          <w:sz w:val="20"/>
          <w:szCs w:val="20"/>
        </w:rPr>
      </w:pPr>
      <w:r>
        <w:rPr>
          <w:rFonts w:cs="Arial"/>
          <w:sz w:val="20"/>
          <w:szCs w:val="20"/>
        </w:rPr>
        <w:t xml:space="preserve">Predvideni </w:t>
      </w:r>
      <w:r w:rsidR="00231B90">
        <w:rPr>
          <w:rFonts w:cs="Arial"/>
          <w:sz w:val="20"/>
          <w:szCs w:val="20"/>
        </w:rPr>
        <w:t>FI</w:t>
      </w:r>
      <w:r w:rsidR="005C1582">
        <w:rPr>
          <w:rFonts w:cs="Arial"/>
          <w:sz w:val="20"/>
          <w:szCs w:val="20"/>
        </w:rPr>
        <w:t xml:space="preserve"> </w:t>
      </w:r>
      <w:r>
        <w:rPr>
          <w:rFonts w:cs="Arial"/>
          <w:sz w:val="20"/>
          <w:szCs w:val="20"/>
        </w:rPr>
        <w:t>v programskem obdobju 2021–2027</w:t>
      </w:r>
      <w:r w:rsidR="00904756">
        <w:rPr>
          <w:rFonts w:cs="Arial"/>
          <w:sz w:val="20"/>
          <w:szCs w:val="20"/>
        </w:rPr>
        <w:t xml:space="preserve"> po naložbenih področjih</w:t>
      </w:r>
      <w:r>
        <w:rPr>
          <w:rFonts w:cs="Arial"/>
          <w:sz w:val="20"/>
          <w:szCs w:val="20"/>
        </w:rPr>
        <w:t xml:space="preserve"> </w:t>
      </w:r>
      <w:r w:rsidR="005C1582">
        <w:rPr>
          <w:rFonts w:cs="Arial"/>
          <w:sz w:val="20"/>
          <w:szCs w:val="20"/>
        </w:rPr>
        <w:t>so:</w:t>
      </w:r>
    </w:p>
    <w:p w14:paraId="479E80C6" w14:textId="77777777" w:rsidR="00F154F0" w:rsidRDefault="00F154F0" w:rsidP="00F154F0">
      <w:pPr>
        <w:jc w:val="both"/>
        <w:rPr>
          <w:rFonts w:cs="Arial"/>
          <w:sz w:val="20"/>
          <w:szCs w:val="20"/>
        </w:rPr>
      </w:pPr>
    </w:p>
    <w:p w14:paraId="5D3A77E3" w14:textId="23229842" w:rsidR="008007AF" w:rsidRDefault="008007AF" w:rsidP="00F154F0">
      <w:pPr>
        <w:numPr>
          <w:ilvl w:val="0"/>
          <w:numId w:val="15"/>
        </w:numPr>
        <w:autoSpaceDE w:val="0"/>
        <w:autoSpaceDN w:val="0"/>
        <w:adjustRightInd w:val="0"/>
        <w:jc w:val="both"/>
        <w:rPr>
          <w:rFonts w:cs="Arial"/>
          <w:b/>
          <w:bCs/>
          <w:sz w:val="20"/>
          <w:szCs w:val="20"/>
        </w:rPr>
      </w:pPr>
      <w:r w:rsidRPr="004F73C4">
        <w:rPr>
          <w:rFonts w:cs="Arial"/>
          <w:b/>
          <w:bCs/>
          <w:sz w:val="20"/>
          <w:szCs w:val="20"/>
        </w:rPr>
        <w:t>RRI</w:t>
      </w:r>
    </w:p>
    <w:p w14:paraId="19FA2049" w14:textId="77777777" w:rsidR="00364E47" w:rsidRPr="004F73C4" w:rsidRDefault="00364E47" w:rsidP="00F154F0">
      <w:pPr>
        <w:autoSpaceDE w:val="0"/>
        <w:autoSpaceDN w:val="0"/>
        <w:adjustRightInd w:val="0"/>
        <w:ind w:left="720"/>
        <w:jc w:val="both"/>
        <w:rPr>
          <w:rFonts w:cs="Arial"/>
          <w:b/>
          <w:bCs/>
          <w:sz w:val="20"/>
          <w:szCs w:val="20"/>
        </w:rPr>
      </w:pPr>
    </w:p>
    <w:p w14:paraId="47C3F815" w14:textId="7B4BAEE9" w:rsidR="004F73C4" w:rsidRPr="00F154F0" w:rsidRDefault="0026484D" w:rsidP="00D451F8">
      <w:pPr>
        <w:autoSpaceDE w:val="0"/>
        <w:autoSpaceDN w:val="0"/>
        <w:adjustRightInd w:val="0"/>
        <w:jc w:val="both"/>
        <w:rPr>
          <w:rFonts w:cs="Arial"/>
          <w:b/>
          <w:bCs/>
          <w:sz w:val="20"/>
          <w:szCs w:val="20"/>
        </w:rPr>
      </w:pPr>
      <w:r w:rsidRPr="004F73C4">
        <w:rPr>
          <w:rFonts w:cs="Arial"/>
          <w:b/>
          <w:bCs/>
          <w:sz w:val="20"/>
          <w:szCs w:val="20"/>
        </w:rPr>
        <w:t>P</w:t>
      </w:r>
      <w:r w:rsidR="008007AF" w:rsidRPr="004F73C4">
        <w:rPr>
          <w:rFonts w:cs="Arial"/>
          <w:b/>
          <w:bCs/>
          <w:sz w:val="20"/>
          <w:szCs w:val="20"/>
        </w:rPr>
        <w:t>osojila</w:t>
      </w:r>
      <w:r>
        <w:rPr>
          <w:rFonts w:cs="Arial"/>
          <w:b/>
          <w:bCs/>
          <w:sz w:val="20"/>
          <w:szCs w:val="20"/>
        </w:rPr>
        <w:t xml:space="preserve"> </w:t>
      </w:r>
      <w:r w:rsidR="00122770">
        <w:rPr>
          <w:rFonts w:cs="Arial"/>
          <w:b/>
          <w:bCs/>
          <w:sz w:val="20"/>
          <w:szCs w:val="20"/>
        </w:rPr>
        <w:t>za RRI za MSP in velika podjetja</w:t>
      </w:r>
    </w:p>
    <w:p w14:paraId="08B27903" w14:textId="33D584D3" w:rsidR="00FA2AD8" w:rsidRPr="00A81959" w:rsidRDefault="00FA2AD8" w:rsidP="00F154F0">
      <w:pPr>
        <w:autoSpaceDE w:val="0"/>
        <w:autoSpaceDN w:val="0"/>
        <w:adjustRightInd w:val="0"/>
        <w:jc w:val="both"/>
        <w:rPr>
          <w:rFonts w:cs="Arial"/>
          <w:sz w:val="20"/>
          <w:szCs w:val="20"/>
        </w:rPr>
      </w:pPr>
      <w:r w:rsidRPr="00A81959">
        <w:rPr>
          <w:rFonts w:cs="Arial"/>
          <w:sz w:val="20"/>
          <w:szCs w:val="20"/>
        </w:rPr>
        <w:t xml:space="preserve">Posojila </w:t>
      </w:r>
      <w:r w:rsidR="00122770">
        <w:rPr>
          <w:rFonts w:cs="Arial"/>
          <w:sz w:val="20"/>
          <w:szCs w:val="20"/>
        </w:rPr>
        <w:t xml:space="preserve">za RRI </w:t>
      </w:r>
      <w:r w:rsidRPr="00A81959">
        <w:rPr>
          <w:rFonts w:cs="Arial"/>
          <w:sz w:val="20"/>
          <w:szCs w:val="20"/>
        </w:rPr>
        <w:t xml:space="preserve">bodo namenjena za </w:t>
      </w:r>
      <w:r w:rsidR="00122770">
        <w:rPr>
          <w:rFonts w:cs="Arial"/>
          <w:sz w:val="20"/>
          <w:szCs w:val="20"/>
        </w:rPr>
        <w:t xml:space="preserve">projekte na področju RRI za MSP ter velika podjetja. Posojila lahko pokrivajo </w:t>
      </w:r>
      <w:r w:rsidRPr="00A81959">
        <w:rPr>
          <w:rFonts w:cs="Arial"/>
          <w:sz w:val="20"/>
          <w:szCs w:val="20"/>
        </w:rPr>
        <w:t xml:space="preserve">investicije v raziskovalne in razvojne projekte </w:t>
      </w:r>
      <w:r w:rsidR="00122770">
        <w:rPr>
          <w:rFonts w:cs="Arial"/>
          <w:sz w:val="20"/>
          <w:szCs w:val="20"/>
        </w:rPr>
        <w:t xml:space="preserve">in/ali inovacije </w:t>
      </w:r>
      <w:r w:rsidRPr="00A81959">
        <w:rPr>
          <w:rFonts w:cs="Arial"/>
          <w:sz w:val="20"/>
          <w:szCs w:val="20"/>
        </w:rPr>
        <w:t xml:space="preserve">na področju zelene in digitalne preobrazbe </w:t>
      </w:r>
      <w:r w:rsidR="0026484D">
        <w:rPr>
          <w:rFonts w:cs="Arial"/>
          <w:sz w:val="20"/>
          <w:szCs w:val="20"/>
        </w:rPr>
        <w:t>v</w:t>
      </w:r>
      <w:r w:rsidRPr="00A81959">
        <w:rPr>
          <w:rFonts w:cs="Arial"/>
          <w:sz w:val="20"/>
          <w:szCs w:val="20"/>
        </w:rPr>
        <w:t xml:space="preserve"> celotnem inovacijskem ciklu od razvoja, uvajanja, do uporabe tehnologij in postopkov – specifično za razvojna podjetja, ki razvijajo najnaprednejše tehnologije, kot tudi podjetja, ki te tehnologije uporabljajo za razvoj novih inovativnih proizvodov in storitev v vseh segmentih gospodarstva in družbe</w:t>
      </w:r>
      <w:r w:rsidR="008D4E65">
        <w:rPr>
          <w:rFonts w:cs="Arial"/>
          <w:sz w:val="20"/>
          <w:szCs w:val="20"/>
        </w:rPr>
        <w:t>.</w:t>
      </w:r>
    </w:p>
    <w:p w14:paraId="7D96EA20" w14:textId="77777777" w:rsidR="00231B90" w:rsidRDefault="00231B90" w:rsidP="00904756">
      <w:pPr>
        <w:ind w:right="257"/>
        <w:jc w:val="both"/>
        <w:rPr>
          <w:rFonts w:cs="Arial"/>
          <w:sz w:val="20"/>
          <w:szCs w:val="20"/>
        </w:rPr>
      </w:pPr>
    </w:p>
    <w:p w14:paraId="17CDFC07" w14:textId="695A406A" w:rsidR="008007AF" w:rsidRPr="00A81959" w:rsidRDefault="00A978DE" w:rsidP="00904756">
      <w:pPr>
        <w:ind w:right="257"/>
        <w:jc w:val="both"/>
        <w:rPr>
          <w:rFonts w:cs="Arial"/>
          <w:sz w:val="20"/>
          <w:szCs w:val="20"/>
        </w:rPr>
      </w:pPr>
      <w:r>
        <w:rPr>
          <w:rFonts w:cs="Arial"/>
          <w:sz w:val="20"/>
          <w:szCs w:val="20"/>
        </w:rPr>
        <w:t>U</w:t>
      </w:r>
      <w:r w:rsidR="008007AF" w:rsidRPr="00A81959">
        <w:rPr>
          <w:rFonts w:cs="Arial"/>
          <w:sz w:val="20"/>
          <w:szCs w:val="20"/>
        </w:rPr>
        <w:t xml:space="preserve">godna posojila </w:t>
      </w:r>
      <w:r>
        <w:rPr>
          <w:rFonts w:cs="Arial"/>
          <w:sz w:val="20"/>
          <w:szCs w:val="20"/>
        </w:rPr>
        <w:t xml:space="preserve">za RRI bodo imela </w:t>
      </w:r>
      <w:r w:rsidR="008007AF" w:rsidRPr="00A81959">
        <w:rPr>
          <w:rFonts w:cs="Arial"/>
          <w:sz w:val="20"/>
          <w:szCs w:val="20"/>
        </w:rPr>
        <w:t>dolge ročnosti, nizk</w:t>
      </w:r>
      <w:r>
        <w:rPr>
          <w:rFonts w:cs="Arial"/>
          <w:sz w:val="20"/>
          <w:szCs w:val="20"/>
        </w:rPr>
        <w:t>o</w:t>
      </w:r>
      <w:r w:rsidR="008007AF" w:rsidRPr="00A81959">
        <w:rPr>
          <w:rFonts w:cs="Arial"/>
          <w:sz w:val="20"/>
          <w:szCs w:val="20"/>
        </w:rPr>
        <w:t xml:space="preserve"> obrestn</w:t>
      </w:r>
      <w:r>
        <w:rPr>
          <w:rFonts w:cs="Arial"/>
          <w:sz w:val="20"/>
          <w:szCs w:val="20"/>
        </w:rPr>
        <w:t>o</w:t>
      </w:r>
      <w:r w:rsidR="008007AF" w:rsidRPr="00A81959">
        <w:rPr>
          <w:rFonts w:cs="Arial"/>
          <w:sz w:val="20"/>
          <w:szCs w:val="20"/>
        </w:rPr>
        <w:t xml:space="preserve"> mer</w:t>
      </w:r>
      <w:r>
        <w:rPr>
          <w:rFonts w:cs="Arial"/>
          <w:sz w:val="20"/>
          <w:szCs w:val="20"/>
        </w:rPr>
        <w:t>o</w:t>
      </w:r>
      <w:r w:rsidR="008007AF" w:rsidRPr="00A81959">
        <w:rPr>
          <w:rFonts w:cs="Arial"/>
          <w:sz w:val="20"/>
          <w:szCs w:val="20"/>
        </w:rPr>
        <w:t>, nizke zavarovalne zahteve, koriščenje moratorija</w:t>
      </w:r>
      <w:r>
        <w:rPr>
          <w:rFonts w:cs="Arial"/>
          <w:sz w:val="20"/>
          <w:szCs w:val="20"/>
        </w:rPr>
        <w:t xml:space="preserve"> in bodo namenjena </w:t>
      </w:r>
      <w:r w:rsidR="008007AF" w:rsidRPr="00A81959">
        <w:rPr>
          <w:rFonts w:cs="Arial"/>
          <w:sz w:val="20"/>
          <w:szCs w:val="20"/>
        </w:rPr>
        <w:t>za podjetja</w:t>
      </w:r>
      <w:r w:rsidR="00364E47">
        <w:rPr>
          <w:rFonts w:cs="Arial"/>
          <w:sz w:val="20"/>
          <w:szCs w:val="20"/>
        </w:rPr>
        <w:t xml:space="preserve"> vseh velikosti</w:t>
      </w:r>
      <w:r w:rsidR="008007AF" w:rsidRPr="00A81959">
        <w:rPr>
          <w:rFonts w:cs="Arial"/>
          <w:sz w:val="20"/>
          <w:szCs w:val="20"/>
        </w:rPr>
        <w:t xml:space="preserve">. </w:t>
      </w:r>
    </w:p>
    <w:p w14:paraId="18033DEC" w14:textId="77777777" w:rsidR="008007AF" w:rsidRPr="00A81959" w:rsidRDefault="008007AF" w:rsidP="00F154F0">
      <w:pPr>
        <w:autoSpaceDE w:val="0"/>
        <w:autoSpaceDN w:val="0"/>
        <w:adjustRightInd w:val="0"/>
        <w:ind w:left="720"/>
        <w:jc w:val="both"/>
        <w:rPr>
          <w:rFonts w:cs="Arial"/>
          <w:sz w:val="20"/>
          <w:szCs w:val="20"/>
        </w:rPr>
      </w:pPr>
    </w:p>
    <w:p w14:paraId="4F6B3FE7" w14:textId="763FE3E0" w:rsidR="008007AF" w:rsidRDefault="008007AF" w:rsidP="00F154F0">
      <w:pPr>
        <w:numPr>
          <w:ilvl w:val="0"/>
          <w:numId w:val="15"/>
        </w:numPr>
        <w:autoSpaceDE w:val="0"/>
        <w:autoSpaceDN w:val="0"/>
        <w:adjustRightInd w:val="0"/>
        <w:jc w:val="both"/>
        <w:rPr>
          <w:rFonts w:cs="Arial"/>
          <w:b/>
          <w:bCs/>
          <w:sz w:val="20"/>
          <w:szCs w:val="20"/>
        </w:rPr>
      </w:pPr>
      <w:r w:rsidRPr="00E2498D">
        <w:rPr>
          <w:rFonts w:cs="Arial"/>
          <w:b/>
          <w:bCs/>
          <w:sz w:val="20"/>
          <w:szCs w:val="20"/>
        </w:rPr>
        <w:t xml:space="preserve">MSP </w:t>
      </w:r>
    </w:p>
    <w:p w14:paraId="10459781" w14:textId="77777777" w:rsidR="00364E47" w:rsidRPr="00E2498D" w:rsidRDefault="00364E47" w:rsidP="00F154F0">
      <w:pPr>
        <w:autoSpaceDE w:val="0"/>
        <w:autoSpaceDN w:val="0"/>
        <w:adjustRightInd w:val="0"/>
        <w:ind w:left="720"/>
        <w:jc w:val="both"/>
        <w:rPr>
          <w:rFonts w:cs="Arial"/>
          <w:b/>
          <w:bCs/>
          <w:sz w:val="20"/>
          <w:szCs w:val="20"/>
        </w:rPr>
      </w:pPr>
    </w:p>
    <w:p w14:paraId="22A093B7" w14:textId="0C15F3AD" w:rsidR="00364E47" w:rsidRPr="00A81959" w:rsidRDefault="00636A95" w:rsidP="00D451F8">
      <w:pPr>
        <w:autoSpaceDE w:val="0"/>
        <w:autoSpaceDN w:val="0"/>
        <w:adjustRightInd w:val="0"/>
        <w:jc w:val="both"/>
        <w:rPr>
          <w:rFonts w:cs="Arial"/>
          <w:sz w:val="20"/>
          <w:szCs w:val="20"/>
        </w:rPr>
      </w:pPr>
      <w:r>
        <w:rPr>
          <w:rFonts w:cs="Arial"/>
          <w:b/>
          <w:bCs/>
          <w:sz w:val="20"/>
          <w:szCs w:val="20"/>
        </w:rPr>
        <w:t>G</w:t>
      </w:r>
      <w:r w:rsidRPr="00E2498D">
        <w:rPr>
          <w:rFonts w:cs="Arial"/>
          <w:b/>
          <w:bCs/>
          <w:sz w:val="20"/>
          <w:szCs w:val="20"/>
        </w:rPr>
        <w:t xml:space="preserve">arancije </w:t>
      </w:r>
      <w:r w:rsidR="008007AF" w:rsidRPr="00E2498D">
        <w:rPr>
          <w:rFonts w:cs="Arial"/>
          <w:b/>
          <w:bCs/>
          <w:sz w:val="20"/>
          <w:szCs w:val="20"/>
        </w:rPr>
        <w:t xml:space="preserve">za </w:t>
      </w:r>
      <w:r w:rsidR="00364E47">
        <w:rPr>
          <w:rFonts w:cs="Arial"/>
          <w:b/>
          <w:bCs/>
          <w:sz w:val="20"/>
          <w:szCs w:val="20"/>
        </w:rPr>
        <w:t>podporo</w:t>
      </w:r>
      <w:r w:rsidR="008007AF" w:rsidRPr="00E2498D">
        <w:rPr>
          <w:rFonts w:cs="Arial"/>
          <w:b/>
          <w:bCs/>
          <w:sz w:val="20"/>
          <w:szCs w:val="20"/>
        </w:rPr>
        <w:t xml:space="preserve"> MSP</w:t>
      </w:r>
    </w:p>
    <w:p w14:paraId="52215F63" w14:textId="0A7F8703" w:rsidR="00450E5E" w:rsidRPr="00A81959" w:rsidRDefault="00450E5E" w:rsidP="00F154F0">
      <w:pPr>
        <w:ind w:right="14"/>
        <w:jc w:val="both"/>
        <w:rPr>
          <w:rFonts w:cs="Arial"/>
          <w:sz w:val="20"/>
          <w:szCs w:val="20"/>
        </w:rPr>
      </w:pPr>
      <w:r w:rsidRPr="00A81959">
        <w:rPr>
          <w:rFonts w:cs="Arial"/>
          <w:sz w:val="20"/>
          <w:szCs w:val="20"/>
        </w:rPr>
        <w:t xml:space="preserve">Namen garancij je zagotovitev koristi za končnega prejemnika (MSP), </w:t>
      </w:r>
      <w:r w:rsidR="00EB24AF">
        <w:rPr>
          <w:rFonts w:cs="Arial"/>
          <w:sz w:val="20"/>
          <w:szCs w:val="20"/>
        </w:rPr>
        <w:t>in sicer da</w:t>
      </w:r>
      <w:r w:rsidRPr="00A81959">
        <w:rPr>
          <w:rFonts w:cs="Arial"/>
          <w:sz w:val="20"/>
          <w:szCs w:val="20"/>
        </w:rPr>
        <w:t xml:space="preserve"> (i) maksimalno zmanjša delež zavarovanja, ki </w:t>
      </w:r>
      <w:r w:rsidR="00FF26F7">
        <w:rPr>
          <w:rFonts w:cs="Arial"/>
          <w:sz w:val="20"/>
          <w:szCs w:val="20"/>
        </w:rPr>
        <w:t xml:space="preserve">ga </w:t>
      </w:r>
      <w:r w:rsidRPr="00A81959">
        <w:rPr>
          <w:rFonts w:cs="Arial"/>
          <w:sz w:val="20"/>
          <w:szCs w:val="20"/>
        </w:rPr>
        <w:t>od podjetij zahteva komercialna banka, (ii) zmanjša obrestn</w:t>
      </w:r>
      <w:r w:rsidR="00F576DE">
        <w:rPr>
          <w:rFonts w:cs="Arial"/>
          <w:sz w:val="20"/>
          <w:szCs w:val="20"/>
        </w:rPr>
        <w:t>o</w:t>
      </w:r>
      <w:r w:rsidRPr="00A81959">
        <w:rPr>
          <w:rFonts w:cs="Arial"/>
          <w:sz w:val="20"/>
          <w:szCs w:val="20"/>
        </w:rPr>
        <w:t xml:space="preserve"> mer</w:t>
      </w:r>
      <w:r w:rsidR="00F576DE">
        <w:rPr>
          <w:rFonts w:cs="Arial"/>
          <w:sz w:val="20"/>
          <w:szCs w:val="20"/>
        </w:rPr>
        <w:t>o</w:t>
      </w:r>
      <w:r w:rsidRPr="00A81959">
        <w:rPr>
          <w:rFonts w:cs="Arial"/>
          <w:sz w:val="20"/>
          <w:szCs w:val="20"/>
        </w:rPr>
        <w:t>, ki je zahtevana pri posojilu, (iii) manjši stroški garancije od tržnih stroškov in (iv) možnost za obdobje odloga, ki je daljše od tistega, ki ga običajno določi trg.</w:t>
      </w:r>
    </w:p>
    <w:p w14:paraId="3BF34421" w14:textId="77777777" w:rsidR="00450E5E" w:rsidRPr="00A81959" w:rsidRDefault="00450E5E" w:rsidP="00F154F0">
      <w:pPr>
        <w:ind w:right="14"/>
        <w:jc w:val="both"/>
        <w:rPr>
          <w:rFonts w:cs="Arial"/>
          <w:sz w:val="20"/>
          <w:szCs w:val="20"/>
        </w:rPr>
      </w:pPr>
    </w:p>
    <w:p w14:paraId="48D27408" w14:textId="3A28863E" w:rsidR="00450E5E" w:rsidRDefault="00EB24AF" w:rsidP="00F154F0">
      <w:pPr>
        <w:ind w:right="47"/>
        <w:jc w:val="both"/>
        <w:rPr>
          <w:rFonts w:cs="Arial"/>
          <w:sz w:val="20"/>
          <w:szCs w:val="20"/>
        </w:rPr>
      </w:pPr>
      <w:r>
        <w:rPr>
          <w:rFonts w:cs="Arial"/>
          <w:sz w:val="20"/>
          <w:szCs w:val="20"/>
        </w:rPr>
        <w:t>S</w:t>
      </w:r>
      <w:r w:rsidR="00450E5E" w:rsidRPr="00A81959">
        <w:rPr>
          <w:rFonts w:cs="Arial"/>
          <w:sz w:val="20"/>
          <w:szCs w:val="20"/>
        </w:rPr>
        <w:t>redstva kredita</w:t>
      </w:r>
      <w:r>
        <w:rPr>
          <w:rFonts w:cs="Arial"/>
          <w:sz w:val="20"/>
          <w:szCs w:val="20"/>
        </w:rPr>
        <w:t>/posojila</w:t>
      </w:r>
      <w:r w:rsidR="00450E5E" w:rsidRPr="00A81959">
        <w:rPr>
          <w:rFonts w:cs="Arial"/>
          <w:sz w:val="20"/>
          <w:szCs w:val="20"/>
        </w:rPr>
        <w:t xml:space="preserve">, kritega z garancijo, </w:t>
      </w:r>
      <w:r>
        <w:rPr>
          <w:rFonts w:cs="Arial"/>
          <w:sz w:val="20"/>
          <w:szCs w:val="20"/>
        </w:rPr>
        <w:t xml:space="preserve">bodo lahko </w:t>
      </w:r>
      <w:r w:rsidR="00450E5E" w:rsidRPr="00A81959">
        <w:rPr>
          <w:rFonts w:cs="Arial"/>
          <w:sz w:val="20"/>
          <w:szCs w:val="20"/>
        </w:rPr>
        <w:t>namen</w:t>
      </w:r>
      <w:r>
        <w:rPr>
          <w:rFonts w:cs="Arial"/>
          <w:sz w:val="20"/>
          <w:szCs w:val="20"/>
        </w:rPr>
        <w:t>jena</w:t>
      </w:r>
      <w:r w:rsidR="00450E5E" w:rsidRPr="00A81959">
        <w:rPr>
          <w:rFonts w:cs="Arial"/>
          <w:sz w:val="20"/>
          <w:szCs w:val="20"/>
        </w:rPr>
        <w:t xml:space="preserve"> za naložbeno financiranje (osnovna sredstva) in financiranje obratnega kapitala. </w:t>
      </w:r>
    </w:p>
    <w:p w14:paraId="6D50476F" w14:textId="77777777" w:rsidR="007868BD" w:rsidRPr="00A81959" w:rsidRDefault="007868BD" w:rsidP="00F154F0">
      <w:pPr>
        <w:ind w:right="47"/>
        <w:jc w:val="both"/>
        <w:rPr>
          <w:rFonts w:cs="Arial"/>
          <w:sz w:val="20"/>
          <w:szCs w:val="20"/>
        </w:rPr>
      </w:pPr>
    </w:p>
    <w:p w14:paraId="2B1DC61F" w14:textId="7EF0093D" w:rsidR="00F576DE" w:rsidRPr="00A81959" w:rsidRDefault="00450E5E" w:rsidP="00F154F0">
      <w:pPr>
        <w:ind w:right="14"/>
        <w:jc w:val="both"/>
        <w:rPr>
          <w:rFonts w:cs="Arial"/>
          <w:sz w:val="20"/>
          <w:szCs w:val="20"/>
        </w:rPr>
      </w:pPr>
      <w:r w:rsidRPr="00A81959">
        <w:rPr>
          <w:rFonts w:cs="Arial"/>
          <w:sz w:val="20"/>
          <w:szCs w:val="20"/>
        </w:rPr>
        <w:t>Pri garancijah</w:t>
      </w:r>
      <w:r w:rsidR="000466DC">
        <w:rPr>
          <w:rFonts w:cs="Arial"/>
          <w:sz w:val="20"/>
          <w:szCs w:val="20"/>
        </w:rPr>
        <w:t xml:space="preserve"> je </w:t>
      </w:r>
      <w:r w:rsidR="007868BD">
        <w:rPr>
          <w:rFonts w:cs="Arial"/>
          <w:sz w:val="20"/>
          <w:szCs w:val="20"/>
        </w:rPr>
        <w:t xml:space="preserve">predvidena </w:t>
      </w:r>
      <w:r w:rsidR="000466DC">
        <w:rPr>
          <w:rFonts w:cs="Arial"/>
          <w:sz w:val="20"/>
          <w:szCs w:val="20"/>
        </w:rPr>
        <w:t>kombinacija z nepovratno podporo</w:t>
      </w:r>
      <w:r w:rsidRPr="00A81959">
        <w:rPr>
          <w:rFonts w:cs="Arial"/>
          <w:sz w:val="20"/>
          <w:szCs w:val="20"/>
        </w:rPr>
        <w:t xml:space="preserve"> v obliki subvencionirane obrestne mere</w:t>
      </w:r>
      <w:r w:rsidR="001F28AF" w:rsidRPr="00BD58D7">
        <w:rPr>
          <w:rFonts w:cs="Arial"/>
          <w:sz w:val="20"/>
          <w:szCs w:val="20"/>
        </w:rPr>
        <w:t>.</w:t>
      </w:r>
    </w:p>
    <w:p w14:paraId="487B83EC" w14:textId="77777777" w:rsidR="000466DC" w:rsidRDefault="000466DC" w:rsidP="000466DC">
      <w:pPr>
        <w:jc w:val="both"/>
        <w:rPr>
          <w:rFonts w:eastAsia="Georgia" w:cs="Arial"/>
          <w:szCs w:val="22"/>
        </w:rPr>
      </w:pPr>
    </w:p>
    <w:p w14:paraId="04CA7ED5" w14:textId="33252595" w:rsidR="008007AF" w:rsidRDefault="00904756" w:rsidP="00F154F0">
      <w:pPr>
        <w:numPr>
          <w:ilvl w:val="0"/>
          <w:numId w:val="15"/>
        </w:numPr>
        <w:autoSpaceDE w:val="0"/>
        <w:autoSpaceDN w:val="0"/>
        <w:adjustRightInd w:val="0"/>
        <w:jc w:val="both"/>
        <w:rPr>
          <w:rFonts w:cs="Arial"/>
          <w:b/>
          <w:bCs/>
          <w:sz w:val="20"/>
          <w:szCs w:val="20"/>
        </w:rPr>
      </w:pPr>
      <w:r>
        <w:rPr>
          <w:rFonts w:cs="Arial"/>
          <w:b/>
          <w:bCs/>
          <w:sz w:val="20"/>
          <w:szCs w:val="20"/>
        </w:rPr>
        <w:t>Zeleni prehod</w:t>
      </w:r>
    </w:p>
    <w:p w14:paraId="0009D700" w14:textId="77777777" w:rsidR="00364E47" w:rsidRPr="00364E47" w:rsidRDefault="00364E47" w:rsidP="00F154F0">
      <w:pPr>
        <w:autoSpaceDE w:val="0"/>
        <w:autoSpaceDN w:val="0"/>
        <w:adjustRightInd w:val="0"/>
        <w:ind w:left="720"/>
        <w:jc w:val="both"/>
        <w:rPr>
          <w:rFonts w:cs="Arial"/>
          <w:b/>
          <w:bCs/>
          <w:sz w:val="20"/>
          <w:szCs w:val="20"/>
        </w:rPr>
      </w:pPr>
    </w:p>
    <w:p w14:paraId="4006134D" w14:textId="44D88486" w:rsidR="007868BD" w:rsidRPr="00364E47" w:rsidRDefault="00636A95" w:rsidP="00D451F8">
      <w:pPr>
        <w:autoSpaceDE w:val="0"/>
        <w:autoSpaceDN w:val="0"/>
        <w:adjustRightInd w:val="0"/>
        <w:jc w:val="both"/>
        <w:rPr>
          <w:rFonts w:cs="Arial"/>
          <w:b/>
          <w:bCs/>
          <w:sz w:val="20"/>
          <w:szCs w:val="20"/>
        </w:rPr>
      </w:pPr>
      <w:r>
        <w:rPr>
          <w:rFonts w:cs="Arial"/>
          <w:b/>
          <w:bCs/>
          <w:sz w:val="20"/>
          <w:szCs w:val="20"/>
        </w:rPr>
        <w:t>P</w:t>
      </w:r>
      <w:r w:rsidR="008007AF" w:rsidRPr="00364E47">
        <w:rPr>
          <w:rFonts w:cs="Arial"/>
          <w:b/>
          <w:bCs/>
          <w:sz w:val="20"/>
          <w:szCs w:val="20"/>
        </w:rPr>
        <w:t xml:space="preserve">osojila </w:t>
      </w:r>
      <w:r w:rsidR="007643D7" w:rsidRPr="00364E47">
        <w:rPr>
          <w:rFonts w:cs="Arial"/>
          <w:b/>
          <w:bCs/>
          <w:sz w:val="20"/>
          <w:szCs w:val="20"/>
        </w:rPr>
        <w:t xml:space="preserve">za </w:t>
      </w:r>
      <w:r w:rsidR="002E347A">
        <w:rPr>
          <w:rFonts w:cs="Arial"/>
          <w:b/>
          <w:bCs/>
          <w:sz w:val="20"/>
          <w:szCs w:val="20"/>
        </w:rPr>
        <w:t xml:space="preserve">postopno </w:t>
      </w:r>
      <w:r w:rsidR="007643D7" w:rsidRPr="00364E47">
        <w:rPr>
          <w:rFonts w:cs="Arial"/>
          <w:b/>
          <w:bCs/>
          <w:sz w:val="20"/>
          <w:szCs w:val="20"/>
        </w:rPr>
        <w:t xml:space="preserve">celovito energetsko </w:t>
      </w:r>
      <w:r w:rsidR="007643D7" w:rsidRPr="002E347A">
        <w:rPr>
          <w:rFonts w:cs="Arial"/>
          <w:b/>
          <w:bCs/>
          <w:sz w:val="20"/>
          <w:szCs w:val="20"/>
        </w:rPr>
        <w:t xml:space="preserve">prenovo </w:t>
      </w:r>
      <w:r w:rsidR="00364E47" w:rsidRPr="002E347A">
        <w:rPr>
          <w:rFonts w:cs="Arial"/>
          <w:b/>
          <w:bCs/>
          <w:sz w:val="20"/>
          <w:szCs w:val="20"/>
        </w:rPr>
        <w:t xml:space="preserve">stavb </w:t>
      </w:r>
      <w:r w:rsidR="002E347A" w:rsidRPr="002E347A">
        <w:rPr>
          <w:rFonts w:cs="Arial"/>
          <w:b/>
          <w:bCs/>
          <w:sz w:val="20"/>
          <w:szCs w:val="20"/>
        </w:rPr>
        <w:t>za poslovne subjekte</w:t>
      </w:r>
      <w:r w:rsidR="000B429F">
        <w:rPr>
          <w:rFonts w:cs="Arial"/>
          <w:b/>
          <w:bCs/>
          <w:sz w:val="20"/>
          <w:szCs w:val="20"/>
        </w:rPr>
        <w:t xml:space="preserve"> v gospodarstvu</w:t>
      </w:r>
      <w:r w:rsidR="002E347A" w:rsidRPr="002E347A">
        <w:rPr>
          <w:rFonts w:cs="Arial"/>
          <w:b/>
          <w:bCs/>
          <w:sz w:val="20"/>
          <w:szCs w:val="20"/>
        </w:rPr>
        <w:t xml:space="preserve"> v kombinaciji z nepovratno podporo </w:t>
      </w:r>
    </w:p>
    <w:p w14:paraId="06F7F5FC" w14:textId="77777777" w:rsidR="00CB2FCA" w:rsidRDefault="007643D7" w:rsidP="00CB2FCA">
      <w:pPr>
        <w:autoSpaceDE w:val="0"/>
        <w:autoSpaceDN w:val="0"/>
        <w:adjustRightInd w:val="0"/>
        <w:jc w:val="both"/>
        <w:rPr>
          <w:rFonts w:cs="Arial"/>
          <w:sz w:val="20"/>
          <w:szCs w:val="20"/>
        </w:rPr>
      </w:pPr>
      <w:r>
        <w:rPr>
          <w:rFonts w:cs="Arial"/>
          <w:sz w:val="20"/>
          <w:szCs w:val="20"/>
        </w:rPr>
        <w:t xml:space="preserve">S FI se omogoči posojilo z nižjo obrestno mero, nižjimi zahtevami za zavarovanje, daljšo odplačilno dobo </w:t>
      </w:r>
      <w:r w:rsidRPr="007643D7">
        <w:rPr>
          <w:rFonts w:cs="Arial"/>
          <w:sz w:val="20"/>
          <w:szCs w:val="20"/>
        </w:rPr>
        <w:t xml:space="preserve">in možnost koriščenja moratorija na odplačilo glavnice kredita </w:t>
      </w:r>
      <w:r w:rsidR="002E347A">
        <w:rPr>
          <w:rFonts w:cs="Arial"/>
          <w:sz w:val="20"/>
          <w:szCs w:val="20"/>
        </w:rPr>
        <w:t xml:space="preserve">za </w:t>
      </w:r>
      <w:r w:rsidR="002E347A" w:rsidRPr="002E347A">
        <w:rPr>
          <w:rFonts w:cs="Arial"/>
          <w:sz w:val="20"/>
          <w:szCs w:val="20"/>
        </w:rPr>
        <w:t>postopno celovito energetsko prenovo stavb za poslovne subjekte</w:t>
      </w:r>
      <w:r w:rsidR="000B429F">
        <w:rPr>
          <w:rFonts w:cs="Arial"/>
          <w:sz w:val="20"/>
          <w:szCs w:val="20"/>
        </w:rPr>
        <w:t xml:space="preserve"> v gospodarstvu</w:t>
      </w:r>
      <w:r w:rsidR="00364E47">
        <w:rPr>
          <w:rFonts w:cs="Arial"/>
          <w:sz w:val="20"/>
          <w:szCs w:val="20"/>
        </w:rPr>
        <w:t>.</w:t>
      </w:r>
      <w:r w:rsidR="00CB2FCA">
        <w:rPr>
          <w:rFonts w:cs="Arial"/>
          <w:sz w:val="20"/>
          <w:szCs w:val="20"/>
        </w:rPr>
        <w:t xml:space="preserve"> </w:t>
      </w:r>
      <w:r w:rsidR="00CB2FCA" w:rsidRPr="008320E1">
        <w:rPr>
          <w:rFonts w:cs="Arial"/>
          <w:sz w:val="20"/>
          <w:szCs w:val="20"/>
        </w:rPr>
        <w:t xml:space="preserve">Učinkovita raba energije (v nadaljevanju: URE) in izraba </w:t>
      </w:r>
      <w:proofErr w:type="spellStart"/>
      <w:r w:rsidR="00CB2FCA">
        <w:rPr>
          <w:rFonts w:cs="Arial"/>
          <w:sz w:val="20"/>
          <w:szCs w:val="20"/>
        </w:rPr>
        <w:t>obnovljvih</w:t>
      </w:r>
      <w:proofErr w:type="spellEnd"/>
      <w:r w:rsidR="00CB2FCA">
        <w:rPr>
          <w:rFonts w:cs="Arial"/>
          <w:sz w:val="20"/>
          <w:szCs w:val="20"/>
        </w:rPr>
        <w:t xml:space="preserve"> virov energije (</w:t>
      </w:r>
      <w:r w:rsidR="00CB2FCA" w:rsidRPr="008320E1">
        <w:rPr>
          <w:rFonts w:cs="Arial"/>
          <w:sz w:val="20"/>
          <w:szCs w:val="20"/>
        </w:rPr>
        <w:t>OVE</w:t>
      </w:r>
      <w:r w:rsidR="00CB2FCA">
        <w:rPr>
          <w:rFonts w:cs="Arial"/>
          <w:sz w:val="20"/>
          <w:szCs w:val="20"/>
        </w:rPr>
        <w:t>)</w:t>
      </w:r>
      <w:r w:rsidR="00CB2FCA" w:rsidRPr="008320E1">
        <w:rPr>
          <w:rFonts w:cs="Arial"/>
          <w:sz w:val="20"/>
          <w:szCs w:val="20"/>
        </w:rPr>
        <w:t xml:space="preserve"> majhnim in srednje velikim podjetjem omogoč</w:t>
      </w:r>
      <w:r w:rsidR="00CB2FCA">
        <w:rPr>
          <w:rFonts w:cs="Arial"/>
          <w:sz w:val="20"/>
          <w:szCs w:val="20"/>
        </w:rPr>
        <w:t xml:space="preserve">i </w:t>
      </w:r>
      <w:r w:rsidR="00CB2FCA" w:rsidRPr="008320E1">
        <w:rPr>
          <w:rFonts w:cs="Arial"/>
          <w:sz w:val="20"/>
          <w:szCs w:val="20"/>
        </w:rPr>
        <w:t>zmanjšanje stroškov za energijo in s tem izboljšanje poslovanja.</w:t>
      </w:r>
    </w:p>
    <w:p w14:paraId="74EEE7C3" w14:textId="71A48A74" w:rsidR="007643D7" w:rsidRDefault="007643D7" w:rsidP="00F154F0">
      <w:pPr>
        <w:autoSpaceDE w:val="0"/>
        <w:autoSpaceDN w:val="0"/>
        <w:adjustRightInd w:val="0"/>
        <w:jc w:val="both"/>
        <w:rPr>
          <w:rFonts w:cs="Arial"/>
          <w:sz w:val="20"/>
          <w:szCs w:val="20"/>
        </w:rPr>
      </w:pPr>
    </w:p>
    <w:p w14:paraId="1EFF1375" w14:textId="77777777" w:rsidR="00EF4810" w:rsidRDefault="00EF4810" w:rsidP="00F154F0">
      <w:pPr>
        <w:autoSpaceDE w:val="0"/>
        <w:autoSpaceDN w:val="0"/>
        <w:adjustRightInd w:val="0"/>
        <w:jc w:val="both"/>
        <w:rPr>
          <w:rFonts w:cs="Arial"/>
          <w:sz w:val="20"/>
          <w:szCs w:val="20"/>
        </w:rPr>
      </w:pPr>
    </w:p>
    <w:p w14:paraId="4EBFC8B8" w14:textId="22ECB6E0" w:rsidR="00EF4810" w:rsidRDefault="00EF4810" w:rsidP="00F154F0">
      <w:pPr>
        <w:autoSpaceDE w:val="0"/>
        <w:autoSpaceDN w:val="0"/>
        <w:adjustRightInd w:val="0"/>
        <w:jc w:val="both"/>
        <w:rPr>
          <w:rFonts w:cs="Arial"/>
          <w:sz w:val="20"/>
          <w:szCs w:val="20"/>
        </w:rPr>
      </w:pPr>
      <w:r w:rsidRPr="00EF4810">
        <w:rPr>
          <w:rFonts w:cs="Arial"/>
          <w:sz w:val="20"/>
          <w:szCs w:val="20"/>
        </w:rPr>
        <w:t>Iz Predhodne ocene izhaja, da se priporoča kombinacija z nepovratnimi sredstvi, in sicer z navezavo na načrtovane učinke v okviru projekta končnega prejemnika (glede na energetski prihranek) v okviru ene operacije.</w:t>
      </w:r>
    </w:p>
    <w:p w14:paraId="6D769D6C" w14:textId="77777777" w:rsidR="00364E47" w:rsidRPr="00364E47" w:rsidRDefault="00364E47" w:rsidP="00F154F0">
      <w:pPr>
        <w:pStyle w:val="Odstavekseznama"/>
        <w:autoSpaceDE w:val="0"/>
        <w:autoSpaceDN w:val="0"/>
        <w:adjustRightInd w:val="0"/>
        <w:jc w:val="both"/>
        <w:rPr>
          <w:rFonts w:ascii="Arial" w:eastAsia="Times New Roman" w:hAnsi="Arial" w:cs="Arial"/>
          <w:b/>
          <w:bCs/>
          <w:sz w:val="20"/>
          <w:szCs w:val="20"/>
        </w:rPr>
      </w:pPr>
    </w:p>
    <w:p w14:paraId="5BF22905" w14:textId="26A5D82D" w:rsidR="008007AF" w:rsidRPr="00D451F8" w:rsidRDefault="00636A95" w:rsidP="00D451F8">
      <w:pPr>
        <w:autoSpaceDE w:val="0"/>
        <w:autoSpaceDN w:val="0"/>
        <w:adjustRightInd w:val="0"/>
        <w:jc w:val="both"/>
        <w:rPr>
          <w:rFonts w:cs="Arial"/>
          <w:b/>
          <w:bCs/>
          <w:sz w:val="20"/>
          <w:szCs w:val="20"/>
        </w:rPr>
      </w:pPr>
      <w:r>
        <w:rPr>
          <w:rFonts w:cs="Arial"/>
          <w:b/>
          <w:bCs/>
          <w:sz w:val="20"/>
          <w:szCs w:val="20"/>
        </w:rPr>
        <w:t>P</w:t>
      </w:r>
      <w:r w:rsidR="008007AF" w:rsidRPr="00D451F8">
        <w:rPr>
          <w:rFonts w:cs="Arial"/>
          <w:b/>
          <w:bCs/>
          <w:sz w:val="20"/>
          <w:szCs w:val="20"/>
        </w:rPr>
        <w:t>osojila za</w:t>
      </w:r>
      <w:r w:rsidR="00694DBB" w:rsidRPr="00D451F8">
        <w:rPr>
          <w:rFonts w:cs="Arial"/>
          <w:b/>
          <w:bCs/>
          <w:sz w:val="20"/>
          <w:szCs w:val="20"/>
        </w:rPr>
        <w:t xml:space="preserve"> </w:t>
      </w:r>
      <w:r w:rsidR="00E21A92" w:rsidRPr="00D451F8">
        <w:rPr>
          <w:rFonts w:cs="Arial"/>
          <w:b/>
          <w:bCs/>
          <w:sz w:val="20"/>
          <w:szCs w:val="20"/>
        </w:rPr>
        <w:t>investicije za prehod v krožno gospodarstvo</w:t>
      </w:r>
      <w:r w:rsidR="002E347A">
        <w:rPr>
          <w:rFonts w:cs="Arial"/>
          <w:b/>
          <w:bCs/>
          <w:sz w:val="20"/>
          <w:szCs w:val="20"/>
        </w:rPr>
        <w:t xml:space="preserve"> </w:t>
      </w:r>
      <w:r w:rsidR="002E347A" w:rsidRPr="002E347A">
        <w:rPr>
          <w:rFonts w:cs="Arial"/>
          <w:b/>
          <w:bCs/>
          <w:sz w:val="20"/>
          <w:szCs w:val="20"/>
        </w:rPr>
        <w:t>s kombinacijo nepovratnih sredstev</w:t>
      </w:r>
    </w:p>
    <w:p w14:paraId="48A2005E" w14:textId="02F71B38" w:rsidR="00E21A92" w:rsidRDefault="00473941" w:rsidP="00F154F0">
      <w:pPr>
        <w:autoSpaceDE w:val="0"/>
        <w:autoSpaceDN w:val="0"/>
        <w:adjustRightInd w:val="0"/>
        <w:jc w:val="both"/>
        <w:rPr>
          <w:rFonts w:cs="Arial"/>
          <w:sz w:val="20"/>
          <w:szCs w:val="20"/>
        </w:rPr>
      </w:pPr>
      <w:r w:rsidRPr="00473941">
        <w:rPr>
          <w:rFonts w:cs="Arial"/>
          <w:sz w:val="20"/>
          <w:szCs w:val="20"/>
        </w:rPr>
        <w:lastRenderedPageBreak/>
        <w:t xml:space="preserve">Za spodbujanje prehoda v krožno gospodarstvo se bodo izvajala ugodna posojila v kombinaciji </w:t>
      </w:r>
      <w:r w:rsidR="00E21A92">
        <w:rPr>
          <w:rFonts w:cs="Arial"/>
          <w:sz w:val="20"/>
          <w:szCs w:val="20"/>
        </w:rPr>
        <w:t xml:space="preserve">s programsko podporo v obliki nepovratnih sredstev - </w:t>
      </w:r>
      <w:r w:rsidRPr="00473941">
        <w:rPr>
          <w:rFonts w:cs="Arial"/>
          <w:sz w:val="20"/>
          <w:szCs w:val="20"/>
        </w:rPr>
        <w:t>odpisom glavnice (dolge ročnosti, nizka obrestna mera, nizke zavarovalne zahteve, koriščenje moratorija)</w:t>
      </w:r>
      <w:r w:rsidR="00607539">
        <w:rPr>
          <w:rFonts w:cs="Arial"/>
          <w:sz w:val="20"/>
          <w:szCs w:val="20"/>
        </w:rPr>
        <w:t xml:space="preserve"> </w:t>
      </w:r>
      <w:r w:rsidR="00E21A92">
        <w:rPr>
          <w:rFonts w:cs="Arial"/>
          <w:sz w:val="20"/>
          <w:szCs w:val="20"/>
        </w:rPr>
        <w:t>za podjetja</w:t>
      </w:r>
      <w:r w:rsidR="00893CAE">
        <w:rPr>
          <w:rFonts w:cs="Arial"/>
          <w:sz w:val="20"/>
          <w:szCs w:val="20"/>
        </w:rPr>
        <w:t>.</w:t>
      </w:r>
      <w:r w:rsidR="00E21A92">
        <w:rPr>
          <w:rFonts w:cs="Arial"/>
          <w:sz w:val="20"/>
          <w:szCs w:val="20"/>
        </w:rPr>
        <w:t xml:space="preserve"> </w:t>
      </w:r>
      <w:r w:rsidRPr="00473941">
        <w:rPr>
          <w:rFonts w:cs="Arial"/>
          <w:sz w:val="20"/>
          <w:szCs w:val="20"/>
        </w:rPr>
        <w:t xml:space="preserve"> </w:t>
      </w:r>
    </w:p>
    <w:p w14:paraId="77A1DBE0" w14:textId="77777777" w:rsidR="00E21A92" w:rsidRDefault="00E21A92" w:rsidP="00F154F0">
      <w:pPr>
        <w:autoSpaceDE w:val="0"/>
        <w:autoSpaceDN w:val="0"/>
        <w:adjustRightInd w:val="0"/>
        <w:jc w:val="both"/>
        <w:rPr>
          <w:rFonts w:cs="Arial"/>
          <w:sz w:val="20"/>
          <w:szCs w:val="20"/>
        </w:rPr>
      </w:pPr>
    </w:p>
    <w:p w14:paraId="25C42DC0" w14:textId="68BFBB04" w:rsidR="00473941" w:rsidRDefault="00473941" w:rsidP="00F154F0">
      <w:pPr>
        <w:autoSpaceDE w:val="0"/>
        <w:autoSpaceDN w:val="0"/>
        <w:adjustRightInd w:val="0"/>
        <w:jc w:val="both"/>
        <w:rPr>
          <w:rFonts w:cs="Arial"/>
          <w:sz w:val="20"/>
          <w:szCs w:val="20"/>
        </w:rPr>
      </w:pPr>
      <w:r w:rsidRPr="00473941">
        <w:rPr>
          <w:rFonts w:cs="Arial"/>
          <w:sz w:val="20"/>
          <w:szCs w:val="20"/>
        </w:rPr>
        <w:t xml:space="preserve">Posojila </w:t>
      </w:r>
      <w:r>
        <w:rPr>
          <w:rFonts w:cs="Arial"/>
          <w:sz w:val="20"/>
          <w:szCs w:val="20"/>
        </w:rPr>
        <w:t xml:space="preserve">lahko pokrivajo </w:t>
      </w:r>
      <w:r w:rsidRPr="00473941">
        <w:rPr>
          <w:rFonts w:cs="Arial"/>
          <w:sz w:val="20"/>
          <w:szCs w:val="20"/>
        </w:rPr>
        <w:t>investicij</w:t>
      </w:r>
      <w:r>
        <w:rPr>
          <w:rFonts w:cs="Arial"/>
          <w:sz w:val="20"/>
          <w:szCs w:val="20"/>
        </w:rPr>
        <w:t>e</w:t>
      </w:r>
      <w:r w:rsidRPr="00473941">
        <w:rPr>
          <w:rFonts w:cs="Arial"/>
          <w:sz w:val="20"/>
          <w:szCs w:val="20"/>
        </w:rPr>
        <w:t xml:space="preserve"> v proizvodnjo nizkoogljičnih proizvodov, </w:t>
      </w:r>
      <w:r w:rsidR="00417A61">
        <w:rPr>
          <w:rFonts w:cs="Arial"/>
          <w:sz w:val="20"/>
          <w:szCs w:val="20"/>
        </w:rPr>
        <w:t xml:space="preserve">v podjetjih, </w:t>
      </w:r>
      <w:r w:rsidRPr="00473941">
        <w:rPr>
          <w:rFonts w:cs="Arial"/>
          <w:sz w:val="20"/>
          <w:szCs w:val="20"/>
        </w:rPr>
        <w:t>ki temeljijo na principih krožnega gospodarstva</w:t>
      </w:r>
      <w:r w:rsidR="00E21A92">
        <w:rPr>
          <w:rFonts w:cs="Arial"/>
          <w:sz w:val="20"/>
          <w:szCs w:val="20"/>
        </w:rPr>
        <w:t>, na področju krepitve lesno predelovalne verige</w:t>
      </w:r>
      <w:r w:rsidR="00607539">
        <w:rPr>
          <w:rFonts w:cs="Arial"/>
          <w:sz w:val="20"/>
          <w:szCs w:val="20"/>
        </w:rPr>
        <w:t>.</w:t>
      </w:r>
      <w:r w:rsidR="00417A61">
        <w:rPr>
          <w:rFonts w:cs="Arial"/>
          <w:sz w:val="20"/>
          <w:szCs w:val="20"/>
        </w:rPr>
        <w:t xml:space="preserve"> </w:t>
      </w:r>
    </w:p>
    <w:p w14:paraId="12444CD4" w14:textId="77777777" w:rsidR="00F919A8" w:rsidRPr="00473941" w:rsidRDefault="00F919A8" w:rsidP="00F154F0">
      <w:pPr>
        <w:autoSpaceDE w:val="0"/>
        <w:autoSpaceDN w:val="0"/>
        <w:adjustRightInd w:val="0"/>
        <w:jc w:val="both"/>
        <w:rPr>
          <w:rFonts w:cs="Arial"/>
          <w:sz w:val="20"/>
          <w:szCs w:val="20"/>
        </w:rPr>
      </w:pPr>
    </w:p>
    <w:p w14:paraId="0530B954" w14:textId="795897E8" w:rsidR="008007AF" w:rsidRDefault="00904756" w:rsidP="00F154F0">
      <w:pPr>
        <w:pStyle w:val="Odstavekseznama"/>
        <w:numPr>
          <w:ilvl w:val="0"/>
          <w:numId w:val="15"/>
        </w:numPr>
        <w:autoSpaceDE w:val="0"/>
        <w:autoSpaceDN w:val="0"/>
        <w:adjustRightInd w:val="0"/>
        <w:jc w:val="both"/>
        <w:rPr>
          <w:rFonts w:ascii="Arial" w:eastAsia="Times New Roman" w:hAnsi="Arial" w:cs="Arial"/>
          <w:b/>
          <w:bCs/>
          <w:sz w:val="20"/>
          <w:szCs w:val="20"/>
        </w:rPr>
      </w:pPr>
      <w:r>
        <w:rPr>
          <w:rFonts w:ascii="Arial" w:eastAsia="Times New Roman" w:hAnsi="Arial" w:cs="Arial"/>
          <w:b/>
          <w:bCs/>
          <w:sz w:val="20"/>
          <w:szCs w:val="20"/>
        </w:rPr>
        <w:t>U</w:t>
      </w:r>
      <w:r w:rsidR="008007AF" w:rsidRPr="00364E47">
        <w:rPr>
          <w:rFonts w:ascii="Arial" w:eastAsia="Times New Roman" w:hAnsi="Arial" w:cs="Arial"/>
          <w:b/>
          <w:bCs/>
          <w:sz w:val="20"/>
          <w:szCs w:val="20"/>
        </w:rPr>
        <w:t>rbani razvoj</w:t>
      </w:r>
    </w:p>
    <w:p w14:paraId="7A516BB4" w14:textId="77777777" w:rsidR="00364E47" w:rsidRPr="00364E47" w:rsidRDefault="00364E47" w:rsidP="00F154F0">
      <w:pPr>
        <w:pStyle w:val="Odstavekseznama"/>
        <w:autoSpaceDE w:val="0"/>
        <w:autoSpaceDN w:val="0"/>
        <w:adjustRightInd w:val="0"/>
        <w:jc w:val="both"/>
        <w:rPr>
          <w:rFonts w:ascii="Arial" w:eastAsia="Times New Roman" w:hAnsi="Arial" w:cs="Arial"/>
          <w:b/>
          <w:bCs/>
          <w:sz w:val="20"/>
          <w:szCs w:val="20"/>
        </w:rPr>
      </w:pPr>
    </w:p>
    <w:p w14:paraId="39426D4F" w14:textId="56C8A34E" w:rsidR="008007AF" w:rsidRPr="00D451F8" w:rsidRDefault="00636A95" w:rsidP="00D451F8">
      <w:pPr>
        <w:autoSpaceDE w:val="0"/>
        <w:autoSpaceDN w:val="0"/>
        <w:adjustRightInd w:val="0"/>
        <w:jc w:val="both"/>
        <w:rPr>
          <w:rFonts w:cs="Arial"/>
          <w:sz w:val="20"/>
          <w:szCs w:val="20"/>
        </w:rPr>
      </w:pPr>
      <w:r>
        <w:rPr>
          <w:rFonts w:cs="Arial"/>
          <w:b/>
          <w:bCs/>
          <w:sz w:val="20"/>
          <w:szCs w:val="20"/>
        </w:rPr>
        <w:t>P</w:t>
      </w:r>
      <w:r w:rsidR="00904756" w:rsidRPr="00D451F8">
        <w:rPr>
          <w:rFonts w:cs="Arial"/>
          <w:b/>
          <w:bCs/>
          <w:sz w:val="20"/>
          <w:szCs w:val="20"/>
        </w:rPr>
        <w:t xml:space="preserve">osojila </w:t>
      </w:r>
      <w:r w:rsidR="00EF6593" w:rsidRPr="00D451F8">
        <w:rPr>
          <w:rFonts w:eastAsia="Calibri" w:cs="Arial"/>
          <w:b/>
          <w:bCs/>
          <w:color w:val="000000"/>
          <w:sz w:val="20"/>
          <w:szCs w:val="20"/>
        </w:rPr>
        <w:t>za urbani razvoj</w:t>
      </w:r>
    </w:p>
    <w:p w14:paraId="657E3D53" w14:textId="6763EC9C" w:rsidR="008007AF" w:rsidRDefault="001A5CD4" w:rsidP="00F154F0">
      <w:pPr>
        <w:jc w:val="both"/>
        <w:rPr>
          <w:rFonts w:cs="Arial"/>
          <w:sz w:val="20"/>
          <w:szCs w:val="20"/>
        </w:rPr>
      </w:pPr>
      <w:r w:rsidRPr="001A5CD4">
        <w:rPr>
          <w:rFonts w:cs="Arial"/>
          <w:sz w:val="20"/>
          <w:szCs w:val="20"/>
        </w:rPr>
        <w:t>Z namenom učinkovitejše rabe prostora v urbanih območjih</w:t>
      </w:r>
      <w:r>
        <w:rPr>
          <w:rFonts w:cs="Arial"/>
          <w:sz w:val="20"/>
          <w:szCs w:val="20"/>
        </w:rPr>
        <w:t xml:space="preserve"> bodo podprti ukrepi </w:t>
      </w:r>
      <w:r w:rsidRPr="001A5CD4">
        <w:rPr>
          <w:rFonts w:cs="Arial"/>
          <w:sz w:val="20"/>
          <w:szCs w:val="20"/>
        </w:rPr>
        <w:t>za prenovo in oživljanje praznih ter nezadostno izkoriščenih stavb v javnem interesu, prenovo kulturne dediščine in drugih objektov ter prenovo in oblikovanje novih odprtih javnih prostorov.</w:t>
      </w:r>
      <w:r w:rsidR="007C5B62">
        <w:rPr>
          <w:rFonts w:cs="Arial"/>
          <w:sz w:val="20"/>
          <w:szCs w:val="20"/>
        </w:rPr>
        <w:t xml:space="preserve"> </w:t>
      </w:r>
    </w:p>
    <w:p w14:paraId="349B6374" w14:textId="77777777" w:rsidR="00F154F0" w:rsidRDefault="00F154F0" w:rsidP="00F154F0">
      <w:pPr>
        <w:jc w:val="both"/>
        <w:rPr>
          <w:rFonts w:cs="Arial"/>
          <w:sz w:val="20"/>
          <w:szCs w:val="20"/>
        </w:rPr>
      </w:pPr>
    </w:p>
    <w:p w14:paraId="50FBA7CA" w14:textId="1B6CC3F8" w:rsidR="00710128" w:rsidRDefault="00EF6593" w:rsidP="00F154F0">
      <w:pPr>
        <w:jc w:val="both"/>
        <w:rPr>
          <w:rFonts w:cs="Arial"/>
          <w:sz w:val="20"/>
          <w:szCs w:val="20"/>
        </w:rPr>
      </w:pPr>
      <w:r>
        <w:rPr>
          <w:rFonts w:cs="Arial"/>
          <w:sz w:val="20"/>
          <w:szCs w:val="20"/>
        </w:rPr>
        <w:t xml:space="preserve">Posojila so namenjena mestnim občinam, </w:t>
      </w:r>
      <w:r w:rsidR="00607539">
        <w:rPr>
          <w:rFonts w:cs="Arial"/>
          <w:sz w:val="20"/>
          <w:szCs w:val="20"/>
        </w:rPr>
        <w:t xml:space="preserve">javnim skladom, </w:t>
      </w:r>
      <w:r>
        <w:rPr>
          <w:rFonts w:cs="Arial"/>
          <w:sz w:val="20"/>
          <w:szCs w:val="20"/>
        </w:rPr>
        <w:t>javnim in zasebnim podjetjem, k izvajajo javne funkcije za potrebe in s soglasjem mestne občine.</w:t>
      </w:r>
    </w:p>
    <w:p w14:paraId="4B690660" w14:textId="77777777" w:rsidR="00F154F0" w:rsidRPr="00E17453" w:rsidRDefault="00F154F0" w:rsidP="00F154F0">
      <w:pPr>
        <w:jc w:val="both"/>
        <w:rPr>
          <w:rFonts w:cs="Arial"/>
          <w:sz w:val="20"/>
          <w:szCs w:val="20"/>
        </w:rPr>
      </w:pPr>
    </w:p>
    <w:p w14:paraId="3E0C0D34" w14:textId="78A92965" w:rsidR="00E75AC8" w:rsidRDefault="003F5664" w:rsidP="00F154F0">
      <w:pPr>
        <w:pStyle w:val="Naslov2"/>
        <w:spacing w:after="0"/>
        <w:ind w:left="0"/>
        <w:jc w:val="both"/>
        <w:rPr>
          <w:sz w:val="20"/>
          <w:szCs w:val="20"/>
        </w:rPr>
      </w:pPr>
      <w:r w:rsidRPr="00E814D9">
        <w:rPr>
          <w:sz w:val="20"/>
          <w:szCs w:val="20"/>
        </w:rPr>
        <w:t xml:space="preserve"> </w:t>
      </w:r>
      <w:bookmarkStart w:id="13" w:name="_Toc139318765"/>
      <w:bookmarkStart w:id="14" w:name="_Toc139318766"/>
      <w:bookmarkStart w:id="15" w:name="_Toc139318767"/>
      <w:bookmarkStart w:id="16" w:name="_Toc139318768"/>
      <w:bookmarkStart w:id="17" w:name="_Toc139318769"/>
      <w:bookmarkStart w:id="18" w:name="_Toc139318770"/>
      <w:bookmarkStart w:id="19" w:name="_Toc139318771"/>
      <w:bookmarkStart w:id="20" w:name="_Toc139318772"/>
      <w:bookmarkStart w:id="21" w:name="_Toc139318773"/>
      <w:bookmarkStart w:id="22" w:name="_Toc139318774"/>
      <w:bookmarkStart w:id="23" w:name="_Toc139318775"/>
      <w:bookmarkStart w:id="24" w:name="_Toc141708952"/>
      <w:bookmarkStart w:id="25" w:name="_Toc175120974"/>
      <w:bookmarkStart w:id="26" w:name="_Toc51325417"/>
      <w:bookmarkEnd w:id="13"/>
      <w:bookmarkEnd w:id="14"/>
      <w:bookmarkEnd w:id="15"/>
      <w:bookmarkEnd w:id="16"/>
      <w:bookmarkEnd w:id="17"/>
      <w:bookmarkEnd w:id="18"/>
      <w:bookmarkEnd w:id="19"/>
      <w:bookmarkEnd w:id="20"/>
      <w:bookmarkEnd w:id="21"/>
      <w:bookmarkEnd w:id="22"/>
      <w:bookmarkEnd w:id="23"/>
      <w:r w:rsidR="00E814D9" w:rsidRPr="00E814D9">
        <w:rPr>
          <w:sz w:val="20"/>
          <w:szCs w:val="20"/>
        </w:rPr>
        <w:t xml:space="preserve">NAČRTOVAN </w:t>
      </w:r>
      <w:r w:rsidRPr="00E814D9">
        <w:rPr>
          <w:sz w:val="20"/>
          <w:szCs w:val="20"/>
        </w:rPr>
        <w:t xml:space="preserve">OBSEG </w:t>
      </w:r>
      <w:r w:rsidR="00E814D9" w:rsidRPr="00E814D9">
        <w:rPr>
          <w:sz w:val="20"/>
          <w:szCs w:val="20"/>
        </w:rPr>
        <w:t xml:space="preserve">EU </w:t>
      </w:r>
      <w:r w:rsidRPr="00E814D9">
        <w:rPr>
          <w:sz w:val="20"/>
          <w:szCs w:val="20"/>
        </w:rPr>
        <w:t>SREDSTEV</w:t>
      </w:r>
      <w:r w:rsidR="00E814D9">
        <w:rPr>
          <w:sz w:val="20"/>
          <w:szCs w:val="20"/>
        </w:rPr>
        <w:t xml:space="preserve"> FINANČNIH INSTRUMENTOV</w:t>
      </w:r>
      <w:r w:rsidRPr="00E814D9">
        <w:rPr>
          <w:sz w:val="20"/>
          <w:szCs w:val="20"/>
        </w:rPr>
        <w:t xml:space="preserve"> </w:t>
      </w:r>
      <w:r w:rsidRPr="00E17453">
        <w:rPr>
          <w:sz w:val="20"/>
          <w:szCs w:val="20"/>
        </w:rPr>
        <w:t xml:space="preserve">TER </w:t>
      </w:r>
      <w:r w:rsidR="0090093E">
        <w:rPr>
          <w:sz w:val="20"/>
          <w:szCs w:val="20"/>
        </w:rPr>
        <w:t xml:space="preserve">OKVIRNA </w:t>
      </w:r>
      <w:r w:rsidRPr="00E17453">
        <w:rPr>
          <w:sz w:val="20"/>
          <w:szCs w:val="20"/>
        </w:rPr>
        <w:t xml:space="preserve">DINAMIKA IZPLAČIL SREDSTEV </w:t>
      </w:r>
      <w:r w:rsidR="00B56042">
        <w:rPr>
          <w:sz w:val="20"/>
          <w:szCs w:val="20"/>
        </w:rPr>
        <w:t>IZVAJALCU</w:t>
      </w:r>
      <w:r w:rsidR="00B56042" w:rsidRPr="00E17453">
        <w:rPr>
          <w:sz w:val="20"/>
          <w:szCs w:val="20"/>
        </w:rPr>
        <w:t xml:space="preserve"> </w:t>
      </w:r>
      <w:r w:rsidRPr="00E17453">
        <w:rPr>
          <w:sz w:val="20"/>
          <w:szCs w:val="20"/>
        </w:rPr>
        <w:t>FINANČNIH INSTRUMENTOV</w:t>
      </w:r>
      <w:bookmarkEnd w:id="24"/>
      <w:bookmarkEnd w:id="25"/>
      <w:r w:rsidRPr="00E17453">
        <w:rPr>
          <w:sz w:val="20"/>
          <w:szCs w:val="20"/>
        </w:rPr>
        <w:t xml:space="preserve">  </w:t>
      </w:r>
      <w:bookmarkStart w:id="27" w:name="_Hlk141357236"/>
      <w:bookmarkEnd w:id="26"/>
    </w:p>
    <w:p w14:paraId="29D6C311" w14:textId="064FE505" w:rsidR="00DC0A1A" w:rsidRDefault="00DC0A1A" w:rsidP="00F154F0">
      <w:pPr>
        <w:jc w:val="both"/>
        <w:rPr>
          <w:rFonts w:cs="Arial"/>
          <w:sz w:val="20"/>
          <w:szCs w:val="20"/>
        </w:rPr>
      </w:pPr>
    </w:p>
    <w:p w14:paraId="7F6690C7" w14:textId="74118DA5" w:rsidR="00DC0A1A" w:rsidRPr="003A71B4" w:rsidRDefault="00DC0A1A" w:rsidP="00DC0A1A">
      <w:pPr>
        <w:jc w:val="both"/>
        <w:rPr>
          <w:rFonts w:cs="Arial"/>
          <w:sz w:val="20"/>
          <w:szCs w:val="20"/>
        </w:rPr>
      </w:pPr>
      <w:r w:rsidRPr="003A71B4">
        <w:rPr>
          <w:rFonts w:cs="Arial"/>
          <w:sz w:val="20"/>
          <w:szCs w:val="20"/>
        </w:rPr>
        <w:t xml:space="preserve">V skladu z drugim odstavkom </w:t>
      </w:r>
      <w:r w:rsidR="003A71B4" w:rsidRPr="00BF72F5">
        <w:rPr>
          <w:rFonts w:cs="Arial"/>
          <w:sz w:val="20"/>
          <w:szCs w:val="20"/>
        </w:rPr>
        <w:t>6</w:t>
      </w:r>
      <w:r w:rsidRPr="003A71B4">
        <w:rPr>
          <w:rFonts w:cs="Arial"/>
          <w:sz w:val="20"/>
          <w:szCs w:val="20"/>
        </w:rPr>
        <w:t>5. člena Zakona o izvrševanju proračunov RS za leti 202</w:t>
      </w:r>
      <w:r w:rsidR="003A71B4" w:rsidRPr="00BF72F5">
        <w:rPr>
          <w:rFonts w:cs="Arial"/>
          <w:sz w:val="20"/>
          <w:szCs w:val="20"/>
        </w:rPr>
        <w:t>5</w:t>
      </w:r>
      <w:r w:rsidRPr="003A71B4">
        <w:rPr>
          <w:rFonts w:cs="Arial"/>
          <w:sz w:val="20"/>
          <w:szCs w:val="20"/>
        </w:rPr>
        <w:t xml:space="preserve"> in 202</w:t>
      </w:r>
      <w:r w:rsidR="003A71B4" w:rsidRPr="00BF72F5">
        <w:rPr>
          <w:rFonts w:cs="Arial"/>
          <w:sz w:val="20"/>
          <w:szCs w:val="20"/>
        </w:rPr>
        <w:t>6</w:t>
      </w:r>
      <w:r w:rsidRPr="003A71B4">
        <w:rPr>
          <w:rFonts w:cs="Arial"/>
          <w:sz w:val="20"/>
          <w:szCs w:val="20"/>
        </w:rPr>
        <w:t xml:space="preserve"> (Uradni list RS, št. </w:t>
      </w:r>
      <w:hyperlink r:id="rId10" w:tgtFrame="_blank" w:tooltip="Zakon o izvrševanju proračunov Republike Slovenije za leti 2024 in 2025 (ZIPRS2425)" w:history="1">
        <w:r w:rsidRPr="003A71B4">
          <w:rPr>
            <w:rFonts w:cs="Arial"/>
            <w:sz w:val="20"/>
            <w:szCs w:val="20"/>
          </w:rPr>
          <w:t>1</w:t>
        </w:r>
        <w:r w:rsidR="003A71B4" w:rsidRPr="00BF72F5">
          <w:rPr>
            <w:rFonts w:cs="Arial"/>
            <w:sz w:val="20"/>
            <w:szCs w:val="20"/>
          </w:rPr>
          <w:t>04</w:t>
        </w:r>
        <w:r w:rsidRPr="003A71B4">
          <w:rPr>
            <w:rFonts w:cs="Arial"/>
            <w:sz w:val="20"/>
            <w:szCs w:val="20"/>
          </w:rPr>
          <w:t>/2</w:t>
        </w:r>
      </w:hyperlink>
      <w:r w:rsidR="003A71B4" w:rsidRPr="00BF72F5">
        <w:rPr>
          <w:rFonts w:cs="Arial"/>
          <w:sz w:val="20"/>
          <w:szCs w:val="20"/>
        </w:rPr>
        <w:t>4, 17/25</w:t>
      </w:r>
      <w:r w:rsidR="002A4084" w:rsidRPr="002A4084">
        <w:rPr>
          <w:rFonts w:ascii="Republika" w:hAnsi="Republika"/>
          <w:color w:val="737373"/>
          <w:sz w:val="23"/>
          <w:szCs w:val="23"/>
          <w:shd w:val="clear" w:color="auto" w:fill="FFFFFF"/>
        </w:rPr>
        <w:t xml:space="preserve"> </w:t>
      </w:r>
      <w:r w:rsidR="002A4084" w:rsidRPr="009D3CA6">
        <w:rPr>
          <w:rFonts w:cs="Arial"/>
          <w:sz w:val="20"/>
          <w:szCs w:val="20"/>
        </w:rPr>
        <w:t>– ZFO-1E</w:t>
      </w:r>
      <w:r w:rsidRPr="003A71B4">
        <w:rPr>
          <w:rFonts w:cs="Arial"/>
          <w:sz w:val="20"/>
          <w:szCs w:val="20"/>
        </w:rPr>
        <w:t> in </w:t>
      </w:r>
      <w:r w:rsidR="003A71B4" w:rsidRPr="00BF72F5">
        <w:rPr>
          <w:rFonts w:cs="Arial"/>
          <w:sz w:val="20"/>
          <w:szCs w:val="20"/>
        </w:rPr>
        <w:t>32/25</w:t>
      </w:r>
      <w:r w:rsidR="002A4084" w:rsidRPr="009D3CA6">
        <w:rPr>
          <w:rFonts w:cs="Arial"/>
          <w:sz w:val="20"/>
          <w:szCs w:val="20"/>
        </w:rPr>
        <w:t xml:space="preserve"> – ZJU-1</w:t>
      </w:r>
      <w:r w:rsidR="00893CAE" w:rsidRPr="003A71B4">
        <w:rPr>
          <w:rFonts w:cs="Arial"/>
          <w:sz w:val="20"/>
          <w:szCs w:val="20"/>
        </w:rPr>
        <w:t xml:space="preserve">, </w:t>
      </w:r>
      <w:r w:rsidRPr="003A71B4">
        <w:rPr>
          <w:rFonts w:cs="Arial"/>
          <w:sz w:val="20"/>
          <w:szCs w:val="20"/>
        </w:rPr>
        <w:t>v nadaljevanju: ZIPRS2</w:t>
      </w:r>
      <w:r w:rsidR="003A71B4" w:rsidRPr="00BF72F5">
        <w:rPr>
          <w:rFonts w:cs="Arial"/>
          <w:sz w:val="20"/>
          <w:szCs w:val="20"/>
        </w:rPr>
        <w:t>5</w:t>
      </w:r>
      <w:r w:rsidRPr="003A71B4">
        <w:rPr>
          <w:rFonts w:cs="Arial"/>
          <w:sz w:val="20"/>
          <w:szCs w:val="20"/>
        </w:rPr>
        <w:t>2</w:t>
      </w:r>
      <w:r w:rsidR="003A71B4" w:rsidRPr="00BF72F5">
        <w:rPr>
          <w:rFonts w:cs="Arial"/>
          <w:sz w:val="20"/>
          <w:szCs w:val="20"/>
        </w:rPr>
        <w:t>6</w:t>
      </w:r>
      <w:r w:rsidRPr="003A71B4">
        <w:rPr>
          <w:rFonts w:cs="Arial"/>
          <w:sz w:val="20"/>
          <w:szCs w:val="20"/>
        </w:rPr>
        <w:t xml:space="preserve">) se prejeta sredstva EU za izvajanje </w:t>
      </w:r>
      <w:r w:rsidR="00893CAE" w:rsidRPr="003A71B4">
        <w:rPr>
          <w:rFonts w:cs="Arial"/>
          <w:sz w:val="20"/>
          <w:szCs w:val="20"/>
        </w:rPr>
        <w:t xml:space="preserve">FI </w:t>
      </w:r>
      <w:r w:rsidRPr="003A71B4">
        <w:rPr>
          <w:rFonts w:cs="Arial"/>
          <w:sz w:val="20"/>
          <w:szCs w:val="20"/>
        </w:rPr>
        <w:t>ne izkazujejo kot prihodek proračuna</w:t>
      </w:r>
      <w:r w:rsidR="00893CAE" w:rsidRPr="003A71B4">
        <w:rPr>
          <w:rFonts w:cs="Arial"/>
          <w:sz w:val="20"/>
          <w:szCs w:val="20"/>
        </w:rPr>
        <w:t xml:space="preserve"> Republike Slovenije</w:t>
      </w:r>
      <w:r w:rsidRPr="003A71B4">
        <w:rPr>
          <w:rFonts w:cs="Arial"/>
          <w:sz w:val="20"/>
          <w:szCs w:val="20"/>
        </w:rPr>
        <w:t xml:space="preserve">, temveč se do zaključka izvedbe posameznega finančnega instrumenta izkazujejo samo v bilanci stanja. </w:t>
      </w:r>
    </w:p>
    <w:p w14:paraId="1CCD1430" w14:textId="77777777" w:rsidR="00DC0A1A" w:rsidRPr="003A71B4" w:rsidRDefault="00DC0A1A" w:rsidP="00DC0A1A">
      <w:pPr>
        <w:jc w:val="both"/>
        <w:rPr>
          <w:rFonts w:cs="Arial"/>
          <w:sz w:val="20"/>
          <w:szCs w:val="20"/>
        </w:rPr>
      </w:pPr>
    </w:p>
    <w:p w14:paraId="028C2C84" w14:textId="7298F7C7" w:rsidR="00DC0A1A" w:rsidRPr="00E17453" w:rsidRDefault="00DC0A1A" w:rsidP="00DC0A1A">
      <w:pPr>
        <w:jc w:val="both"/>
        <w:rPr>
          <w:rFonts w:cs="Arial"/>
          <w:sz w:val="20"/>
          <w:szCs w:val="20"/>
        </w:rPr>
      </w:pPr>
      <w:r w:rsidRPr="003A71B4">
        <w:rPr>
          <w:rFonts w:cs="Arial"/>
          <w:sz w:val="20"/>
          <w:szCs w:val="20"/>
        </w:rPr>
        <w:t xml:space="preserve">NIFI obsega ukrepe FI, ki se skladno </w:t>
      </w:r>
      <w:r w:rsidR="003A71B4" w:rsidRPr="00BF72F5">
        <w:rPr>
          <w:rFonts w:cs="Arial"/>
          <w:sz w:val="20"/>
          <w:szCs w:val="20"/>
        </w:rPr>
        <w:t>s 6</w:t>
      </w:r>
      <w:r w:rsidRPr="003A71B4">
        <w:rPr>
          <w:rFonts w:cs="Arial"/>
          <w:sz w:val="20"/>
          <w:szCs w:val="20"/>
        </w:rPr>
        <w:t xml:space="preserve">5. členom </w:t>
      </w:r>
      <w:r w:rsidRPr="00945A9B">
        <w:rPr>
          <w:rFonts w:cs="Arial"/>
          <w:sz w:val="20"/>
          <w:szCs w:val="20"/>
        </w:rPr>
        <w:t>ZIPRS2</w:t>
      </w:r>
      <w:r w:rsidR="003A71B4" w:rsidRPr="00BF72F5">
        <w:rPr>
          <w:rFonts w:cs="Arial"/>
          <w:sz w:val="20"/>
          <w:szCs w:val="20"/>
        </w:rPr>
        <w:t>5</w:t>
      </w:r>
      <w:r w:rsidRPr="00945A9B">
        <w:rPr>
          <w:rFonts w:cs="Arial"/>
          <w:sz w:val="20"/>
          <w:szCs w:val="20"/>
        </w:rPr>
        <w:t>2</w:t>
      </w:r>
      <w:r w:rsidR="003A71B4" w:rsidRPr="00BF72F5">
        <w:rPr>
          <w:rFonts w:cs="Arial"/>
          <w:sz w:val="20"/>
          <w:szCs w:val="20"/>
        </w:rPr>
        <w:t>6</w:t>
      </w:r>
      <w:r w:rsidRPr="00945A9B">
        <w:rPr>
          <w:rFonts w:cs="Arial"/>
          <w:sz w:val="20"/>
          <w:szCs w:val="20"/>
        </w:rPr>
        <w:t xml:space="preserve"> vodijo</w:t>
      </w:r>
      <w:r w:rsidRPr="003A71B4">
        <w:rPr>
          <w:rFonts w:cs="Arial"/>
          <w:sz w:val="20"/>
          <w:szCs w:val="20"/>
        </w:rPr>
        <w:t xml:space="preserve"> v bilanci stanja, izven bilance A državnega proračuna RS. Sredstva z</w:t>
      </w:r>
      <w:r w:rsidRPr="00E17453">
        <w:rPr>
          <w:rFonts w:cs="Arial"/>
          <w:sz w:val="20"/>
          <w:szCs w:val="20"/>
        </w:rPr>
        <w:t xml:space="preserve">a FI </w:t>
      </w:r>
      <w:r>
        <w:rPr>
          <w:rFonts w:cs="Arial"/>
          <w:sz w:val="20"/>
          <w:szCs w:val="20"/>
        </w:rPr>
        <w:t xml:space="preserve">(z značajem povratnih kot nepovratnih sredstev) se v skladu s </w:t>
      </w:r>
      <w:r w:rsidR="00893CAE">
        <w:rPr>
          <w:rFonts w:cs="Arial"/>
          <w:sz w:val="20"/>
          <w:szCs w:val="20"/>
        </w:rPr>
        <w:t xml:space="preserve">petim </w:t>
      </w:r>
      <w:r>
        <w:rPr>
          <w:rFonts w:cs="Arial"/>
          <w:sz w:val="20"/>
          <w:szCs w:val="20"/>
        </w:rPr>
        <w:t xml:space="preserve">odstavkom 58. člena Uredbe (EU) 2021/1060 </w:t>
      </w:r>
      <w:r w:rsidRPr="00E17453">
        <w:rPr>
          <w:rFonts w:cs="Arial"/>
          <w:sz w:val="20"/>
          <w:szCs w:val="20"/>
        </w:rPr>
        <w:t>zagotavljajo neposredno iz podračunov pri Banki Slovenije, katerih upravljanje je v pristojnosti Ministrstva za finance</w:t>
      </w:r>
      <w:r>
        <w:rPr>
          <w:rFonts w:cs="Arial"/>
          <w:sz w:val="20"/>
          <w:szCs w:val="20"/>
        </w:rPr>
        <w:t xml:space="preserve">. </w:t>
      </w:r>
      <w:r w:rsidRPr="00E17453">
        <w:rPr>
          <w:rFonts w:cs="Arial"/>
          <w:sz w:val="20"/>
          <w:szCs w:val="20"/>
        </w:rPr>
        <w:t xml:space="preserve"> </w:t>
      </w:r>
    </w:p>
    <w:p w14:paraId="2A891C99" w14:textId="77777777" w:rsidR="00DC0A1A" w:rsidRDefault="00DC0A1A" w:rsidP="00F154F0">
      <w:pPr>
        <w:jc w:val="both"/>
        <w:rPr>
          <w:rFonts w:cs="Arial"/>
          <w:sz w:val="20"/>
          <w:szCs w:val="20"/>
        </w:rPr>
      </w:pPr>
    </w:p>
    <w:p w14:paraId="2FE9459C" w14:textId="3B3DC5C9" w:rsidR="00DC0A1A" w:rsidRDefault="00CB2FCA" w:rsidP="00DC0A1A">
      <w:pPr>
        <w:jc w:val="both"/>
        <w:rPr>
          <w:rFonts w:cs="Arial"/>
          <w:sz w:val="20"/>
          <w:szCs w:val="20"/>
        </w:rPr>
      </w:pPr>
      <w:r w:rsidRPr="0042269B">
        <w:rPr>
          <w:rFonts w:cs="Arial"/>
          <w:sz w:val="20"/>
          <w:szCs w:val="20"/>
        </w:rPr>
        <w:t>V Programu evropske kohezijske politike v obdobju 2021–2027  so finančni instrumenti  predvideni v okviru povratnih in tudi nepovratnih sredstev sklada ESRR, in sicer v skupni vrednosti 132 mio EUR,  vendar je Organ upravljanja, ob soglasju vlade dodelil posredniškemu telesu za operacijo finančnih instrumentov dodatne pravice porabe  preko obsega razpoložljivih sredstev (Uredba EKP, Uradni list št. 13/2025)</w:t>
      </w:r>
      <w:r w:rsidR="009C1DF7">
        <w:rPr>
          <w:rFonts w:cs="Arial"/>
          <w:sz w:val="20"/>
          <w:szCs w:val="20"/>
        </w:rPr>
        <w:t>,</w:t>
      </w:r>
      <w:r w:rsidRPr="0042269B">
        <w:rPr>
          <w:rFonts w:cs="Arial"/>
          <w:sz w:val="20"/>
          <w:szCs w:val="20"/>
        </w:rPr>
        <w:t xml:space="preserve"> in sicer do višine 190 mio EUR EU sredstev s sklepom vlade Republike Slovenije št. 54402-4/2022/30 z dne 27. 2. 2025.</w:t>
      </w:r>
      <w:r>
        <w:rPr>
          <w:rFonts w:cs="Arial"/>
          <w:sz w:val="20"/>
          <w:szCs w:val="20"/>
        </w:rPr>
        <w:t xml:space="preserve"> Razdelitev</w:t>
      </w:r>
      <w:r w:rsidR="00DC0A1A">
        <w:rPr>
          <w:rFonts w:cs="Arial"/>
          <w:sz w:val="20"/>
          <w:szCs w:val="20"/>
        </w:rPr>
        <w:t xml:space="preserve"> po FI in </w:t>
      </w:r>
      <w:r w:rsidR="00893CAE">
        <w:rPr>
          <w:rFonts w:cs="Arial"/>
          <w:sz w:val="20"/>
          <w:szCs w:val="20"/>
        </w:rPr>
        <w:t>opredeljen</w:t>
      </w:r>
      <w:r>
        <w:rPr>
          <w:rFonts w:cs="Arial"/>
          <w:sz w:val="20"/>
          <w:szCs w:val="20"/>
        </w:rPr>
        <w:t>e</w:t>
      </w:r>
      <w:r w:rsidR="00893CAE">
        <w:rPr>
          <w:rFonts w:cs="Arial"/>
          <w:sz w:val="20"/>
          <w:szCs w:val="20"/>
        </w:rPr>
        <w:t xml:space="preserve"> </w:t>
      </w:r>
      <w:r w:rsidR="00DC0A1A">
        <w:rPr>
          <w:rFonts w:cs="Arial"/>
          <w:sz w:val="20"/>
          <w:szCs w:val="20"/>
        </w:rPr>
        <w:t>cilj</w:t>
      </w:r>
      <w:r>
        <w:rPr>
          <w:rFonts w:cs="Arial"/>
          <w:sz w:val="20"/>
          <w:szCs w:val="20"/>
        </w:rPr>
        <w:t>e</w:t>
      </w:r>
      <w:r w:rsidR="00DC0A1A">
        <w:rPr>
          <w:rFonts w:cs="Arial"/>
          <w:sz w:val="20"/>
          <w:szCs w:val="20"/>
        </w:rPr>
        <w:t xml:space="preserve"> skupin</w:t>
      </w:r>
      <w:r>
        <w:rPr>
          <w:rFonts w:cs="Arial"/>
          <w:sz w:val="20"/>
          <w:szCs w:val="20"/>
        </w:rPr>
        <w:t>e</w:t>
      </w:r>
      <w:r w:rsidR="00DC0A1A">
        <w:rPr>
          <w:rFonts w:cs="Arial"/>
          <w:sz w:val="20"/>
          <w:szCs w:val="20"/>
        </w:rPr>
        <w:t xml:space="preserve"> </w:t>
      </w:r>
      <w:r w:rsidR="00893CAE">
        <w:rPr>
          <w:rFonts w:cs="Arial"/>
          <w:sz w:val="20"/>
          <w:szCs w:val="20"/>
        </w:rPr>
        <w:t>izhaja</w:t>
      </w:r>
      <w:r>
        <w:rPr>
          <w:rFonts w:cs="Arial"/>
          <w:sz w:val="20"/>
          <w:szCs w:val="20"/>
        </w:rPr>
        <w:t>jo</w:t>
      </w:r>
      <w:r w:rsidR="00893CAE">
        <w:rPr>
          <w:rFonts w:cs="Arial"/>
          <w:sz w:val="20"/>
          <w:szCs w:val="20"/>
        </w:rPr>
        <w:t xml:space="preserve"> iz </w:t>
      </w:r>
      <w:r w:rsidR="00DC0A1A">
        <w:rPr>
          <w:rFonts w:cs="Arial"/>
          <w:sz w:val="20"/>
          <w:szCs w:val="20"/>
        </w:rPr>
        <w:t>spodnj</w:t>
      </w:r>
      <w:r w:rsidR="00893CAE">
        <w:rPr>
          <w:rFonts w:cs="Arial"/>
          <w:sz w:val="20"/>
          <w:szCs w:val="20"/>
        </w:rPr>
        <w:t>e</w:t>
      </w:r>
      <w:r w:rsidR="00DC0A1A">
        <w:rPr>
          <w:rFonts w:cs="Arial"/>
          <w:sz w:val="20"/>
          <w:szCs w:val="20"/>
        </w:rPr>
        <w:t xml:space="preserve"> tabel</w:t>
      </w:r>
      <w:r w:rsidR="00893CAE">
        <w:rPr>
          <w:rFonts w:cs="Arial"/>
          <w:sz w:val="20"/>
          <w:szCs w:val="20"/>
        </w:rPr>
        <w:t>e</w:t>
      </w:r>
      <w:r w:rsidR="00DC0A1A">
        <w:rPr>
          <w:rFonts w:cs="Arial"/>
          <w:sz w:val="20"/>
          <w:szCs w:val="20"/>
        </w:rPr>
        <w:t>.</w:t>
      </w:r>
    </w:p>
    <w:p w14:paraId="4481CA54" w14:textId="77777777" w:rsidR="003B1E42" w:rsidRDefault="003B1E42" w:rsidP="00F154F0">
      <w:pPr>
        <w:jc w:val="both"/>
        <w:rPr>
          <w:rFonts w:cs="Arial"/>
          <w:sz w:val="20"/>
          <w:szCs w:val="20"/>
        </w:rPr>
      </w:pPr>
    </w:p>
    <w:p w14:paraId="773BF5D6" w14:textId="03FC1A02" w:rsidR="006C4EEF" w:rsidRDefault="003B1E42" w:rsidP="00F154F0">
      <w:pPr>
        <w:jc w:val="both"/>
        <w:rPr>
          <w:rFonts w:cs="Arial"/>
          <w:sz w:val="20"/>
          <w:szCs w:val="20"/>
        </w:rPr>
      </w:pPr>
      <w:r w:rsidRPr="00BE0769">
        <w:rPr>
          <w:rFonts w:cs="Arial"/>
          <w:sz w:val="20"/>
          <w:szCs w:val="20"/>
        </w:rPr>
        <w:t xml:space="preserve">Tabela </w:t>
      </w:r>
      <w:r w:rsidR="00E2498D" w:rsidRPr="00BE0769">
        <w:rPr>
          <w:rFonts w:cs="Arial"/>
          <w:sz w:val="20"/>
          <w:szCs w:val="20"/>
        </w:rPr>
        <w:t>1</w:t>
      </w:r>
      <w:r w:rsidR="00A60F48" w:rsidRPr="00BE0769">
        <w:rPr>
          <w:rFonts w:cs="Arial"/>
          <w:sz w:val="20"/>
          <w:szCs w:val="20"/>
        </w:rPr>
        <w:t>:</w:t>
      </w:r>
      <w:r w:rsidRPr="00BE0769">
        <w:rPr>
          <w:rFonts w:cs="Arial"/>
          <w:sz w:val="20"/>
          <w:szCs w:val="20"/>
        </w:rPr>
        <w:t xml:space="preserve"> </w:t>
      </w:r>
      <w:r w:rsidR="00A60F48" w:rsidRPr="00BE0769">
        <w:rPr>
          <w:rFonts w:cs="Arial"/>
          <w:sz w:val="20"/>
          <w:szCs w:val="20"/>
        </w:rPr>
        <w:t xml:space="preserve">Načrtovani </w:t>
      </w:r>
      <w:r w:rsidR="00636A95">
        <w:rPr>
          <w:rFonts w:cs="Arial"/>
          <w:sz w:val="20"/>
          <w:szCs w:val="20"/>
        </w:rPr>
        <w:t>FI</w:t>
      </w:r>
      <w:r w:rsidR="00A60F48" w:rsidRPr="00BE0769">
        <w:rPr>
          <w:rFonts w:cs="Arial"/>
          <w:sz w:val="20"/>
          <w:szCs w:val="20"/>
        </w:rPr>
        <w:t xml:space="preserve"> z opredeljenimi ciljnimi skupinami in prikazanim obsegom sredstev po posameznih področjih</w:t>
      </w:r>
    </w:p>
    <w:p w14:paraId="13F81904" w14:textId="77777777" w:rsidR="00F70CA0" w:rsidRDefault="00F70CA0" w:rsidP="00F154F0">
      <w:pPr>
        <w:jc w:val="both"/>
        <w:rPr>
          <w:rFonts w:cs="Arial"/>
          <w:sz w:val="20"/>
          <w:szCs w:val="20"/>
        </w:rPr>
      </w:pPr>
    </w:p>
    <w:tbl>
      <w:tblPr>
        <w:tblStyle w:val="Tabelamrea"/>
        <w:tblW w:w="10348" w:type="dxa"/>
        <w:tblInd w:w="-147" w:type="dxa"/>
        <w:tblLook w:val="04A0" w:firstRow="1" w:lastRow="0" w:firstColumn="1" w:lastColumn="0" w:noHBand="0" w:noVBand="1"/>
      </w:tblPr>
      <w:tblGrid>
        <w:gridCol w:w="2836"/>
        <w:gridCol w:w="2693"/>
        <w:gridCol w:w="4819"/>
      </w:tblGrid>
      <w:tr w:rsidR="00A60F48" w:rsidRPr="00F154F0" w14:paraId="7F5585CB" w14:textId="77777777" w:rsidTr="007F40E4">
        <w:tc>
          <w:tcPr>
            <w:tcW w:w="2836" w:type="dxa"/>
            <w:shd w:val="clear" w:color="auto" w:fill="8EAADB" w:themeFill="accent1" w:themeFillTint="99"/>
          </w:tcPr>
          <w:p w14:paraId="5E578366" w14:textId="3BB2ED94" w:rsidR="00A60F48" w:rsidRPr="00F154F0" w:rsidRDefault="00A60F48" w:rsidP="00F154F0">
            <w:pPr>
              <w:jc w:val="both"/>
              <w:rPr>
                <w:rFonts w:eastAsia="Calibri" w:cs="Arial"/>
                <w:sz w:val="18"/>
                <w:szCs w:val="18"/>
              </w:rPr>
            </w:pPr>
            <w:r w:rsidRPr="00F154F0">
              <w:rPr>
                <w:rFonts w:eastAsia="Calibri" w:cs="Arial"/>
                <w:sz w:val="18"/>
                <w:szCs w:val="18"/>
              </w:rPr>
              <w:t xml:space="preserve">Finančni </w:t>
            </w:r>
            <w:r w:rsidR="00636A95">
              <w:rPr>
                <w:rFonts w:eastAsia="Calibri" w:cs="Arial"/>
                <w:sz w:val="18"/>
                <w:szCs w:val="18"/>
              </w:rPr>
              <w:t>instrumenti</w:t>
            </w:r>
          </w:p>
        </w:tc>
        <w:tc>
          <w:tcPr>
            <w:tcW w:w="2693" w:type="dxa"/>
            <w:shd w:val="clear" w:color="auto" w:fill="8EAADB" w:themeFill="accent1" w:themeFillTint="99"/>
          </w:tcPr>
          <w:p w14:paraId="5E58D1CB" w14:textId="77777777" w:rsidR="00A60F48" w:rsidRPr="00F154F0" w:rsidRDefault="00A60F48" w:rsidP="00F154F0">
            <w:pPr>
              <w:jc w:val="both"/>
              <w:rPr>
                <w:rFonts w:eastAsia="Calibri" w:cs="Arial"/>
                <w:sz w:val="18"/>
                <w:szCs w:val="18"/>
              </w:rPr>
            </w:pPr>
            <w:r w:rsidRPr="00F154F0">
              <w:rPr>
                <w:rFonts w:eastAsia="Calibri" w:cs="Arial"/>
                <w:sz w:val="18"/>
                <w:szCs w:val="18"/>
              </w:rPr>
              <w:t>Načrtovana višina sredstev</w:t>
            </w:r>
          </w:p>
        </w:tc>
        <w:tc>
          <w:tcPr>
            <w:tcW w:w="4819" w:type="dxa"/>
            <w:shd w:val="clear" w:color="auto" w:fill="8EAADB" w:themeFill="accent1" w:themeFillTint="99"/>
          </w:tcPr>
          <w:p w14:paraId="10754E9D" w14:textId="77777777" w:rsidR="00A60F48" w:rsidRPr="00F154F0" w:rsidRDefault="00A60F48" w:rsidP="00F154F0">
            <w:pPr>
              <w:jc w:val="both"/>
              <w:rPr>
                <w:rFonts w:eastAsia="Calibri" w:cs="Arial"/>
                <w:sz w:val="18"/>
                <w:szCs w:val="18"/>
              </w:rPr>
            </w:pPr>
            <w:r w:rsidRPr="00F154F0">
              <w:rPr>
                <w:rFonts w:eastAsia="Calibri" w:cs="Arial"/>
                <w:sz w:val="18"/>
                <w:szCs w:val="18"/>
              </w:rPr>
              <w:t>Ciljna skupina</w:t>
            </w:r>
          </w:p>
        </w:tc>
      </w:tr>
      <w:tr w:rsidR="00A60F48" w:rsidRPr="00F154F0" w14:paraId="431B9471" w14:textId="77777777" w:rsidTr="007F40E4">
        <w:tc>
          <w:tcPr>
            <w:tcW w:w="10348" w:type="dxa"/>
            <w:gridSpan w:val="3"/>
            <w:shd w:val="clear" w:color="auto" w:fill="B4C6E7" w:themeFill="accent1" w:themeFillTint="66"/>
          </w:tcPr>
          <w:p w14:paraId="0EFAB5C2" w14:textId="77777777" w:rsidR="00A60F48" w:rsidRPr="00F154F0" w:rsidRDefault="00A60F48" w:rsidP="00F154F0">
            <w:pPr>
              <w:rPr>
                <w:rFonts w:eastAsia="Calibri" w:cs="Arial"/>
                <w:sz w:val="18"/>
                <w:szCs w:val="18"/>
              </w:rPr>
            </w:pPr>
            <w:r w:rsidRPr="00F154F0">
              <w:rPr>
                <w:rFonts w:eastAsia="Calibri" w:cs="Arial"/>
                <w:sz w:val="18"/>
                <w:szCs w:val="18"/>
              </w:rPr>
              <w:t>Področje: raziskave, razvoj in inovacije (RRI) – SC 1.1</w:t>
            </w:r>
          </w:p>
        </w:tc>
      </w:tr>
      <w:tr w:rsidR="00A60F48" w:rsidRPr="00F154F0" w14:paraId="5EB11652" w14:textId="77777777" w:rsidTr="007F40E4">
        <w:tc>
          <w:tcPr>
            <w:tcW w:w="2836" w:type="dxa"/>
          </w:tcPr>
          <w:p w14:paraId="141A7909" w14:textId="77777777" w:rsidR="00A60F48" w:rsidRPr="00F154F0" w:rsidRDefault="00A60F48" w:rsidP="00F154F0">
            <w:pPr>
              <w:jc w:val="both"/>
              <w:rPr>
                <w:rFonts w:eastAsia="Calibri" w:cs="Arial"/>
                <w:sz w:val="18"/>
                <w:szCs w:val="18"/>
              </w:rPr>
            </w:pPr>
            <w:r w:rsidRPr="00F154F0">
              <w:rPr>
                <w:rFonts w:eastAsia="Calibri" w:cs="Arial"/>
                <w:sz w:val="18"/>
                <w:szCs w:val="18"/>
              </w:rPr>
              <w:t>Posojila</w:t>
            </w:r>
          </w:p>
        </w:tc>
        <w:tc>
          <w:tcPr>
            <w:tcW w:w="2693" w:type="dxa"/>
          </w:tcPr>
          <w:p w14:paraId="56A21AC5" w14:textId="1D6BB781" w:rsidR="00A60F48" w:rsidRPr="00F154F0" w:rsidRDefault="00417A61" w:rsidP="00F154F0">
            <w:pPr>
              <w:jc w:val="both"/>
              <w:rPr>
                <w:rFonts w:eastAsia="Calibri" w:cs="Arial"/>
                <w:sz w:val="18"/>
                <w:szCs w:val="18"/>
              </w:rPr>
            </w:pPr>
            <w:r>
              <w:rPr>
                <w:rFonts w:eastAsia="Calibri" w:cs="Arial"/>
                <w:sz w:val="18"/>
                <w:szCs w:val="18"/>
              </w:rPr>
              <w:t>5</w:t>
            </w:r>
            <w:r w:rsidR="00A60F48" w:rsidRPr="00F154F0">
              <w:rPr>
                <w:rFonts w:eastAsia="Calibri" w:cs="Arial"/>
                <w:sz w:val="18"/>
                <w:szCs w:val="18"/>
              </w:rPr>
              <w:t>0 mio EUR</w:t>
            </w:r>
          </w:p>
        </w:tc>
        <w:tc>
          <w:tcPr>
            <w:tcW w:w="4819" w:type="dxa"/>
          </w:tcPr>
          <w:p w14:paraId="23E9E2DE" w14:textId="77777777" w:rsidR="00A60F48" w:rsidRPr="00F154F0" w:rsidRDefault="00A60F48" w:rsidP="00F154F0">
            <w:pPr>
              <w:jc w:val="both"/>
              <w:rPr>
                <w:rFonts w:eastAsia="Calibri" w:cs="Arial"/>
                <w:sz w:val="18"/>
                <w:szCs w:val="18"/>
                <w:highlight w:val="yellow"/>
              </w:rPr>
            </w:pPr>
            <w:r w:rsidRPr="00F154F0">
              <w:rPr>
                <w:rFonts w:eastAsia="Calibri" w:cs="Arial"/>
                <w:sz w:val="18"/>
                <w:szCs w:val="18"/>
              </w:rPr>
              <w:t xml:space="preserve">Vsa podjetja </w:t>
            </w:r>
          </w:p>
        </w:tc>
      </w:tr>
      <w:tr w:rsidR="00A60F48" w:rsidRPr="00F154F0" w14:paraId="2E8491E1" w14:textId="77777777" w:rsidTr="007F40E4">
        <w:tc>
          <w:tcPr>
            <w:tcW w:w="10348" w:type="dxa"/>
            <w:gridSpan w:val="3"/>
            <w:shd w:val="clear" w:color="auto" w:fill="B4C6E7" w:themeFill="accent1" w:themeFillTint="66"/>
          </w:tcPr>
          <w:p w14:paraId="4AB2200E" w14:textId="77777777" w:rsidR="00A60F48" w:rsidRPr="00F154F0" w:rsidRDefault="00A60F48" w:rsidP="00F154F0">
            <w:pPr>
              <w:rPr>
                <w:rFonts w:eastAsia="Calibri" w:cs="Arial"/>
                <w:sz w:val="18"/>
                <w:szCs w:val="18"/>
              </w:rPr>
            </w:pPr>
            <w:r w:rsidRPr="00F154F0">
              <w:rPr>
                <w:rFonts w:eastAsia="Calibri" w:cs="Arial"/>
                <w:sz w:val="18"/>
                <w:szCs w:val="18"/>
              </w:rPr>
              <w:t>Področje: mala in srednje velika podjejta (MSP) – SC 1.3</w:t>
            </w:r>
          </w:p>
        </w:tc>
      </w:tr>
      <w:tr w:rsidR="00A60F48" w:rsidRPr="00F154F0" w14:paraId="0AF5410C" w14:textId="77777777" w:rsidTr="007F40E4">
        <w:tc>
          <w:tcPr>
            <w:tcW w:w="2836" w:type="dxa"/>
          </w:tcPr>
          <w:p w14:paraId="5E821D77" w14:textId="77777777" w:rsidR="00A60F48" w:rsidRPr="00F154F0" w:rsidRDefault="00A60F48" w:rsidP="00F154F0">
            <w:pPr>
              <w:jc w:val="both"/>
              <w:rPr>
                <w:rFonts w:eastAsia="Calibri" w:cs="Arial"/>
                <w:sz w:val="18"/>
                <w:szCs w:val="18"/>
              </w:rPr>
            </w:pPr>
            <w:r w:rsidRPr="00F154F0">
              <w:rPr>
                <w:rFonts w:eastAsia="Calibri" w:cs="Arial"/>
                <w:sz w:val="18"/>
                <w:szCs w:val="18"/>
              </w:rPr>
              <w:t>Garancije</w:t>
            </w:r>
          </w:p>
        </w:tc>
        <w:tc>
          <w:tcPr>
            <w:tcW w:w="2693" w:type="dxa"/>
          </w:tcPr>
          <w:p w14:paraId="40B14302" w14:textId="47EE58D1" w:rsidR="00A60F48" w:rsidRPr="00F154F0" w:rsidRDefault="00801DA2" w:rsidP="00F154F0">
            <w:pPr>
              <w:jc w:val="both"/>
              <w:rPr>
                <w:rFonts w:eastAsia="Calibri" w:cs="Arial"/>
                <w:sz w:val="18"/>
                <w:szCs w:val="18"/>
              </w:rPr>
            </w:pPr>
            <w:r>
              <w:rPr>
                <w:rFonts w:eastAsia="Calibri" w:cs="Arial"/>
                <w:sz w:val="18"/>
                <w:szCs w:val="18"/>
              </w:rPr>
              <w:t>68</w:t>
            </w:r>
            <w:r w:rsidR="00A60F48" w:rsidRPr="00F154F0">
              <w:rPr>
                <w:rFonts w:eastAsia="Calibri" w:cs="Arial"/>
                <w:sz w:val="18"/>
                <w:szCs w:val="18"/>
              </w:rPr>
              <w:t xml:space="preserve"> mio EUR</w:t>
            </w:r>
          </w:p>
        </w:tc>
        <w:tc>
          <w:tcPr>
            <w:tcW w:w="4819" w:type="dxa"/>
          </w:tcPr>
          <w:p w14:paraId="6B648954" w14:textId="77777777" w:rsidR="00A60F48" w:rsidRPr="00F154F0" w:rsidRDefault="00A60F48" w:rsidP="00F154F0">
            <w:pPr>
              <w:jc w:val="both"/>
              <w:rPr>
                <w:rFonts w:eastAsia="Calibri" w:cs="Arial"/>
                <w:sz w:val="18"/>
                <w:szCs w:val="18"/>
              </w:rPr>
            </w:pPr>
            <w:r w:rsidRPr="00F154F0">
              <w:rPr>
                <w:rFonts w:eastAsia="Calibri" w:cs="Arial"/>
                <w:sz w:val="18"/>
                <w:szCs w:val="18"/>
              </w:rPr>
              <w:t>MSP</w:t>
            </w:r>
          </w:p>
        </w:tc>
      </w:tr>
      <w:tr w:rsidR="00801DA2" w:rsidRPr="00F154F0" w14:paraId="4036F6BE" w14:textId="77777777" w:rsidTr="007F40E4">
        <w:tc>
          <w:tcPr>
            <w:tcW w:w="2836" w:type="dxa"/>
          </w:tcPr>
          <w:p w14:paraId="0DAA6375" w14:textId="17996544" w:rsidR="00801DA2" w:rsidRPr="00F154F0" w:rsidRDefault="00801DA2" w:rsidP="00801DA2">
            <w:pPr>
              <w:jc w:val="both"/>
              <w:rPr>
                <w:rFonts w:eastAsia="Calibri" w:cs="Arial"/>
                <w:sz w:val="18"/>
                <w:szCs w:val="18"/>
              </w:rPr>
            </w:pPr>
            <w:r>
              <w:rPr>
                <w:rFonts w:eastAsia="Calibri" w:cs="Arial"/>
                <w:sz w:val="18"/>
                <w:szCs w:val="18"/>
              </w:rPr>
              <w:t>Subvencija obrestne mere</w:t>
            </w:r>
          </w:p>
        </w:tc>
        <w:tc>
          <w:tcPr>
            <w:tcW w:w="2693" w:type="dxa"/>
          </w:tcPr>
          <w:p w14:paraId="5CB62F02" w14:textId="50A48BF0" w:rsidR="00801DA2" w:rsidRDefault="00801DA2" w:rsidP="00801DA2">
            <w:pPr>
              <w:jc w:val="both"/>
              <w:rPr>
                <w:rFonts w:eastAsia="Calibri" w:cs="Arial"/>
                <w:sz w:val="18"/>
                <w:szCs w:val="18"/>
              </w:rPr>
            </w:pPr>
            <w:r>
              <w:rPr>
                <w:rFonts w:eastAsia="Calibri" w:cs="Arial"/>
                <w:sz w:val="18"/>
                <w:szCs w:val="18"/>
              </w:rPr>
              <w:t>17</w:t>
            </w:r>
            <w:r w:rsidRPr="00F154F0">
              <w:rPr>
                <w:rFonts w:eastAsia="Calibri" w:cs="Arial"/>
                <w:sz w:val="18"/>
                <w:szCs w:val="18"/>
              </w:rPr>
              <w:t xml:space="preserve"> mio EUR</w:t>
            </w:r>
          </w:p>
        </w:tc>
        <w:tc>
          <w:tcPr>
            <w:tcW w:w="4819" w:type="dxa"/>
          </w:tcPr>
          <w:p w14:paraId="54363FB5" w14:textId="70C0E676" w:rsidR="00801DA2" w:rsidRPr="00F154F0" w:rsidRDefault="00801DA2" w:rsidP="00801DA2">
            <w:pPr>
              <w:jc w:val="both"/>
              <w:rPr>
                <w:rFonts w:eastAsia="Calibri" w:cs="Arial"/>
                <w:sz w:val="18"/>
                <w:szCs w:val="18"/>
              </w:rPr>
            </w:pPr>
            <w:r w:rsidRPr="00F154F0">
              <w:rPr>
                <w:rFonts w:eastAsia="Calibri" w:cs="Arial"/>
                <w:sz w:val="18"/>
                <w:szCs w:val="18"/>
              </w:rPr>
              <w:t>MSP</w:t>
            </w:r>
          </w:p>
        </w:tc>
      </w:tr>
      <w:tr w:rsidR="00A60F48" w:rsidRPr="00F154F0" w14:paraId="41900723" w14:textId="77777777" w:rsidTr="007F40E4">
        <w:tc>
          <w:tcPr>
            <w:tcW w:w="10348" w:type="dxa"/>
            <w:gridSpan w:val="3"/>
            <w:shd w:val="clear" w:color="auto" w:fill="B4C6E7" w:themeFill="accent1" w:themeFillTint="66"/>
          </w:tcPr>
          <w:p w14:paraId="7DCD21A1" w14:textId="77777777" w:rsidR="00A60F48" w:rsidRPr="00F154F0" w:rsidRDefault="00A60F48" w:rsidP="00F154F0">
            <w:pPr>
              <w:rPr>
                <w:rFonts w:eastAsia="Calibri" w:cs="Arial"/>
                <w:sz w:val="18"/>
                <w:szCs w:val="18"/>
              </w:rPr>
            </w:pPr>
            <w:r w:rsidRPr="00F154F0">
              <w:rPr>
                <w:rFonts w:eastAsia="Calibri" w:cs="Arial"/>
                <w:sz w:val="18"/>
                <w:szCs w:val="18"/>
              </w:rPr>
              <w:t>Področje: energetska učinkovitost (EE) - SC 2.1</w:t>
            </w:r>
          </w:p>
        </w:tc>
      </w:tr>
      <w:tr w:rsidR="000B429F" w:rsidRPr="00F154F0" w14:paraId="050A298B" w14:textId="77777777" w:rsidTr="007F40E4">
        <w:tc>
          <w:tcPr>
            <w:tcW w:w="2836" w:type="dxa"/>
          </w:tcPr>
          <w:p w14:paraId="4D6EA80D" w14:textId="77777777" w:rsidR="000B429F" w:rsidRPr="00801DA2" w:rsidRDefault="000B429F" w:rsidP="000B429F">
            <w:pPr>
              <w:jc w:val="both"/>
              <w:rPr>
                <w:rFonts w:eastAsia="Calibri" w:cs="Arial"/>
                <w:sz w:val="18"/>
                <w:szCs w:val="18"/>
              </w:rPr>
            </w:pPr>
            <w:r w:rsidRPr="00801DA2">
              <w:rPr>
                <w:rFonts w:eastAsia="Calibri" w:cs="Arial"/>
                <w:sz w:val="18"/>
                <w:szCs w:val="18"/>
              </w:rPr>
              <w:t>Posojila</w:t>
            </w:r>
          </w:p>
        </w:tc>
        <w:tc>
          <w:tcPr>
            <w:tcW w:w="2693" w:type="dxa"/>
          </w:tcPr>
          <w:p w14:paraId="2931C880" w14:textId="77777777" w:rsidR="000B429F" w:rsidRPr="00801DA2" w:rsidRDefault="000B429F" w:rsidP="000B429F">
            <w:pPr>
              <w:jc w:val="both"/>
              <w:rPr>
                <w:rFonts w:eastAsia="Calibri" w:cs="Arial"/>
                <w:sz w:val="18"/>
                <w:szCs w:val="18"/>
              </w:rPr>
            </w:pPr>
            <w:r w:rsidRPr="00801DA2">
              <w:rPr>
                <w:rFonts w:eastAsia="Calibri" w:cs="Arial"/>
                <w:sz w:val="18"/>
                <w:szCs w:val="18"/>
              </w:rPr>
              <w:t>12 mio EUR</w:t>
            </w:r>
          </w:p>
        </w:tc>
        <w:tc>
          <w:tcPr>
            <w:tcW w:w="4819" w:type="dxa"/>
          </w:tcPr>
          <w:p w14:paraId="75E59ECE" w14:textId="797E8083" w:rsidR="000B429F" w:rsidRPr="000B429F" w:rsidRDefault="000B429F" w:rsidP="000B429F">
            <w:pPr>
              <w:jc w:val="both"/>
              <w:rPr>
                <w:rFonts w:eastAsia="Calibri" w:cs="Arial"/>
                <w:sz w:val="18"/>
                <w:szCs w:val="18"/>
              </w:rPr>
            </w:pPr>
            <w:bookmarkStart w:id="28" w:name="_Hlk204172158"/>
            <w:r w:rsidRPr="000B429F">
              <w:rPr>
                <w:rFonts w:eastAsia="Calibri" w:cs="Arial"/>
                <w:sz w:val="19"/>
                <w:szCs w:val="19"/>
              </w:rPr>
              <w:t xml:space="preserve">Poslovni subjekti: pravne ali fizične osebe, ki opravljajo gospodarsko dejavnost, ne glede na njihovo obliko, razen njihovih podružnic v tujini, </w:t>
            </w:r>
            <w:bookmarkStart w:id="29" w:name="_Hlk180756606"/>
            <w:r w:rsidRPr="000B429F">
              <w:rPr>
                <w:rFonts w:eastAsia="Calibri" w:cs="Arial"/>
                <w:sz w:val="19"/>
                <w:szCs w:val="19"/>
              </w:rPr>
              <w:t>in ki so hkrati lastniki ali solastniki stavb na/v katerih se izvajajo ukrep</w:t>
            </w:r>
            <w:bookmarkEnd w:id="28"/>
            <w:r w:rsidRPr="000B429F">
              <w:rPr>
                <w:rFonts w:eastAsia="Calibri" w:cs="Arial"/>
                <w:sz w:val="19"/>
                <w:szCs w:val="19"/>
              </w:rPr>
              <w:t>i</w:t>
            </w:r>
            <w:bookmarkEnd w:id="29"/>
          </w:p>
        </w:tc>
      </w:tr>
      <w:tr w:rsidR="000B429F" w:rsidRPr="00F154F0" w14:paraId="752EB141" w14:textId="77777777" w:rsidTr="007F40E4">
        <w:tc>
          <w:tcPr>
            <w:tcW w:w="2836" w:type="dxa"/>
          </w:tcPr>
          <w:p w14:paraId="71E871C4" w14:textId="42733FCC" w:rsidR="000B429F" w:rsidRPr="00801DA2" w:rsidRDefault="000B429F" w:rsidP="000B429F">
            <w:pPr>
              <w:jc w:val="both"/>
              <w:rPr>
                <w:rFonts w:eastAsia="Calibri" w:cs="Arial"/>
                <w:sz w:val="18"/>
                <w:szCs w:val="18"/>
              </w:rPr>
            </w:pPr>
            <w:r w:rsidRPr="00801DA2">
              <w:rPr>
                <w:rFonts w:eastAsia="Calibri" w:cs="Arial"/>
                <w:sz w:val="18"/>
                <w:szCs w:val="18"/>
              </w:rPr>
              <w:t>Nepovratna sredstva v okviru FI operacije</w:t>
            </w:r>
          </w:p>
        </w:tc>
        <w:tc>
          <w:tcPr>
            <w:tcW w:w="2693" w:type="dxa"/>
          </w:tcPr>
          <w:p w14:paraId="7D6155D9" w14:textId="77777777" w:rsidR="000B429F" w:rsidRPr="00801DA2" w:rsidRDefault="000B429F" w:rsidP="000B429F">
            <w:pPr>
              <w:jc w:val="both"/>
              <w:rPr>
                <w:rFonts w:eastAsia="Calibri" w:cs="Arial"/>
                <w:sz w:val="18"/>
                <w:szCs w:val="18"/>
              </w:rPr>
            </w:pPr>
            <w:r w:rsidRPr="00801DA2">
              <w:rPr>
                <w:rFonts w:eastAsia="Calibri" w:cs="Arial"/>
                <w:sz w:val="18"/>
                <w:szCs w:val="18"/>
              </w:rPr>
              <w:t>5 mio EUR</w:t>
            </w:r>
          </w:p>
        </w:tc>
        <w:tc>
          <w:tcPr>
            <w:tcW w:w="4819" w:type="dxa"/>
          </w:tcPr>
          <w:p w14:paraId="1A276A88" w14:textId="05150DDD" w:rsidR="000B429F" w:rsidRPr="000B429F" w:rsidRDefault="000B429F" w:rsidP="000B429F">
            <w:pPr>
              <w:jc w:val="both"/>
              <w:rPr>
                <w:rFonts w:eastAsia="Calibri" w:cs="Arial"/>
                <w:sz w:val="18"/>
                <w:szCs w:val="18"/>
              </w:rPr>
            </w:pPr>
            <w:r w:rsidRPr="000B429F">
              <w:rPr>
                <w:rFonts w:eastAsia="Calibri" w:cs="Arial"/>
                <w:sz w:val="19"/>
                <w:szCs w:val="19"/>
              </w:rPr>
              <w:t>Poslovni subjekti: pravne ali fizične osebe, ki opravljajo gospodarsko dejavnost, ne glede na njihovo obliko, razen njihovih podružnic v tujini, in ki so hkrati lastniki ali solastniki stavb na/v katerih se izvajajo ukrepi</w:t>
            </w:r>
          </w:p>
        </w:tc>
      </w:tr>
      <w:tr w:rsidR="00A60F48" w:rsidRPr="00F154F0" w14:paraId="5A3D77FB" w14:textId="77777777" w:rsidTr="007F40E4">
        <w:tc>
          <w:tcPr>
            <w:tcW w:w="10348" w:type="dxa"/>
            <w:gridSpan w:val="3"/>
            <w:shd w:val="clear" w:color="auto" w:fill="B4C6E7" w:themeFill="accent1" w:themeFillTint="66"/>
          </w:tcPr>
          <w:p w14:paraId="1B530041" w14:textId="77777777" w:rsidR="00A60F48" w:rsidRPr="00801DA2" w:rsidRDefault="00A60F48" w:rsidP="00F154F0">
            <w:pPr>
              <w:rPr>
                <w:rFonts w:eastAsia="Calibri" w:cs="Arial"/>
                <w:sz w:val="18"/>
                <w:szCs w:val="18"/>
              </w:rPr>
            </w:pPr>
            <w:r w:rsidRPr="00801DA2">
              <w:rPr>
                <w:rFonts w:eastAsia="Calibri" w:cs="Arial"/>
                <w:sz w:val="18"/>
                <w:szCs w:val="18"/>
              </w:rPr>
              <w:t>Področje: krožno gospodarstvo (KG) - SC 2.6</w:t>
            </w:r>
          </w:p>
        </w:tc>
      </w:tr>
      <w:tr w:rsidR="00A60F48" w:rsidRPr="00F154F0" w14:paraId="3D2B606C" w14:textId="77777777" w:rsidTr="007F40E4">
        <w:tc>
          <w:tcPr>
            <w:tcW w:w="2836" w:type="dxa"/>
          </w:tcPr>
          <w:p w14:paraId="0330C522" w14:textId="77777777" w:rsidR="00A60F48" w:rsidRPr="00801DA2" w:rsidRDefault="00A60F48" w:rsidP="00F154F0">
            <w:pPr>
              <w:rPr>
                <w:rFonts w:eastAsia="Calibri" w:cs="Arial"/>
                <w:sz w:val="18"/>
                <w:szCs w:val="18"/>
              </w:rPr>
            </w:pPr>
            <w:r w:rsidRPr="00801DA2">
              <w:rPr>
                <w:rFonts w:cs="Arial"/>
                <w:sz w:val="18"/>
                <w:szCs w:val="18"/>
              </w:rPr>
              <w:t>Posojila</w:t>
            </w:r>
          </w:p>
        </w:tc>
        <w:tc>
          <w:tcPr>
            <w:tcW w:w="2693" w:type="dxa"/>
          </w:tcPr>
          <w:p w14:paraId="010760E1" w14:textId="77777777" w:rsidR="00A60F48" w:rsidRPr="00801DA2" w:rsidRDefault="00A60F48" w:rsidP="00F154F0">
            <w:pPr>
              <w:jc w:val="both"/>
              <w:rPr>
                <w:rFonts w:eastAsia="Calibri" w:cs="Arial"/>
                <w:sz w:val="18"/>
                <w:szCs w:val="18"/>
              </w:rPr>
            </w:pPr>
            <w:r w:rsidRPr="00801DA2">
              <w:rPr>
                <w:rFonts w:eastAsia="Calibri" w:cs="Arial"/>
                <w:sz w:val="18"/>
                <w:szCs w:val="18"/>
              </w:rPr>
              <w:t>15 mio EUR</w:t>
            </w:r>
          </w:p>
        </w:tc>
        <w:tc>
          <w:tcPr>
            <w:tcW w:w="4819" w:type="dxa"/>
          </w:tcPr>
          <w:p w14:paraId="131C3BB6" w14:textId="702595A8" w:rsidR="00A60F48" w:rsidRPr="00BE0769" w:rsidRDefault="00BE0769" w:rsidP="00F154F0">
            <w:pPr>
              <w:jc w:val="both"/>
              <w:rPr>
                <w:rFonts w:eastAsia="Calibri" w:cs="Arial"/>
                <w:sz w:val="18"/>
                <w:szCs w:val="18"/>
              </w:rPr>
            </w:pPr>
            <w:r>
              <w:rPr>
                <w:rFonts w:eastAsia="Calibri" w:cs="Arial"/>
                <w:sz w:val="18"/>
                <w:szCs w:val="18"/>
              </w:rPr>
              <w:t>V</w:t>
            </w:r>
            <w:r w:rsidR="00417A61" w:rsidRPr="00BE0769">
              <w:rPr>
                <w:rFonts w:eastAsia="Calibri" w:cs="Arial"/>
                <w:sz w:val="18"/>
                <w:szCs w:val="18"/>
              </w:rPr>
              <w:t>sa podjetja</w:t>
            </w:r>
          </w:p>
        </w:tc>
      </w:tr>
      <w:tr w:rsidR="00A60F48" w:rsidRPr="00F154F0" w14:paraId="6D78628B" w14:textId="77777777" w:rsidTr="007F40E4">
        <w:tc>
          <w:tcPr>
            <w:tcW w:w="2836" w:type="dxa"/>
          </w:tcPr>
          <w:p w14:paraId="441ED580" w14:textId="452BF56D" w:rsidR="00A60F48" w:rsidRPr="00801DA2" w:rsidRDefault="00A60F48" w:rsidP="00F154F0">
            <w:pPr>
              <w:rPr>
                <w:rFonts w:cs="Arial"/>
                <w:sz w:val="18"/>
                <w:szCs w:val="18"/>
              </w:rPr>
            </w:pPr>
            <w:r w:rsidRPr="00801DA2">
              <w:rPr>
                <w:rFonts w:eastAsia="Calibri" w:cs="Arial"/>
                <w:sz w:val="18"/>
                <w:szCs w:val="18"/>
              </w:rPr>
              <w:t>Nepovratna sredstva v okviru FI operacije</w:t>
            </w:r>
          </w:p>
        </w:tc>
        <w:tc>
          <w:tcPr>
            <w:tcW w:w="2693" w:type="dxa"/>
          </w:tcPr>
          <w:p w14:paraId="6DF15960" w14:textId="77777777" w:rsidR="00A60F48" w:rsidRPr="00801DA2" w:rsidRDefault="00A60F48" w:rsidP="00F154F0">
            <w:pPr>
              <w:jc w:val="both"/>
              <w:rPr>
                <w:rFonts w:eastAsia="Calibri" w:cs="Arial"/>
                <w:sz w:val="18"/>
                <w:szCs w:val="18"/>
              </w:rPr>
            </w:pPr>
            <w:r w:rsidRPr="00801DA2">
              <w:rPr>
                <w:rFonts w:eastAsia="Calibri" w:cs="Arial"/>
                <w:sz w:val="18"/>
                <w:szCs w:val="18"/>
              </w:rPr>
              <w:t>15 mio EUR</w:t>
            </w:r>
          </w:p>
        </w:tc>
        <w:tc>
          <w:tcPr>
            <w:tcW w:w="4819" w:type="dxa"/>
          </w:tcPr>
          <w:p w14:paraId="5EFEBBD2" w14:textId="16BB4CDD" w:rsidR="00A60F48" w:rsidRPr="00BE0769" w:rsidRDefault="00BE0769" w:rsidP="00F154F0">
            <w:pPr>
              <w:jc w:val="both"/>
              <w:rPr>
                <w:rFonts w:eastAsia="Calibri" w:cs="Arial"/>
                <w:sz w:val="18"/>
                <w:szCs w:val="18"/>
              </w:rPr>
            </w:pPr>
            <w:r>
              <w:rPr>
                <w:rFonts w:eastAsia="Calibri" w:cs="Arial"/>
                <w:sz w:val="18"/>
                <w:szCs w:val="18"/>
              </w:rPr>
              <w:t>V</w:t>
            </w:r>
            <w:r w:rsidR="00417A61" w:rsidRPr="00BE0769">
              <w:rPr>
                <w:rFonts w:eastAsia="Calibri" w:cs="Arial"/>
                <w:sz w:val="18"/>
                <w:szCs w:val="18"/>
              </w:rPr>
              <w:t>sa podjetja</w:t>
            </w:r>
          </w:p>
        </w:tc>
      </w:tr>
      <w:tr w:rsidR="00A60F48" w:rsidRPr="00F154F0" w14:paraId="6CA08804" w14:textId="77777777" w:rsidTr="007F40E4">
        <w:tc>
          <w:tcPr>
            <w:tcW w:w="10348" w:type="dxa"/>
            <w:gridSpan w:val="3"/>
            <w:shd w:val="clear" w:color="auto" w:fill="B4C6E7" w:themeFill="accent1" w:themeFillTint="66"/>
          </w:tcPr>
          <w:p w14:paraId="3E6966FB" w14:textId="77777777" w:rsidR="00A60F48" w:rsidRPr="00801DA2" w:rsidRDefault="00A60F48" w:rsidP="00F154F0">
            <w:pPr>
              <w:rPr>
                <w:rFonts w:eastAsia="Calibri" w:cs="Arial"/>
                <w:sz w:val="18"/>
                <w:szCs w:val="18"/>
              </w:rPr>
            </w:pPr>
            <w:r w:rsidRPr="00801DA2">
              <w:rPr>
                <w:rFonts w:eastAsia="Calibri" w:cs="Arial"/>
                <w:sz w:val="18"/>
                <w:szCs w:val="18"/>
              </w:rPr>
              <w:t>Področje: urbani razvoj (UR) - SC 5.1</w:t>
            </w:r>
          </w:p>
        </w:tc>
      </w:tr>
      <w:tr w:rsidR="00A60F48" w:rsidRPr="00F154F0" w14:paraId="7E54CD22" w14:textId="77777777" w:rsidTr="007F40E4">
        <w:tc>
          <w:tcPr>
            <w:tcW w:w="2836" w:type="dxa"/>
          </w:tcPr>
          <w:p w14:paraId="658F03AD" w14:textId="77777777" w:rsidR="00A60F48" w:rsidRPr="00801DA2" w:rsidRDefault="00A60F48" w:rsidP="00F154F0">
            <w:pPr>
              <w:jc w:val="both"/>
              <w:rPr>
                <w:rFonts w:eastAsia="Calibri" w:cs="Arial"/>
                <w:sz w:val="18"/>
                <w:szCs w:val="18"/>
              </w:rPr>
            </w:pPr>
            <w:r w:rsidRPr="00801DA2">
              <w:rPr>
                <w:rFonts w:eastAsia="Calibri" w:cs="Arial"/>
                <w:sz w:val="18"/>
                <w:szCs w:val="18"/>
              </w:rPr>
              <w:lastRenderedPageBreak/>
              <w:t>Posojila</w:t>
            </w:r>
          </w:p>
        </w:tc>
        <w:tc>
          <w:tcPr>
            <w:tcW w:w="2693" w:type="dxa"/>
          </w:tcPr>
          <w:p w14:paraId="3A8CF85D" w14:textId="77777777" w:rsidR="00A60F48" w:rsidRPr="00801DA2" w:rsidRDefault="00A60F48" w:rsidP="00F154F0">
            <w:pPr>
              <w:jc w:val="both"/>
              <w:rPr>
                <w:rFonts w:eastAsia="Calibri" w:cs="Arial"/>
                <w:sz w:val="18"/>
                <w:szCs w:val="18"/>
              </w:rPr>
            </w:pPr>
            <w:r w:rsidRPr="00801DA2">
              <w:rPr>
                <w:rFonts w:eastAsia="Calibri" w:cs="Arial"/>
                <w:sz w:val="18"/>
                <w:szCs w:val="18"/>
              </w:rPr>
              <w:t>8 mio EUR</w:t>
            </w:r>
          </w:p>
        </w:tc>
        <w:tc>
          <w:tcPr>
            <w:tcW w:w="4819" w:type="dxa"/>
          </w:tcPr>
          <w:p w14:paraId="4D20CC92" w14:textId="72B987FA" w:rsidR="00A60F48" w:rsidRPr="00F154F0" w:rsidRDefault="00BD58D7" w:rsidP="00F154F0">
            <w:pPr>
              <w:jc w:val="both"/>
              <w:rPr>
                <w:rFonts w:eastAsia="Calibri" w:cs="Arial"/>
                <w:sz w:val="18"/>
                <w:szCs w:val="18"/>
              </w:rPr>
            </w:pPr>
            <w:r w:rsidRPr="00BE0769">
              <w:rPr>
                <w:rFonts w:cs="Arial"/>
                <w:sz w:val="18"/>
                <w:szCs w:val="18"/>
              </w:rPr>
              <w:t>Lokalne skupnosti (mestne občine),</w:t>
            </w:r>
            <w:r w:rsidR="0074769D" w:rsidRPr="00BE0769">
              <w:rPr>
                <w:rFonts w:cs="Arial"/>
                <w:sz w:val="18"/>
                <w:szCs w:val="18"/>
              </w:rPr>
              <w:t xml:space="preserve"> javni skladi</w:t>
            </w:r>
            <w:r w:rsidR="00DF7420">
              <w:rPr>
                <w:rFonts w:cs="Arial"/>
                <w:sz w:val="18"/>
                <w:szCs w:val="18"/>
              </w:rPr>
              <w:t>,</w:t>
            </w:r>
            <w:r w:rsidRPr="00BE0769">
              <w:rPr>
                <w:rFonts w:cs="Arial"/>
                <w:sz w:val="18"/>
                <w:szCs w:val="18"/>
              </w:rPr>
              <w:t xml:space="preserve"> javna in zasebna podjetja, ki izvajajo javne funkcije</w:t>
            </w:r>
          </w:p>
        </w:tc>
      </w:tr>
    </w:tbl>
    <w:p w14:paraId="211EB3D6" w14:textId="77777777" w:rsidR="009B2898" w:rsidRDefault="009B2898" w:rsidP="00F154F0">
      <w:pPr>
        <w:jc w:val="both"/>
        <w:rPr>
          <w:rFonts w:cs="Arial"/>
          <w:sz w:val="20"/>
          <w:szCs w:val="20"/>
        </w:rPr>
      </w:pPr>
    </w:p>
    <w:p w14:paraId="21F91D7C" w14:textId="05ACCD38" w:rsidR="00BF72F5" w:rsidRDefault="00C65AF0" w:rsidP="00F154F0">
      <w:pPr>
        <w:jc w:val="both"/>
        <w:rPr>
          <w:rFonts w:cs="Arial"/>
          <w:i/>
          <w:iCs/>
          <w:sz w:val="20"/>
          <w:szCs w:val="20"/>
        </w:rPr>
      </w:pPr>
      <w:r w:rsidRPr="00E87D53">
        <w:rPr>
          <w:rFonts w:cs="Arial"/>
          <w:sz w:val="20"/>
          <w:szCs w:val="20"/>
        </w:rPr>
        <w:t>Skladno z drugim odstavkom 92</w:t>
      </w:r>
      <w:r w:rsidR="00636A95">
        <w:rPr>
          <w:rFonts w:cs="Arial"/>
          <w:sz w:val="20"/>
          <w:szCs w:val="20"/>
        </w:rPr>
        <w:t>.</w:t>
      </w:r>
      <w:r w:rsidRPr="00E87D53">
        <w:rPr>
          <w:rFonts w:cs="Arial"/>
          <w:sz w:val="20"/>
          <w:szCs w:val="20"/>
        </w:rPr>
        <w:t xml:space="preserve"> člena Uredbe EU 2021/1060 </w:t>
      </w:r>
      <w:r w:rsidR="00801DA2">
        <w:rPr>
          <w:rFonts w:cs="Arial"/>
          <w:sz w:val="20"/>
          <w:szCs w:val="20"/>
        </w:rPr>
        <w:t xml:space="preserve">je </w:t>
      </w:r>
      <w:r w:rsidR="002F6103">
        <w:rPr>
          <w:rFonts w:cs="Arial"/>
          <w:sz w:val="20"/>
          <w:szCs w:val="20"/>
        </w:rPr>
        <w:t xml:space="preserve">predhodno </w:t>
      </w:r>
      <w:r w:rsidR="00EF6593">
        <w:rPr>
          <w:rFonts w:cs="Arial"/>
          <w:sz w:val="20"/>
          <w:szCs w:val="20"/>
        </w:rPr>
        <w:t>vplačilo v holdinški sklad</w:t>
      </w:r>
      <w:r w:rsidR="008E0763">
        <w:rPr>
          <w:rFonts w:cs="Arial"/>
          <w:sz w:val="20"/>
          <w:szCs w:val="20"/>
        </w:rPr>
        <w:t>, v letu 2025,</w:t>
      </w:r>
      <w:r w:rsidRPr="00E87D53">
        <w:rPr>
          <w:rFonts w:cs="Arial"/>
          <w:sz w:val="20"/>
          <w:szCs w:val="20"/>
        </w:rPr>
        <w:t xml:space="preserve"> znaša</w:t>
      </w:r>
      <w:r w:rsidR="00801DA2">
        <w:rPr>
          <w:rFonts w:cs="Arial"/>
          <w:sz w:val="20"/>
          <w:szCs w:val="20"/>
        </w:rPr>
        <w:t>lo</w:t>
      </w:r>
      <w:r w:rsidRPr="00E87D53">
        <w:rPr>
          <w:rFonts w:cs="Arial"/>
          <w:sz w:val="20"/>
          <w:szCs w:val="20"/>
        </w:rPr>
        <w:t xml:space="preserve"> 30</w:t>
      </w:r>
      <w:r w:rsidR="00DF7420">
        <w:rPr>
          <w:rFonts w:cs="Arial"/>
          <w:sz w:val="20"/>
          <w:szCs w:val="20"/>
        </w:rPr>
        <w:t xml:space="preserve"> </w:t>
      </w:r>
      <w:r w:rsidRPr="00E87D53">
        <w:rPr>
          <w:rFonts w:cs="Arial"/>
          <w:sz w:val="20"/>
          <w:szCs w:val="20"/>
        </w:rPr>
        <w:t xml:space="preserve">% (tj. </w:t>
      </w:r>
      <w:r w:rsidR="00BE0769" w:rsidRPr="00D451F8">
        <w:rPr>
          <w:rFonts w:cs="Arial"/>
          <w:sz w:val="20"/>
          <w:szCs w:val="20"/>
        </w:rPr>
        <w:t>57</w:t>
      </w:r>
      <w:r w:rsidRPr="00DF7420">
        <w:rPr>
          <w:rFonts w:cs="Arial"/>
          <w:sz w:val="20"/>
          <w:szCs w:val="20"/>
        </w:rPr>
        <w:t xml:space="preserve"> mio</w:t>
      </w:r>
      <w:r w:rsidRPr="00E87D53">
        <w:rPr>
          <w:rFonts w:cs="Arial"/>
          <w:sz w:val="20"/>
          <w:szCs w:val="20"/>
        </w:rPr>
        <w:t xml:space="preserve"> EUR) dodeljenih sredstev evropske kohezijske politike za operacijo</w:t>
      </w:r>
      <w:r w:rsidR="00826CE9">
        <w:rPr>
          <w:rFonts w:cs="Arial"/>
          <w:sz w:val="20"/>
          <w:szCs w:val="20"/>
        </w:rPr>
        <w:t xml:space="preserve"> </w:t>
      </w:r>
      <w:r w:rsidR="00452DC6">
        <w:rPr>
          <w:rFonts w:cs="Arial"/>
          <w:sz w:val="20"/>
          <w:szCs w:val="20"/>
        </w:rPr>
        <w:t>FI</w:t>
      </w:r>
      <w:r w:rsidRPr="00E87D53">
        <w:rPr>
          <w:rFonts w:cs="Arial"/>
          <w:sz w:val="20"/>
          <w:szCs w:val="20"/>
        </w:rPr>
        <w:t>.</w:t>
      </w:r>
      <w:r w:rsidR="00801DA2">
        <w:rPr>
          <w:rFonts w:cs="Arial"/>
          <w:sz w:val="20"/>
          <w:szCs w:val="20"/>
        </w:rPr>
        <w:t xml:space="preserve"> </w:t>
      </w:r>
      <w:r w:rsidR="00826CE9">
        <w:rPr>
          <w:rFonts w:cs="Arial"/>
          <w:sz w:val="20"/>
          <w:szCs w:val="20"/>
        </w:rPr>
        <w:t>Dinamika i</w:t>
      </w:r>
      <w:r w:rsidRPr="00E87D53">
        <w:rPr>
          <w:rFonts w:cs="Arial"/>
          <w:sz w:val="20"/>
          <w:szCs w:val="20"/>
        </w:rPr>
        <w:t>zplačil nadaljn</w:t>
      </w:r>
      <w:r w:rsidR="00EF6593">
        <w:rPr>
          <w:rFonts w:cs="Arial"/>
          <w:sz w:val="20"/>
          <w:szCs w:val="20"/>
        </w:rPr>
        <w:t>j</w:t>
      </w:r>
      <w:r w:rsidRPr="00E87D53">
        <w:rPr>
          <w:rFonts w:cs="Arial"/>
          <w:sz w:val="20"/>
          <w:szCs w:val="20"/>
        </w:rPr>
        <w:t>ih zahtevkov za plačilo</w:t>
      </w:r>
      <w:r w:rsidR="00826CE9">
        <w:rPr>
          <w:rFonts w:cs="Arial"/>
          <w:sz w:val="20"/>
          <w:szCs w:val="20"/>
        </w:rPr>
        <w:t xml:space="preserve"> po letih</w:t>
      </w:r>
      <w:r w:rsidRPr="00E87D53">
        <w:rPr>
          <w:rFonts w:cs="Arial"/>
          <w:sz w:val="20"/>
          <w:szCs w:val="20"/>
        </w:rPr>
        <w:t xml:space="preserve"> </w:t>
      </w:r>
      <w:r w:rsidR="00826CE9">
        <w:rPr>
          <w:rFonts w:cs="Arial"/>
          <w:sz w:val="20"/>
          <w:szCs w:val="20"/>
        </w:rPr>
        <w:t>pa je</w:t>
      </w:r>
      <w:r w:rsidRPr="00E87D53">
        <w:rPr>
          <w:rFonts w:cs="Arial"/>
          <w:sz w:val="20"/>
          <w:szCs w:val="20"/>
        </w:rPr>
        <w:t xml:space="preserve"> odvisn</w:t>
      </w:r>
      <w:r w:rsidR="00826CE9">
        <w:rPr>
          <w:rFonts w:cs="Arial"/>
          <w:sz w:val="20"/>
          <w:szCs w:val="20"/>
        </w:rPr>
        <w:t>a</w:t>
      </w:r>
      <w:r w:rsidRPr="00E87D53">
        <w:rPr>
          <w:rFonts w:cs="Arial"/>
          <w:sz w:val="20"/>
          <w:szCs w:val="20"/>
        </w:rPr>
        <w:t xml:space="preserve"> od razvoja produktov in njihove dejanske alokacije ter absorbcije na trgu in se lahko tekom izvajanja spremeni</w:t>
      </w:r>
      <w:r w:rsidR="002F6103" w:rsidRPr="002F6103">
        <w:t xml:space="preserve"> </w:t>
      </w:r>
      <w:r w:rsidR="002F6103" w:rsidRPr="002F6103">
        <w:rPr>
          <w:rFonts w:cs="Arial"/>
          <w:sz w:val="20"/>
          <w:szCs w:val="20"/>
        </w:rPr>
        <w:t xml:space="preserve">kar je tudi skladno z Uredbo (EU) 2021/1060, ki v 92. </w:t>
      </w:r>
      <w:r w:rsidR="002F6103" w:rsidRPr="00DF7420">
        <w:rPr>
          <w:rFonts w:cs="Arial"/>
          <w:sz w:val="20"/>
          <w:szCs w:val="20"/>
        </w:rPr>
        <w:t>členu</w:t>
      </w:r>
      <w:r w:rsidR="00DF7420">
        <w:rPr>
          <w:rFonts w:cs="Arial"/>
          <w:sz w:val="20"/>
          <w:szCs w:val="20"/>
        </w:rPr>
        <w:t xml:space="preserve"> določa, da se zahtevki za izplačilo predložijo po nastanku upravičenih izdatkov, torej skladno z dinamiko plasiranja sredstev končnim prejemnikom.</w:t>
      </w:r>
      <w:r w:rsidRPr="00DF7420">
        <w:rPr>
          <w:rFonts w:cs="Arial"/>
          <w:sz w:val="20"/>
          <w:szCs w:val="20"/>
        </w:rPr>
        <w:t xml:space="preserve"> </w:t>
      </w:r>
    </w:p>
    <w:p w14:paraId="3AB77653" w14:textId="77777777" w:rsidR="00BF72F5" w:rsidRDefault="00BF72F5" w:rsidP="00F154F0">
      <w:pPr>
        <w:jc w:val="both"/>
        <w:rPr>
          <w:rFonts w:cs="Arial"/>
          <w:i/>
          <w:iCs/>
          <w:sz w:val="20"/>
          <w:szCs w:val="20"/>
        </w:rPr>
      </w:pPr>
    </w:p>
    <w:p w14:paraId="145AF0A3" w14:textId="240EBEE2" w:rsidR="006B6A0B" w:rsidRDefault="00BF248B" w:rsidP="00BF72F5">
      <w:pPr>
        <w:spacing w:after="120"/>
        <w:jc w:val="both"/>
        <w:rPr>
          <w:rFonts w:cs="Arial"/>
          <w:i/>
          <w:iCs/>
          <w:sz w:val="20"/>
          <w:szCs w:val="20"/>
        </w:rPr>
      </w:pPr>
      <w:r w:rsidRPr="00F154F0">
        <w:rPr>
          <w:rFonts w:cs="Arial"/>
          <w:sz w:val="20"/>
          <w:szCs w:val="20"/>
        </w:rPr>
        <w:t>Tabela 2</w:t>
      </w:r>
      <w:r w:rsidRPr="00F154F0">
        <w:rPr>
          <w:rFonts w:eastAsia="CIDFont+F2" w:cs="Arial"/>
          <w:sz w:val="20"/>
          <w:szCs w:val="20"/>
          <w:lang w:eastAsia="sl-SI"/>
        </w:rPr>
        <w:t xml:space="preserve">: </w:t>
      </w:r>
      <w:r>
        <w:rPr>
          <w:rFonts w:eastAsia="CIDFont+F2" w:cs="Arial"/>
          <w:sz w:val="20"/>
          <w:szCs w:val="20"/>
          <w:lang w:eastAsia="sl-SI"/>
        </w:rPr>
        <w:t xml:space="preserve">Predvidena </w:t>
      </w:r>
      <w:r w:rsidRPr="00F154F0">
        <w:rPr>
          <w:rFonts w:eastAsia="CIDFont+F2" w:cs="Arial"/>
          <w:sz w:val="20"/>
          <w:szCs w:val="20"/>
          <w:lang w:eastAsia="sl-SI"/>
        </w:rPr>
        <w:t>dinamika izplačil FI 202</w:t>
      </w:r>
      <w:r>
        <w:rPr>
          <w:rFonts w:eastAsia="CIDFont+F2" w:cs="Arial"/>
          <w:sz w:val="20"/>
          <w:szCs w:val="20"/>
          <w:lang w:eastAsia="sl-SI"/>
        </w:rPr>
        <w:t>5</w:t>
      </w:r>
      <w:r w:rsidRPr="00F154F0">
        <w:rPr>
          <w:rFonts w:eastAsia="CIDFont+F2" w:cs="Arial"/>
          <w:sz w:val="20"/>
          <w:szCs w:val="20"/>
          <w:lang w:eastAsia="sl-SI"/>
        </w:rPr>
        <w:t xml:space="preserve">-2029 iz vira EU sredstev </w:t>
      </w:r>
    </w:p>
    <w:tbl>
      <w:tblPr>
        <w:tblpPr w:leftFromText="141" w:rightFromText="141" w:vertAnchor="text" w:horzAnchor="margin" w:tblpXSpec="center" w:tblpY="10"/>
        <w:tblW w:w="9766" w:type="dxa"/>
        <w:tblCellMar>
          <w:left w:w="70" w:type="dxa"/>
          <w:right w:w="70" w:type="dxa"/>
        </w:tblCellMar>
        <w:tblLook w:val="04A0" w:firstRow="1" w:lastRow="0" w:firstColumn="1" w:lastColumn="0" w:noHBand="0" w:noVBand="1"/>
      </w:tblPr>
      <w:tblGrid>
        <w:gridCol w:w="870"/>
        <w:gridCol w:w="1111"/>
        <w:gridCol w:w="671"/>
        <w:gridCol w:w="1164"/>
        <w:gridCol w:w="1245"/>
        <w:gridCol w:w="1164"/>
        <w:gridCol w:w="1164"/>
        <w:gridCol w:w="1101"/>
        <w:gridCol w:w="1276"/>
      </w:tblGrid>
      <w:tr w:rsidR="008E0763" w:rsidRPr="00801DA2" w:rsidDel="00DE7433" w14:paraId="765647DB" w14:textId="77777777" w:rsidTr="00BF248B">
        <w:trPr>
          <w:trHeight w:val="465"/>
        </w:trPr>
        <w:tc>
          <w:tcPr>
            <w:tcW w:w="870" w:type="dxa"/>
            <w:tcBorders>
              <w:top w:val="single" w:sz="12" w:space="0" w:color="auto"/>
              <w:left w:val="single" w:sz="12" w:space="0" w:color="auto"/>
              <w:bottom w:val="single" w:sz="8" w:space="0" w:color="auto"/>
              <w:right w:val="single" w:sz="8" w:space="0" w:color="auto"/>
            </w:tcBorders>
            <w:shd w:val="clear" w:color="000000" w:fill="B4C6E7"/>
            <w:vAlign w:val="center"/>
            <w:hideMark/>
          </w:tcPr>
          <w:p w14:paraId="4B21916E"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Področje</w:t>
            </w:r>
          </w:p>
        </w:tc>
        <w:tc>
          <w:tcPr>
            <w:tcW w:w="1111" w:type="dxa"/>
            <w:tcBorders>
              <w:top w:val="single" w:sz="12" w:space="0" w:color="auto"/>
              <w:left w:val="nil"/>
              <w:bottom w:val="single" w:sz="8" w:space="0" w:color="auto"/>
              <w:right w:val="single" w:sz="8" w:space="0" w:color="auto"/>
            </w:tcBorders>
            <w:shd w:val="clear" w:color="000000" w:fill="B4C6E7"/>
            <w:vAlign w:val="center"/>
            <w:hideMark/>
          </w:tcPr>
          <w:p w14:paraId="61D518D4"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Finančni instrument</w:t>
            </w:r>
          </w:p>
        </w:tc>
        <w:tc>
          <w:tcPr>
            <w:tcW w:w="671" w:type="dxa"/>
            <w:tcBorders>
              <w:top w:val="single" w:sz="12" w:space="0" w:color="auto"/>
              <w:left w:val="nil"/>
              <w:bottom w:val="single" w:sz="8" w:space="0" w:color="auto"/>
              <w:right w:val="single" w:sz="8" w:space="0" w:color="auto"/>
            </w:tcBorders>
            <w:shd w:val="clear" w:color="000000" w:fill="B4C6E7"/>
            <w:vAlign w:val="center"/>
            <w:hideMark/>
          </w:tcPr>
          <w:p w14:paraId="47265E1F"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Regija</w:t>
            </w:r>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6961F0E1" w14:textId="77777777" w:rsidR="00BF72F5" w:rsidRDefault="008E0763" w:rsidP="00BF248B">
            <w:pPr>
              <w:jc w:val="center"/>
              <w:rPr>
                <w:rFonts w:cs="Arial"/>
                <w:b/>
                <w:bCs/>
                <w:color w:val="000000"/>
                <w:sz w:val="16"/>
                <w:szCs w:val="16"/>
                <w:lang w:eastAsia="sl-SI"/>
              </w:rPr>
            </w:pPr>
            <w:r>
              <w:rPr>
                <w:rFonts w:cs="Arial"/>
                <w:b/>
                <w:bCs/>
                <w:color w:val="000000"/>
                <w:sz w:val="16"/>
                <w:szCs w:val="16"/>
                <w:lang w:eastAsia="sl-SI"/>
              </w:rPr>
              <w:t xml:space="preserve">Izplačano </w:t>
            </w:r>
          </w:p>
          <w:p w14:paraId="25F5B4B0" w14:textId="236A034C" w:rsidR="00BF248B" w:rsidRPr="00BF72F5" w:rsidDel="00DE7433" w:rsidRDefault="00BF72F5" w:rsidP="00BF248B">
            <w:pPr>
              <w:jc w:val="center"/>
              <w:rPr>
                <w:rFonts w:cs="Arial"/>
                <w:b/>
                <w:bCs/>
                <w:color w:val="000000"/>
                <w:sz w:val="16"/>
                <w:szCs w:val="16"/>
                <w:lang w:eastAsia="sl-SI"/>
              </w:rPr>
            </w:pPr>
            <w:r>
              <w:rPr>
                <w:rFonts w:cs="Arial"/>
                <w:b/>
                <w:bCs/>
                <w:color w:val="000000"/>
                <w:sz w:val="16"/>
                <w:szCs w:val="16"/>
                <w:lang w:eastAsia="sl-SI"/>
              </w:rPr>
              <w:t xml:space="preserve">v </w:t>
            </w:r>
            <w:r w:rsidR="00BF248B" w:rsidRPr="00BF72F5" w:rsidDel="00DE7433">
              <w:rPr>
                <w:rFonts w:cs="Arial"/>
                <w:b/>
                <w:bCs/>
                <w:color w:val="000000"/>
                <w:sz w:val="16"/>
                <w:szCs w:val="16"/>
                <w:lang w:eastAsia="sl-SI"/>
              </w:rPr>
              <w:t>2025</w:t>
            </w:r>
          </w:p>
        </w:tc>
        <w:tc>
          <w:tcPr>
            <w:tcW w:w="1245" w:type="dxa"/>
            <w:tcBorders>
              <w:top w:val="single" w:sz="12" w:space="0" w:color="auto"/>
              <w:left w:val="nil"/>
              <w:bottom w:val="single" w:sz="8" w:space="0" w:color="auto"/>
              <w:right w:val="single" w:sz="8" w:space="0" w:color="auto"/>
            </w:tcBorders>
            <w:shd w:val="clear" w:color="000000" w:fill="B4C6E7"/>
            <w:vAlign w:val="center"/>
            <w:hideMark/>
          </w:tcPr>
          <w:p w14:paraId="5E218D37"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2026</w:t>
            </w:r>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4833698C"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2027</w:t>
            </w:r>
          </w:p>
        </w:tc>
        <w:tc>
          <w:tcPr>
            <w:tcW w:w="1164" w:type="dxa"/>
            <w:tcBorders>
              <w:top w:val="single" w:sz="12" w:space="0" w:color="auto"/>
              <w:left w:val="nil"/>
              <w:bottom w:val="single" w:sz="8" w:space="0" w:color="auto"/>
              <w:right w:val="single" w:sz="8" w:space="0" w:color="auto"/>
            </w:tcBorders>
            <w:shd w:val="clear" w:color="000000" w:fill="B4C6E7"/>
            <w:vAlign w:val="center"/>
            <w:hideMark/>
          </w:tcPr>
          <w:p w14:paraId="7764EF48"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2028</w:t>
            </w:r>
          </w:p>
        </w:tc>
        <w:tc>
          <w:tcPr>
            <w:tcW w:w="1101" w:type="dxa"/>
            <w:tcBorders>
              <w:top w:val="single" w:sz="12" w:space="0" w:color="auto"/>
              <w:left w:val="nil"/>
              <w:bottom w:val="single" w:sz="8" w:space="0" w:color="auto"/>
              <w:right w:val="single" w:sz="8" w:space="0" w:color="auto"/>
            </w:tcBorders>
            <w:shd w:val="clear" w:color="000000" w:fill="B4C6E7"/>
            <w:vAlign w:val="center"/>
            <w:hideMark/>
          </w:tcPr>
          <w:p w14:paraId="763C8BAC"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2029</w:t>
            </w:r>
          </w:p>
        </w:tc>
        <w:tc>
          <w:tcPr>
            <w:tcW w:w="1276" w:type="dxa"/>
            <w:tcBorders>
              <w:top w:val="single" w:sz="12" w:space="0" w:color="auto"/>
              <w:left w:val="nil"/>
              <w:bottom w:val="single" w:sz="8" w:space="0" w:color="auto"/>
              <w:right w:val="single" w:sz="12" w:space="0" w:color="auto"/>
            </w:tcBorders>
            <w:shd w:val="clear" w:color="000000" w:fill="B4C6E7"/>
            <w:vAlign w:val="center"/>
            <w:hideMark/>
          </w:tcPr>
          <w:p w14:paraId="0BC742B1" w14:textId="77777777" w:rsidR="00BF248B" w:rsidRPr="00BF72F5" w:rsidDel="00DE7433" w:rsidRDefault="00BF248B" w:rsidP="00BF248B">
            <w:pPr>
              <w:jc w:val="center"/>
              <w:rPr>
                <w:rFonts w:cs="Arial"/>
                <w:b/>
                <w:bCs/>
                <w:color w:val="000000"/>
                <w:sz w:val="16"/>
                <w:szCs w:val="16"/>
                <w:lang w:eastAsia="sl-SI"/>
              </w:rPr>
            </w:pPr>
            <w:r w:rsidRPr="00BF72F5" w:rsidDel="00DE7433">
              <w:rPr>
                <w:rFonts w:cs="Arial"/>
                <w:b/>
                <w:bCs/>
                <w:color w:val="000000"/>
                <w:sz w:val="16"/>
                <w:szCs w:val="16"/>
                <w:lang w:eastAsia="sl-SI"/>
              </w:rPr>
              <w:t>Skupaj podpora EU</w:t>
            </w:r>
          </w:p>
        </w:tc>
      </w:tr>
      <w:tr w:rsidR="008E0763" w:rsidRPr="00801DA2" w:rsidDel="00DE7433" w14:paraId="477D48FF" w14:textId="77777777" w:rsidTr="00BF248B">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670F884E"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SC 1.1 RRI</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59ECF9F7"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Posojila za RRI</w:t>
            </w:r>
          </w:p>
        </w:tc>
        <w:tc>
          <w:tcPr>
            <w:tcW w:w="671" w:type="dxa"/>
            <w:tcBorders>
              <w:top w:val="nil"/>
              <w:left w:val="nil"/>
              <w:bottom w:val="single" w:sz="8" w:space="0" w:color="auto"/>
              <w:right w:val="single" w:sz="8" w:space="0" w:color="auto"/>
            </w:tcBorders>
            <w:shd w:val="clear" w:color="auto" w:fill="auto"/>
            <w:vAlign w:val="center"/>
            <w:hideMark/>
          </w:tcPr>
          <w:p w14:paraId="733E6C91"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3CD7EFD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10.861.119,94</w:t>
            </w:r>
          </w:p>
        </w:tc>
        <w:tc>
          <w:tcPr>
            <w:tcW w:w="1245" w:type="dxa"/>
            <w:tcBorders>
              <w:top w:val="nil"/>
              <w:left w:val="nil"/>
              <w:bottom w:val="single" w:sz="8" w:space="0" w:color="auto"/>
              <w:right w:val="single" w:sz="8" w:space="0" w:color="auto"/>
            </w:tcBorders>
            <w:shd w:val="clear" w:color="auto" w:fill="auto"/>
            <w:vAlign w:val="center"/>
            <w:hideMark/>
          </w:tcPr>
          <w:p w14:paraId="4318B3A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5.423.235,41</w:t>
            </w:r>
          </w:p>
        </w:tc>
        <w:tc>
          <w:tcPr>
            <w:tcW w:w="1164" w:type="dxa"/>
            <w:tcBorders>
              <w:top w:val="nil"/>
              <w:left w:val="nil"/>
              <w:bottom w:val="single" w:sz="8" w:space="0" w:color="auto"/>
              <w:right w:val="single" w:sz="8" w:space="0" w:color="auto"/>
            </w:tcBorders>
            <w:shd w:val="clear" w:color="auto" w:fill="auto"/>
            <w:vAlign w:val="center"/>
            <w:hideMark/>
          </w:tcPr>
          <w:p w14:paraId="25B07EA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9.959.688,89</w:t>
            </w:r>
          </w:p>
        </w:tc>
        <w:tc>
          <w:tcPr>
            <w:tcW w:w="1164" w:type="dxa"/>
            <w:tcBorders>
              <w:top w:val="nil"/>
              <w:left w:val="nil"/>
              <w:bottom w:val="single" w:sz="8" w:space="0" w:color="auto"/>
              <w:right w:val="single" w:sz="8" w:space="0" w:color="auto"/>
            </w:tcBorders>
            <w:shd w:val="clear" w:color="auto" w:fill="auto"/>
            <w:vAlign w:val="center"/>
            <w:hideMark/>
          </w:tcPr>
          <w:p w14:paraId="7EF8CCD2"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8.963.720,00</w:t>
            </w:r>
          </w:p>
        </w:tc>
        <w:tc>
          <w:tcPr>
            <w:tcW w:w="1101" w:type="dxa"/>
            <w:tcBorders>
              <w:top w:val="nil"/>
              <w:left w:val="nil"/>
              <w:bottom w:val="single" w:sz="8" w:space="0" w:color="auto"/>
              <w:right w:val="single" w:sz="8" w:space="0" w:color="auto"/>
            </w:tcBorders>
            <w:shd w:val="clear" w:color="auto" w:fill="auto"/>
            <w:vAlign w:val="center"/>
            <w:hideMark/>
          </w:tcPr>
          <w:p w14:paraId="29D69EE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995.968,89</w:t>
            </w:r>
          </w:p>
        </w:tc>
        <w:tc>
          <w:tcPr>
            <w:tcW w:w="1276" w:type="dxa"/>
            <w:tcBorders>
              <w:top w:val="nil"/>
              <w:left w:val="nil"/>
              <w:bottom w:val="single" w:sz="8" w:space="0" w:color="auto"/>
              <w:right w:val="single" w:sz="12" w:space="0" w:color="auto"/>
            </w:tcBorders>
            <w:shd w:val="clear" w:color="auto" w:fill="auto"/>
            <w:vAlign w:val="center"/>
            <w:hideMark/>
          </w:tcPr>
          <w:p w14:paraId="299B059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36.203.733,13</w:t>
            </w:r>
          </w:p>
        </w:tc>
      </w:tr>
      <w:tr w:rsidR="008E0763" w:rsidRPr="00801DA2" w:rsidDel="00DE7433" w14:paraId="6439C3D4"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3E36F207"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5CEFCC42"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767BF862"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auto"/>
              <w:right w:val="single" w:sz="8" w:space="0" w:color="000000"/>
            </w:tcBorders>
            <w:shd w:val="clear" w:color="auto" w:fill="auto"/>
            <w:vAlign w:val="center"/>
            <w:hideMark/>
          </w:tcPr>
          <w:p w14:paraId="0CF4C3D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4.138.880,06</w:t>
            </w:r>
          </w:p>
        </w:tc>
        <w:tc>
          <w:tcPr>
            <w:tcW w:w="1245" w:type="dxa"/>
            <w:tcBorders>
              <w:top w:val="nil"/>
              <w:left w:val="nil"/>
              <w:bottom w:val="single" w:sz="8" w:space="0" w:color="auto"/>
              <w:right w:val="single" w:sz="8" w:space="0" w:color="auto"/>
            </w:tcBorders>
            <w:shd w:val="clear" w:color="auto" w:fill="auto"/>
            <w:vAlign w:val="center"/>
            <w:hideMark/>
          </w:tcPr>
          <w:p w14:paraId="2509A28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4.391.628,78</w:t>
            </w:r>
          </w:p>
        </w:tc>
        <w:tc>
          <w:tcPr>
            <w:tcW w:w="1164" w:type="dxa"/>
            <w:tcBorders>
              <w:top w:val="nil"/>
              <w:left w:val="nil"/>
              <w:bottom w:val="single" w:sz="8" w:space="0" w:color="auto"/>
              <w:right w:val="single" w:sz="8" w:space="0" w:color="auto"/>
            </w:tcBorders>
            <w:shd w:val="clear" w:color="auto" w:fill="auto"/>
            <w:vAlign w:val="center"/>
            <w:hideMark/>
          </w:tcPr>
          <w:p w14:paraId="7DAC572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2.632.879,02</w:t>
            </w:r>
          </w:p>
        </w:tc>
        <w:tc>
          <w:tcPr>
            <w:tcW w:w="1164" w:type="dxa"/>
            <w:tcBorders>
              <w:top w:val="nil"/>
              <w:left w:val="nil"/>
              <w:bottom w:val="single" w:sz="8" w:space="0" w:color="auto"/>
              <w:right w:val="single" w:sz="8" w:space="0" w:color="auto"/>
            </w:tcBorders>
            <w:shd w:val="clear" w:color="auto" w:fill="auto"/>
            <w:vAlign w:val="center"/>
            <w:hideMark/>
          </w:tcPr>
          <w:p w14:paraId="57984BA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2.369.591,11</w:t>
            </w:r>
          </w:p>
        </w:tc>
        <w:tc>
          <w:tcPr>
            <w:tcW w:w="1101" w:type="dxa"/>
            <w:tcBorders>
              <w:top w:val="nil"/>
              <w:left w:val="nil"/>
              <w:bottom w:val="single" w:sz="8" w:space="0" w:color="auto"/>
              <w:right w:val="single" w:sz="8" w:space="0" w:color="auto"/>
            </w:tcBorders>
            <w:shd w:val="clear" w:color="auto" w:fill="auto"/>
            <w:vAlign w:val="center"/>
            <w:hideMark/>
          </w:tcPr>
          <w:p w14:paraId="089B59CE"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263.287,90</w:t>
            </w:r>
          </w:p>
        </w:tc>
        <w:tc>
          <w:tcPr>
            <w:tcW w:w="1276" w:type="dxa"/>
            <w:tcBorders>
              <w:top w:val="nil"/>
              <w:left w:val="nil"/>
              <w:bottom w:val="single" w:sz="8" w:space="0" w:color="auto"/>
              <w:right w:val="single" w:sz="12" w:space="0" w:color="auto"/>
            </w:tcBorders>
            <w:shd w:val="clear" w:color="auto" w:fill="auto"/>
            <w:vAlign w:val="center"/>
            <w:hideMark/>
          </w:tcPr>
          <w:p w14:paraId="4AD0EB4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13.796.266,87</w:t>
            </w:r>
          </w:p>
        </w:tc>
      </w:tr>
      <w:tr w:rsidR="00BF248B" w:rsidRPr="00801DA2" w:rsidDel="00DE7433" w14:paraId="31E147BB" w14:textId="77777777" w:rsidTr="00BF72F5">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47E426E4"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SC 1.3 MSP</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16B4DAE9"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Garancije za MSP</w:t>
            </w:r>
          </w:p>
        </w:tc>
        <w:tc>
          <w:tcPr>
            <w:tcW w:w="671" w:type="dxa"/>
            <w:tcBorders>
              <w:top w:val="nil"/>
              <w:left w:val="nil"/>
              <w:bottom w:val="single" w:sz="8" w:space="0" w:color="auto"/>
              <w:right w:val="single" w:sz="8" w:space="0" w:color="auto"/>
            </w:tcBorders>
            <w:shd w:val="clear" w:color="auto" w:fill="auto"/>
            <w:vAlign w:val="center"/>
            <w:hideMark/>
          </w:tcPr>
          <w:p w14:paraId="333EED91"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auto"/>
            </w:tcBorders>
            <w:shd w:val="clear" w:color="auto" w:fill="auto"/>
            <w:vAlign w:val="center"/>
            <w:hideMark/>
          </w:tcPr>
          <w:p w14:paraId="102CB41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12.723.111,12</w:t>
            </w:r>
          </w:p>
        </w:tc>
        <w:tc>
          <w:tcPr>
            <w:tcW w:w="1245" w:type="dxa"/>
            <w:tcBorders>
              <w:top w:val="nil"/>
              <w:left w:val="nil"/>
              <w:bottom w:val="single" w:sz="8" w:space="0" w:color="auto"/>
              <w:right w:val="single" w:sz="8" w:space="0" w:color="auto"/>
            </w:tcBorders>
            <w:shd w:val="clear" w:color="auto" w:fill="auto"/>
            <w:vAlign w:val="center"/>
            <w:hideMark/>
          </w:tcPr>
          <w:p w14:paraId="1E06673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6.973.844,37</w:t>
            </w:r>
          </w:p>
        </w:tc>
        <w:tc>
          <w:tcPr>
            <w:tcW w:w="1164" w:type="dxa"/>
            <w:tcBorders>
              <w:top w:val="nil"/>
              <w:left w:val="nil"/>
              <w:bottom w:val="single" w:sz="8" w:space="0" w:color="auto"/>
              <w:right w:val="single" w:sz="8" w:space="0" w:color="auto"/>
            </w:tcBorders>
            <w:shd w:val="clear" w:color="auto" w:fill="auto"/>
            <w:vAlign w:val="center"/>
            <w:hideMark/>
          </w:tcPr>
          <w:p w14:paraId="76B3A3E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11.356.707,46</w:t>
            </w:r>
          </w:p>
        </w:tc>
        <w:tc>
          <w:tcPr>
            <w:tcW w:w="1164" w:type="dxa"/>
            <w:tcBorders>
              <w:top w:val="nil"/>
              <w:left w:val="nil"/>
              <w:bottom w:val="single" w:sz="8" w:space="0" w:color="auto"/>
              <w:right w:val="single" w:sz="8" w:space="0" w:color="auto"/>
            </w:tcBorders>
            <w:shd w:val="clear" w:color="auto" w:fill="auto"/>
            <w:vAlign w:val="center"/>
            <w:hideMark/>
          </w:tcPr>
          <w:p w14:paraId="64A3510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10.221.036,71</w:t>
            </w:r>
          </w:p>
        </w:tc>
        <w:tc>
          <w:tcPr>
            <w:tcW w:w="1101" w:type="dxa"/>
            <w:tcBorders>
              <w:top w:val="nil"/>
              <w:left w:val="nil"/>
              <w:bottom w:val="single" w:sz="8" w:space="0" w:color="auto"/>
              <w:right w:val="single" w:sz="8" w:space="0" w:color="auto"/>
            </w:tcBorders>
            <w:shd w:val="clear" w:color="auto" w:fill="auto"/>
            <w:vAlign w:val="center"/>
            <w:hideMark/>
          </w:tcPr>
          <w:p w14:paraId="68681BE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1.135.670,74</w:t>
            </w:r>
          </w:p>
        </w:tc>
        <w:tc>
          <w:tcPr>
            <w:tcW w:w="1276" w:type="dxa"/>
            <w:tcBorders>
              <w:top w:val="nil"/>
              <w:left w:val="nil"/>
              <w:bottom w:val="single" w:sz="8" w:space="0" w:color="auto"/>
              <w:right w:val="single" w:sz="12" w:space="0" w:color="auto"/>
            </w:tcBorders>
            <w:shd w:val="clear" w:color="auto" w:fill="auto"/>
            <w:vAlign w:val="center"/>
            <w:hideMark/>
          </w:tcPr>
          <w:p w14:paraId="7D0487F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42.410.370,40</w:t>
            </w:r>
          </w:p>
        </w:tc>
      </w:tr>
      <w:tr w:rsidR="00BF248B" w:rsidRPr="00801DA2" w:rsidDel="00DE7433" w14:paraId="5B015F26" w14:textId="77777777" w:rsidTr="00BF72F5">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2A89968B"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7B612284"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587621DB"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auto"/>
              <w:right w:val="single" w:sz="8" w:space="0" w:color="auto"/>
            </w:tcBorders>
            <w:shd w:val="clear" w:color="auto" w:fill="auto"/>
            <w:vAlign w:val="center"/>
            <w:hideMark/>
          </w:tcPr>
          <w:p w14:paraId="46FDAAC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7.676.888,88</w:t>
            </w:r>
          </w:p>
        </w:tc>
        <w:tc>
          <w:tcPr>
            <w:tcW w:w="1245" w:type="dxa"/>
            <w:tcBorders>
              <w:top w:val="nil"/>
              <w:left w:val="nil"/>
              <w:bottom w:val="single" w:sz="8" w:space="0" w:color="auto"/>
              <w:right w:val="single" w:sz="8" w:space="0" w:color="auto"/>
            </w:tcBorders>
            <w:shd w:val="clear" w:color="auto" w:fill="auto"/>
            <w:vAlign w:val="center"/>
            <w:hideMark/>
          </w:tcPr>
          <w:p w14:paraId="0C8E1E97"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8.941.762,29</w:t>
            </w:r>
          </w:p>
        </w:tc>
        <w:tc>
          <w:tcPr>
            <w:tcW w:w="1164" w:type="dxa"/>
            <w:tcBorders>
              <w:top w:val="nil"/>
              <w:left w:val="nil"/>
              <w:bottom w:val="single" w:sz="8" w:space="0" w:color="auto"/>
              <w:right w:val="single" w:sz="8" w:space="0" w:color="auto"/>
            </w:tcBorders>
            <w:shd w:val="clear" w:color="auto" w:fill="auto"/>
            <w:vAlign w:val="center"/>
            <w:hideMark/>
          </w:tcPr>
          <w:p w14:paraId="43384F7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4.485.489,22</w:t>
            </w:r>
          </w:p>
        </w:tc>
        <w:tc>
          <w:tcPr>
            <w:tcW w:w="1164" w:type="dxa"/>
            <w:tcBorders>
              <w:top w:val="nil"/>
              <w:left w:val="nil"/>
              <w:bottom w:val="single" w:sz="8" w:space="0" w:color="auto"/>
              <w:right w:val="single" w:sz="8" w:space="0" w:color="auto"/>
            </w:tcBorders>
            <w:shd w:val="clear" w:color="auto" w:fill="auto"/>
            <w:vAlign w:val="center"/>
            <w:hideMark/>
          </w:tcPr>
          <w:p w14:paraId="624D3C1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4.036.940,29</w:t>
            </w:r>
          </w:p>
        </w:tc>
        <w:tc>
          <w:tcPr>
            <w:tcW w:w="1101" w:type="dxa"/>
            <w:tcBorders>
              <w:top w:val="nil"/>
              <w:left w:val="nil"/>
              <w:bottom w:val="single" w:sz="8" w:space="0" w:color="auto"/>
              <w:right w:val="single" w:sz="8" w:space="0" w:color="auto"/>
            </w:tcBorders>
            <w:shd w:val="clear" w:color="auto" w:fill="auto"/>
            <w:vAlign w:val="center"/>
            <w:hideMark/>
          </w:tcPr>
          <w:p w14:paraId="4806BFC7"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448.548,92</w:t>
            </w:r>
          </w:p>
        </w:tc>
        <w:tc>
          <w:tcPr>
            <w:tcW w:w="1276" w:type="dxa"/>
            <w:tcBorders>
              <w:top w:val="nil"/>
              <w:left w:val="nil"/>
              <w:bottom w:val="single" w:sz="8" w:space="0" w:color="auto"/>
              <w:right w:val="single" w:sz="12" w:space="0" w:color="auto"/>
            </w:tcBorders>
            <w:shd w:val="clear" w:color="auto" w:fill="auto"/>
            <w:vAlign w:val="center"/>
            <w:hideMark/>
          </w:tcPr>
          <w:p w14:paraId="45F8207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25.589.629,60</w:t>
            </w:r>
          </w:p>
        </w:tc>
      </w:tr>
      <w:tr w:rsidR="00BF248B" w:rsidRPr="00801DA2" w:rsidDel="00DE7433" w14:paraId="6214898D" w14:textId="77777777" w:rsidTr="00BF72F5">
        <w:trPr>
          <w:trHeight w:val="280"/>
        </w:trPr>
        <w:tc>
          <w:tcPr>
            <w:tcW w:w="870" w:type="dxa"/>
            <w:vMerge/>
            <w:tcBorders>
              <w:top w:val="nil"/>
              <w:left w:val="single" w:sz="12" w:space="0" w:color="auto"/>
              <w:bottom w:val="single" w:sz="8" w:space="0" w:color="000000"/>
              <w:right w:val="single" w:sz="8" w:space="0" w:color="auto"/>
            </w:tcBorders>
            <w:vAlign w:val="center"/>
            <w:hideMark/>
          </w:tcPr>
          <w:p w14:paraId="5EAC1550" w14:textId="77777777" w:rsidR="00BF248B" w:rsidRPr="00A3388D" w:rsidDel="00DE7433" w:rsidRDefault="00BF248B" w:rsidP="00BF248B">
            <w:pPr>
              <w:rPr>
                <w:rFonts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0ABA761B"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 subvencijo obrestne mere</w:t>
            </w:r>
          </w:p>
        </w:tc>
        <w:tc>
          <w:tcPr>
            <w:tcW w:w="671" w:type="dxa"/>
            <w:tcBorders>
              <w:top w:val="nil"/>
              <w:left w:val="nil"/>
              <w:bottom w:val="single" w:sz="8" w:space="0" w:color="auto"/>
              <w:right w:val="single" w:sz="8" w:space="0" w:color="auto"/>
            </w:tcBorders>
            <w:shd w:val="clear" w:color="auto" w:fill="auto"/>
            <w:vAlign w:val="center"/>
            <w:hideMark/>
          </w:tcPr>
          <w:p w14:paraId="2E51ADB2"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auto"/>
            </w:tcBorders>
            <w:shd w:val="clear" w:color="auto" w:fill="auto"/>
            <w:vAlign w:val="center"/>
            <w:hideMark/>
          </w:tcPr>
          <w:p w14:paraId="0E814ED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3.180.777,78</w:t>
            </w:r>
          </w:p>
        </w:tc>
        <w:tc>
          <w:tcPr>
            <w:tcW w:w="1245" w:type="dxa"/>
            <w:tcBorders>
              <w:top w:val="nil"/>
              <w:left w:val="nil"/>
              <w:bottom w:val="single" w:sz="8" w:space="0" w:color="auto"/>
              <w:right w:val="single" w:sz="8" w:space="0" w:color="auto"/>
            </w:tcBorders>
            <w:shd w:val="clear" w:color="auto" w:fill="auto"/>
            <w:vAlign w:val="center"/>
            <w:hideMark/>
          </w:tcPr>
          <w:p w14:paraId="11BB8640"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1.160.447,70</w:t>
            </w:r>
          </w:p>
        </w:tc>
        <w:tc>
          <w:tcPr>
            <w:tcW w:w="1164" w:type="dxa"/>
            <w:tcBorders>
              <w:top w:val="nil"/>
              <w:left w:val="nil"/>
              <w:bottom w:val="single" w:sz="8" w:space="0" w:color="auto"/>
              <w:right w:val="single" w:sz="8" w:space="0" w:color="auto"/>
            </w:tcBorders>
            <w:shd w:val="clear" w:color="auto" w:fill="auto"/>
            <w:vAlign w:val="center"/>
            <w:hideMark/>
          </w:tcPr>
          <w:p w14:paraId="6219F26E"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3.130.683,55</w:t>
            </w:r>
          </w:p>
        </w:tc>
        <w:tc>
          <w:tcPr>
            <w:tcW w:w="1164" w:type="dxa"/>
            <w:tcBorders>
              <w:top w:val="nil"/>
              <w:left w:val="nil"/>
              <w:bottom w:val="single" w:sz="8" w:space="0" w:color="auto"/>
              <w:right w:val="single" w:sz="8" w:space="0" w:color="auto"/>
            </w:tcBorders>
            <w:shd w:val="clear" w:color="auto" w:fill="auto"/>
            <w:vAlign w:val="center"/>
            <w:hideMark/>
          </w:tcPr>
          <w:p w14:paraId="1876541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2.817.615,20</w:t>
            </w:r>
          </w:p>
        </w:tc>
        <w:tc>
          <w:tcPr>
            <w:tcW w:w="1101" w:type="dxa"/>
            <w:tcBorders>
              <w:top w:val="nil"/>
              <w:left w:val="nil"/>
              <w:bottom w:val="single" w:sz="8" w:space="0" w:color="auto"/>
              <w:right w:val="single" w:sz="8" w:space="0" w:color="auto"/>
            </w:tcBorders>
            <w:shd w:val="clear" w:color="auto" w:fill="auto"/>
            <w:vAlign w:val="center"/>
            <w:hideMark/>
          </w:tcPr>
          <w:p w14:paraId="0E856A1A"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313.068,37</w:t>
            </w:r>
          </w:p>
        </w:tc>
        <w:tc>
          <w:tcPr>
            <w:tcW w:w="1276" w:type="dxa"/>
            <w:tcBorders>
              <w:top w:val="nil"/>
              <w:left w:val="nil"/>
              <w:bottom w:val="single" w:sz="8" w:space="0" w:color="auto"/>
              <w:right w:val="single" w:sz="12" w:space="0" w:color="auto"/>
            </w:tcBorders>
            <w:shd w:val="clear" w:color="auto" w:fill="auto"/>
            <w:vAlign w:val="center"/>
            <w:hideMark/>
          </w:tcPr>
          <w:p w14:paraId="2F44163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10.602.592,60</w:t>
            </w:r>
          </w:p>
        </w:tc>
      </w:tr>
      <w:tr w:rsidR="00BF248B" w:rsidRPr="00801DA2" w:rsidDel="00DE7433" w14:paraId="4E9AFB61" w14:textId="77777777" w:rsidTr="00BF72F5">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48EDDD0F"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6846656F"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6FAE3D1F"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auto"/>
              <w:right w:val="single" w:sz="8" w:space="0" w:color="auto"/>
            </w:tcBorders>
            <w:shd w:val="clear" w:color="auto" w:fill="auto"/>
            <w:vAlign w:val="center"/>
            <w:hideMark/>
          </w:tcPr>
          <w:p w14:paraId="0A6BBA6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1.919.222,22</w:t>
            </w:r>
          </w:p>
        </w:tc>
        <w:tc>
          <w:tcPr>
            <w:tcW w:w="1245" w:type="dxa"/>
            <w:tcBorders>
              <w:top w:val="nil"/>
              <w:left w:val="nil"/>
              <w:bottom w:val="single" w:sz="8" w:space="0" w:color="auto"/>
              <w:right w:val="single" w:sz="8" w:space="0" w:color="auto"/>
            </w:tcBorders>
            <w:shd w:val="clear" w:color="auto" w:fill="auto"/>
            <w:vAlign w:val="center"/>
            <w:hideMark/>
          </w:tcPr>
          <w:p w14:paraId="61DA1FA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586.579,61</w:t>
            </w:r>
          </w:p>
        </w:tc>
        <w:tc>
          <w:tcPr>
            <w:tcW w:w="1164" w:type="dxa"/>
            <w:tcBorders>
              <w:top w:val="nil"/>
              <w:left w:val="nil"/>
              <w:bottom w:val="single" w:sz="8" w:space="0" w:color="auto"/>
              <w:right w:val="single" w:sz="8" w:space="0" w:color="auto"/>
            </w:tcBorders>
            <w:shd w:val="clear" w:color="auto" w:fill="auto"/>
            <w:vAlign w:val="center"/>
            <w:hideMark/>
          </w:tcPr>
          <w:p w14:paraId="07FC887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1.945.802,79</w:t>
            </w:r>
          </w:p>
        </w:tc>
        <w:tc>
          <w:tcPr>
            <w:tcW w:w="1164" w:type="dxa"/>
            <w:tcBorders>
              <w:top w:val="nil"/>
              <w:left w:val="nil"/>
              <w:bottom w:val="single" w:sz="8" w:space="0" w:color="auto"/>
              <w:right w:val="single" w:sz="8" w:space="0" w:color="auto"/>
            </w:tcBorders>
            <w:shd w:val="clear" w:color="auto" w:fill="auto"/>
            <w:vAlign w:val="center"/>
            <w:hideMark/>
          </w:tcPr>
          <w:p w14:paraId="7E0CAF7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1.751.222,51</w:t>
            </w:r>
          </w:p>
        </w:tc>
        <w:tc>
          <w:tcPr>
            <w:tcW w:w="1101" w:type="dxa"/>
            <w:tcBorders>
              <w:top w:val="nil"/>
              <w:left w:val="nil"/>
              <w:bottom w:val="single" w:sz="8" w:space="0" w:color="auto"/>
              <w:right w:val="single" w:sz="8" w:space="0" w:color="auto"/>
            </w:tcBorders>
            <w:shd w:val="clear" w:color="auto" w:fill="auto"/>
            <w:vAlign w:val="center"/>
            <w:hideMark/>
          </w:tcPr>
          <w:p w14:paraId="47B4982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194.580,27</w:t>
            </w:r>
          </w:p>
        </w:tc>
        <w:tc>
          <w:tcPr>
            <w:tcW w:w="1276" w:type="dxa"/>
            <w:tcBorders>
              <w:top w:val="nil"/>
              <w:left w:val="nil"/>
              <w:bottom w:val="single" w:sz="8" w:space="0" w:color="auto"/>
              <w:right w:val="single" w:sz="12" w:space="0" w:color="auto"/>
            </w:tcBorders>
            <w:shd w:val="clear" w:color="auto" w:fill="auto"/>
            <w:vAlign w:val="center"/>
            <w:hideMark/>
          </w:tcPr>
          <w:p w14:paraId="763E499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6.397.407,40</w:t>
            </w:r>
          </w:p>
        </w:tc>
      </w:tr>
      <w:tr w:rsidR="008E0763" w:rsidRPr="00801DA2" w:rsidDel="00DE7433" w14:paraId="74BC5594" w14:textId="77777777" w:rsidTr="00BF248B">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2AAA8F15"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SC 2.1 EE</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6C3FE01C"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Posojila za EE</w:t>
            </w:r>
          </w:p>
        </w:tc>
        <w:tc>
          <w:tcPr>
            <w:tcW w:w="671" w:type="dxa"/>
            <w:tcBorders>
              <w:top w:val="nil"/>
              <w:left w:val="nil"/>
              <w:bottom w:val="single" w:sz="8" w:space="0" w:color="auto"/>
              <w:right w:val="single" w:sz="8" w:space="0" w:color="auto"/>
            </w:tcBorders>
            <w:shd w:val="clear" w:color="auto" w:fill="auto"/>
            <w:vAlign w:val="center"/>
            <w:hideMark/>
          </w:tcPr>
          <w:p w14:paraId="698576F3"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40312DF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2.880.000,00</w:t>
            </w:r>
          </w:p>
        </w:tc>
        <w:tc>
          <w:tcPr>
            <w:tcW w:w="1245" w:type="dxa"/>
            <w:tcBorders>
              <w:top w:val="nil"/>
              <w:left w:val="nil"/>
              <w:bottom w:val="single" w:sz="8" w:space="0" w:color="auto"/>
              <w:right w:val="single" w:sz="8" w:space="0" w:color="auto"/>
            </w:tcBorders>
            <w:shd w:val="clear" w:color="auto" w:fill="auto"/>
            <w:vAlign w:val="center"/>
            <w:hideMark/>
          </w:tcPr>
          <w:p w14:paraId="39BCD62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1.137.306,92</w:t>
            </w:r>
          </w:p>
        </w:tc>
        <w:tc>
          <w:tcPr>
            <w:tcW w:w="1164" w:type="dxa"/>
            <w:tcBorders>
              <w:top w:val="nil"/>
              <w:left w:val="nil"/>
              <w:bottom w:val="single" w:sz="8" w:space="0" w:color="auto"/>
              <w:right w:val="single" w:sz="8" w:space="0" w:color="auto"/>
            </w:tcBorders>
            <w:shd w:val="clear" w:color="auto" w:fill="auto"/>
            <w:vAlign w:val="center"/>
            <w:hideMark/>
          </w:tcPr>
          <w:p w14:paraId="1C6FD72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2.791.346,54</w:t>
            </w:r>
          </w:p>
        </w:tc>
        <w:tc>
          <w:tcPr>
            <w:tcW w:w="1164" w:type="dxa"/>
            <w:tcBorders>
              <w:top w:val="nil"/>
              <w:left w:val="nil"/>
              <w:bottom w:val="single" w:sz="8" w:space="0" w:color="auto"/>
              <w:right w:val="single" w:sz="8" w:space="0" w:color="auto"/>
            </w:tcBorders>
            <w:shd w:val="clear" w:color="auto" w:fill="auto"/>
            <w:vAlign w:val="center"/>
            <w:hideMark/>
          </w:tcPr>
          <w:p w14:paraId="099DD63A"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2.512.211,89</w:t>
            </w:r>
          </w:p>
        </w:tc>
        <w:tc>
          <w:tcPr>
            <w:tcW w:w="1101" w:type="dxa"/>
            <w:tcBorders>
              <w:top w:val="nil"/>
              <w:left w:val="nil"/>
              <w:bottom w:val="single" w:sz="8" w:space="0" w:color="auto"/>
              <w:right w:val="single" w:sz="8" w:space="0" w:color="auto"/>
            </w:tcBorders>
            <w:shd w:val="clear" w:color="auto" w:fill="auto"/>
            <w:vAlign w:val="center"/>
            <w:hideMark/>
          </w:tcPr>
          <w:p w14:paraId="0730277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279.134,65</w:t>
            </w:r>
          </w:p>
        </w:tc>
        <w:tc>
          <w:tcPr>
            <w:tcW w:w="1276" w:type="dxa"/>
            <w:tcBorders>
              <w:top w:val="nil"/>
              <w:left w:val="nil"/>
              <w:bottom w:val="single" w:sz="8" w:space="0" w:color="auto"/>
              <w:right w:val="single" w:sz="12" w:space="0" w:color="auto"/>
            </w:tcBorders>
            <w:shd w:val="clear" w:color="auto" w:fill="auto"/>
            <w:vAlign w:val="center"/>
            <w:hideMark/>
          </w:tcPr>
          <w:p w14:paraId="5D67DDF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9.600.000,00</w:t>
            </w:r>
          </w:p>
        </w:tc>
      </w:tr>
      <w:tr w:rsidR="008E0763" w:rsidRPr="00801DA2" w:rsidDel="00DE7433" w14:paraId="6D43A917"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782BF5B7"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497E5D7F"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0FD5C042"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000000"/>
              <w:right w:val="single" w:sz="8" w:space="0" w:color="000000"/>
            </w:tcBorders>
            <w:shd w:val="clear" w:color="auto" w:fill="auto"/>
            <w:vAlign w:val="center"/>
            <w:hideMark/>
          </w:tcPr>
          <w:p w14:paraId="163D65C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720.000,00</w:t>
            </w:r>
          </w:p>
        </w:tc>
        <w:tc>
          <w:tcPr>
            <w:tcW w:w="1245" w:type="dxa"/>
            <w:tcBorders>
              <w:top w:val="nil"/>
              <w:left w:val="nil"/>
              <w:bottom w:val="single" w:sz="8" w:space="0" w:color="auto"/>
              <w:right w:val="single" w:sz="8" w:space="0" w:color="auto"/>
            </w:tcBorders>
            <w:shd w:val="clear" w:color="auto" w:fill="auto"/>
            <w:vAlign w:val="center"/>
            <w:hideMark/>
          </w:tcPr>
          <w:p w14:paraId="4C75D61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604.194,30</w:t>
            </w:r>
          </w:p>
        </w:tc>
        <w:tc>
          <w:tcPr>
            <w:tcW w:w="1164" w:type="dxa"/>
            <w:tcBorders>
              <w:top w:val="nil"/>
              <w:left w:val="nil"/>
              <w:bottom w:val="single" w:sz="8" w:space="0" w:color="auto"/>
              <w:right w:val="single" w:sz="8" w:space="0" w:color="auto"/>
            </w:tcBorders>
            <w:shd w:val="clear" w:color="auto" w:fill="auto"/>
            <w:vAlign w:val="center"/>
            <w:hideMark/>
          </w:tcPr>
          <w:p w14:paraId="5FA3DC1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537.902,85</w:t>
            </w:r>
          </w:p>
        </w:tc>
        <w:tc>
          <w:tcPr>
            <w:tcW w:w="1164" w:type="dxa"/>
            <w:tcBorders>
              <w:top w:val="nil"/>
              <w:left w:val="nil"/>
              <w:bottom w:val="single" w:sz="8" w:space="0" w:color="auto"/>
              <w:right w:val="single" w:sz="8" w:space="0" w:color="auto"/>
            </w:tcBorders>
            <w:shd w:val="clear" w:color="auto" w:fill="auto"/>
            <w:vAlign w:val="center"/>
            <w:hideMark/>
          </w:tcPr>
          <w:p w14:paraId="2C3E679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484.112,56</w:t>
            </w:r>
          </w:p>
        </w:tc>
        <w:tc>
          <w:tcPr>
            <w:tcW w:w="1101" w:type="dxa"/>
            <w:tcBorders>
              <w:top w:val="nil"/>
              <w:left w:val="nil"/>
              <w:bottom w:val="single" w:sz="8" w:space="0" w:color="auto"/>
              <w:right w:val="single" w:sz="8" w:space="0" w:color="auto"/>
            </w:tcBorders>
            <w:shd w:val="clear" w:color="auto" w:fill="auto"/>
            <w:vAlign w:val="center"/>
            <w:hideMark/>
          </w:tcPr>
          <w:p w14:paraId="71190FE0"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53.790,29</w:t>
            </w:r>
          </w:p>
        </w:tc>
        <w:tc>
          <w:tcPr>
            <w:tcW w:w="1276" w:type="dxa"/>
            <w:tcBorders>
              <w:top w:val="nil"/>
              <w:left w:val="nil"/>
              <w:bottom w:val="single" w:sz="8" w:space="0" w:color="auto"/>
              <w:right w:val="single" w:sz="12" w:space="0" w:color="auto"/>
            </w:tcBorders>
            <w:shd w:val="clear" w:color="auto" w:fill="auto"/>
            <w:vAlign w:val="center"/>
            <w:hideMark/>
          </w:tcPr>
          <w:p w14:paraId="6983068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2.400.000,00</w:t>
            </w:r>
          </w:p>
        </w:tc>
      </w:tr>
      <w:tr w:rsidR="008E0763" w:rsidRPr="00801DA2" w:rsidDel="00DE7433" w14:paraId="6BFF74A0" w14:textId="77777777" w:rsidTr="00BF248B">
        <w:trPr>
          <w:trHeight w:val="359"/>
        </w:trPr>
        <w:tc>
          <w:tcPr>
            <w:tcW w:w="870" w:type="dxa"/>
            <w:vMerge/>
            <w:tcBorders>
              <w:top w:val="nil"/>
              <w:left w:val="single" w:sz="12" w:space="0" w:color="auto"/>
              <w:bottom w:val="single" w:sz="8" w:space="0" w:color="000000"/>
              <w:right w:val="single" w:sz="8" w:space="0" w:color="auto"/>
            </w:tcBorders>
            <w:vAlign w:val="center"/>
            <w:hideMark/>
          </w:tcPr>
          <w:p w14:paraId="69AA0A1A" w14:textId="77777777" w:rsidR="00BF248B" w:rsidRPr="00A3388D" w:rsidDel="00DE7433" w:rsidRDefault="00BF248B" w:rsidP="00BF248B">
            <w:pPr>
              <w:rPr>
                <w:rFonts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3B5281A7"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 kombinacijo nepovratnih sredstev</w:t>
            </w:r>
          </w:p>
        </w:tc>
        <w:tc>
          <w:tcPr>
            <w:tcW w:w="671" w:type="dxa"/>
            <w:tcBorders>
              <w:top w:val="nil"/>
              <w:left w:val="nil"/>
              <w:bottom w:val="single" w:sz="8" w:space="0" w:color="auto"/>
              <w:right w:val="single" w:sz="8" w:space="0" w:color="auto"/>
            </w:tcBorders>
            <w:shd w:val="clear" w:color="auto" w:fill="auto"/>
            <w:vAlign w:val="center"/>
            <w:hideMark/>
          </w:tcPr>
          <w:p w14:paraId="6744C752"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549F84F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1.200.000,00</w:t>
            </w:r>
          </w:p>
        </w:tc>
        <w:tc>
          <w:tcPr>
            <w:tcW w:w="1245" w:type="dxa"/>
            <w:tcBorders>
              <w:top w:val="nil"/>
              <w:left w:val="nil"/>
              <w:bottom w:val="single" w:sz="8" w:space="0" w:color="auto"/>
              <w:right w:val="single" w:sz="8" w:space="0" w:color="auto"/>
            </w:tcBorders>
            <w:shd w:val="clear" w:color="auto" w:fill="auto"/>
            <w:vAlign w:val="center"/>
            <w:hideMark/>
          </w:tcPr>
          <w:p w14:paraId="06BC81A0"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473.877,88</w:t>
            </w:r>
          </w:p>
        </w:tc>
        <w:tc>
          <w:tcPr>
            <w:tcW w:w="1164" w:type="dxa"/>
            <w:tcBorders>
              <w:top w:val="nil"/>
              <w:left w:val="nil"/>
              <w:bottom w:val="single" w:sz="8" w:space="0" w:color="auto"/>
              <w:right w:val="single" w:sz="8" w:space="0" w:color="auto"/>
            </w:tcBorders>
            <w:shd w:val="clear" w:color="auto" w:fill="auto"/>
            <w:vAlign w:val="center"/>
            <w:hideMark/>
          </w:tcPr>
          <w:p w14:paraId="08C589B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1.163.061,06</w:t>
            </w:r>
          </w:p>
        </w:tc>
        <w:tc>
          <w:tcPr>
            <w:tcW w:w="1164" w:type="dxa"/>
            <w:tcBorders>
              <w:top w:val="nil"/>
              <w:left w:val="nil"/>
              <w:bottom w:val="single" w:sz="8" w:space="0" w:color="auto"/>
              <w:right w:val="single" w:sz="8" w:space="0" w:color="auto"/>
            </w:tcBorders>
            <w:shd w:val="clear" w:color="auto" w:fill="auto"/>
            <w:vAlign w:val="center"/>
            <w:hideMark/>
          </w:tcPr>
          <w:p w14:paraId="1D40892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1.046.754,95</w:t>
            </w:r>
          </w:p>
        </w:tc>
        <w:tc>
          <w:tcPr>
            <w:tcW w:w="1101" w:type="dxa"/>
            <w:tcBorders>
              <w:top w:val="nil"/>
              <w:left w:val="nil"/>
              <w:bottom w:val="single" w:sz="8" w:space="0" w:color="auto"/>
              <w:right w:val="single" w:sz="8" w:space="0" w:color="auto"/>
            </w:tcBorders>
            <w:shd w:val="clear" w:color="auto" w:fill="auto"/>
            <w:vAlign w:val="center"/>
            <w:hideMark/>
          </w:tcPr>
          <w:p w14:paraId="4FDB1B1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116.306,11</w:t>
            </w:r>
          </w:p>
        </w:tc>
        <w:tc>
          <w:tcPr>
            <w:tcW w:w="1276" w:type="dxa"/>
            <w:tcBorders>
              <w:top w:val="nil"/>
              <w:left w:val="nil"/>
              <w:bottom w:val="single" w:sz="8" w:space="0" w:color="auto"/>
              <w:right w:val="single" w:sz="12" w:space="0" w:color="auto"/>
            </w:tcBorders>
            <w:shd w:val="clear" w:color="auto" w:fill="auto"/>
            <w:vAlign w:val="center"/>
            <w:hideMark/>
          </w:tcPr>
          <w:p w14:paraId="23AB7E2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4.000.000,00</w:t>
            </w:r>
          </w:p>
        </w:tc>
      </w:tr>
      <w:tr w:rsidR="008E0763" w:rsidRPr="00801DA2" w:rsidDel="00DE7433" w14:paraId="6F18CF20"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77E73AB2"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7CC3AF6E"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7A2DF708"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000000"/>
              <w:right w:val="single" w:sz="8" w:space="0" w:color="000000"/>
            </w:tcBorders>
            <w:shd w:val="clear" w:color="auto" w:fill="auto"/>
            <w:vAlign w:val="center"/>
            <w:hideMark/>
          </w:tcPr>
          <w:p w14:paraId="506AF9A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300.000,00</w:t>
            </w:r>
          </w:p>
        </w:tc>
        <w:tc>
          <w:tcPr>
            <w:tcW w:w="1245" w:type="dxa"/>
            <w:tcBorders>
              <w:top w:val="nil"/>
              <w:left w:val="nil"/>
              <w:bottom w:val="single" w:sz="8" w:space="0" w:color="auto"/>
              <w:right w:val="single" w:sz="8" w:space="0" w:color="auto"/>
            </w:tcBorders>
            <w:shd w:val="clear" w:color="auto" w:fill="auto"/>
            <w:vAlign w:val="center"/>
            <w:hideMark/>
          </w:tcPr>
          <w:p w14:paraId="32F8260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251.747,63</w:t>
            </w:r>
          </w:p>
        </w:tc>
        <w:tc>
          <w:tcPr>
            <w:tcW w:w="1164" w:type="dxa"/>
            <w:tcBorders>
              <w:top w:val="nil"/>
              <w:left w:val="nil"/>
              <w:bottom w:val="single" w:sz="8" w:space="0" w:color="auto"/>
              <w:right w:val="single" w:sz="8" w:space="0" w:color="auto"/>
            </w:tcBorders>
            <w:shd w:val="clear" w:color="auto" w:fill="auto"/>
            <w:vAlign w:val="center"/>
            <w:hideMark/>
          </w:tcPr>
          <w:p w14:paraId="74D6BFE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224.126,19</w:t>
            </w:r>
          </w:p>
        </w:tc>
        <w:tc>
          <w:tcPr>
            <w:tcW w:w="1164" w:type="dxa"/>
            <w:tcBorders>
              <w:top w:val="nil"/>
              <w:left w:val="nil"/>
              <w:bottom w:val="single" w:sz="8" w:space="0" w:color="auto"/>
              <w:right w:val="single" w:sz="8" w:space="0" w:color="auto"/>
            </w:tcBorders>
            <w:shd w:val="clear" w:color="auto" w:fill="auto"/>
            <w:vAlign w:val="center"/>
            <w:hideMark/>
          </w:tcPr>
          <w:p w14:paraId="6D8C6B4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201.713,57</w:t>
            </w:r>
          </w:p>
        </w:tc>
        <w:tc>
          <w:tcPr>
            <w:tcW w:w="1101" w:type="dxa"/>
            <w:tcBorders>
              <w:top w:val="nil"/>
              <w:left w:val="nil"/>
              <w:bottom w:val="single" w:sz="8" w:space="0" w:color="auto"/>
              <w:right w:val="single" w:sz="8" w:space="0" w:color="auto"/>
            </w:tcBorders>
            <w:shd w:val="clear" w:color="auto" w:fill="auto"/>
            <w:vAlign w:val="center"/>
            <w:hideMark/>
          </w:tcPr>
          <w:p w14:paraId="3EFBD6A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22.412,61</w:t>
            </w:r>
          </w:p>
        </w:tc>
        <w:tc>
          <w:tcPr>
            <w:tcW w:w="1276" w:type="dxa"/>
            <w:tcBorders>
              <w:top w:val="nil"/>
              <w:left w:val="nil"/>
              <w:bottom w:val="single" w:sz="8" w:space="0" w:color="auto"/>
              <w:right w:val="single" w:sz="12" w:space="0" w:color="auto"/>
            </w:tcBorders>
            <w:shd w:val="clear" w:color="auto" w:fill="auto"/>
            <w:vAlign w:val="center"/>
            <w:hideMark/>
          </w:tcPr>
          <w:p w14:paraId="5E66EBD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1.000.000,00</w:t>
            </w:r>
          </w:p>
        </w:tc>
      </w:tr>
      <w:tr w:rsidR="008E0763" w:rsidRPr="00801DA2" w:rsidDel="00DE7433" w14:paraId="36D40144" w14:textId="77777777" w:rsidTr="00BF248B">
        <w:trPr>
          <w:trHeight w:val="360"/>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1045DA1D"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SC 2.6 KG</w:t>
            </w:r>
          </w:p>
        </w:tc>
        <w:tc>
          <w:tcPr>
            <w:tcW w:w="1111" w:type="dxa"/>
            <w:vMerge w:val="restart"/>
            <w:tcBorders>
              <w:top w:val="nil"/>
              <w:left w:val="single" w:sz="8" w:space="0" w:color="auto"/>
              <w:bottom w:val="dashed" w:sz="8" w:space="0" w:color="000000"/>
              <w:right w:val="single" w:sz="8" w:space="0" w:color="auto"/>
            </w:tcBorders>
            <w:shd w:val="clear" w:color="auto" w:fill="auto"/>
            <w:vAlign w:val="center"/>
            <w:hideMark/>
          </w:tcPr>
          <w:p w14:paraId="62CD3564"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Posojila za prehod v KG</w:t>
            </w:r>
          </w:p>
        </w:tc>
        <w:tc>
          <w:tcPr>
            <w:tcW w:w="671" w:type="dxa"/>
            <w:tcBorders>
              <w:top w:val="nil"/>
              <w:left w:val="nil"/>
              <w:bottom w:val="single" w:sz="8" w:space="0" w:color="auto"/>
              <w:right w:val="single" w:sz="8" w:space="0" w:color="auto"/>
            </w:tcBorders>
            <w:shd w:val="clear" w:color="auto" w:fill="auto"/>
            <w:vAlign w:val="center"/>
            <w:hideMark/>
          </w:tcPr>
          <w:p w14:paraId="758639A2"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395DE2CE"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2.898.000,00</w:t>
            </w:r>
          </w:p>
        </w:tc>
        <w:tc>
          <w:tcPr>
            <w:tcW w:w="1245" w:type="dxa"/>
            <w:tcBorders>
              <w:top w:val="nil"/>
              <w:left w:val="nil"/>
              <w:bottom w:val="single" w:sz="8" w:space="0" w:color="auto"/>
              <w:right w:val="single" w:sz="8" w:space="0" w:color="auto"/>
            </w:tcBorders>
            <w:shd w:val="clear" w:color="auto" w:fill="auto"/>
            <w:vAlign w:val="center"/>
            <w:hideMark/>
          </w:tcPr>
          <w:p w14:paraId="61D2C27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1.206.356,92</w:t>
            </w:r>
          </w:p>
        </w:tc>
        <w:tc>
          <w:tcPr>
            <w:tcW w:w="1164" w:type="dxa"/>
            <w:tcBorders>
              <w:top w:val="nil"/>
              <w:left w:val="nil"/>
              <w:bottom w:val="single" w:sz="8" w:space="0" w:color="auto"/>
              <w:right w:val="single" w:sz="8" w:space="0" w:color="auto"/>
            </w:tcBorders>
            <w:shd w:val="clear" w:color="auto" w:fill="auto"/>
            <w:vAlign w:val="center"/>
            <w:hideMark/>
          </w:tcPr>
          <w:p w14:paraId="6D7C247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2.777.821,54</w:t>
            </w:r>
          </w:p>
        </w:tc>
        <w:tc>
          <w:tcPr>
            <w:tcW w:w="1164" w:type="dxa"/>
            <w:tcBorders>
              <w:top w:val="nil"/>
              <w:left w:val="nil"/>
              <w:bottom w:val="single" w:sz="8" w:space="0" w:color="auto"/>
              <w:right w:val="single" w:sz="8" w:space="0" w:color="auto"/>
            </w:tcBorders>
            <w:shd w:val="clear" w:color="auto" w:fill="auto"/>
            <w:vAlign w:val="center"/>
            <w:hideMark/>
          </w:tcPr>
          <w:p w14:paraId="4E8F5752"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2.500.039,39</w:t>
            </w:r>
          </w:p>
        </w:tc>
        <w:tc>
          <w:tcPr>
            <w:tcW w:w="1101" w:type="dxa"/>
            <w:tcBorders>
              <w:top w:val="nil"/>
              <w:left w:val="nil"/>
              <w:bottom w:val="single" w:sz="8" w:space="0" w:color="auto"/>
              <w:right w:val="single" w:sz="8" w:space="0" w:color="auto"/>
            </w:tcBorders>
            <w:shd w:val="clear" w:color="auto" w:fill="auto"/>
            <w:vAlign w:val="center"/>
            <w:hideMark/>
          </w:tcPr>
          <w:p w14:paraId="6C15D54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277.782,15</w:t>
            </w:r>
          </w:p>
        </w:tc>
        <w:tc>
          <w:tcPr>
            <w:tcW w:w="1276" w:type="dxa"/>
            <w:tcBorders>
              <w:top w:val="nil"/>
              <w:left w:val="nil"/>
              <w:bottom w:val="single" w:sz="8" w:space="0" w:color="auto"/>
              <w:right w:val="single" w:sz="12" w:space="0" w:color="auto"/>
            </w:tcBorders>
            <w:shd w:val="clear" w:color="auto" w:fill="auto"/>
            <w:vAlign w:val="center"/>
            <w:hideMark/>
          </w:tcPr>
          <w:p w14:paraId="1CA3111B"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9.660.000,00</w:t>
            </w:r>
          </w:p>
        </w:tc>
      </w:tr>
      <w:tr w:rsidR="008E0763" w:rsidRPr="00801DA2" w:rsidDel="00DE7433" w14:paraId="157C22B4"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7E4159FA"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dashed" w:sz="8" w:space="0" w:color="000000"/>
              <w:right w:val="single" w:sz="8" w:space="0" w:color="auto"/>
            </w:tcBorders>
            <w:vAlign w:val="center"/>
            <w:hideMark/>
          </w:tcPr>
          <w:p w14:paraId="2C25C894"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408C99E0"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000000"/>
              <w:right w:val="single" w:sz="8" w:space="0" w:color="000000"/>
            </w:tcBorders>
            <w:shd w:val="clear" w:color="auto" w:fill="auto"/>
            <w:vAlign w:val="center"/>
            <w:hideMark/>
          </w:tcPr>
          <w:p w14:paraId="6CF8047C"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1.602.000,00</w:t>
            </w:r>
          </w:p>
        </w:tc>
        <w:tc>
          <w:tcPr>
            <w:tcW w:w="1245" w:type="dxa"/>
            <w:tcBorders>
              <w:top w:val="nil"/>
              <w:left w:val="nil"/>
              <w:bottom w:val="single" w:sz="8" w:space="0" w:color="auto"/>
              <w:right w:val="single" w:sz="8" w:space="0" w:color="auto"/>
            </w:tcBorders>
            <w:shd w:val="clear" w:color="auto" w:fill="auto"/>
            <w:vAlign w:val="center"/>
            <w:hideMark/>
          </w:tcPr>
          <w:p w14:paraId="01D0E84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1.417.094,73</w:t>
            </w:r>
          </w:p>
        </w:tc>
        <w:tc>
          <w:tcPr>
            <w:tcW w:w="1164" w:type="dxa"/>
            <w:tcBorders>
              <w:top w:val="nil"/>
              <w:left w:val="nil"/>
              <w:bottom w:val="single" w:sz="8" w:space="0" w:color="auto"/>
              <w:right w:val="single" w:sz="8" w:space="0" w:color="auto"/>
            </w:tcBorders>
            <w:shd w:val="clear" w:color="auto" w:fill="auto"/>
            <w:vAlign w:val="center"/>
            <w:hideMark/>
          </w:tcPr>
          <w:p w14:paraId="466BE6E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1.160.452,63</w:t>
            </w:r>
          </w:p>
        </w:tc>
        <w:tc>
          <w:tcPr>
            <w:tcW w:w="1164" w:type="dxa"/>
            <w:tcBorders>
              <w:top w:val="nil"/>
              <w:left w:val="nil"/>
              <w:bottom w:val="single" w:sz="8" w:space="0" w:color="auto"/>
              <w:right w:val="single" w:sz="8" w:space="0" w:color="auto"/>
            </w:tcBorders>
            <w:shd w:val="clear" w:color="auto" w:fill="auto"/>
            <w:vAlign w:val="center"/>
            <w:hideMark/>
          </w:tcPr>
          <w:p w14:paraId="3485F01B"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1.044.407,37</w:t>
            </w:r>
          </w:p>
        </w:tc>
        <w:tc>
          <w:tcPr>
            <w:tcW w:w="1101" w:type="dxa"/>
            <w:tcBorders>
              <w:top w:val="nil"/>
              <w:left w:val="nil"/>
              <w:bottom w:val="single" w:sz="8" w:space="0" w:color="auto"/>
              <w:right w:val="single" w:sz="8" w:space="0" w:color="auto"/>
            </w:tcBorders>
            <w:shd w:val="clear" w:color="auto" w:fill="auto"/>
            <w:vAlign w:val="center"/>
            <w:hideMark/>
          </w:tcPr>
          <w:p w14:paraId="1159118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116.045,27</w:t>
            </w:r>
          </w:p>
        </w:tc>
        <w:tc>
          <w:tcPr>
            <w:tcW w:w="1276" w:type="dxa"/>
            <w:tcBorders>
              <w:top w:val="nil"/>
              <w:left w:val="nil"/>
              <w:bottom w:val="single" w:sz="8" w:space="0" w:color="auto"/>
              <w:right w:val="single" w:sz="12" w:space="0" w:color="auto"/>
            </w:tcBorders>
            <w:shd w:val="clear" w:color="auto" w:fill="auto"/>
            <w:vAlign w:val="center"/>
            <w:hideMark/>
          </w:tcPr>
          <w:p w14:paraId="21023A17"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5.340.000,00</w:t>
            </w:r>
          </w:p>
        </w:tc>
      </w:tr>
      <w:tr w:rsidR="008E0763" w:rsidRPr="00801DA2" w:rsidDel="00DE7433" w14:paraId="35A03083" w14:textId="77777777" w:rsidTr="00BF248B">
        <w:trPr>
          <w:trHeight w:val="269"/>
        </w:trPr>
        <w:tc>
          <w:tcPr>
            <w:tcW w:w="870" w:type="dxa"/>
            <w:vMerge/>
            <w:tcBorders>
              <w:top w:val="nil"/>
              <w:left w:val="single" w:sz="12" w:space="0" w:color="auto"/>
              <w:bottom w:val="single" w:sz="8" w:space="0" w:color="000000"/>
              <w:right w:val="single" w:sz="8" w:space="0" w:color="auto"/>
            </w:tcBorders>
            <w:vAlign w:val="center"/>
            <w:hideMark/>
          </w:tcPr>
          <w:p w14:paraId="30411CB1" w14:textId="77777777" w:rsidR="00BF248B" w:rsidRPr="00A3388D" w:rsidDel="00DE7433" w:rsidRDefault="00BF248B" w:rsidP="00BF248B">
            <w:pPr>
              <w:rPr>
                <w:rFonts w:cs="Arial"/>
                <w:color w:val="000000"/>
                <w:sz w:val="16"/>
                <w:szCs w:val="16"/>
                <w:lang w:eastAsia="sl-SI"/>
              </w:rPr>
            </w:pP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4CF68000"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 xml:space="preserve">s kombinacijo nepovratnih sredstev </w:t>
            </w:r>
          </w:p>
        </w:tc>
        <w:tc>
          <w:tcPr>
            <w:tcW w:w="671" w:type="dxa"/>
            <w:tcBorders>
              <w:top w:val="nil"/>
              <w:left w:val="nil"/>
              <w:bottom w:val="single" w:sz="8" w:space="0" w:color="auto"/>
              <w:right w:val="single" w:sz="8" w:space="0" w:color="auto"/>
            </w:tcBorders>
            <w:shd w:val="clear" w:color="auto" w:fill="auto"/>
            <w:vAlign w:val="center"/>
            <w:hideMark/>
          </w:tcPr>
          <w:p w14:paraId="279967B4"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432C26DA"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2.898.000,00</w:t>
            </w:r>
          </w:p>
        </w:tc>
        <w:tc>
          <w:tcPr>
            <w:tcW w:w="1245" w:type="dxa"/>
            <w:tcBorders>
              <w:top w:val="nil"/>
              <w:left w:val="nil"/>
              <w:bottom w:val="single" w:sz="8" w:space="0" w:color="auto"/>
              <w:right w:val="single" w:sz="8" w:space="0" w:color="auto"/>
            </w:tcBorders>
            <w:shd w:val="clear" w:color="auto" w:fill="auto"/>
            <w:vAlign w:val="center"/>
            <w:hideMark/>
          </w:tcPr>
          <w:p w14:paraId="0FDB577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1.134.473,12</w:t>
            </w:r>
          </w:p>
        </w:tc>
        <w:tc>
          <w:tcPr>
            <w:tcW w:w="1164" w:type="dxa"/>
            <w:tcBorders>
              <w:top w:val="nil"/>
              <w:left w:val="nil"/>
              <w:bottom w:val="single" w:sz="8" w:space="0" w:color="auto"/>
              <w:right w:val="single" w:sz="8" w:space="0" w:color="auto"/>
            </w:tcBorders>
            <w:shd w:val="clear" w:color="auto" w:fill="auto"/>
            <w:vAlign w:val="center"/>
            <w:hideMark/>
          </w:tcPr>
          <w:p w14:paraId="6CB6EA4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2.813.763,44</w:t>
            </w:r>
          </w:p>
        </w:tc>
        <w:tc>
          <w:tcPr>
            <w:tcW w:w="1164" w:type="dxa"/>
            <w:tcBorders>
              <w:top w:val="nil"/>
              <w:left w:val="nil"/>
              <w:bottom w:val="single" w:sz="8" w:space="0" w:color="auto"/>
              <w:right w:val="single" w:sz="8" w:space="0" w:color="auto"/>
            </w:tcBorders>
            <w:shd w:val="clear" w:color="auto" w:fill="auto"/>
            <w:vAlign w:val="center"/>
            <w:hideMark/>
          </w:tcPr>
          <w:p w14:paraId="4047CB7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2.532.387,09</w:t>
            </w:r>
          </w:p>
        </w:tc>
        <w:tc>
          <w:tcPr>
            <w:tcW w:w="1101" w:type="dxa"/>
            <w:tcBorders>
              <w:top w:val="nil"/>
              <w:left w:val="nil"/>
              <w:bottom w:val="single" w:sz="8" w:space="0" w:color="auto"/>
              <w:right w:val="single" w:sz="8" w:space="0" w:color="auto"/>
            </w:tcBorders>
            <w:shd w:val="clear" w:color="auto" w:fill="auto"/>
            <w:vAlign w:val="center"/>
            <w:hideMark/>
          </w:tcPr>
          <w:p w14:paraId="1D565EBE"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281.376,35</w:t>
            </w:r>
          </w:p>
        </w:tc>
        <w:tc>
          <w:tcPr>
            <w:tcW w:w="1276" w:type="dxa"/>
            <w:tcBorders>
              <w:top w:val="nil"/>
              <w:left w:val="nil"/>
              <w:bottom w:val="single" w:sz="8" w:space="0" w:color="auto"/>
              <w:right w:val="single" w:sz="12" w:space="0" w:color="auto"/>
            </w:tcBorders>
            <w:shd w:val="clear" w:color="auto" w:fill="auto"/>
            <w:vAlign w:val="center"/>
            <w:hideMark/>
          </w:tcPr>
          <w:p w14:paraId="157D5AD2"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9.660.000,00</w:t>
            </w:r>
          </w:p>
        </w:tc>
      </w:tr>
      <w:tr w:rsidR="008E0763" w:rsidRPr="00801DA2" w:rsidDel="00DE7433" w14:paraId="3AB4BD58"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192ABD3D"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17AA9E9C"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07938B29"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000000"/>
              <w:right w:val="single" w:sz="8" w:space="0" w:color="000000"/>
            </w:tcBorders>
            <w:shd w:val="clear" w:color="auto" w:fill="auto"/>
            <w:vAlign w:val="center"/>
            <w:hideMark/>
          </w:tcPr>
          <w:p w14:paraId="424E581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1.602.000,00</w:t>
            </w:r>
          </w:p>
        </w:tc>
        <w:tc>
          <w:tcPr>
            <w:tcW w:w="1245" w:type="dxa"/>
            <w:tcBorders>
              <w:top w:val="nil"/>
              <w:left w:val="nil"/>
              <w:bottom w:val="single" w:sz="8" w:space="0" w:color="auto"/>
              <w:right w:val="single" w:sz="8" w:space="0" w:color="auto"/>
            </w:tcBorders>
            <w:shd w:val="clear" w:color="auto" w:fill="auto"/>
            <w:vAlign w:val="center"/>
            <w:hideMark/>
          </w:tcPr>
          <w:p w14:paraId="529767E4"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1.332.653,60</w:t>
            </w:r>
          </w:p>
        </w:tc>
        <w:tc>
          <w:tcPr>
            <w:tcW w:w="1164" w:type="dxa"/>
            <w:tcBorders>
              <w:top w:val="nil"/>
              <w:left w:val="nil"/>
              <w:bottom w:val="single" w:sz="8" w:space="0" w:color="auto"/>
              <w:right w:val="single" w:sz="8" w:space="0" w:color="auto"/>
            </w:tcBorders>
            <w:shd w:val="clear" w:color="auto" w:fill="auto"/>
            <w:vAlign w:val="center"/>
            <w:hideMark/>
          </w:tcPr>
          <w:p w14:paraId="15796C60"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1.202.673,20</w:t>
            </w:r>
          </w:p>
        </w:tc>
        <w:tc>
          <w:tcPr>
            <w:tcW w:w="1164" w:type="dxa"/>
            <w:tcBorders>
              <w:top w:val="nil"/>
              <w:left w:val="nil"/>
              <w:bottom w:val="single" w:sz="8" w:space="0" w:color="auto"/>
              <w:right w:val="single" w:sz="8" w:space="0" w:color="auto"/>
            </w:tcBorders>
            <w:shd w:val="clear" w:color="auto" w:fill="auto"/>
            <w:vAlign w:val="center"/>
            <w:hideMark/>
          </w:tcPr>
          <w:p w14:paraId="6E3F4A7B"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1.082.405,88</w:t>
            </w:r>
          </w:p>
        </w:tc>
        <w:tc>
          <w:tcPr>
            <w:tcW w:w="1101" w:type="dxa"/>
            <w:tcBorders>
              <w:top w:val="nil"/>
              <w:left w:val="nil"/>
              <w:bottom w:val="single" w:sz="8" w:space="0" w:color="auto"/>
              <w:right w:val="single" w:sz="8" w:space="0" w:color="auto"/>
            </w:tcBorders>
            <w:shd w:val="clear" w:color="auto" w:fill="auto"/>
            <w:vAlign w:val="center"/>
            <w:hideMark/>
          </w:tcPr>
          <w:p w14:paraId="0D1945F3"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120.267,32</w:t>
            </w:r>
          </w:p>
        </w:tc>
        <w:tc>
          <w:tcPr>
            <w:tcW w:w="1276" w:type="dxa"/>
            <w:tcBorders>
              <w:top w:val="nil"/>
              <w:left w:val="nil"/>
              <w:bottom w:val="single" w:sz="8" w:space="0" w:color="auto"/>
              <w:right w:val="single" w:sz="12" w:space="0" w:color="auto"/>
            </w:tcBorders>
            <w:shd w:val="clear" w:color="auto" w:fill="auto"/>
            <w:vAlign w:val="center"/>
            <w:hideMark/>
          </w:tcPr>
          <w:p w14:paraId="1D9D3918"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5.340.000,00</w:t>
            </w:r>
          </w:p>
        </w:tc>
      </w:tr>
      <w:tr w:rsidR="008E0763" w:rsidRPr="00801DA2" w:rsidDel="00DE7433" w14:paraId="51B4EF6F" w14:textId="77777777" w:rsidTr="00BF248B">
        <w:trPr>
          <w:trHeight w:val="315"/>
        </w:trPr>
        <w:tc>
          <w:tcPr>
            <w:tcW w:w="870" w:type="dxa"/>
            <w:vMerge w:val="restart"/>
            <w:tcBorders>
              <w:top w:val="nil"/>
              <w:left w:val="single" w:sz="12" w:space="0" w:color="auto"/>
              <w:bottom w:val="single" w:sz="8" w:space="0" w:color="000000"/>
              <w:right w:val="single" w:sz="8" w:space="0" w:color="auto"/>
            </w:tcBorders>
            <w:shd w:val="clear" w:color="auto" w:fill="auto"/>
            <w:vAlign w:val="center"/>
            <w:hideMark/>
          </w:tcPr>
          <w:p w14:paraId="3AB6D452"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SC 5.1 UR</w:t>
            </w:r>
          </w:p>
        </w:tc>
        <w:tc>
          <w:tcPr>
            <w:tcW w:w="1111" w:type="dxa"/>
            <w:vMerge w:val="restart"/>
            <w:tcBorders>
              <w:top w:val="nil"/>
              <w:left w:val="single" w:sz="8" w:space="0" w:color="auto"/>
              <w:bottom w:val="single" w:sz="8" w:space="0" w:color="000000"/>
              <w:right w:val="single" w:sz="8" w:space="0" w:color="auto"/>
            </w:tcBorders>
            <w:shd w:val="clear" w:color="auto" w:fill="auto"/>
            <w:vAlign w:val="center"/>
            <w:hideMark/>
          </w:tcPr>
          <w:p w14:paraId="12FC295B"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Posojila za UR</w:t>
            </w:r>
          </w:p>
        </w:tc>
        <w:tc>
          <w:tcPr>
            <w:tcW w:w="671" w:type="dxa"/>
            <w:tcBorders>
              <w:top w:val="nil"/>
              <w:left w:val="nil"/>
              <w:bottom w:val="single" w:sz="8" w:space="0" w:color="auto"/>
              <w:right w:val="single" w:sz="8" w:space="0" w:color="auto"/>
            </w:tcBorders>
            <w:shd w:val="clear" w:color="auto" w:fill="auto"/>
            <w:vAlign w:val="center"/>
            <w:hideMark/>
          </w:tcPr>
          <w:p w14:paraId="6ECB3A2F"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vzhod</w:t>
            </w:r>
          </w:p>
        </w:tc>
        <w:tc>
          <w:tcPr>
            <w:tcW w:w="1164" w:type="dxa"/>
            <w:tcBorders>
              <w:top w:val="nil"/>
              <w:left w:val="nil"/>
              <w:bottom w:val="single" w:sz="8" w:space="0" w:color="auto"/>
              <w:right w:val="single" w:sz="8" w:space="0" w:color="000000"/>
            </w:tcBorders>
            <w:shd w:val="clear" w:color="auto" w:fill="auto"/>
            <w:vAlign w:val="center"/>
            <w:hideMark/>
          </w:tcPr>
          <w:p w14:paraId="05840AC6"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1.800.000,00</w:t>
            </w:r>
          </w:p>
        </w:tc>
        <w:tc>
          <w:tcPr>
            <w:tcW w:w="1245" w:type="dxa"/>
            <w:tcBorders>
              <w:top w:val="nil"/>
              <w:left w:val="nil"/>
              <w:bottom w:val="single" w:sz="8" w:space="0" w:color="auto"/>
              <w:right w:val="single" w:sz="8" w:space="0" w:color="auto"/>
            </w:tcBorders>
            <w:shd w:val="clear" w:color="auto" w:fill="auto"/>
            <w:vAlign w:val="center"/>
            <w:hideMark/>
          </w:tcPr>
          <w:p w14:paraId="359DFE6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819.028,81</w:t>
            </w:r>
          </w:p>
        </w:tc>
        <w:tc>
          <w:tcPr>
            <w:tcW w:w="1164" w:type="dxa"/>
            <w:tcBorders>
              <w:top w:val="nil"/>
              <w:left w:val="nil"/>
              <w:bottom w:val="single" w:sz="8" w:space="0" w:color="auto"/>
              <w:right w:val="single" w:sz="8" w:space="0" w:color="auto"/>
            </w:tcBorders>
            <w:shd w:val="clear" w:color="auto" w:fill="auto"/>
            <w:vAlign w:val="center"/>
            <w:hideMark/>
          </w:tcPr>
          <w:p w14:paraId="0935C9A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1.690.485,60</w:t>
            </w:r>
          </w:p>
        </w:tc>
        <w:tc>
          <w:tcPr>
            <w:tcW w:w="1164" w:type="dxa"/>
            <w:tcBorders>
              <w:top w:val="nil"/>
              <w:left w:val="nil"/>
              <w:bottom w:val="single" w:sz="8" w:space="0" w:color="auto"/>
              <w:right w:val="single" w:sz="8" w:space="0" w:color="auto"/>
            </w:tcBorders>
            <w:shd w:val="clear" w:color="auto" w:fill="auto"/>
            <w:vAlign w:val="center"/>
            <w:hideMark/>
          </w:tcPr>
          <w:p w14:paraId="6F84E3E7"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1.521.437,04</w:t>
            </w:r>
          </w:p>
        </w:tc>
        <w:tc>
          <w:tcPr>
            <w:tcW w:w="1101" w:type="dxa"/>
            <w:tcBorders>
              <w:top w:val="nil"/>
              <w:left w:val="nil"/>
              <w:bottom w:val="single" w:sz="8" w:space="0" w:color="auto"/>
              <w:right w:val="single" w:sz="8" w:space="0" w:color="auto"/>
            </w:tcBorders>
            <w:shd w:val="clear" w:color="auto" w:fill="auto"/>
            <w:vAlign w:val="center"/>
            <w:hideMark/>
          </w:tcPr>
          <w:p w14:paraId="5827FA85"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169.048,55</w:t>
            </w:r>
          </w:p>
        </w:tc>
        <w:tc>
          <w:tcPr>
            <w:tcW w:w="1276" w:type="dxa"/>
            <w:tcBorders>
              <w:top w:val="nil"/>
              <w:left w:val="nil"/>
              <w:bottom w:val="single" w:sz="8" w:space="0" w:color="auto"/>
              <w:right w:val="single" w:sz="12" w:space="0" w:color="auto"/>
            </w:tcBorders>
            <w:shd w:val="clear" w:color="auto" w:fill="auto"/>
            <w:vAlign w:val="center"/>
            <w:hideMark/>
          </w:tcPr>
          <w:p w14:paraId="10C2A5D9"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6.000.000,00</w:t>
            </w:r>
          </w:p>
        </w:tc>
      </w:tr>
      <w:tr w:rsidR="008E0763" w:rsidRPr="00801DA2" w:rsidDel="00DE7433" w14:paraId="00272D80" w14:textId="77777777" w:rsidTr="00BF248B">
        <w:trPr>
          <w:trHeight w:val="315"/>
        </w:trPr>
        <w:tc>
          <w:tcPr>
            <w:tcW w:w="870" w:type="dxa"/>
            <w:vMerge/>
            <w:tcBorders>
              <w:top w:val="nil"/>
              <w:left w:val="single" w:sz="12" w:space="0" w:color="auto"/>
              <w:bottom w:val="single" w:sz="8" w:space="0" w:color="000000"/>
              <w:right w:val="single" w:sz="8" w:space="0" w:color="auto"/>
            </w:tcBorders>
            <w:vAlign w:val="center"/>
            <w:hideMark/>
          </w:tcPr>
          <w:p w14:paraId="292FA53A" w14:textId="77777777" w:rsidR="00BF248B" w:rsidRPr="00A3388D" w:rsidDel="00DE7433" w:rsidRDefault="00BF248B" w:rsidP="00BF248B">
            <w:pPr>
              <w:rPr>
                <w:rFonts w:cs="Arial"/>
                <w:color w:val="000000"/>
                <w:sz w:val="16"/>
                <w:szCs w:val="16"/>
                <w:lang w:eastAsia="sl-SI"/>
              </w:rPr>
            </w:pPr>
          </w:p>
        </w:tc>
        <w:tc>
          <w:tcPr>
            <w:tcW w:w="1111" w:type="dxa"/>
            <w:vMerge/>
            <w:tcBorders>
              <w:top w:val="nil"/>
              <w:left w:val="single" w:sz="8" w:space="0" w:color="auto"/>
              <w:bottom w:val="single" w:sz="8" w:space="0" w:color="000000"/>
              <w:right w:val="single" w:sz="8" w:space="0" w:color="auto"/>
            </w:tcBorders>
            <w:vAlign w:val="center"/>
            <w:hideMark/>
          </w:tcPr>
          <w:p w14:paraId="23E25E04" w14:textId="77777777" w:rsidR="00BF248B" w:rsidRPr="00A3388D" w:rsidDel="00DE7433" w:rsidRDefault="00BF248B" w:rsidP="00BF248B">
            <w:pPr>
              <w:rPr>
                <w:rFonts w:cs="Arial"/>
                <w:color w:val="000000"/>
                <w:sz w:val="16"/>
                <w:szCs w:val="16"/>
                <w:lang w:eastAsia="sl-SI"/>
              </w:rPr>
            </w:pPr>
          </w:p>
        </w:tc>
        <w:tc>
          <w:tcPr>
            <w:tcW w:w="671" w:type="dxa"/>
            <w:tcBorders>
              <w:top w:val="nil"/>
              <w:left w:val="nil"/>
              <w:bottom w:val="single" w:sz="8" w:space="0" w:color="auto"/>
              <w:right w:val="single" w:sz="8" w:space="0" w:color="auto"/>
            </w:tcBorders>
            <w:shd w:val="clear" w:color="auto" w:fill="auto"/>
            <w:vAlign w:val="center"/>
            <w:hideMark/>
          </w:tcPr>
          <w:p w14:paraId="3E3D7EEB" w14:textId="77777777" w:rsidR="00BF248B" w:rsidRPr="00A3388D" w:rsidDel="00DE7433" w:rsidRDefault="00BF248B" w:rsidP="00BF248B">
            <w:pPr>
              <w:jc w:val="center"/>
              <w:rPr>
                <w:rFonts w:cs="Arial"/>
                <w:color w:val="000000"/>
                <w:sz w:val="16"/>
                <w:szCs w:val="16"/>
                <w:lang w:eastAsia="sl-SI"/>
              </w:rPr>
            </w:pPr>
            <w:r w:rsidRPr="00A3388D" w:rsidDel="00DE7433">
              <w:rPr>
                <w:rFonts w:cs="Arial"/>
                <w:color w:val="000000"/>
                <w:sz w:val="16"/>
                <w:szCs w:val="16"/>
                <w:lang w:eastAsia="sl-SI"/>
              </w:rPr>
              <w:t>zahod</w:t>
            </w:r>
          </w:p>
        </w:tc>
        <w:tc>
          <w:tcPr>
            <w:tcW w:w="1164" w:type="dxa"/>
            <w:tcBorders>
              <w:top w:val="nil"/>
              <w:left w:val="nil"/>
              <w:bottom w:val="single" w:sz="8" w:space="0" w:color="000000"/>
              <w:right w:val="single" w:sz="8" w:space="0" w:color="000000"/>
            </w:tcBorders>
            <w:shd w:val="clear" w:color="auto" w:fill="auto"/>
            <w:vAlign w:val="center"/>
            <w:hideMark/>
          </w:tcPr>
          <w:p w14:paraId="583AD171"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600.000,00</w:t>
            </w:r>
          </w:p>
        </w:tc>
        <w:tc>
          <w:tcPr>
            <w:tcW w:w="1245" w:type="dxa"/>
            <w:tcBorders>
              <w:top w:val="nil"/>
              <w:left w:val="nil"/>
              <w:bottom w:val="single" w:sz="8" w:space="0" w:color="auto"/>
              <w:right w:val="single" w:sz="8" w:space="0" w:color="auto"/>
            </w:tcBorders>
            <w:shd w:val="clear" w:color="auto" w:fill="auto"/>
            <w:vAlign w:val="center"/>
            <w:hideMark/>
          </w:tcPr>
          <w:p w14:paraId="6381AE3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580.145,41</w:t>
            </w:r>
          </w:p>
        </w:tc>
        <w:tc>
          <w:tcPr>
            <w:tcW w:w="1164" w:type="dxa"/>
            <w:tcBorders>
              <w:top w:val="nil"/>
              <w:left w:val="nil"/>
              <w:bottom w:val="single" w:sz="8" w:space="0" w:color="auto"/>
              <w:right w:val="single" w:sz="8" w:space="0" w:color="auto"/>
            </w:tcBorders>
            <w:shd w:val="clear" w:color="auto" w:fill="auto"/>
            <w:vAlign w:val="center"/>
            <w:hideMark/>
          </w:tcPr>
          <w:p w14:paraId="01068AB2"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409.927,30</w:t>
            </w:r>
          </w:p>
        </w:tc>
        <w:tc>
          <w:tcPr>
            <w:tcW w:w="1164" w:type="dxa"/>
            <w:tcBorders>
              <w:top w:val="nil"/>
              <w:left w:val="nil"/>
              <w:bottom w:val="single" w:sz="8" w:space="0" w:color="auto"/>
              <w:right w:val="single" w:sz="8" w:space="0" w:color="auto"/>
            </w:tcBorders>
            <w:shd w:val="clear" w:color="auto" w:fill="auto"/>
            <w:vAlign w:val="center"/>
            <w:hideMark/>
          </w:tcPr>
          <w:p w14:paraId="7303800A"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368.934,57</w:t>
            </w:r>
          </w:p>
        </w:tc>
        <w:tc>
          <w:tcPr>
            <w:tcW w:w="1101" w:type="dxa"/>
            <w:tcBorders>
              <w:top w:val="nil"/>
              <w:left w:val="nil"/>
              <w:bottom w:val="single" w:sz="8" w:space="0" w:color="auto"/>
              <w:right w:val="single" w:sz="8" w:space="0" w:color="auto"/>
            </w:tcBorders>
            <w:shd w:val="clear" w:color="auto" w:fill="auto"/>
            <w:vAlign w:val="center"/>
            <w:hideMark/>
          </w:tcPr>
          <w:p w14:paraId="6853F45F"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40.992,72</w:t>
            </w:r>
          </w:p>
        </w:tc>
        <w:tc>
          <w:tcPr>
            <w:tcW w:w="1276" w:type="dxa"/>
            <w:tcBorders>
              <w:top w:val="nil"/>
              <w:left w:val="nil"/>
              <w:bottom w:val="single" w:sz="8" w:space="0" w:color="auto"/>
              <w:right w:val="single" w:sz="12" w:space="0" w:color="auto"/>
            </w:tcBorders>
            <w:shd w:val="clear" w:color="auto" w:fill="auto"/>
            <w:vAlign w:val="center"/>
            <w:hideMark/>
          </w:tcPr>
          <w:p w14:paraId="77D2C5BD" w14:textId="77777777" w:rsidR="00BF248B" w:rsidRPr="00A3388D" w:rsidDel="00DE7433" w:rsidRDefault="00BF248B" w:rsidP="00BF248B">
            <w:pPr>
              <w:jc w:val="right"/>
              <w:rPr>
                <w:rFonts w:cs="Arial"/>
                <w:color w:val="000000"/>
                <w:sz w:val="16"/>
                <w:szCs w:val="16"/>
                <w:lang w:eastAsia="sl-SI"/>
              </w:rPr>
            </w:pPr>
            <w:r w:rsidRPr="00A3388D" w:rsidDel="00DE7433">
              <w:rPr>
                <w:rFonts w:cs="Arial"/>
                <w:color w:val="000000"/>
                <w:sz w:val="16"/>
                <w:szCs w:val="16"/>
                <w:lang w:eastAsia="sl-SI"/>
              </w:rPr>
              <w:t>2.000.000,00</w:t>
            </w:r>
          </w:p>
        </w:tc>
      </w:tr>
      <w:tr w:rsidR="008E0763" w:rsidRPr="00801DA2" w:rsidDel="00DE7433" w14:paraId="7C57C968" w14:textId="77777777" w:rsidTr="00BF248B">
        <w:trPr>
          <w:trHeight w:val="465"/>
        </w:trPr>
        <w:tc>
          <w:tcPr>
            <w:tcW w:w="870" w:type="dxa"/>
            <w:tcBorders>
              <w:top w:val="nil"/>
              <w:left w:val="single" w:sz="12" w:space="0" w:color="auto"/>
              <w:bottom w:val="single" w:sz="12" w:space="0" w:color="auto"/>
              <w:right w:val="single" w:sz="8" w:space="0" w:color="auto"/>
            </w:tcBorders>
            <w:shd w:val="clear" w:color="000000" w:fill="B4C6E7"/>
            <w:vAlign w:val="center"/>
            <w:hideMark/>
          </w:tcPr>
          <w:p w14:paraId="42D22F12" w14:textId="77777777" w:rsidR="00BF248B" w:rsidRPr="00A3388D" w:rsidDel="00DE7433" w:rsidRDefault="00BF248B" w:rsidP="00BF248B">
            <w:pPr>
              <w:rPr>
                <w:rFonts w:cs="Arial"/>
                <w:color w:val="000000"/>
                <w:sz w:val="16"/>
                <w:szCs w:val="16"/>
                <w:lang w:eastAsia="sl-SI"/>
              </w:rPr>
            </w:pPr>
            <w:r w:rsidRPr="00A3388D" w:rsidDel="00DE7433">
              <w:rPr>
                <w:rFonts w:cs="Arial"/>
                <w:color w:val="000000"/>
                <w:sz w:val="16"/>
                <w:szCs w:val="16"/>
                <w:lang w:eastAsia="sl-SI"/>
              </w:rPr>
              <w:t>Skupna vsota</w:t>
            </w:r>
          </w:p>
        </w:tc>
        <w:tc>
          <w:tcPr>
            <w:tcW w:w="1111" w:type="dxa"/>
            <w:tcBorders>
              <w:top w:val="nil"/>
              <w:left w:val="nil"/>
              <w:bottom w:val="single" w:sz="12" w:space="0" w:color="auto"/>
              <w:right w:val="single" w:sz="8" w:space="0" w:color="auto"/>
            </w:tcBorders>
            <w:shd w:val="clear" w:color="000000" w:fill="B4C6E7"/>
            <w:vAlign w:val="center"/>
            <w:hideMark/>
          </w:tcPr>
          <w:p w14:paraId="14648DFF" w14:textId="77777777" w:rsidR="00BF248B" w:rsidRPr="00A3388D" w:rsidDel="00DE7433" w:rsidRDefault="00BF248B" w:rsidP="00BF248B">
            <w:pPr>
              <w:rPr>
                <w:rFonts w:cs="Arial"/>
                <w:b/>
                <w:bCs/>
                <w:color w:val="000000"/>
                <w:sz w:val="16"/>
                <w:szCs w:val="16"/>
                <w:lang w:eastAsia="sl-SI"/>
              </w:rPr>
            </w:pPr>
            <w:r w:rsidRPr="00A3388D" w:rsidDel="00DE7433">
              <w:rPr>
                <w:rFonts w:cs="Arial"/>
                <w:b/>
                <w:bCs/>
                <w:color w:val="000000"/>
                <w:sz w:val="16"/>
                <w:szCs w:val="16"/>
                <w:lang w:eastAsia="sl-SI"/>
              </w:rPr>
              <w:t> </w:t>
            </w:r>
          </w:p>
        </w:tc>
        <w:tc>
          <w:tcPr>
            <w:tcW w:w="671" w:type="dxa"/>
            <w:tcBorders>
              <w:top w:val="nil"/>
              <w:left w:val="nil"/>
              <w:bottom w:val="single" w:sz="12" w:space="0" w:color="auto"/>
              <w:right w:val="single" w:sz="8" w:space="0" w:color="auto"/>
            </w:tcBorders>
            <w:shd w:val="clear" w:color="000000" w:fill="B4C6E7"/>
            <w:vAlign w:val="center"/>
            <w:hideMark/>
          </w:tcPr>
          <w:p w14:paraId="70A83BE9" w14:textId="77777777" w:rsidR="00BF248B" w:rsidRPr="00A3388D" w:rsidDel="00DE7433" w:rsidRDefault="00BF248B" w:rsidP="00BF248B">
            <w:pPr>
              <w:rPr>
                <w:rFonts w:cs="Arial"/>
                <w:b/>
                <w:bCs/>
                <w:color w:val="000000"/>
                <w:sz w:val="16"/>
                <w:szCs w:val="16"/>
                <w:lang w:eastAsia="sl-SI"/>
              </w:rPr>
            </w:pPr>
            <w:r w:rsidRPr="00A3388D" w:rsidDel="00DE7433">
              <w:rPr>
                <w:rFonts w:cs="Arial"/>
                <w:b/>
                <w:bCs/>
                <w:color w:val="000000"/>
                <w:sz w:val="16"/>
                <w:szCs w:val="16"/>
                <w:lang w:eastAsia="sl-SI"/>
              </w:rPr>
              <w:t> </w:t>
            </w:r>
          </w:p>
        </w:tc>
        <w:tc>
          <w:tcPr>
            <w:tcW w:w="1164" w:type="dxa"/>
            <w:tcBorders>
              <w:top w:val="nil"/>
              <w:left w:val="nil"/>
              <w:bottom w:val="single" w:sz="12" w:space="0" w:color="auto"/>
              <w:right w:val="single" w:sz="8" w:space="0" w:color="auto"/>
            </w:tcBorders>
            <w:shd w:val="clear" w:color="000000" w:fill="B4C6E7"/>
            <w:vAlign w:val="center"/>
            <w:hideMark/>
          </w:tcPr>
          <w:p w14:paraId="010F5668"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57.000.000,00</w:t>
            </w:r>
          </w:p>
        </w:tc>
        <w:tc>
          <w:tcPr>
            <w:tcW w:w="1245" w:type="dxa"/>
            <w:tcBorders>
              <w:top w:val="nil"/>
              <w:left w:val="nil"/>
              <w:bottom w:val="single" w:sz="12" w:space="0" w:color="auto"/>
              <w:right w:val="single" w:sz="8" w:space="0" w:color="auto"/>
            </w:tcBorders>
            <w:shd w:val="clear" w:color="000000" w:fill="B4C6E7"/>
            <w:vAlign w:val="center"/>
            <w:hideMark/>
          </w:tcPr>
          <w:p w14:paraId="44727187"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36.434.377,48</w:t>
            </w:r>
          </w:p>
        </w:tc>
        <w:tc>
          <w:tcPr>
            <w:tcW w:w="1164" w:type="dxa"/>
            <w:tcBorders>
              <w:top w:val="nil"/>
              <w:left w:val="nil"/>
              <w:bottom w:val="single" w:sz="12" w:space="0" w:color="auto"/>
              <w:right w:val="single" w:sz="8" w:space="0" w:color="auto"/>
            </w:tcBorders>
            <w:shd w:val="clear" w:color="000000" w:fill="B4C6E7"/>
            <w:vAlign w:val="center"/>
            <w:hideMark/>
          </w:tcPr>
          <w:p w14:paraId="757A2627"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48.282.811,28</w:t>
            </w:r>
          </w:p>
        </w:tc>
        <w:tc>
          <w:tcPr>
            <w:tcW w:w="1164" w:type="dxa"/>
            <w:tcBorders>
              <w:top w:val="nil"/>
              <w:left w:val="nil"/>
              <w:bottom w:val="single" w:sz="12" w:space="0" w:color="auto"/>
              <w:right w:val="single" w:sz="8" w:space="0" w:color="auto"/>
            </w:tcBorders>
            <w:shd w:val="clear" w:color="000000" w:fill="B4C6E7"/>
            <w:vAlign w:val="center"/>
            <w:hideMark/>
          </w:tcPr>
          <w:p w14:paraId="6A1690DD"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43.454.530,13</w:t>
            </w:r>
          </w:p>
        </w:tc>
        <w:tc>
          <w:tcPr>
            <w:tcW w:w="1101" w:type="dxa"/>
            <w:tcBorders>
              <w:top w:val="nil"/>
              <w:left w:val="nil"/>
              <w:bottom w:val="single" w:sz="12" w:space="0" w:color="auto"/>
              <w:right w:val="single" w:sz="8" w:space="0" w:color="auto"/>
            </w:tcBorders>
            <w:shd w:val="clear" w:color="000000" w:fill="B4C6E7"/>
            <w:vAlign w:val="center"/>
            <w:hideMark/>
          </w:tcPr>
          <w:p w14:paraId="7EC0614C"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4.828.281,11</w:t>
            </w:r>
          </w:p>
        </w:tc>
        <w:tc>
          <w:tcPr>
            <w:tcW w:w="1276" w:type="dxa"/>
            <w:tcBorders>
              <w:top w:val="nil"/>
              <w:left w:val="nil"/>
              <w:bottom w:val="single" w:sz="12" w:space="0" w:color="auto"/>
              <w:right w:val="single" w:sz="12" w:space="0" w:color="auto"/>
            </w:tcBorders>
            <w:shd w:val="clear" w:color="000000" w:fill="B4C6E7"/>
            <w:vAlign w:val="center"/>
            <w:hideMark/>
          </w:tcPr>
          <w:p w14:paraId="356199D8" w14:textId="77777777" w:rsidR="00BF248B" w:rsidRPr="00A3388D" w:rsidDel="00DE7433" w:rsidRDefault="00BF248B" w:rsidP="00BF248B">
            <w:pPr>
              <w:jc w:val="right"/>
              <w:rPr>
                <w:rFonts w:cs="Arial"/>
                <w:b/>
                <w:bCs/>
                <w:color w:val="000000"/>
                <w:sz w:val="16"/>
                <w:szCs w:val="16"/>
                <w:lang w:eastAsia="sl-SI"/>
              </w:rPr>
            </w:pPr>
            <w:r w:rsidRPr="00A3388D" w:rsidDel="00DE7433">
              <w:rPr>
                <w:rFonts w:cs="Arial"/>
                <w:b/>
                <w:bCs/>
                <w:color w:val="000000"/>
                <w:sz w:val="16"/>
                <w:szCs w:val="16"/>
                <w:lang w:eastAsia="sl-SI"/>
              </w:rPr>
              <w:t>190.000.000,00</w:t>
            </w:r>
          </w:p>
        </w:tc>
      </w:tr>
    </w:tbl>
    <w:p w14:paraId="10A04A65" w14:textId="2480F41D" w:rsidR="00801DA2" w:rsidRDefault="00801DA2" w:rsidP="00F154F0">
      <w:pPr>
        <w:jc w:val="both"/>
        <w:rPr>
          <w:rFonts w:eastAsia="CIDFont+F2" w:cs="Arial"/>
          <w:sz w:val="20"/>
          <w:szCs w:val="20"/>
          <w:lang w:eastAsia="sl-SI"/>
        </w:rPr>
      </w:pPr>
    </w:p>
    <w:bookmarkEnd w:id="27"/>
    <w:p w14:paraId="0F999A1E" w14:textId="77777777" w:rsidR="007E7842" w:rsidRPr="00E17453" w:rsidRDefault="007E7842" w:rsidP="00F154F0">
      <w:pPr>
        <w:jc w:val="both"/>
        <w:rPr>
          <w:rFonts w:cs="Arial"/>
          <w:sz w:val="20"/>
          <w:szCs w:val="20"/>
        </w:rPr>
      </w:pPr>
    </w:p>
    <w:p w14:paraId="7514E295" w14:textId="77777777" w:rsidR="003F5664" w:rsidRDefault="003F5664" w:rsidP="00F154F0">
      <w:pPr>
        <w:pStyle w:val="Naslov2"/>
        <w:spacing w:after="0"/>
        <w:ind w:left="0"/>
        <w:rPr>
          <w:sz w:val="20"/>
          <w:szCs w:val="20"/>
        </w:rPr>
      </w:pPr>
      <w:bookmarkStart w:id="30" w:name="_Toc141708953"/>
      <w:bookmarkStart w:id="31" w:name="_Toc175120975"/>
      <w:r w:rsidRPr="00E17453">
        <w:rPr>
          <w:sz w:val="20"/>
          <w:szCs w:val="20"/>
        </w:rPr>
        <w:t>PROGRAMSKA KLASIFIKACIJA</w:t>
      </w:r>
      <w:bookmarkEnd w:id="30"/>
      <w:bookmarkEnd w:id="31"/>
      <w:r w:rsidRPr="00E17453">
        <w:rPr>
          <w:sz w:val="20"/>
          <w:szCs w:val="20"/>
        </w:rPr>
        <w:t xml:space="preserve"> </w:t>
      </w:r>
    </w:p>
    <w:p w14:paraId="08D8F6A6" w14:textId="77777777" w:rsidR="007E7842" w:rsidRPr="007E7842" w:rsidRDefault="007E7842" w:rsidP="007E7842"/>
    <w:p w14:paraId="7F3C40EF" w14:textId="0AD77045" w:rsidR="00E12F0C" w:rsidRPr="00C36837" w:rsidRDefault="00F12A06" w:rsidP="00F154F0">
      <w:pPr>
        <w:jc w:val="both"/>
        <w:rPr>
          <w:rFonts w:cs="Arial"/>
          <w:sz w:val="20"/>
          <w:szCs w:val="20"/>
        </w:rPr>
      </w:pPr>
      <w:r>
        <w:rPr>
          <w:rFonts w:cs="Arial"/>
          <w:sz w:val="20"/>
          <w:szCs w:val="20"/>
        </w:rPr>
        <w:t>Sredstva evropske k</w:t>
      </w:r>
      <w:r w:rsidR="003F5664" w:rsidRPr="00C36837">
        <w:rPr>
          <w:rFonts w:cs="Arial"/>
          <w:sz w:val="20"/>
          <w:szCs w:val="20"/>
        </w:rPr>
        <w:t>ohezijsk</w:t>
      </w:r>
      <w:r>
        <w:rPr>
          <w:rFonts w:cs="Arial"/>
          <w:sz w:val="20"/>
          <w:szCs w:val="20"/>
        </w:rPr>
        <w:t>e</w:t>
      </w:r>
      <w:r w:rsidR="003F5664" w:rsidRPr="00C36837">
        <w:rPr>
          <w:rFonts w:cs="Arial"/>
          <w:sz w:val="20"/>
          <w:szCs w:val="20"/>
        </w:rPr>
        <w:t xml:space="preserve"> </w:t>
      </w:r>
      <w:r w:rsidRPr="00C36837">
        <w:rPr>
          <w:rFonts w:cs="Arial"/>
          <w:sz w:val="20"/>
          <w:szCs w:val="20"/>
        </w:rPr>
        <w:t>politik</w:t>
      </w:r>
      <w:r>
        <w:rPr>
          <w:rFonts w:cs="Arial"/>
          <w:sz w:val="20"/>
          <w:szCs w:val="20"/>
        </w:rPr>
        <w:t>e iz</w:t>
      </w:r>
      <w:r w:rsidRPr="00C36837">
        <w:rPr>
          <w:rFonts w:cs="Arial"/>
          <w:sz w:val="20"/>
          <w:szCs w:val="20"/>
        </w:rPr>
        <w:t xml:space="preserve"> </w:t>
      </w:r>
      <w:r w:rsidR="003F5664" w:rsidRPr="00C36837">
        <w:rPr>
          <w:rFonts w:cs="Arial"/>
          <w:sz w:val="20"/>
          <w:szCs w:val="20"/>
        </w:rPr>
        <w:t>programskega obdobja 20</w:t>
      </w:r>
      <w:r w:rsidR="00E12F0C" w:rsidRPr="00C36837">
        <w:rPr>
          <w:rFonts w:cs="Arial"/>
          <w:sz w:val="20"/>
          <w:szCs w:val="20"/>
        </w:rPr>
        <w:t>21</w:t>
      </w:r>
      <w:r w:rsidR="003F5664" w:rsidRPr="00C36837">
        <w:rPr>
          <w:rFonts w:cs="Arial"/>
          <w:sz w:val="20"/>
          <w:szCs w:val="20"/>
        </w:rPr>
        <w:t>–202</w:t>
      </w:r>
      <w:r w:rsidR="00E12F0C" w:rsidRPr="00C36837">
        <w:rPr>
          <w:rFonts w:cs="Arial"/>
          <w:sz w:val="20"/>
          <w:szCs w:val="20"/>
        </w:rPr>
        <w:t>7</w:t>
      </w:r>
      <w:r w:rsidR="003F5664" w:rsidRPr="00C36837">
        <w:rPr>
          <w:rFonts w:cs="Arial"/>
          <w:sz w:val="20"/>
          <w:szCs w:val="20"/>
        </w:rPr>
        <w:t xml:space="preserve"> </w:t>
      </w:r>
      <w:r>
        <w:rPr>
          <w:rFonts w:cs="Arial"/>
          <w:sz w:val="20"/>
          <w:szCs w:val="20"/>
        </w:rPr>
        <w:t>so</w:t>
      </w:r>
      <w:r w:rsidRPr="00C36837">
        <w:rPr>
          <w:rFonts w:cs="Arial"/>
          <w:sz w:val="20"/>
          <w:szCs w:val="20"/>
        </w:rPr>
        <w:t xml:space="preserve"> </w:t>
      </w:r>
      <w:r w:rsidR="003F5664" w:rsidRPr="00C36837">
        <w:rPr>
          <w:rFonts w:cs="Arial"/>
          <w:sz w:val="20"/>
          <w:szCs w:val="20"/>
        </w:rPr>
        <w:t xml:space="preserve">načrtovana skladno </w:t>
      </w:r>
      <w:r w:rsidR="00E12F0C" w:rsidRPr="00C36837">
        <w:rPr>
          <w:rFonts w:cs="Arial"/>
          <w:sz w:val="20"/>
          <w:szCs w:val="20"/>
        </w:rPr>
        <w:t xml:space="preserve">s Sporazumom o partnerstvu </w:t>
      </w:r>
      <w:r w:rsidR="00601790" w:rsidRPr="00C36837">
        <w:rPr>
          <w:rFonts w:cs="Arial"/>
          <w:sz w:val="20"/>
          <w:szCs w:val="20"/>
        </w:rPr>
        <w:t xml:space="preserve">v </w:t>
      </w:r>
      <w:r w:rsidR="00E12F0C" w:rsidRPr="00C36837">
        <w:rPr>
          <w:rFonts w:cs="Arial"/>
          <w:sz w:val="20"/>
          <w:szCs w:val="20"/>
        </w:rPr>
        <w:t>Program</w:t>
      </w:r>
      <w:r w:rsidR="00601790" w:rsidRPr="00C36837">
        <w:rPr>
          <w:rFonts w:cs="Arial"/>
          <w:sz w:val="20"/>
          <w:szCs w:val="20"/>
        </w:rPr>
        <w:t>u</w:t>
      </w:r>
      <w:r w:rsidR="00E12F0C" w:rsidRPr="00C36837">
        <w:rPr>
          <w:rFonts w:cs="Arial"/>
          <w:sz w:val="20"/>
          <w:szCs w:val="20"/>
        </w:rPr>
        <w:t xml:space="preserve"> evropske kohezijske politike v obdobju 2021–2027 v Sloveniji. </w:t>
      </w:r>
    </w:p>
    <w:p w14:paraId="18B989B2" w14:textId="77777777" w:rsidR="003F5664" w:rsidRPr="00E17453" w:rsidRDefault="003F5664" w:rsidP="00F154F0">
      <w:pPr>
        <w:jc w:val="both"/>
        <w:rPr>
          <w:rFonts w:cs="Arial"/>
          <w:color w:val="FF0000"/>
          <w:sz w:val="20"/>
          <w:szCs w:val="20"/>
        </w:rPr>
      </w:pPr>
    </w:p>
    <w:p w14:paraId="20E4260B" w14:textId="56CBF223" w:rsidR="003F5664" w:rsidRPr="00DD2408" w:rsidRDefault="003F5664" w:rsidP="00F154F0">
      <w:pPr>
        <w:jc w:val="both"/>
        <w:rPr>
          <w:rFonts w:cs="Arial"/>
          <w:sz w:val="20"/>
          <w:szCs w:val="20"/>
        </w:rPr>
      </w:pPr>
      <w:r w:rsidRPr="00C664E3">
        <w:rPr>
          <w:rFonts w:cs="Arial"/>
          <w:sz w:val="20"/>
          <w:szCs w:val="20"/>
        </w:rPr>
        <w:t xml:space="preserve">Glede na programsko klasifikacijo </w:t>
      </w:r>
      <w:r w:rsidR="00F12A06">
        <w:rPr>
          <w:rFonts w:cs="Arial"/>
          <w:sz w:val="20"/>
          <w:szCs w:val="20"/>
        </w:rPr>
        <w:t>p</w:t>
      </w:r>
      <w:r w:rsidR="00F12A06" w:rsidRPr="00C664E3">
        <w:rPr>
          <w:rFonts w:cs="Arial"/>
          <w:sz w:val="20"/>
          <w:szCs w:val="20"/>
        </w:rPr>
        <w:t xml:space="preserve">roračuna </w:t>
      </w:r>
      <w:r w:rsidRPr="00C664E3">
        <w:rPr>
          <w:rFonts w:cs="Arial"/>
          <w:sz w:val="20"/>
          <w:szCs w:val="20"/>
        </w:rPr>
        <w:t>R</w:t>
      </w:r>
      <w:r w:rsidR="00F12A06">
        <w:rPr>
          <w:rFonts w:cs="Arial"/>
          <w:sz w:val="20"/>
          <w:szCs w:val="20"/>
        </w:rPr>
        <w:t xml:space="preserve">epublike </w:t>
      </w:r>
      <w:r w:rsidRPr="00C664E3">
        <w:rPr>
          <w:rFonts w:cs="Arial"/>
          <w:sz w:val="20"/>
          <w:szCs w:val="20"/>
        </w:rPr>
        <w:t>S</w:t>
      </w:r>
      <w:r w:rsidR="00F12A06">
        <w:rPr>
          <w:rFonts w:cs="Arial"/>
          <w:sz w:val="20"/>
          <w:szCs w:val="20"/>
        </w:rPr>
        <w:t>lovenije</w:t>
      </w:r>
      <w:r w:rsidRPr="00C664E3">
        <w:rPr>
          <w:rFonts w:cs="Arial"/>
          <w:sz w:val="20"/>
          <w:szCs w:val="20"/>
        </w:rPr>
        <w:t xml:space="preserve"> se FI</w:t>
      </w:r>
      <w:r w:rsidR="00F007AE">
        <w:rPr>
          <w:rFonts w:cs="Arial"/>
          <w:sz w:val="20"/>
          <w:szCs w:val="20"/>
        </w:rPr>
        <w:t xml:space="preserve"> glede na specifične cilje PEKP</w:t>
      </w:r>
      <w:r w:rsidRPr="00C664E3">
        <w:rPr>
          <w:rFonts w:cs="Arial"/>
          <w:sz w:val="20"/>
          <w:szCs w:val="20"/>
        </w:rPr>
        <w:t xml:space="preserve"> vsebinsko umestijo v politike, glavne programe in podprograme</w:t>
      </w:r>
      <w:r w:rsidR="00E67AE9">
        <w:rPr>
          <w:rFonts w:cs="Arial"/>
          <w:sz w:val="20"/>
          <w:szCs w:val="20"/>
        </w:rPr>
        <w:t xml:space="preserve"> kot je navedeno v tabeli 3. </w:t>
      </w:r>
    </w:p>
    <w:p w14:paraId="6B942632" w14:textId="77777777" w:rsidR="003F5664" w:rsidRPr="00A13BC7" w:rsidRDefault="003F5664" w:rsidP="00F154F0">
      <w:pPr>
        <w:rPr>
          <w:rFonts w:eastAsia="CIDFont+F2" w:cs="Arial"/>
          <w:sz w:val="20"/>
          <w:szCs w:val="20"/>
          <w:lang w:eastAsia="sl-SI"/>
        </w:rPr>
      </w:pPr>
    </w:p>
    <w:p w14:paraId="2D8A40D4" w14:textId="02990E8B" w:rsidR="003F5664" w:rsidRDefault="003F5664" w:rsidP="00F154F0">
      <w:pPr>
        <w:keepNext/>
        <w:jc w:val="both"/>
        <w:rPr>
          <w:rFonts w:eastAsia="CIDFont+F2" w:cs="Arial"/>
          <w:sz w:val="20"/>
          <w:szCs w:val="20"/>
          <w:lang w:eastAsia="sl-SI"/>
        </w:rPr>
      </w:pPr>
      <w:r w:rsidRPr="007E7842">
        <w:rPr>
          <w:rFonts w:cs="Arial"/>
          <w:sz w:val="20"/>
          <w:szCs w:val="20"/>
        </w:rPr>
        <w:t xml:space="preserve">Tabela </w:t>
      </w:r>
      <w:r w:rsidR="003878DF" w:rsidRPr="007E7842">
        <w:rPr>
          <w:rFonts w:cs="Arial"/>
          <w:sz w:val="20"/>
          <w:szCs w:val="20"/>
        </w:rPr>
        <w:t>3</w:t>
      </w:r>
      <w:r w:rsidRPr="007E7842">
        <w:rPr>
          <w:rFonts w:eastAsia="CIDFont+F2" w:cs="Arial"/>
          <w:sz w:val="20"/>
          <w:szCs w:val="20"/>
          <w:lang w:eastAsia="sl-SI"/>
        </w:rPr>
        <w:t>:</w:t>
      </w:r>
      <w:r w:rsidR="00DD5B38">
        <w:rPr>
          <w:rFonts w:eastAsia="CIDFont+F2" w:cs="Arial"/>
          <w:sz w:val="20"/>
          <w:szCs w:val="20"/>
          <w:lang w:eastAsia="sl-SI"/>
        </w:rPr>
        <w:t xml:space="preserve"> </w:t>
      </w:r>
      <w:r w:rsidR="00F007AE">
        <w:rPr>
          <w:rFonts w:eastAsia="CIDFont+F2" w:cs="Arial"/>
          <w:sz w:val="20"/>
          <w:szCs w:val="20"/>
          <w:lang w:eastAsia="sl-SI"/>
        </w:rPr>
        <w:t>Umestitev specifičnih ciljev PEKP</w:t>
      </w:r>
      <w:r w:rsidR="00DD5B38">
        <w:rPr>
          <w:rFonts w:eastAsia="CIDFont+F2" w:cs="Arial"/>
          <w:sz w:val="20"/>
          <w:szCs w:val="20"/>
          <w:lang w:eastAsia="sl-SI"/>
        </w:rPr>
        <w:t xml:space="preserve"> </w:t>
      </w:r>
      <w:r w:rsidR="00F007AE">
        <w:rPr>
          <w:rFonts w:eastAsia="CIDFont+F2" w:cs="Arial"/>
          <w:sz w:val="20"/>
          <w:szCs w:val="20"/>
          <w:lang w:eastAsia="sl-SI"/>
        </w:rPr>
        <w:t xml:space="preserve">za </w:t>
      </w:r>
      <w:r w:rsidR="00DD5B38">
        <w:rPr>
          <w:rFonts w:eastAsia="CIDFont+F2" w:cs="Arial"/>
          <w:sz w:val="20"/>
          <w:szCs w:val="20"/>
          <w:lang w:eastAsia="sl-SI"/>
        </w:rPr>
        <w:t xml:space="preserve">FI </w:t>
      </w:r>
      <w:r w:rsidR="00903CD0">
        <w:rPr>
          <w:rFonts w:eastAsia="CIDFont+F2" w:cs="Arial"/>
          <w:sz w:val="20"/>
          <w:szCs w:val="20"/>
          <w:lang w:eastAsia="sl-SI"/>
        </w:rPr>
        <w:t>v programskem obdobju 2021</w:t>
      </w:r>
      <w:r w:rsidR="00F007AE">
        <w:rPr>
          <w:rFonts w:eastAsia="CIDFont+F2" w:cs="Arial"/>
          <w:sz w:val="20"/>
          <w:szCs w:val="20"/>
          <w:lang w:eastAsia="sl-SI"/>
        </w:rPr>
        <w:t>–</w:t>
      </w:r>
      <w:r w:rsidR="00903CD0">
        <w:rPr>
          <w:rFonts w:eastAsia="CIDFont+F2" w:cs="Arial"/>
          <w:sz w:val="20"/>
          <w:szCs w:val="20"/>
          <w:lang w:eastAsia="sl-SI"/>
        </w:rPr>
        <w:t xml:space="preserve">2027 </w:t>
      </w:r>
      <w:r w:rsidR="00DD5B38">
        <w:rPr>
          <w:rFonts w:eastAsia="CIDFont+F2" w:cs="Arial"/>
          <w:sz w:val="20"/>
          <w:szCs w:val="20"/>
          <w:lang w:eastAsia="sl-SI"/>
        </w:rPr>
        <w:t>glede na</w:t>
      </w:r>
      <w:r w:rsidR="00AF2B2F">
        <w:rPr>
          <w:rFonts w:eastAsia="CIDFont+F2" w:cs="Arial"/>
          <w:sz w:val="20"/>
          <w:szCs w:val="20"/>
          <w:lang w:eastAsia="sl-SI"/>
        </w:rPr>
        <w:t xml:space="preserve"> </w:t>
      </w:r>
      <w:r w:rsidR="00DD5B38">
        <w:rPr>
          <w:rFonts w:eastAsia="CIDFont+F2" w:cs="Arial"/>
          <w:sz w:val="20"/>
          <w:szCs w:val="20"/>
          <w:lang w:eastAsia="sl-SI"/>
        </w:rPr>
        <w:t>p</w:t>
      </w:r>
      <w:r w:rsidRPr="007E7842">
        <w:rPr>
          <w:rFonts w:eastAsia="CIDFont+F2" w:cs="Arial"/>
          <w:sz w:val="20"/>
          <w:szCs w:val="20"/>
          <w:lang w:eastAsia="sl-SI"/>
        </w:rPr>
        <w:t>rogramsk</w:t>
      </w:r>
      <w:r w:rsidR="00DD5B38">
        <w:rPr>
          <w:rFonts w:eastAsia="CIDFont+F2" w:cs="Arial"/>
          <w:sz w:val="20"/>
          <w:szCs w:val="20"/>
          <w:lang w:eastAsia="sl-SI"/>
        </w:rPr>
        <w:t>o</w:t>
      </w:r>
      <w:r w:rsidRPr="007E7842">
        <w:rPr>
          <w:rFonts w:eastAsia="CIDFont+F2" w:cs="Arial"/>
          <w:sz w:val="20"/>
          <w:szCs w:val="20"/>
          <w:lang w:eastAsia="sl-SI"/>
        </w:rPr>
        <w:t xml:space="preserve"> klasifikacij</w:t>
      </w:r>
      <w:r w:rsidR="00DD5B38">
        <w:rPr>
          <w:rFonts w:eastAsia="CIDFont+F2" w:cs="Arial"/>
          <w:sz w:val="20"/>
          <w:szCs w:val="20"/>
          <w:lang w:eastAsia="sl-SI"/>
        </w:rPr>
        <w:t>o proračuna Republike Slovenije</w:t>
      </w:r>
    </w:p>
    <w:p w14:paraId="7937E976" w14:textId="77777777" w:rsidR="006B6A0B" w:rsidRPr="007E7842" w:rsidRDefault="006B6A0B" w:rsidP="00F154F0">
      <w:pPr>
        <w:keepNext/>
        <w:jc w:val="both"/>
        <w:rPr>
          <w:rFonts w:eastAsia="CIDFont+F2" w:cs="Arial"/>
          <w:sz w:val="20"/>
          <w:szCs w:val="20"/>
          <w:lang w:eastAsia="sl-SI"/>
        </w:rPr>
      </w:pPr>
    </w:p>
    <w:tbl>
      <w:tblPr>
        <w:tblStyle w:val="Tabelamrea1"/>
        <w:tblW w:w="9776" w:type="dxa"/>
        <w:tblLook w:val="04A0" w:firstRow="1" w:lastRow="0" w:firstColumn="1" w:lastColumn="0" w:noHBand="0" w:noVBand="1"/>
      </w:tblPr>
      <w:tblGrid>
        <w:gridCol w:w="2495"/>
        <w:gridCol w:w="2047"/>
        <w:gridCol w:w="2165"/>
        <w:gridCol w:w="3069"/>
      </w:tblGrid>
      <w:tr w:rsidR="003F5664" w:rsidRPr="00004F26" w14:paraId="557A47CE" w14:textId="77777777" w:rsidTr="00D451F8">
        <w:tc>
          <w:tcPr>
            <w:tcW w:w="2495" w:type="dxa"/>
            <w:shd w:val="clear" w:color="auto" w:fill="B4C6E7" w:themeFill="accent1" w:themeFillTint="66"/>
            <w:vAlign w:val="center"/>
          </w:tcPr>
          <w:p w14:paraId="2BE5D7D0" w14:textId="1B7DB903" w:rsidR="003F5664" w:rsidRPr="00004F26" w:rsidRDefault="00F007AE" w:rsidP="00DC0A1A">
            <w:pPr>
              <w:jc w:val="center"/>
              <w:rPr>
                <w:rFonts w:eastAsia="CIDFont+F2" w:cs="Arial"/>
                <w:b/>
                <w:sz w:val="20"/>
                <w:szCs w:val="20"/>
                <w:lang w:eastAsia="sl-SI"/>
              </w:rPr>
            </w:pPr>
            <w:r>
              <w:rPr>
                <w:rFonts w:eastAsia="CIDFont+F2" w:cs="Arial"/>
                <w:b/>
                <w:sz w:val="20"/>
                <w:szCs w:val="20"/>
                <w:lang w:eastAsia="sl-SI"/>
              </w:rPr>
              <w:t>Specifični cilj PEKP</w:t>
            </w:r>
          </w:p>
        </w:tc>
        <w:tc>
          <w:tcPr>
            <w:tcW w:w="2047" w:type="dxa"/>
            <w:shd w:val="clear" w:color="auto" w:fill="B4C6E7" w:themeFill="accent1" w:themeFillTint="66"/>
            <w:vAlign w:val="center"/>
          </w:tcPr>
          <w:p w14:paraId="2B951563" w14:textId="77777777" w:rsidR="003F5664" w:rsidRPr="00004F26" w:rsidRDefault="003F5664" w:rsidP="00D451F8">
            <w:pPr>
              <w:rPr>
                <w:rFonts w:eastAsia="CIDFont+F2" w:cs="Arial"/>
                <w:b/>
                <w:sz w:val="20"/>
                <w:szCs w:val="20"/>
                <w:lang w:eastAsia="sl-SI"/>
              </w:rPr>
            </w:pPr>
            <w:r w:rsidRPr="00004F26">
              <w:rPr>
                <w:rFonts w:eastAsia="CIDFont+F2" w:cs="Arial"/>
                <w:b/>
                <w:sz w:val="20"/>
                <w:szCs w:val="20"/>
                <w:lang w:eastAsia="sl-SI"/>
              </w:rPr>
              <w:t>Politika</w:t>
            </w:r>
          </w:p>
        </w:tc>
        <w:tc>
          <w:tcPr>
            <w:tcW w:w="2165" w:type="dxa"/>
            <w:shd w:val="clear" w:color="auto" w:fill="B4C6E7" w:themeFill="accent1" w:themeFillTint="66"/>
            <w:vAlign w:val="center"/>
          </w:tcPr>
          <w:p w14:paraId="1162541B" w14:textId="77777777" w:rsidR="003F5664" w:rsidRPr="00004F26" w:rsidRDefault="003F5664" w:rsidP="00F154F0">
            <w:pPr>
              <w:jc w:val="center"/>
              <w:rPr>
                <w:rFonts w:eastAsia="CIDFont+F2" w:cs="Arial"/>
                <w:b/>
                <w:sz w:val="20"/>
                <w:szCs w:val="20"/>
                <w:lang w:eastAsia="sl-SI"/>
              </w:rPr>
            </w:pPr>
            <w:r w:rsidRPr="00004F26">
              <w:rPr>
                <w:rFonts w:eastAsia="CIDFont+F2" w:cs="Arial"/>
                <w:b/>
                <w:sz w:val="20"/>
                <w:szCs w:val="20"/>
                <w:lang w:eastAsia="sl-SI"/>
              </w:rPr>
              <w:t>Glavni program</w:t>
            </w:r>
          </w:p>
        </w:tc>
        <w:tc>
          <w:tcPr>
            <w:tcW w:w="3069" w:type="dxa"/>
            <w:shd w:val="clear" w:color="auto" w:fill="B4C6E7" w:themeFill="accent1" w:themeFillTint="66"/>
            <w:vAlign w:val="center"/>
          </w:tcPr>
          <w:p w14:paraId="04413AD2" w14:textId="77777777" w:rsidR="003F5664" w:rsidRPr="00004F26" w:rsidRDefault="003F5664" w:rsidP="00D451F8">
            <w:pPr>
              <w:rPr>
                <w:rFonts w:eastAsia="CIDFont+F2" w:cs="Arial"/>
                <w:b/>
                <w:sz w:val="20"/>
                <w:szCs w:val="20"/>
                <w:lang w:eastAsia="sl-SI"/>
              </w:rPr>
            </w:pPr>
            <w:r w:rsidRPr="00004F26">
              <w:rPr>
                <w:rFonts w:eastAsia="CIDFont+F2" w:cs="Arial"/>
                <w:b/>
                <w:sz w:val="20"/>
                <w:szCs w:val="20"/>
                <w:lang w:eastAsia="sl-SI"/>
              </w:rPr>
              <w:t>Podprogram</w:t>
            </w:r>
          </w:p>
        </w:tc>
      </w:tr>
      <w:tr w:rsidR="00F007AE" w:rsidRPr="00004F26" w14:paraId="69A218EB" w14:textId="77777777" w:rsidTr="00D451F8">
        <w:tc>
          <w:tcPr>
            <w:tcW w:w="2495" w:type="dxa"/>
            <w:vAlign w:val="center"/>
          </w:tcPr>
          <w:p w14:paraId="4F21888B" w14:textId="412F5F50" w:rsidR="00F007AE" w:rsidRPr="00004F26" w:rsidRDefault="00F007AE" w:rsidP="00F007AE">
            <w:pPr>
              <w:rPr>
                <w:rFonts w:eastAsia="CIDFont+F2" w:cs="Arial"/>
                <w:sz w:val="20"/>
                <w:szCs w:val="20"/>
                <w:lang w:eastAsia="sl-SI"/>
              </w:rPr>
            </w:pPr>
            <w:r w:rsidRPr="003878DF">
              <w:rPr>
                <w:rFonts w:cs="Arial"/>
                <w:sz w:val="18"/>
                <w:szCs w:val="18"/>
              </w:rPr>
              <w:t>1.1 RRI</w:t>
            </w:r>
          </w:p>
        </w:tc>
        <w:tc>
          <w:tcPr>
            <w:tcW w:w="2047" w:type="dxa"/>
            <w:vAlign w:val="center"/>
          </w:tcPr>
          <w:p w14:paraId="54802D1D" w14:textId="3E4C43A9"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0</w:t>
            </w:r>
            <w:r w:rsidRPr="00004F26">
              <w:rPr>
                <w:rFonts w:eastAsia="CIDFont+F2" w:cs="Arial"/>
                <w:sz w:val="20"/>
                <w:szCs w:val="20"/>
                <w:lang w:eastAsia="sl-SI"/>
              </w:rPr>
              <w:t xml:space="preserve">5 - Znanost in </w:t>
            </w:r>
            <w:r>
              <w:rPr>
                <w:rFonts w:eastAsia="CIDFont+F2" w:cs="Arial"/>
                <w:sz w:val="20"/>
                <w:szCs w:val="20"/>
                <w:lang w:eastAsia="sl-SI"/>
              </w:rPr>
              <w:t>informacijska družba</w:t>
            </w:r>
          </w:p>
        </w:tc>
        <w:tc>
          <w:tcPr>
            <w:tcW w:w="2165" w:type="dxa"/>
            <w:vAlign w:val="center"/>
          </w:tcPr>
          <w:p w14:paraId="544F8B99" w14:textId="5794AC89"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0</w:t>
            </w:r>
            <w:r w:rsidRPr="00004F26">
              <w:rPr>
                <w:rFonts w:eastAsia="CIDFont+F2" w:cs="Arial"/>
                <w:sz w:val="20"/>
                <w:szCs w:val="20"/>
                <w:lang w:eastAsia="sl-SI"/>
              </w:rPr>
              <w:t xml:space="preserve">504 </w:t>
            </w:r>
            <w:r>
              <w:rPr>
                <w:rFonts w:eastAsia="CIDFont+F2" w:cs="Arial"/>
                <w:sz w:val="20"/>
                <w:szCs w:val="20"/>
                <w:lang w:eastAsia="sl-SI"/>
              </w:rPr>
              <w:t>–</w:t>
            </w:r>
            <w:r w:rsidRPr="00004F26">
              <w:rPr>
                <w:rFonts w:eastAsia="CIDFont+F2" w:cs="Arial"/>
                <w:sz w:val="20"/>
                <w:szCs w:val="20"/>
                <w:lang w:eastAsia="sl-SI"/>
              </w:rPr>
              <w:t xml:space="preserve"> </w:t>
            </w:r>
            <w:r>
              <w:rPr>
                <w:rFonts w:eastAsia="CIDFont+F2" w:cs="Arial"/>
                <w:sz w:val="20"/>
                <w:szCs w:val="20"/>
                <w:lang w:eastAsia="sl-SI"/>
              </w:rPr>
              <w:t>Podpora tehnološkim razvojnim projektom</w:t>
            </w:r>
          </w:p>
        </w:tc>
        <w:tc>
          <w:tcPr>
            <w:tcW w:w="3069" w:type="dxa"/>
            <w:vAlign w:val="center"/>
          </w:tcPr>
          <w:p w14:paraId="0AAB532A" w14:textId="310A2B0A" w:rsidR="00F007AE" w:rsidRPr="00004F26" w:rsidRDefault="00F007AE" w:rsidP="00F007AE">
            <w:pPr>
              <w:rPr>
                <w:rFonts w:eastAsia="CIDFont+F2" w:cs="Arial"/>
                <w:sz w:val="20"/>
                <w:szCs w:val="20"/>
                <w:lang w:eastAsia="sl-SI"/>
              </w:rPr>
            </w:pPr>
            <w:r w:rsidRPr="00004F26">
              <w:rPr>
                <w:rFonts w:eastAsia="CIDFont+F2" w:cs="Arial"/>
                <w:sz w:val="20"/>
                <w:szCs w:val="20"/>
                <w:lang w:eastAsia="sl-SI"/>
              </w:rPr>
              <w:t xml:space="preserve">050401 Razvojno investicijski projekti </w:t>
            </w:r>
          </w:p>
        </w:tc>
      </w:tr>
      <w:tr w:rsidR="00F007AE" w:rsidRPr="00E17453" w14:paraId="6469C7FA" w14:textId="77777777" w:rsidTr="00D451F8">
        <w:trPr>
          <w:trHeight w:val="812"/>
        </w:trPr>
        <w:tc>
          <w:tcPr>
            <w:tcW w:w="2495" w:type="dxa"/>
            <w:vAlign w:val="center"/>
          </w:tcPr>
          <w:p w14:paraId="0AA2E516" w14:textId="516854E1" w:rsidR="00F007AE" w:rsidRPr="00004F26" w:rsidRDefault="00F007AE" w:rsidP="00F007AE">
            <w:pPr>
              <w:rPr>
                <w:rFonts w:eastAsia="CIDFont+F2" w:cs="Arial"/>
                <w:sz w:val="20"/>
                <w:szCs w:val="20"/>
                <w:lang w:eastAsia="sl-SI"/>
              </w:rPr>
            </w:pPr>
            <w:r w:rsidRPr="003878DF">
              <w:rPr>
                <w:rFonts w:cs="Arial"/>
                <w:sz w:val="18"/>
                <w:szCs w:val="18"/>
              </w:rPr>
              <w:t>1.3 MSP</w:t>
            </w:r>
          </w:p>
        </w:tc>
        <w:tc>
          <w:tcPr>
            <w:tcW w:w="2047" w:type="dxa"/>
            <w:vAlign w:val="center"/>
          </w:tcPr>
          <w:p w14:paraId="263B3E2F" w14:textId="7D0DD871"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05</w:t>
            </w:r>
            <w:r w:rsidRPr="00004F26">
              <w:rPr>
                <w:rFonts w:eastAsia="CIDFont+F2" w:cs="Arial"/>
                <w:sz w:val="20"/>
                <w:szCs w:val="20"/>
                <w:lang w:eastAsia="sl-SI"/>
              </w:rPr>
              <w:t xml:space="preserve"> </w:t>
            </w:r>
            <w:r>
              <w:rPr>
                <w:rFonts w:eastAsia="CIDFont+F2" w:cs="Arial"/>
                <w:sz w:val="20"/>
                <w:szCs w:val="20"/>
                <w:lang w:eastAsia="sl-SI"/>
              </w:rPr>
              <w:t>–</w:t>
            </w:r>
            <w:r w:rsidRPr="00004F26">
              <w:rPr>
                <w:rFonts w:eastAsia="CIDFont+F2" w:cs="Arial"/>
                <w:sz w:val="20"/>
                <w:szCs w:val="20"/>
                <w:lang w:eastAsia="sl-SI"/>
              </w:rPr>
              <w:t xml:space="preserve"> </w:t>
            </w:r>
            <w:r>
              <w:rPr>
                <w:rFonts w:eastAsia="CIDFont+F2" w:cs="Arial"/>
                <w:sz w:val="20"/>
                <w:szCs w:val="20"/>
                <w:lang w:eastAsia="sl-SI"/>
              </w:rPr>
              <w:t>Znanost in informacijska družba</w:t>
            </w:r>
          </w:p>
        </w:tc>
        <w:tc>
          <w:tcPr>
            <w:tcW w:w="2165" w:type="dxa"/>
            <w:vAlign w:val="center"/>
          </w:tcPr>
          <w:p w14:paraId="49CD4599" w14:textId="050DF793"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 xml:space="preserve">0504– Podpora tehnološkim razvojnim projektom </w:t>
            </w:r>
          </w:p>
        </w:tc>
        <w:tc>
          <w:tcPr>
            <w:tcW w:w="3069" w:type="dxa"/>
            <w:vAlign w:val="center"/>
          </w:tcPr>
          <w:p w14:paraId="6F211D31" w14:textId="06851253" w:rsidR="00F007AE" w:rsidRPr="00281E27" w:rsidRDefault="00F007AE" w:rsidP="00F007AE">
            <w:pPr>
              <w:rPr>
                <w:rFonts w:eastAsia="CIDFont+F2" w:cs="Arial"/>
                <w:sz w:val="20"/>
                <w:szCs w:val="20"/>
                <w:lang w:eastAsia="sl-SI"/>
              </w:rPr>
            </w:pPr>
            <w:r>
              <w:rPr>
                <w:rFonts w:eastAsia="CIDFont+F2" w:cs="Arial"/>
                <w:sz w:val="20"/>
                <w:szCs w:val="20"/>
                <w:lang w:eastAsia="sl-SI"/>
              </w:rPr>
              <w:t>050404 Krepitev inovativnosti in tehnološki razvoj</w:t>
            </w:r>
          </w:p>
        </w:tc>
      </w:tr>
      <w:tr w:rsidR="00F007AE" w:rsidRPr="00E17453" w14:paraId="528C24C4" w14:textId="77777777" w:rsidTr="00D451F8">
        <w:tc>
          <w:tcPr>
            <w:tcW w:w="2495" w:type="dxa"/>
            <w:vAlign w:val="center"/>
          </w:tcPr>
          <w:p w14:paraId="0E8C65CA" w14:textId="3A1CBE7D" w:rsidR="00F007AE" w:rsidRPr="00004F26" w:rsidRDefault="00F007AE" w:rsidP="00F007AE">
            <w:pPr>
              <w:rPr>
                <w:rFonts w:eastAsia="CIDFont+F2" w:cs="Arial"/>
                <w:sz w:val="20"/>
                <w:szCs w:val="20"/>
                <w:lang w:eastAsia="sl-SI"/>
              </w:rPr>
            </w:pPr>
            <w:r w:rsidRPr="003878DF">
              <w:rPr>
                <w:rFonts w:cs="Arial"/>
                <w:sz w:val="18"/>
                <w:szCs w:val="18"/>
              </w:rPr>
              <w:lastRenderedPageBreak/>
              <w:t>2.1 Spodbujanje EE</w:t>
            </w:r>
          </w:p>
        </w:tc>
        <w:tc>
          <w:tcPr>
            <w:tcW w:w="2047" w:type="dxa"/>
            <w:vAlign w:val="center"/>
          </w:tcPr>
          <w:p w14:paraId="3B29A0F1" w14:textId="0C1A1B52"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12 – Viri energije in energetska učinkovitost</w:t>
            </w:r>
          </w:p>
        </w:tc>
        <w:tc>
          <w:tcPr>
            <w:tcW w:w="2165" w:type="dxa"/>
            <w:vAlign w:val="center"/>
          </w:tcPr>
          <w:p w14:paraId="47101DFC" w14:textId="79B0F8AA" w:rsidR="00F007AE" w:rsidRPr="00004F26" w:rsidRDefault="00F007AE" w:rsidP="00D451F8">
            <w:pPr>
              <w:spacing w:before="60" w:after="60"/>
              <w:rPr>
                <w:rFonts w:eastAsia="CIDFont+F2" w:cs="Arial"/>
                <w:sz w:val="20"/>
                <w:szCs w:val="20"/>
                <w:lang w:eastAsia="sl-SI"/>
              </w:rPr>
            </w:pPr>
            <w:r>
              <w:rPr>
                <w:rFonts w:eastAsia="CIDFont+F2" w:cs="Arial"/>
                <w:sz w:val="20"/>
                <w:szCs w:val="20"/>
                <w:lang w:eastAsia="sl-SI"/>
              </w:rPr>
              <w:t>1202 Oskrba z energijo in energetska učinkovitost</w:t>
            </w:r>
          </w:p>
        </w:tc>
        <w:tc>
          <w:tcPr>
            <w:tcW w:w="3069" w:type="dxa"/>
            <w:vAlign w:val="center"/>
          </w:tcPr>
          <w:p w14:paraId="505B1D9E" w14:textId="400E3B83" w:rsidR="00F007AE" w:rsidRPr="00004F26" w:rsidRDefault="00F007AE" w:rsidP="00F007AE">
            <w:pPr>
              <w:rPr>
                <w:rFonts w:eastAsia="CIDFont+F2" w:cs="Arial"/>
                <w:sz w:val="20"/>
                <w:szCs w:val="20"/>
                <w:lang w:eastAsia="sl-SI"/>
              </w:rPr>
            </w:pPr>
            <w:r>
              <w:rPr>
                <w:rFonts w:eastAsia="CIDFont+F2" w:cs="Arial"/>
                <w:sz w:val="20"/>
                <w:szCs w:val="20"/>
                <w:lang w:eastAsia="sl-SI"/>
              </w:rPr>
              <w:t>120202 Učinkovita raba energije</w:t>
            </w:r>
          </w:p>
        </w:tc>
      </w:tr>
      <w:tr w:rsidR="00F007AE" w:rsidRPr="00E17453" w14:paraId="2B147193" w14:textId="77777777" w:rsidTr="00D451F8">
        <w:tc>
          <w:tcPr>
            <w:tcW w:w="2495" w:type="dxa"/>
            <w:vAlign w:val="center"/>
          </w:tcPr>
          <w:p w14:paraId="43AC3049" w14:textId="6E27E584" w:rsidR="00F007AE" w:rsidRDefault="00F007AE" w:rsidP="00F007AE">
            <w:pPr>
              <w:rPr>
                <w:rFonts w:eastAsia="CIDFont+F2" w:cs="Arial"/>
                <w:sz w:val="20"/>
                <w:szCs w:val="20"/>
                <w:lang w:eastAsia="sl-SI"/>
              </w:rPr>
            </w:pPr>
            <w:r w:rsidRPr="003878DF">
              <w:rPr>
                <w:rFonts w:cs="Arial"/>
                <w:sz w:val="18"/>
                <w:szCs w:val="18"/>
              </w:rPr>
              <w:t xml:space="preserve">2.6 </w:t>
            </w:r>
            <w:r>
              <w:rPr>
                <w:rFonts w:cs="Arial"/>
                <w:sz w:val="18"/>
                <w:szCs w:val="18"/>
              </w:rPr>
              <w:t>S</w:t>
            </w:r>
            <w:r w:rsidRPr="003878DF">
              <w:rPr>
                <w:rFonts w:cs="Arial"/>
                <w:sz w:val="18"/>
                <w:szCs w:val="18"/>
              </w:rPr>
              <w:t>podbujanje prehoda na krožno gospodarstvo</w:t>
            </w:r>
          </w:p>
        </w:tc>
        <w:tc>
          <w:tcPr>
            <w:tcW w:w="2047" w:type="dxa"/>
            <w:vAlign w:val="center"/>
          </w:tcPr>
          <w:p w14:paraId="3FC5296D" w14:textId="69CB4C4F" w:rsidR="00F007AE" w:rsidRDefault="00F007AE" w:rsidP="00D451F8">
            <w:pPr>
              <w:spacing w:before="60" w:after="60"/>
              <w:rPr>
                <w:rFonts w:eastAsia="CIDFont+F2" w:cs="Arial"/>
                <w:sz w:val="20"/>
                <w:szCs w:val="20"/>
                <w:lang w:eastAsia="sl-SI"/>
              </w:rPr>
            </w:pPr>
            <w:r>
              <w:rPr>
                <w:rFonts w:eastAsia="CIDFont+F2" w:cs="Arial"/>
                <w:sz w:val="20"/>
                <w:szCs w:val="20"/>
                <w:lang w:eastAsia="sl-SI"/>
              </w:rPr>
              <w:t>15 – Varovanje okolja in okoljska infrastruktura</w:t>
            </w:r>
          </w:p>
        </w:tc>
        <w:tc>
          <w:tcPr>
            <w:tcW w:w="2165" w:type="dxa"/>
            <w:vAlign w:val="center"/>
          </w:tcPr>
          <w:p w14:paraId="09D30A53" w14:textId="0902C251" w:rsidR="00F007AE" w:rsidRDefault="00F007AE" w:rsidP="00D451F8">
            <w:pPr>
              <w:spacing w:before="60" w:after="60"/>
              <w:rPr>
                <w:rFonts w:eastAsia="CIDFont+F2" w:cs="Arial"/>
                <w:sz w:val="20"/>
                <w:szCs w:val="20"/>
                <w:lang w:eastAsia="sl-SI"/>
              </w:rPr>
            </w:pPr>
            <w:r>
              <w:rPr>
                <w:rFonts w:eastAsia="CIDFont+F2" w:cs="Arial"/>
                <w:sz w:val="20"/>
                <w:szCs w:val="20"/>
                <w:lang w:eastAsia="sl-SI"/>
              </w:rPr>
              <w:t>1501 –  Urejanje sistema in podporne dejavnosti na področju okoljske politike</w:t>
            </w:r>
          </w:p>
        </w:tc>
        <w:tc>
          <w:tcPr>
            <w:tcW w:w="3069" w:type="dxa"/>
            <w:vAlign w:val="center"/>
          </w:tcPr>
          <w:p w14:paraId="003FCFD3" w14:textId="3492B0D3" w:rsidR="00F007AE" w:rsidRDefault="00F007AE" w:rsidP="00F007AE">
            <w:pPr>
              <w:rPr>
                <w:rFonts w:eastAsia="CIDFont+F2" w:cs="Arial"/>
                <w:sz w:val="20"/>
                <w:szCs w:val="20"/>
                <w:lang w:eastAsia="sl-SI"/>
              </w:rPr>
            </w:pPr>
            <w:r>
              <w:rPr>
                <w:rFonts w:eastAsia="CIDFont+F2" w:cs="Arial"/>
                <w:sz w:val="20"/>
                <w:szCs w:val="20"/>
                <w:lang w:eastAsia="sl-SI"/>
              </w:rPr>
              <w:t>150102 Prilagajanje podnebnim spremembam</w:t>
            </w:r>
          </w:p>
        </w:tc>
      </w:tr>
      <w:tr w:rsidR="00297A9F" w:rsidRPr="00E17453" w14:paraId="1B0DDACA" w14:textId="77777777" w:rsidTr="00D451F8">
        <w:tc>
          <w:tcPr>
            <w:tcW w:w="2495" w:type="dxa"/>
            <w:vAlign w:val="center"/>
          </w:tcPr>
          <w:p w14:paraId="1FCFFAFF" w14:textId="0B9CDFE8" w:rsidR="00297A9F" w:rsidRDefault="00F007AE" w:rsidP="0079336D">
            <w:pPr>
              <w:rPr>
                <w:rFonts w:eastAsia="CIDFont+F2" w:cs="Arial"/>
                <w:sz w:val="20"/>
                <w:szCs w:val="20"/>
                <w:lang w:eastAsia="sl-SI"/>
              </w:rPr>
            </w:pPr>
            <w:r w:rsidRPr="003878DF">
              <w:rPr>
                <w:rFonts w:cs="Arial"/>
                <w:sz w:val="18"/>
                <w:szCs w:val="18"/>
              </w:rPr>
              <w:t>5.1 Spodbujanje razvoja v mestnih območjih</w:t>
            </w:r>
          </w:p>
        </w:tc>
        <w:tc>
          <w:tcPr>
            <w:tcW w:w="2047" w:type="dxa"/>
            <w:vAlign w:val="center"/>
          </w:tcPr>
          <w:p w14:paraId="08DCD7B1" w14:textId="7E4BD93A" w:rsidR="0036718F" w:rsidRDefault="00A23B5C" w:rsidP="00D451F8">
            <w:pPr>
              <w:spacing w:before="60" w:after="60"/>
              <w:rPr>
                <w:rFonts w:eastAsia="CIDFont+F2" w:cs="Arial"/>
                <w:sz w:val="20"/>
                <w:szCs w:val="20"/>
                <w:lang w:eastAsia="sl-SI"/>
              </w:rPr>
            </w:pPr>
            <w:r>
              <w:rPr>
                <w:rFonts w:eastAsia="CIDFont+F2" w:cs="Arial"/>
                <w:sz w:val="20"/>
                <w:szCs w:val="20"/>
                <w:lang w:eastAsia="sl-SI"/>
              </w:rPr>
              <w:t>16</w:t>
            </w:r>
            <w:r w:rsidR="0036718F">
              <w:rPr>
                <w:rFonts w:eastAsia="CIDFont+F2" w:cs="Arial"/>
                <w:sz w:val="20"/>
                <w:szCs w:val="20"/>
                <w:lang w:eastAsia="sl-SI"/>
              </w:rPr>
              <w:t xml:space="preserve"> – </w:t>
            </w:r>
            <w:r>
              <w:rPr>
                <w:rFonts w:eastAsia="CIDFont+F2" w:cs="Arial"/>
                <w:sz w:val="20"/>
                <w:szCs w:val="20"/>
                <w:lang w:eastAsia="sl-SI"/>
              </w:rPr>
              <w:t>Prostorsko planiranje in stanovanjska dejavnost</w:t>
            </w:r>
          </w:p>
        </w:tc>
        <w:tc>
          <w:tcPr>
            <w:tcW w:w="2165" w:type="dxa"/>
            <w:vAlign w:val="center"/>
          </w:tcPr>
          <w:p w14:paraId="1B4B469E" w14:textId="74240FC4" w:rsidR="0036718F" w:rsidRDefault="00A23B5C" w:rsidP="00D451F8">
            <w:pPr>
              <w:spacing w:before="60" w:after="60"/>
              <w:rPr>
                <w:rFonts w:eastAsia="CIDFont+F2" w:cs="Arial"/>
                <w:sz w:val="20"/>
                <w:szCs w:val="20"/>
                <w:lang w:eastAsia="sl-SI"/>
              </w:rPr>
            </w:pPr>
            <w:r>
              <w:rPr>
                <w:rFonts w:eastAsia="CIDFont+F2" w:cs="Arial"/>
                <w:sz w:val="20"/>
                <w:szCs w:val="20"/>
                <w:lang w:eastAsia="sl-SI"/>
              </w:rPr>
              <w:t xml:space="preserve">1602 </w:t>
            </w:r>
            <w:r w:rsidR="0036718F">
              <w:rPr>
                <w:rFonts w:eastAsia="CIDFont+F2" w:cs="Arial"/>
                <w:sz w:val="20"/>
                <w:szCs w:val="20"/>
                <w:lang w:eastAsia="sl-SI"/>
              </w:rPr>
              <w:t xml:space="preserve">–  </w:t>
            </w:r>
            <w:r>
              <w:rPr>
                <w:rFonts w:eastAsia="CIDFont+F2" w:cs="Arial"/>
                <w:sz w:val="20"/>
                <w:szCs w:val="20"/>
                <w:lang w:eastAsia="sl-SI"/>
              </w:rPr>
              <w:t>Upravljanje s prostorom</w:t>
            </w:r>
          </w:p>
        </w:tc>
        <w:tc>
          <w:tcPr>
            <w:tcW w:w="3069" w:type="dxa"/>
            <w:vAlign w:val="center"/>
          </w:tcPr>
          <w:p w14:paraId="31E0E069" w14:textId="1C4690F0" w:rsidR="00297A9F" w:rsidRDefault="00A23B5C" w:rsidP="0079336D">
            <w:pPr>
              <w:rPr>
                <w:rFonts w:eastAsia="CIDFont+F2" w:cs="Arial"/>
                <w:sz w:val="20"/>
                <w:szCs w:val="20"/>
                <w:lang w:eastAsia="sl-SI"/>
              </w:rPr>
            </w:pPr>
            <w:r>
              <w:rPr>
                <w:rFonts w:eastAsia="CIDFont+F2" w:cs="Arial"/>
                <w:sz w:val="20"/>
                <w:szCs w:val="20"/>
                <w:lang w:eastAsia="sl-SI"/>
              </w:rPr>
              <w:t>160201</w:t>
            </w:r>
            <w:r w:rsidR="0036718F">
              <w:rPr>
                <w:rFonts w:eastAsia="CIDFont+F2" w:cs="Arial"/>
                <w:sz w:val="20"/>
                <w:szCs w:val="20"/>
                <w:lang w:eastAsia="sl-SI"/>
              </w:rPr>
              <w:t xml:space="preserve"> </w:t>
            </w:r>
            <w:r>
              <w:rPr>
                <w:rFonts w:eastAsia="CIDFont+F2" w:cs="Arial"/>
                <w:sz w:val="20"/>
                <w:szCs w:val="20"/>
                <w:lang w:eastAsia="sl-SI"/>
              </w:rPr>
              <w:t>Upravljanje s prostorom</w:t>
            </w:r>
          </w:p>
        </w:tc>
      </w:tr>
    </w:tbl>
    <w:p w14:paraId="24902ECA" w14:textId="461D744E" w:rsidR="003F5664" w:rsidRDefault="003F5664" w:rsidP="00F154F0">
      <w:pPr>
        <w:jc w:val="both"/>
        <w:rPr>
          <w:rFonts w:cs="Arial"/>
          <w:sz w:val="20"/>
          <w:szCs w:val="20"/>
        </w:rPr>
      </w:pPr>
    </w:p>
    <w:p w14:paraId="7303A0FC" w14:textId="77777777" w:rsidR="00765240" w:rsidRPr="00E17453" w:rsidRDefault="00765240" w:rsidP="00F154F0">
      <w:pPr>
        <w:jc w:val="both"/>
        <w:rPr>
          <w:rFonts w:cs="Arial"/>
          <w:sz w:val="20"/>
          <w:szCs w:val="20"/>
        </w:rPr>
      </w:pPr>
    </w:p>
    <w:p w14:paraId="4A5FBA79" w14:textId="34DB6EEA" w:rsidR="003F5664" w:rsidRDefault="00DD5B38" w:rsidP="00F154F0">
      <w:pPr>
        <w:pStyle w:val="Naslov2"/>
        <w:spacing w:after="0"/>
        <w:ind w:left="0"/>
        <w:rPr>
          <w:sz w:val="20"/>
          <w:szCs w:val="20"/>
        </w:rPr>
      </w:pPr>
      <w:bookmarkStart w:id="32" w:name="_Toc175120976"/>
      <w:r>
        <w:rPr>
          <w:sz w:val="20"/>
          <w:szCs w:val="20"/>
        </w:rPr>
        <w:t>OBLIKE FINANCIRANJA IN PODROČJA UKREPANJA ZA FI V OKVIRU PEKP</w:t>
      </w:r>
      <w:bookmarkEnd w:id="32"/>
    </w:p>
    <w:p w14:paraId="33DCCB60" w14:textId="77777777" w:rsidR="007E7842" w:rsidRPr="007E7842" w:rsidRDefault="007E7842" w:rsidP="007E7842"/>
    <w:p w14:paraId="65D360A9" w14:textId="69151881" w:rsidR="003F5664" w:rsidRPr="00E17453" w:rsidRDefault="00903CD0" w:rsidP="00F154F0">
      <w:pPr>
        <w:jc w:val="both"/>
        <w:rPr>
          <w:rFonts w:eastAsia="CIDFont+F2" w:cs="Arial"/>
          <w:sz w:val="20"/>
          <w:szCs w:val="20"/>
          <w:lang w:eastAsia="sl-SI"/>
        </w:rPr>
      </w:pPr>
      <w:r>
        <w:rPr>
          <w:rFonts w:eastAsia="CIDFont+F2" w:cs="Arial"/>
          <w:sz w:val="20"/>
          <w:szCs w:val="20"/>
          <w:lang w:eastAsia="sl-SI"/>
        </w:rPr>
        <w:t>Sredstva za FI so v PEKP načrtovana po specifičnih ciljih, oblikah financiranja in področjih ukrepanja s</w:t>
      </w:r>
      <w:r w:rsidR="003F5664" w:rsidRPr="00E17453">
        <w:rPr>
          <w:rFonts w:eastAsia="CIDFont+F2" w:cs="Arial"/>
          <w:sz w:val="20"/>
          <w:szCs w:val="20"/>
          <w:lang w:eastAsia="sl-SI"/>
        </w:rPr>
        <w:t xml:space="preserve">kladno z Uredbo </w:t>
      </w:r>
      <w:r w:rsidR="00DD5B38" w:rsidRPr="00E87D53">
        <w:rPr>
          <w:rFonts w:cs="Arial"/>
          <w:sz w:val="20"/>
          <w:szCs w:val="20"/>
        </w:rPr>
        <w:t>EU 2021/1060</w:t>
      </w:r>
      <w:r w:rsidR="00AF2B2F">
        <w:rPr>
          <w:rFonts w:cs="Arial"/>
          <w:sz w:val="20"/>
          <w:szCs w:val="20"/>
        </w:rPr>
        <w:t>,</w:t>
      </w:r>
      <w:r w:rsidR="00DD5B38" w:rsidRPr="00E87D53">
        <w:rPr>
          <w:rFonts w:cs="Arial"/>
          <w:sz w:val="20"/>
          <w:szCs w:val="20"/>
        </w:rPr>
        <w:t xml:space="preserve"> </w:t>
      </w:r>
      <w:r>
        <w:rPr>
          <w:rFonts w:eastAsia="CIDFont+F2" w:cs="Arial"/>
          <w:sz w:val="20"/>
          <w:szCs w:val="20"/>
          <w:lang w:eastAsia="sl-SI"/>
        </w:rPr>
        <w:t xml:space="preserve">kot </w:t>
      </w:r>
      <w:r w:rsidR="00DD5B38">
        <w:rPr>
          <w:rFonts w:eastAsia="CIDFont+F2" w:cs="Arial"/>
          <w:sz w:val="20"/>
          <w:szCs w:val="20"/>
          <w:lang w:eastAsia="sl-SI"/>
        </w:rPr>
        <w:t>izhaja iz spodnje tabele</w:t>
      </w:r>
      <w:r w:rsidR="003F5664" w:rsidRPr="0067131F">
        <w:rPr>
          <w:rFonts w:eastAsia="CIDFont+F2" w:cs="Arial"/>
          <w:sz w:val="20"/>
          <w:szCs w:val="20"/>
          <w:lang w:eastAsia="sl-SI"/>
        </w:rPr>
        <w:t>.</w:t>
      </w:r>
    </w:p>
    <w:p w14:paraId="79301553" w14:textId="77777777" w:rsidR="003F5664" w:rsidRPr="00E17453" w:rsidRDefault="003F5664" w:rsidP="00C9611C">
      <w:pPr>
        <w:spacing w:before="60"/>
        <w:jc w:val="center"/>
        <w:rPr>
          <w:rFonts w:eastAsia="CIDFont+F2" w:cs="Arial"/>
          <w:sz w:val="20"/>
          <w:szCs w:val="20"/>
          <w:lang w:eastAsia="sl-SI"/>
        </w:rPr>
      </w:pPr>
    </w:p>
    <w:p w14:paraId="44AEFA80" w14:textId="3BAAB6BC" w:rsidR="003F5664" w:rsidRPr="007E7842" w:rsidRDefault="003F5664" w:rsidP="00D451F8">
      <w:pPr>
        <w:keepNext/>
        <w:spacing w:after="120"/>
        <w:jc w:val="both"/>
        <w:rPr>
          <w:rFonts w:eastAsia="CIDFont+F2" w:cs="Arial"/>
          <w:sz w:val="20"/>
          <w:szCs w:val="20"/>
          <w:lang w:eastAsia="sl-SI"/>
        </w:rPr>
      </w:pPr>
      <w:r w:rsidRPr="007E7842">
        <w:rPr>
          <w:rFonts w:cs="Arial"/>
          <w:sz w:val="20"/>
          <w:szCs w:val="20"/>
        </w:rPr>
        <w:t>Tabela</w:t>
      </w:r>
      <w:r w:rsidR="003878DF" w:rsidRPr="007E7842">
        <w:rPr>
          <w:rFonts w:cs="Arial"/>
          <w:sz w:val="20"/>
          <w:szCs w:val="20"/>
        </w:rPr>
        <w:t xml:space="preserve"> 4</w:t>
      </w:r>
      <w:r w:rsidRPr="007E7842">
        <w:rPr>
          <w:rFonts w:eastAsia="CIDFont+F2" w:cs="Arial"/>
          <w:sz w:val="20"/>
          <w:szCs w:val="20"/>
          <w:lang w:eastAsia="sl-SI"/>
        </w:rPr>
        <w:t xml:space="preserve">: </w:t>
      </w:r>
      <w:r w:rsidR="00903CD0">
        <w:rPr>
          <w:rFonts w:eastAsia="CIDFont+F2" w:cs="Arial"/>
          <w:sz w:val="20"/>
          <w:szCs w:val="20"/>
          <w:lang w:eastAsia="sl-SI"/>
        </w:rPr>
        <w:t>Specifični cilji, oblike financiranja in področja ukrepanja za FI iz PEKP</w:t>
      </w:r>
    </w:p>
    <w:tbl>
      <w:tblPr>
        <w:tblStyle w:val="Tabelamrea"/>
        <w:tblW w:w="9776" w:type="dxa"/>
        <w:tblLook w:val="04A0" w:firstRow="1" w:lastRow="0" w:firstColumn="1" w:lastColumn="0" w:noHBand="0" w:noVBand="1"/>
      </w:tblPr>
      <w:tblGrid>
        <w:gridCol w:w="1980"/>
        <w:gridCol w:w="2835"/>
        <w:gridCol w:w="1276"/>
        <w:gridCol w:w="3685"/>
      </w:tblGrid>
      <w:tr w:rsidR="00903CD0" w:rsidRPr="007B1EC3" w14:paraId="146040D7" w14:textId="77777777" w:rsidTr="00D451F8">
        <w:tc>
          <w:tcPr>
            <w:tcW w:w="1980" w:type="dxa"/>
            <w:shd w:val="clear" w:color="auto" w:fill="B4C6E7" w:themeFill="accent1" w:themeFillTint="66"/>
            <w:vAlign w:val="center"/>
          </w:tcPr>
          <w:p w14:paraId="5B1FF369" w14:textId="77777777" w:rsidR="00903CD0" w:rsidRPr="007B1EC3" w:rsidRDefault="00903CD0" w:rsidP="00D451F8">
            <w:pPr>
              <w:spacing w:before="60"/>
              <w:rPr>
                <w:rFonts w:cs="Arial"/>
                <w:b/>
                <w:bCs/>
                <w:sz w:val="18"/>
                <w:szCs w:val="18"/>
              </w:rPr>
            </w:pPr>
            <w:r w:rsidRPr="007B1EC3">
              <w:rPr>
                <w:rFonts w:cs="Arial"/>
                <w:b/>
                <w:bCs/>
                <w:sz w:val="18"/>
                <w:szCs w:val="18"/>
              </w:rPr>
              <w:t>Specifični cilj</w:t>
            </w:r>
          </w:p>
        </w:tc>
        <w:tc>
          <w:tcPr>
            <w:tcW w:w="2835" w:type="dxa"/>
            <w:shd w:val="clear" w:color="auto" w:fill="B4C6E7" w:themeFill="accent1" w:themeFillTint="66"/>
          </w:tcPr>
          <w:p w14:paraId="73C9F050" w14:textId="125EE6A1" w:rsidR="00903CD0" w:rsidRPr="007B1EC3" w:rsidRDefault="00903CD0" w:rsidP="00F154F0">
            <w:pPr>
              <w:spacing w:before="60"/>
              <w:jc w:val="center"/>
              <w:rPr>
                <w:rFonts w:cs="Arial"/>
                <w:b/>
                <w:bCs/>
                <w:sz w:val="18"/>
                <w:szCs w:val="18"/>
              </w:rPr>
            </w:pPr>
            <w:r w:rsidRPr="007B1EC3">
              <w:rPr>
                <w:rFonts w:cs="Arial"/>
                <w:b/>
                <w:bCs/>
                <w:sz w:val="18"/>
                <w:szCs w:val="18"/>
              </w:rPr>
              <w:t>FI (oblika financiranja)</w:t>
            </w:r>
          </w:p>
        </w:tc>
        <w:tc>
          <w:tcPr>
            <w:tcW w:w="4961" w:type="dxa"/>
            <w:gridSpan w:val="2"/>
            <w:shd w:val="clear" w:color="auto" w:fill="B4C6E7" w:themeFill="accent1" w:themeFillTint="66"/>
          </w:tcPr>
          <w:p w14:paraId="3673D286" w14:textId="3813C91E" w:rsidR="00903CD0" w:rsidRPr="007B1EC3" w:rsidRDefault="00903CD0" w:rsidP="00F154F0">
            <w:pPr>
              <w:spacing w:before="60"/>
              <w:jc w:val="center"/>
              <w:rPr>
                <w:rFonts w:cs="Arial"/>
                <w:b/>
                <w:bCs/>
                <w:sz w:val="18"/>
                <w:szCs w:val="18"/>
              </w:rPr>
            </w:pPr>
            <w:r>
              <w:rPr>
                <w:rFonts w:cs="Arial"/>
                <w:b/>
                <w:bCs/>
                <w:sz w:val="18"/>
                <w:szCs w:val="18"/>
              </w:rPr>
              <w:t>Področje ukrepanja</w:t>
            </w:r>
          </w:p>
        </w:tc>
      </w:tr>
      <w:tr w:rsidR="002A75ED" w:rsidRPr="003878DF" w14:paraId="7C835844" w14:textId="77777777" w:rsidTr="00D451F8">
        <w:tc>
          <w:tcPr>
            <w:tcW w:w="1980" w:type="dxa"/>
            <w:vAlign w:val="center"/>
          </w:tcPr>
          <w:p w14:paraId="73DE0829" w14:textId="77777777" w:rsidR="002A75ED" w:rsidRPr="003878DF" w:rsidRDefault="002A75ED" w:rsidP="00293DC3">
            <w:pPr>
              <w:spacing w:before="60"/>
              <w:rPr>
                <w:rFonts w:cs="Arial"/>
                <w:sz w:val="18"/>
                <w:szCs w:val="18"/>
              </w:rPr>
            </w:pPr>
            <w:r w:rsidRPr="003878DF">
              <w:rPr>
                <w:rFonts w:cs="Arial"/>
                <w:sz w:val="18"/>
                <w:szCs w:val="18"/>
              </w:rPr>
              <w:t>1.1 RRI</w:t>
            </w:r>
          </w:p>
        </w:tc>
        <w:tc>
          <w:tcPr>
            <w:tcW w:w="2835" w:type="dxa"/>
            <w:vAlign w:val="center"/>
          </w:tcPr>
          <w:p w14:paraId="27EC04B5" w14:textId="6EAFFF40" w:rsidR="002A75ED" w:rsidRPr="003878DF" w:rsidRDefault="002A75ED" w:rsidP="0066604F">
            <w:pPr>
              <w:spacing w:before="60"/>
              <w:rPr>
                <w:rFonts w:cs="Arial"/>
                <w:sz w:val="18"/>
                <w:szCs w:val="18"/>
              </w:rPr>
            </w:pPr>
            <w:r>
              <w:rPr>
                <w:rFonts w:cs="Arial"/>
                <w:sz w:val="18"/>
                <w:szCs w:val="18"/>
              </w:rPr>
              <w:t>03</w:t>
            </w:r>
            <w:r w:rsidR="00823181">
              <w:rPr>
                <w:rFonts w:cs="Arial"/>
                <w:sz w:val="18"/>
                <w:szCs w:val="18"/>
              </w:rPr>
              <w:t xml:space="preserve"> Podpora prek finančnih instrumentov: </w:t>
            </w:r>
            <w:r>
              <w:rPr>
                <w:rFonts w:cs="Arial"/>
                <w:sz w:val="18"/>
                <w:szCs w:val="18"/>
              </w:rPr>
              <w:t>posojila</w:t>
            </w:r>
            <w:r w:rsidR="00823181">
              <w:rPr>
                <w:rFonts w:cs="Arial"/>
                <w:sz w:val="18"/>
                <w:szCs w:val="18"/>
              </w:rPr>
              <w:t xml:space="preserve"> </w:t>
            </w:r>
          </w:p>
        </w:tc>
        <w:tc>
          <w:tcPr>
            <w:tcW w:w="1276" w:type="dxa"/>
            <w:vAlign w:val="center"/>
          </w:tcPr>
          <w:p w14:paraId="10F14890" w14:textId="6A174A67" w:rsidR="002A75ED" w:rsidRDefault="002A75ED" w:rsidP="00D451F8">
            <w:pPr>
              <w:spacing w:before="60"/>
              <w:jc w:val="center"/>
              <w:rPr>
                <w:rFonts w:cs="Arial"/>
                <w:sz w:val="18"/>
                <w:szCs w:val="18"/>
              </w:rPr>
            </w:pPr>
            <w:r>
              <w:rPr>
                <w:rFonts w:cs="Arial"/>
                <w:sz w:val="18"/>
                <w:szCs w:val="18"/>
              </w:rPr>
              <w:t>002</w:t>
            </w:r>
          </w:p>
          <w:p w14:paraId="57FEA2E8" w14:textId="77777777" w:rsidR="002A75ED" w:rsidRDefault="002A75ED" w:rsidP="00D451F8">
            <w:pPr>
              <w:spacing w:before="60"/>
              <w:jc w:val="center"/>
              <w:rPr>
                <w:rFonts w:cs="Arial"/>
                <w:sz w:val="18"/>
                <w:szCs w:val="18"/>
              </w:rPr>
            </w:pPr>
          </w:p>
          <w:p w14:paraId="5A634385" w14:textId="77777777" w:rsidR="00585324" w:rsidRDefault="00585324" w:rsidP="00D451F8">
            <w:pPr>
              <w:spacing w:before="60"/>
              <w:jc w:val="center"/>
              <w:rPr>
                <w:rFonts w:cs="Arial"/>
                <w:sz w:val="18"/>
                <w:szCs w:val="18"/>
              </w:rPr>
            </w:pPr>
          </w:p>
          <w:p w14:paraId="5011CBAE" w14:textId="1A8E4EB3" w:rsidR="002A75ED" w:rsidRDefault="002A75ED" w:rsidP="00D451F8">
            <w:pPr>
              <w:spacing w:before="60"/>
              <w:jc w:val="center"/>
              <w:rPr>
                <w:rFonts w:cs="Arial"/>
                <w:sz w:val="18"/>
                <w:szCs w:val="18"/>
              </w:rPr>
            </w:pPr>
            <w:r>
              <w:rPr>
                <w:rFonts w:cs="Arial"/>
                <w:sz w:val="18"/>
                <w:szCs w:val="18"/>
              </w:rPr>
              <w:t>003</w:t>
            </w:r>
          </w:p>
          <w:p w14:paraId="32D042A8" w14:textId="77777777" w:rsidR="002A75ED" w:rsidRDefault="002A75ED" w:rsidP="00D451F8">
            <w:pPr>
              <w:spacing w:before="60"/>
              <w:jc w:val="center"/>
              <w:rPr>
                <w:rFonts w:cs="Arial"/>
                <w:sz w:val="18"/>
                <w:szCs w:val="18"/>
              </w:rPr>
            </w:pPr>
          </w:p>
          <w:p w14:paraId="247D5851" w14:textId="32E663D8" w:rsidR="002A75ED" w:rsidRPr="003878DF" w:rsidRDefault="002A75ED" w:rsidP="00BF72F5">
            <w:pPr>
              <w:spacing w:before="60"/>
              <w:rPr>
                <w:rFonts w:cs="Arial"/>
                <w:sz w:val="18"/>
                <w:szCs w:val="18"/>
              </w:rPr>
            </w:pPr>
          </w:p>
        </w:tc>
        <w:tc>
          <w:tcPr>
            <w:tcW w:w="3685" w:type="dxa"/>
          </w:tcPr>
          <w:p w14:paraId="4AC1B050" w14:textId="77777777" w:rsidR="002A75ED" w:rsidRDefault="002A75ED" w:rsidP="00AE03A5">
            <w:pPr>
              <w:spacing w:before="60"/>
              <w:rPr>
                <w:rFonts w:cs="Arial"/>
                <w:sz w:val="18"/>
                <w:szCs w:val="18"/>
                <w:shd w:val="clear" w:color="auto" w:fill="FFFFFF"/>
              </w:rPr>
            </w:pPr>
            <w:r>
              <w:rPr>
                <w:rFonts w:cs="Arial"/>
                <w:sz w:val="18"/>
                <w:szCs w:val="18"/>
                <w:shd w:val="clear" w:color="auto" w:fill="FFFFFF"/>
              </w:rPr>
              <w:t>Naložbe v osnovna sredstva, vključno z raziskovalno infrastrukturo v malih in srednjih podjetjih</w:t>
            </w:r>
          </w:p>
          <w:p w14:paraId="77B1D69E" w14:textId="564A3FAA" w:rsidR="002A75ED" w:rsidRPr="003878DF" w:rsidRDefault="002A75ED" w:rsidP="00F154F0">
            <w:pPr>
              <w:spacing w:before="60"/>
              <w:rPr>
                <w:rFonts w:cs="Arial"/>
                <w:sz w:val="18"/>
                <w:szCs w:val="18"/>
              </w:rPr>
            </w:pPr>
            <w:r>
              <w:rPr>
                <w:rFonts w:cs="Arial"/>
                <w:sz w:val="18"/>
                <w:szCs w:val="18"/>
              </w:rPr>
              <w:t>Naložbe v osnovna sredstva, vključno v raziskovalno infrastrukturo, v velikih podjetjih, ki so neposredno povezane z raziskovalnimi in inovacijskimi dejavnostmi</w:t>
            </w:r>
          </w:p>
        </w:tc>
      </w:tr>
      <w:tr w:rsidR="002A75ED" w:rsidRPr="003878DF" w14:paraId="21E1ADFB" w14:textId="77777777" w:rsidTr="00D451F8">
        <w:tc>
          <w:tcPr>
            <w:tcW w:w="1980" w:type="dxa"/>
            <w:vAlign w:val="center"/>
          </w:tcPr>
          <w:p w14:paraId="4666E2F1" w14:textId="77777777" w:rsidR="002A75ED" w:rsidRPr="003878DF" w:rsidRDefault="002A75ED" w:rsidP="00293DC3">
            <w:pPr>
              <w:spacing w:before="60"/>
              <w:rPr>
                <w:rFonts w:cs="Arial"/>
                <w:sz w:val="18"/>
                <w:szCs w:val="18"/>
              </w:rPr>
            </w:pPr>
            <w:r w:rsidRPr="003878DF">
              <w:rPr>
                <w:rFonts w:cs="Arial"/>
                <w:sz w:val="18"/>
                <w:szCs w:val="18"/>
              </w:rPr>
              <w:t>1.3 MSP</w:t>
            </w:r>
          </w:p>
        </w:tc>
        <w:tc>
          <w:tcPr>
            <w:tcW w:w="2835" w:type="dxa"/>
            <w:vAlign w:val="center"/>
          </w:tcPr>
          <w:p w14:paraId="1BA3CA52" w14:textId="520AF863" w:rsidR="002A75ED" w:rsidRPr="003878DF" w:rsidRDefault="002A75ED" w:rsidP="0066604F">
            <w:pPr>
              <w:spacing w:before="60"/>
              <w:rPr>
                <w:rFonts w:cs="Arial"/>
                <w:sz w:val="18"/>
                <w:szCs w:val="18"/>
              </w:rPr>
            </w:pPr>
            <w:r>
              <w:rPr>
                <w:rFonts w:cs="Arial"/>
                <w:sz w:val="18"/>
                <w:szCs w:val="18"/>
              </w:rPr>
              <w:t>04</w:t>
            </w:r>
            <w:r w:rsidR="00823181">
              <w:rPr>
                <w:rFonts w:cs="Arial"/>
                <w:sz w:val="18"/>
                <w:szCs w:val="18"/>
              </w:rPr>
              <w:t xml:space="preserve"> Podpora prek finančnih instrumentov:</w:t>
            </w:r>
            <w:r>
              <w:rPr>
                <w:rFonts w:cs="Arial"/>
                <w:sz w:val="18"/>
                <w:szCs w:val="18"/>
              </w:rPr>
              <w:t xml:space="preserve"> jamstva</w:t>
            </w:r>
            <w:r w:rsidR="00823181">
              <w:rPr>
                <w:rFonts w:cs="Arial"/>
                <w:sz w:val="18"/>
                <w:szCs w:val="18"/>
              </w:rPr>
              <w:t xml:space="preserve"> </w:t>
            </w:r>
          </w:p>
        </w:tc>
        <w:tc>
          <w:tcPr>
            <w:tcW w:w="1276" w:type="dxa"/>
            <w:vAlign w:val="center"/>
          </w:tcPr>
          <w:p w14:paraId="7595645B" w14:textId="77777777" w:rsidR="002A75ED" w:rsidRPr="003878DF" w:rsidRDefault="002A75ED" w:rsidP="00D451F8">
            <w:pPr>
              <w:spacing w:before="60"/>
              <w:jc w:val="center"/>
              <w:rPr>
                <w:rFonts w:cs="Arial"/>
                <w:sz w:val="18"/>
                <w:szCs w:val="18"/>
              </w:rPr>
            </w:pPr>
            <w:r w:rsidRPr="003878DF">
              <w:rPr>
                <w:rFonts w:cs="Arial"/>
                <w:sz w:val="18"/>
                <w:szCs w:val="18"/>
              </w:rPr>
              <w:t>021</w:t>
            </w:r>
          </w:p>
        </w:tc>
        <w:tc>
          <w:tcPr>
            <w:tcW w:w="3685" w:type="dxa"/>
          </w:tcPr>
          <w:p w14:paraId="7F37FC94" w14:textId="2DD87300" w:rsidR="002A75ED" w:rsidRPr="003878DF" w:rsidRDefault="002A75ED" w:rsidP="00F154F0">
            <w:pPr>
              <w:spacing w:before="60"/>
              <w:rPr>
                <w:rFonts w:cs="Arial"/>
                <w:sz w:val="18"/>
                <w:szCs w:val="18"/>
              </w:rPr>
            </w:pPr>
            <w:r w:rsidRPr="003878DF">
              <w:rPr>
                <w:rFonts w:cs="Arial"/>
                <w:sz w:val="18"/>
                <w:szCs w:val="18"/>
                <w:shd w:val="clear" w:color="auto" w:fill="FFFFFF"/>
              </w:rPr>
              <w:t>Razvoj podjetij in internacionalizacija MSP, vključno s produktivnimi naložbami</w:t>
            </w:r>
          </w:p>
        </w:tc>
      </w:tr>
      <w:tr w:rsidR="002A75ED" w:rsidRPr="003878DF" w14:paraId="44A97600" w14:textId="77777777" w:rsidTr="00D451F8">
        <w:tc>
          <w:tcPr>
            <w:tcW w:w="1980" w:type="dxa"/>
            <w:shd w:val="clear" w:color="auto" w:fill="auto"/>
            <w:vAlign w:val="center"/>
          </w:tcPr>
          <w:p w14:paraId="08827898" w14:textId="510E1777" w:rsidR="002A75ED" w:rsidRPr="003878DF" w:rsidRDefault="002A75ED" w:rsidP="00293DC3">
            <w:pPr>
              <w:spacing w:before="60"/>
              <w:rPr>
                <w:rFonts w:cs="Arial"/>
                <w:sz w:val="18"/>
                <w:szCs w:val="18"/>
              </w:rPr>
            </w:pPr>
            <w:r w:rsidRPr="003878DF">
              <w:rPr>
                <w:rFonts w:cs="Arial"/>
                <w:sz w:val="18"/>
                <w:szCs w:val="18"/>
              </w:rPr>
              <w:t>2.1 Spodbujanje EE</w:t>
            </w:r>
          </w:p>
        </w:tc>
        <w:tc>
          <w:tcPr>
            <w:tcW w:w="2835" w:type="dxa"/>
            <w:shd w:val="clear" w:color="auto" w:fill="auto"/>
            <w:vAlign w:val="center"/>
          </w:tcPr>
          <w:p w14:paraId="30E3D0BF" w14:textId="77777777" w:rsidR="00823181" w:rsidRDefault="002A75ED" w:rsidP="0066604F">
            <w:pPr>
              <w:spacing w:before="60"/>
              <w:rPr>
                <w:rFonts w:cs="Arial"/>
                <w:sz w:val="18"/>
                <w:szCs w:val="18"/>
              </w:rPr>
            </w:pPr>
            <w:r>
              <w:rPr>
                <w:rFonts w:cs="Arial"/>
                <w:sz w:val="18"/>
                <w:szCs w:val="18"/>
              </w:rPr>
              <w:t>03</w:t>
            </w:r>
            <w:r w:rsidR="00823181">
              <w:rPr>
                <w:rFonts w:cs="Arial"/>
                <w:sz w:val="18"/>
                <w:szCs w:val="18"/>
              </w:rPr>
              <w:t xml:space="preserve"> Podpora prek finančnih instrumentov: posojila ali </w:t>
            </w:r>
          </w:p>
          <w:p w14:paraId="105905BC" w14:textId="61D267E5" w:rsidR="002A75ED" w:rsidRDefault="00823181" w:rsidP="0066604F">
            <w:pPr>
              <w:spacing w:before="60"/>
              <w:rPr>
                <w:rFonts w:cs="Arial"/>
                <w:sz w:val="18"/>
                <w:szCs w:val="18"/>
              </w:rPr>
            </w:pPr>
            <w:r>
              <w:rPr>
                <w:rFonts w:cs="Arial"/>
                <w:sz w:val="18"/>
                <w:szCs w:val="18"/>
              </w:rPr>
              <w:t xml:space="preserve">05 Podpora prek finančnih instrumentov: nepovratna sredstva v okviru finančnega </w:t>
            </w:r>
            <w:r w:rsidR="000C4C2B">
              <w:rPr>
                <w:rFonts w:cs="Arial"/>
                <w:sz w:val="18"/>
                <w:szCs w:val="18"/>
              </w:rPr>
              <w:t>instrumenta</w:t>
            </w:r>
          </w:p>
        </w:tc>
        <w:tc>
          <w:tcPr>
            <w:tcW w:w="1276" w:type="dxa"/>
            <w:shd w:val="clear" w:color="auto" w:fill="auto"/>
            <w:vAlign w:val="center"/>
          </w:tcPr>
          <w:p w14:paraId="423DBEB6" w14:textId="368DADF9" w:rsidR="002A75ED" w:rsidRPr="003878DF" w:rsidRDefault="002A75ED" w:rsidP="00D451F8">
            <w:pPr>
              <w:spacing w:before="60"/>
              <w:jc w:val="center"/>
              <w:rPr>
                <w:rFonts w:cs="Arial"/>
                <w:sz w:val="18"/>
                <w:szCs w:val="18"/>
              </w:rPr>
            </w:pPr>
            <w:r w:rsidRPr="003878DF">
              <w:rPr>
                <w:rFonts w:cs="Arial"/>
                <w:sz w:val="18"/>
                <w:szCs w:val="18"/>
              </w:rPr>
              <w:t>040</w:t>
            </w:r>
          </w:p>
        </w:tc>
        <w:tc>
          <w:tcPr>
            <w:tcW w:w="3685" w:type="dxa"/>
            <w:shd w:val="clear" w:color="auto" w:fill="auto"/>
          </w:tcPr>
          <w:p w14:paraId="55CA158C" w14:textId="7457ED90" w:rsidR="002A75ED" w:rsidRPr="003878DF" w:rsidRDefault="002A75ED" w:rsidP="00AE03A5">
            <w:pPr>
              <w:spacing w:before="60"/>
              <w:rPr>
                <w:rFonts w:cs="Arial"/>
                <w:sz w:val="18"/>
                <w:szCs w:val="18"/>
                <w:shd w:val="clear" w:color="auto" w:fill="FFFFFF"/>
              </w:rPr>
            </w:pPr>
            <w:r w:rsidRPr="003878DF">
              <w:rPr>
                <w:rFonts w:cs="Arial"/>
                <w:sz w:val="18"/>
                <w:szCs w:val="18"/>
                <w:shd w:val="clear" w:color="auto" w:fill="FFFFFF"/>
              </w:rPr>
              <w:t>Energetska učinkovitost in predstavitveni projekti v MSP ali velikih podjetjih ter podporni ukrepi v skladu z merili za energetsko učinkovitost</w:t>
            </w:r>
          </w:p>
        </w:tc>
      </w:tr>
      <w:tr w:rsidR="002A75ED" w:rsidRPr="003878DF" w14:paraId="7B3DDBBB" w14:textId="77777777" w:rsidTr="00D451F8">
        <w:tc>
          <w:tcPr>
            <w:tcW w:w="1980" w:type="dxa"/>
            <w:vAlign w:val="center"/>
          </w:tcPr>
          <w:p w14:paraId="426459F5" w14:textId="0E27745E" w:rsidR="002A75ED" w:rsidRPr="003878DF" w:rsidRDefault="002A75ED" w:rsidP="00293DC3">
            <w:pPr>
              <w:spacing w:before="60"/>
              <w:rPr>
                <w:rFonts w:cs="Arial"/>
                <w:sz w:val="18"/>
                <w:szCs w:val="18"/>
              </w:rPr>
            </w:pPr>
            <w:r w:rsidRPr="003878DF">
              <w:rPr>
                <w:rFonts w:cs="Arial"/>
                <w:sz w:val="18"/>
                <w:szCs w:val="18"/>
              </w:rPr>
              <w:t xml:space="preserve">2.6 </w:t>
            </w:r>
            <w:r>
              <w:rPr>
                <w:rFonts w:cs="Arial"/>
                <w:sz w:val="18"/>
                <w:szCs w:val="18"/>
              </w:rPr>
              <w:t>S</w:t>
            </w:r>
            <w:r w:rsidRPr="003878DF">
              <w:rPr>
                <w:rFonts w:cs="Arial"/>
                <w:sz w:val="18"/>
                <w:szCs w:val="18"/>
              </w:rPr>
              <w:t>podbujanje prehoda na krožno gospodarstvo</w:t>
            </w:r>
          </w:p>
        </w:tc>
        <w:tc>
          <w:tcPr>
            <w:tcW w:w="2835" w:type="dxa"/>
            <w:vAlign w:val="center"/>
          </w:tcPr>
          <w:p w14:paraId="3D9D6D95" w14:textId="77777777" w:rsidR="00823181" w:rsidRDefault="00823181" w:rsidP="0066604F">
            <w:pPr>
              <w:spacing w:before="60"/>
              <w:rPr>
                <w:rFonts w:cs="Arial"/>
                <w:sz w:val="18"/>
                <w:szCs w:val="18"/>
              </w:rPr>
            </w:pPr>
            <w:r>
              <w:rPr>
                <w:rFonts w:cs="Arial"/>
                <w:sz w:val="18"/>
                <w:szCs w:val="18"/>
              </w:rPr>
              <w:t xml:space="preserve">03 Podpora prek finančnih instrumentov: posojila ali </w:t>
            </w:r>
          </w:p>
          <w:p w14:paraId="397CDB52" w14:textId="5B81BA87" w:rsidR="00823181" w:rsidRDefault="00823181" w:rsidP="0066604F">
            <w:pPr>
              <w:spacing w:before="60"/>
              <w:rPr>
                <w:rFonts w:cs="Arial"/>
                <w:sz w:val="18"/>
                <w:szCs w:val="18"/>
              </w:rPr>
            </w:pPr>
            <w:r>
              <w:rPr>
                <w:rFonts w:cs="Arial"/>
                <w:sz w:val="18"/>
                <w:szCs w:val="18"/>
              </w:rPr>
              <w:t>05 Podpora prek finančnih instrumentov: nepovratna sredstva</w:t>
            </w:r>
          </w:p>
          <w:p w14:paraId="1EDBE6E5" w14:textId="663BBDB3" w:rsidR="002A75ED" w:rsidRPr="003878DF" w:rsidRDefault="002A75ED" w:rsidP="0066604F">
            <w:pPr>
              <w:spacing w:before="60"/>
              <w:rPr>
                <w:rFonts w:cs="Arial"/>
                <w:sz w:val="18"/>
                <w:szCs w:val="18"/>
              </w:rPr>
            </w:pPr>
            <w:r>
              <w:rPr>
                <w:rFonts w:cs="Arial"/>
                <w:sz w:val="18"/>
                <w:szCs w:val="18"/>
              </w:rPr>
              <w:t>(</w:t>
            </w:r>
            <w:r w:rsidRPr="003878DF">
              <w:rPr>
                <w:rFonts w:cs="Arial"/>
                <w:sz w:val="18"/>
                <w:szCs w:val="18"/>
              </w:rPr>
              <w:t>LES prehod na KG</w:t>
            </w:r>
            <w:r>
              <w:rPr>
                <w:rFonts w:cs="Arial"/>
                <w:sz w:val="18"/>
                <w:szCs w:val="18"/>
              </w:rPr>
              <w:t>)</w:t>
            </w:r>
          </w:p>
        </w:tc>
        <w:tc>
          <w:tcPr>
            <w:tcW w:w="1276" w:type="dxa"/>
            <w:vAlign w:val="center"/>
          </w:tcPr>
          <w:p w14:paraId="083439C0" w14:textId="488EF7B9" w:rsidR="002A75ED" w:rsidRDefault="002A75ED" w:rsidP="00D451F8">
            <w:pPr>
              <w:spacing w:before="60"/>
              <w:jc w:val="center"/>
              <w:rPr>
                <w:rFonts w:cs="Arial"/>
                <w:sz w:val="18"/>
                <w:szCs w:val="18"/>
              </w:rPr>
            </w:pPr>
            <w:r w:rsidRPr="003878DF">
              <w:rPr>
                <w:rFonts w:cs="Arial"/>
                <w:sz w:val="18"/>
                <w:szCs w:val="18"/>
              </w:rPr>
              <w:t>075</w:t>
            </w:r>
          </w:p>
          <w:p w14:paraId="3A69A569" w14:textId="77777777" w:rsidR="002A75ED" w:rsidRDefault="002A75ED" w:rsidP="00D451F8">
            <w:pPr>
              <w:spacing w:before="60"/>
              <w:jc w:val="center"/>
              <w:rPr>
                <w:rFonts w:cs="Arial"/>
                <w:sz w:val="18"/>
                <w:szCs w:val="18"/>
              </w:rPr>
            </w:pPr>
          </w:p>
          <w:p w14:paraId="28321235" w14:textId="77777777" w:rsidR="002A75ED" w:rsidRDefault="002A75ED" w:rsidP="00293DC3">
            <w:pPr>
              <w:spacing w:before="60"/>
              <w:jc w:val="center"/>
              <w:rPr>
                <w:rFonts w:cs="Arial"/>
                <w:sz w:val="18"/>
                <w:szCs w:val="18"/>
              </w:rPr>
            </w:pPr>
            <w:r w:rsidRPr="003878DF">
              <w:rPr>
                <w:rFonts w:cs="Arial"/>
                <w:sz w:val="18"/>
                <w:szCs w:val="18"/>
              </w:rPr>
              <w:t>076</w:t>
            </w:r>
          </w:p>
          <w:p w14:paraId="75359F54" w14:textId="5E8DF47A" w:rsidR="00293DC3" w:rsidRPr="003878DF" w:rsidRDefault="00293DC3" w:rsidP="00D451F8">
            <w:pPr>
              <w:spacing w:before="60"/>
              <w:jc w:val="center"/>
              <w:rPr>
                <w:rFonts w:cs="Arial"/>
                <w:sz w:val="18"/>
                <w:szCs w:val="18"/>
              </w:rPr>
            </w:pPr>
          </w:p>
        </w:tc>
        <w:tc>
          <w:tcPr>
            <w:tcW w:w="3685" w:type="dxa"/>
          </w:tcPr>
          <w:p w14:paraId="2830047A" w14:textId="77777777" w:rsidR="002A75ED" w:rsidRPr="003878DF" w:rsidRDefault="002A75ED" w:rsidP="00AE03A5">
            <w:pPr>
              <w:spacing w:before="60"/>
              <w:rPr>
                <w:rFonts w:cs="Arial"/>
                <w:sz w:val="18"/>
                <w:szCs w:val="18"/>
                <w:shd w:val="clear" w:color="auto" w:fill="FFFFFF"/>
              </w:rPr>
            </w:pPr>
            <w:r w:rsidRPr="003878DF">
              <w:rPr>
                <w:rFonts w:cs="Arial"/>
                <w:sz w:val="18"/>
                <w:szCs w:val="18"/>
                <w:shd w:val="clear" w:color="auto" w:fill="FFFFFF"/>
              </w:rPr>
              <w:t>Podpora okolju prijaznim proizvodnim procesom in učinkoviti rabi virov v MSP</w:t>
            </w:r>
          </w:p>
          <w:p w14:paraId="252E45F0" w14:textId="0FDE1B2E" w:rsidR="002A75ED" w:rsidRPr="003878DF" w:rsidRDefault="002A75ED" w:rsidP="00AE03A5">
            <w:pPr>
              <w:spacing w:before="60"/>
              <w:rPr>
                <w:rFonts w:cs="Arial"/>
                <w:sz w:val="18"/>
                <w:szCs w:val="18"/>
              </w:rPr>
            </w:pPr>
            <w:r w:rsidRPr="003878DF">
              <w:rPr>
                <w:rFonts w:cs="Arial"/>
                <w:sz w:val="18"/>
                <w:szCs w:val="18"/>
                <w:shd w:val="clear" w:color="auto" w:fill="FFFFFF"/>
              </w:rPr>
              <w:t>Podpora okolju prijaznim proizvodnim procesom in učinkoviti rabi virov v velikih podjetjih</w:t>
            </w:r>
          </w:p>
        </w:tc>
      </w:tr>
      <w:tr w:rsidR="002A75ED" w:rsidRPr="003878DF" w14:paraId="2085AEF6" w14:textId="77777777" w:rsidTr="00D451F8">
        <w:tc>
          <w:tcPr>
            <w:tcW w:w="1980" w:type="dxa"/>
            <w:shd w:val="clear" w:color="auto" w:fill="auto"/>
            <w:vAlign w:val="center"/>
          </w:tcPr>
          <w:p w14:paraId="0BC8EC1F" w14:textId="51ECE283" w:rsidR="002A75ED" w:rsidRPr="003878DF" w:rsidRDefault="002A75ED" w:rsidP="00293DC3">
            <w:pPr>
              <w:spacing w:before="60"/>
              <w:rPr>
                <w:rFonts w:cs="Arial"/>
                <w:sz w:val="18"/>
                <w:szCs w:val="18"/>
              </w:rPr>
            </w:pPr>
            <w:r w:rsidRPr="003878DF">
              <w:rPr>
                <w:rFonts w:cs="Arial"/>
                <w:sz w:val="18"/>
                <w:szCs w:val="18"/>
              </w:rPr>
              <w:t>5.1 Spodbujanje razvoja v mestnih območjih</w:t>
            </w:r>
          </w:p>
        </w:tc>
        <w:tc>
          <w:tcPr>
            <w:tcW w:w="2835" w:type="dxa"/>
            <w:shd w:val="clear" w:color="auto" w:fill="auto"/>
            <w:vAlign w:val="center"/>
          </w:tcPr>
          <w:p w14:paraId="36171C02" w14:textId="291792FF" w:rsidR="002A75ED" w:rsidRPr="003878DF" w:rsidRDefault="002A75ED" w:rsidP="0066604F">
            <w:pPr>
              <w:spacing w:before="60"/>
              <w:rPr>
                <w:rFonts w:cs="Arial"/>
                <w:sz w:val="18"/>
                <w:szCs w:val="18"/>
              </w:rPr>
            </w:pPr>
            <w:r>
              <w:rPr>
                <w:rFonts w:cs="Arial"/>
                <w:sz w:val="18"/>
                <w:szCs w:val="18"/>
              </w:rPr>
              <w:t xml:space="preserve">03 </w:t>
            </w:r>
            <w:r w:rsidR="00823181">
              <w:rPr>
                <w:rFonts w:cs="Arial"/>
                <w:sz w:val="18"/>
                <w:szCs w:val="18"/>
              </w:rPr>
              <w:t xml:space="preserve">Podpora prek finančnih instrumentov: posojila </w:t>
            </w:r>
          </w:p>
        </w:tc>
        <w:tc>
          <w:tcPr>
            <w:tcW w:w="1276" w:type="dxa"/>
            <w:shd w:val="clear" w:color="auto" w:fill="auto"/>
            <w:vAlign w:val="center"/>
          </w:tcPr>
          <w:p w14:paraId="2F9A3BCA" w14:textId="2D018C2E" w:rsidR="002A75ED" w:rsidRPr="003878DF" w:rsidRDefault="002A75ED" w:rsidP="00D451F8">
            <w:pPr>
              <w:spacing w:before="60"/>
              <w:jc w:val="center"/>
              <w:rPr>
                <w:rFonts w:cs="Arial"/>
                <w:sz w:val="18"/>
                <w:szCs w:val="18"/>
              </w:rPr>
            </w:pPr>
            <w:r w:rsidRPr="003878DF">
              <w:rPr>
                <w:rFonts w:cs="Arial"/>
                <w:sz w:val="18"/>
                <w:szCs w:val="18"/>
              </w:rPr>
              <w:t>169</w:t>
            </w:r>
          </w:p>
        </w:tc>
        <w:tc>
          <w:tcPr>
            <w:tcW w:w="3685" w:type="dxa"/>
            <w:shd w:val="clear" w:color="auto" w:fill="auto"/>
          </w:tcPr>
          <w:p w14:paraId="4AF47DAA" w14:textId="2F6B8725" w:rsidR="002A75ED" w:rsidRPr="003878DF" w:rsidRDefault="002A75ED" w:rsidP="00AE03A5">
            <w:pPr>
              <w:spacing w:before="60"/>
              <w:rPr>
                <w:rFonts w:cs="Arial"/>
                <w:sz w:val="18"/>
                <w:szCs w:val="18"/>
              </w:rPr>
            </w:pPr>
            <w:r w:rsidRPr="003878DF">
              <w:rPr>
                <w:rFonts w:cs="Arial"/>
                <w:sz w:val="18"/>
                <w:szCs w:val="18"/>
                <w:shd w:val="clear" w:color="auto" w:fill="FFFFFF"/>
              </w:rPr>
              <w:t>Pobude na področju teritorialnega razvoja, vključno s pripravo teritorialnih strategij</w:t>
            </w:r>
          </w:p>
        </w:tc>
      </w:tr>
    </w:tbl>
    <w:p w14:paraId="4395E2CB" w14:textId="77777777" w:rsidR="003F5664" w:rsidRDefault="003F5664" w:rsidP="00F154F0">
      <w:pPr>
        <w:jc w:val="both"/>
        <w:rPr>
          <w:rFonts w:cs="Arial"/>
          <w:sz w:val="20"/>
          <w:szCs w:val="20"/>
        </w:rPr>
      </w:pPr>
    </w:p>
    <w:p w14:paraId="207ADFA7" w14:textId="77777777" w:rsidR="00552694" w:rsidRDefault="00552694" w:rsidP="00F154F0">
      <w:pPr>
        <w:jc w:val="both"/>
        <w:rPr>
          <w:rFonts w:cs="Arial"/>
          <w:sz w:val="20"/>
          <w:szCs w:val="20"/>
        </w:rPr>
      </w:pPr>
    </w:p>
    <w:p w14:paraId="05E26269" w14:textId="282B16AD" w:rsidR="001B17C8" w:rsidRDefault="00823181" w:rsidP="00F154F0">
      <w:pPr>
        <w:jc w:val="both"/>
        <w:rPr>
          <w:rFonts w:cs="Arial"/>
          <w:sz w:val="20"/>
          <w:szCs w:val="20"/>
        </w:rPr>
      </w:pPr>
      <w:r>
        <w:rPr>
          <w:rFonts w:cs="Arial"/>
          <w:sz w:val="20"/>
          <w:szCs w:val="20"/>
        </w:rPr>
        <w:t xml:space="preserve">Tabela 5: </w:t>
      </w:r>
      <w:r w:rsidR="00903CD0">
        <w:rPr>
          <w:rFonts w:cs="Arial"/>
          <w:sz w:val="20"/>
          <w:szCs w:val="20"/>
        </w:rPr>
        <w:t>Načrtovana sredstva za FI glede na specifični cilj, obliko financiranja, področje ukrepanja in kohezijsko regijo</w:t>
      </w:r>
    </w:p>
    <w:p w14:paraId="2AED8AB8" w14:textId="77777777" w:rsidR="00823181" w:rsidRDefault="00823181" w:rsidP="00F154F0">
      <w:pPr>
        <w:jc w:val="both"/>
        <w:rPr>
          <w:rFonts w:cs="Arial"/>
          <w:sz w:val="20"/>
          <w:szCs w:val="20"/>
        </w:rPr>
      </w:pPr>
    </w:p>
    <w:tbl>
      <w:tblPr>
        <w:tblStyle w:val="Tabelamrea"/>
        <w:tblW w:w="9776" w:type="dxa"/>
        <w:tblLayout w:type="fixed"/>
        <w:tblLook w:val="04A0" w:firstRow="1" w:lastRow="0" w:firstColumn="1" w:lastColumn="0" w:noHBand="0" w:noVBand="1"/>
      </w:tblPr>
      <w:tblGrid>
        <w:gridCol w:w="1297"/>
        <w:gridCol w:w="2100"/>
        <w:gridCol w:w="1276"/>
        <w:gridCol w:w="1879"/>
        <w:gridCol w:w="12"/>
        <w:gridCol w:w="1547"/>
        <w:gridCol w:w="12"/>
        <w:gridCol w:w="1653"/>
      </w:tblGrid>
      <w:tr w:rsidR="00917820" w:rsidRPr="001B2C50" w14:paraId="571BAFA4" w14:textId="77777777" w:rsidTr="00BF72F5">
        <w:trPr>
          <w:tblHeader/>
        </w:trPr>
        <w:tc>
          <w:tcPr>
            <w:tcW w:w="1297" w:type="dxa"/>
            <w:shd w:val="clear" w:color="auto" w:fill="B4C6E7" w:themeFill="accent1" w:themeFillTint="66"/>
            <w:vAlign w:val="center"/>
          </w:tcPr>
          <w:p w14:paraId="5878AB16" w14:textId="77777777" w:rsidR="008761F8" w:rsidRPr="001B2C50" w:rsidRDefault="008761F8" w:rsidP="00D451F8">
            <w:pPr>
              <w:rPr>
                <w:rFonts w:cs="Arial"/>
                <w:sz w:val="18"/>
                <w:szCs w:val="18"/>
              </w:rPr>
            </w:pPr>
            <w:r w:rsidRPr="001B2C50">
              <w:rPr>
                <w:rFonts w:cs="Arial"/>
                <w:b/>
                <w:bCs/>
                <w:sz w:val="18"/>
                <w:szCs w:val="18"/>
              </w:rPr>
              <w:t>Specifični cilj</w:t>
            </w:r>
          </w:p>
        </w:tc>
        <w:tc>
          <w:tcPr>
            <w:tcW w:w="2100" w:type="dxa"/>
            <w:shd w:val="clear" w:color="auto" w:fill="B4C6E7" w:themeFill="accent1" w:themeFillTint="66"/>
            <w:vAlign w:val="center"/>
          </w:tcPr>
          <w:p w14:paraId="2848547E" w14:textId="629BD572" w:rsidR="008761F8" w:rsidRPr="001B2C50" w:rsidRDefault="008761F8" w:rsidP="00D451F8">
            <w:pPr>
              <w:rPr>
                <w:rFonts w:cs="Arial"/>
                <w:sz w:val="18"/>
                <w:szCs w:val="18"/>
              </w:rPr>
            </w:pPr>
            <w:r w:rsidRPr="001B2C50">
              <w:rPr>
                <w:rFonts w:cs="Arial"/>
                <w:b/>
                <w:bCs/>
                <w:sz w:val="18"/>
                <w:szCs w:val="18"/>
              </w:rPr>
              <w:t>FI (oblika financiranja</w:t>
            </w:r>
            <w:r w:rsidR="00F007AE">
              <w:rPr>
                <w:rFonts w:cs="Arial"/>
                <w:b/>
                <w:bCs/>
                <w:sz w:val="18"/>
                <w:szCs w:val="18"/>
              </w:rPr>
              <w:t>)</w:t>
            </w:r>
          </w:p>
        </w:tc>
        <w:tc>
          <w:tcPr>
            <w:tcW w:w="1276" w:type="dxa"/>
            <w:shd w:val="clear" w:color="auto" w:fill="B4C6E7" w:themeFill="accent1" w:themeFillTint="66"/>
            <w:vAlign w:val="center"/>
          </w:tcPr>
          <w:p w14:paraId="79DE3605" w14:textId="72BED1CD" w:rsidR="008761F8" w:rsidRPr="001B2C50" w:rsidRDefault="00F007AE" w:rsidP="00D451F8">
            <w:pPr>
              <w:jc w:val="center"/>
              <w:rPr>
                <w:rFonts w:cs="Arial"/>
                <w:sz w:val="18"/>
                <w:szCs w:val="18"/>
              </w:rPr>
            </w:pPr>
            <w:r>
              <w:rPr>
                <w:rFonts w:cs="Arial"/>
                <w:b/>
                <w:bCs/>
                <w:sz w:val="18"/>
                <w:szCs w:val="18"/>
              </w:rPr>
              <w:t>Področje ukrepanja</w:t>
            </w:r>
          </w:p>
        </w:tc>
        <w:tc>
          <w:tcPr>
            <w:tcW w:w="1891" w:type="dxa"/>
            <w:gridSpan w:val="2"/>
            <w:shd w:val="clear" w:color="auto" w:fill="B4C6E7" w:themeFill="accent1" w:themeFillTint="66"/>
            <w:vAlign w:val="center"/>
          </w:tcPr>
          <w:p w14:paraId="5CCB4C42" w14:textId="77777777" w:rsidR="008761F8" w:rsidRPr="001B2C50" w:rsidRDefault="008761F8" w:rsidP="00D451F8">
            <w:pPr>
              <w:jc w:val="center"/>
              <w:rPr>
                <w:rFonts w:cs="Arial"/>
                <w:sz w:val="18"/>
                <w:szCs w:val="18"/>
              </w:rPr>
            </w:pPr>
            <w:r w:rsidRPr="001B2C50">
              <w:rPr>
                <w:rFonts w:cs="Arial"/>
                <w:b/>
                <w:bCs/>
                <w:sz w:val="18"/>
                <w:szCs w:val="18"/>
              </w:rPr>
              <w:t>FI (EU del) - VZHOD</w:t>
            </w:r>
          </w:p>
        </w:tc>
        <w:tc>
          <w:tcPr>
            <w:tcW w:w="1559" w:type="dxa"/>
            <w:gridSpan w:val="2"/>
            <w:shd w:val="clear" w:color="auto" w:fill="B4C6E7" w:themeFill="accent1" w:themeFillTint="66"/>
            <w:vAlign w:val="center"/>
          </w:tcPr>
          <w:p w14:paraId="7E397649" w14:textId="77777777" w:rsidR="008761F8" w:rsidRPr="001B2C50" w:rsidRDefault="008761F8" w:rsidP="00D451F8">
            <w:pPr>
              <w:jc w:val="center"/>
              <w:rPr>
                <w:rFonts w:cs="Arial"/>
                <w:sz w:val="18"/>
                <w:szCs w:val="18"/>
              </w:rPr>
            </w:pPr>
            <w:r w:rsidRPr="001B2C50">
              <w:rPr>
                <w:rFonts w:cs="Arial"/>
                <w:b/>
                <w:bCs/>
                <w:sz w:val="18"/>
                <w:szCs w:val="18"/>
              </w:rPr>
              <w:t>FI (EU del) - ZAHOD</w:t>
            </w:r>
          </w:p>
        </w:tc>
        <w:tc>
          <w:tcPr>
            <w:tcW w:w="1653" w:type="dxa"/>
            <w:shd w:val="clear" w:color="auto" w:fill="B4C6E7" w:themeFill="accent1" w:themeFillTint="66"/>
            <w:vAlign w:val="center"/>
          </w:tcPr>
          <w:p w14:paraId="7D7BC773" w14:textId="3613CD0F" w:rsidR="008761F8" w:rsidRPr="00D451F8" w:rsidRDefault="00385DEA" w:rsidP="00D451F8">
            <w:pPr>
              <w:jc w:val="center"/>
              <w:rPr>
                <w:rFonts w:cs="Arial"/>
                <w:b/>
                <w:bCs/>
                <w:sz w:val="18"/>
                <w:szCs w:val="18"/>
              </w:rPr>
            </w:pPr>
            <w:r w:rsidRPr="00D451F8">
              <w:rPr>
                <w:rFonts w:cs="Arial"/>
                <w:b/>
                <w:bCs/>
                <w:sz w:val="18"/>
                <w:szCs w:val="18"/>
              </w:rPr>
              <w:t>Skupaj</w:t>
            </w:r>
          </w:p>
        </w:tc>
      </w:tr>
      <w:tr w:rsidR="00917820" w:rsidRPr="001B2C50" w14:paraId="79841B69" w14:textId="77777777" w:rsidTr="00BF72F5">
        <w:tc>
          <w:tcPr>
            <w:tcW w:w="1297" w:type="dxa"/>
            <w:vAlign w:val="center"/>
          </w:tcPr>
          <w:p w14:paraId="5407118C" w14:textId="77777777" w:rsidR="00622070" w:rsidRPr="00917820" w:rsidRDefault="00622070" w:rsidP="00D451F8">
            <w:pPr>
              <w:rPr>
                <w:rFonts w:cs="Arial"/>
                <w:sz w:val="18"/>
                <w:szCs w:val="18"/>
              </w:rPr>
            </w:pPr>
            <w:r w:rsidRPr="00917820">
              <w:rPr>
                <w:rFonts w:cs="Arial"/>
                <w:sz w:val="18"/>
                <w:szCs w:val="18"/>
              </w:rPr>
              <w:t>1.1 RRI</w:t>
            </w:r>
          </w:p>
        </w:tc>
        <w:tc>
          <w:tcPr>
            <w:tcW w:w="2100" w:type="dxa"/>
          </w:tcPr>
          <w:p w14:paraId="2E391D33" w14:textId="77777777" w:rsidR="00622070" w:rsidRPr="00917820" w:rsidRDefault="00622070" w:rsidP="00622070">
            <w:pPr>
              <w:jc w:val="both"/>
              <w:rPr>
                <w:rFonts w:cs="Arial"/>
                <w:sz w:val="18"/>
                <w:szCs w:val="18"/>
              </w:rPr>
            </w:pPr>
            <w:r w:rsidRPr="00917820">
              <w:rPr>
                <w:rFonts w:cs="Arial"/>
                <w:sz w:val="18"/>
                <w:szCs w:val="18"/>
              </w:rPr>
              <w:t>03 Podpora prek finančnih instrumentov: posojila</w:t>
            </w:r>
          </w:p>
        </w:tc>
        <w:tc>
          <w:tcPr>
            <w:tcW w:w="1276" w:type="dxa"/>
            <w:vAlign w:val="center"/>
          </w:tcPr>
          <w:p w14:paraId="1156D74B" w14:textId="77777777" w:rsidR="00622070" w:rsidRPr="00917820" w:rsidRDefault="00622070" w:rsidP="00D451F8">
            <w:pPr>
              <w:jc w:val="center"/>
              <w:rPr>
                <w:rFonts w:cs="Arial"/>
                <w:sz w:val="18"/>
                <w:szCs w:val="18"/>
              </w:rPr>
            </w:pPr>
            <w:r w:rsidRPr="00917820">
              <w:rPr>
                <w:rFonts w:cs="Arial"/>
                <w:sz w:val="18"/>
                <w:szCs w:val="18"/>
              </w:rPr>
              <w:t>002</w:t>
            </w:r>
          </w:p>
        </w:tc>
        <w:tc>
          <w:tcPr>
            <w:tcW w:w="1891" w:type="dxa"/>
            <w:gridSpan w:val="2"/>
            <w:vAlign w:val="center"/>
          </w:tcPr>
          <w:p w14:paraId="4B8E1683" w14:textId="79792FDA" w:rsidR="00622070" w:rsidRPr="00917820" w:rsidRDefault="00006CB9" w:rsidP="00D451F8">
            <w:pPr>
              <w:jc w:val="center"/>
              <w:rPr>
                <w:rFonts w:cs="Arial"/>
                <w:sz w:val="18"/>
                <w:szCs w:val="18"/>
              </w:rPr>
            </w:pPr>
            <w:r w:rsidRPr="00917820">
              <w:rPr>
                <w:rFonts w:cs="Arial"/>
                <w:sz w:val="18"/>
                <w:szCs w:val="18"/>
              </w:rPr>
              <w:t>27.113.200,65</w:t>
            </w:r>
          </w:p>
        </w:tc>
        <w:tc>
          <w:tcPr>
            <w:tcW w:w="1559" w:type="dxa"/>
            <w:gridSpan w:val="2"/>
            <w:vAlign w:val="center"/>
          </w:tcPr>
          <w:p w14:paraId="25027742" w14:textId="392DA8E5" w:rsidR="00622070" w:rsidRPr="00917820" w:rsidRDefault="00006CB9" w:rsidP="00BF72F5">
            <w:pPr>
              <w:jc w:val="center"/>
              <w:rPr>
                <w:rFonts w:cs="Arial"/>
                <w:sz w:val="18"/>
                <w:szCs w:val="18"/>
              </w:rPr>
            </w:pPr>
            <w:r w:rsidRPr="00BF72F5">
              <w:rPr>
                <w:rFonts w:cs="Arial"/>
                <w:sz w:val="18"/>
                <w:szCs w:val="18"/>
              </w:rPr>
              <w:t>10.112.686,87</w:t>
            </w:r>
          </w:p>
        </w:tc>
        <w:tc>
          <w:tcPr>
            <w:tcW w:w="1653" w:type="dxa"/>
            <w:vAlign w:val="center"/>
          </w:tcPr>
          <w:p w14:paraId="6AA5E662" w14:textId="27B525D8" w:rsidR="00622070" w:rsidRPr="00917820" w:rsidRDefault="00006CB9" w:rsidP="00232D96">
            <w:pPr>
              <w:jc w:val="center"/>
              <w:rPr>
                <w:rFonts w:cs="Arial"/>
                <w:sz w:val="18"/>
                <w:szCs w:val="18"/>
              </w:rPr>
            </w:pPr>
            <w:r w:rsidRPr="00BF72F5">
              <w:rPr>
                <w:rFonts w:cs="Arial"/>
                <w:sz w:val="18"/>
                <w:szCs w:val="18"/>
              </w:rPr>
              <w:t>37.225.887,52</w:t>
            </w:r>
          </w:p>
        </w:tc>
      </w:tr>
      <w:tr w:rsidR="00917820" w:rsidRPr="001B2C50" w14:paraId="29810DCD" w14:textId="77777777" w:rsidTr="00BF72F5">
        <w:tc>
          <w:tcPr>
            <w:tcW w:w="1297" w:type="dxa"/>
            <w:vAlign w:val="center"/>
          </w:tcPr>
          <w:p w14:paraId="5C1C74DE" w14:textId="77777777" w:rsidR="00622070" w:rsidRPr="00232D96" w:rsidRDefault="00622070" w:rsidP="00D451F8">
            <w:pPr>
              <w:rPr>
                <w:rFonts w:cs="Arial"/>
                <w:sz w:val="18"/>
                <w:szCs w:val="18"/>
              </w:rPr>
            </w:pPr>
            <w:r w:rsidRPr="00232D96">
              <w:rPr>
                <w:rFonts w:cs="Arial"/>
                <w:sz w:val="18"/>
                <w:szCs w:val="18"/>
              </w:rPr>
              <w:lastRenderedPageBreak/>
              <w:t>1.1 RRI</w:t>
            </w:r>
          </w:p>
        </w:tc>
        <w:tc>
          <w:tcPr>
            <w:tcW w:w="2100" w:type="dxa"/>
          </w:tcPr>
          <w:p w14:paraId="4ABC4DE0" w14:textId="77777777" w:rsidR="00622070" w:rsidRPr="00232D96" w:rsidRDefault="00622070" w:rsidP="00622070">
            <w:pPr>
              <w:jc w:val="both"/>
              <w:rPr>
                <w:rFonts w:cs="Arial"/>
                <w:sz w:val="18"/>
                <w:szCs w:val="18"/>
              </w:rPr>
            </w:pPr>
            <w:r w:rsidRPr="00232D96">
              <w:rPr>
                <w:rFonts w:cs="Arial"/>
                <w:sz w:val="18"/>
                <w:szCs w:val="18"/>
              </w:rPr>
              <w:t>03 Podpora prek finančnih instrumentov: posojila</w:t>
            </w:r>
          </w:p>
        </w:tc>
        <w:tc>
          <w:tcPr>
            <w:tcW w:w="1276" w:type="dxa"/>
            <w:vAlign w:val="center"/>
          </w:tcPr>
          <w:p w14:paraId="06CCE967" w14:textId="77777777" w:rsidR="00622070" w:rsidRPr="00232D96" w:rsidRDefault="00622070" w:rsidP="00D451F8">
            <w:pPr>
              <w:jc w:val="center"/>
              <w:rPr>
                <w:rFonts w:cs="Arial"/>
                <w:sz w:val="18"/>
                <w:szCs w:val="18"/>
              </w:rPr>
            </w:pPr>
            <w:r w:rsidRPr="00232D96">
              <w:rPr>
                <w:rFonts w:cs="Arial"/>
                <w:sz w:val="18"/>
                <w:szCs w:val="18"/>
              </w:rPr>
              <w:t>003</w:t>
            </w:r>
          </w:p>
        </w:tc>
        <w:tc>
          <w:tcPr>
            <w:tcW w:w="1891" w:type="dxa"/>
            <w:gridSpan w:val="2"/>
            <w:vAlign w:val="center"/>
          </w:tcPr>
          <w:p w14:paraId="7E22CEDC" w14:textId="6B79A256" w:rsidR="00622070" w:rsidRPr="00232D96" w:rsidRDefault="00006CB9" w:rsidP="00D451F8">
            <w:pPr>
              <w:jc w:val="center"/>
              <w:rPr>
                <w:rFonts w:cs="Arial"/>
                <w:sz w:val="18"/>
                <w:szCs w:val="18"/>
              </w:rPr>
            </w:pPr>
            <w:r w:rsidRPr="00232D96">
              <w:rPr>
                <w:rFonts w:cs="Arial"/>
                <w:sz w:val="18"/>
                <w:szCs w:val="18"/>
              </w:rPr>
              <w:t>9.090.532,48</w:t>
            </w:r>
          </w:p>
        </w:tc>
        <w:tc>
          <w:tcPr>
            <w:tcW w:w="1559" w:type="dxa"/>
            <w:gridSpan w:val="2"/>
            <w:vAlign w:val="center"/>
          </w:tcPr>
          <w:p w14:paraId="1866C1D7" w14:textId="3455B966" w:rsidR="00622070" w:rsidRPr="00232D96" w:rsidRDefault="00006CB9" w:rsidP="00BF72F5">
            <w:pPr>
              <w:jc w:val="center"/>
              <w:rPr>
                <w:rFonts w:cs="Arial"/>
                <w:sz w:val="18"/>
                <w:szCs w:val="18"/>
              </w:rPr>
            </w:pPr>
            <w:r w:rsidRPr="00232D96">
              <w:rPr>
                <w:rFonts w:cs="Arial"/>
                <w:sz w:val="18"/>
                <w:szCs w:val="18"/>
              </w:rPr>
              <w:t>3.683.580,00</w:t>
            </w:r>
          </w:p>
        </w:tc>
        <w:tc>
          <w:tcPr>
            <w:tcW w:w="1653" w:type="dxa"/>
            <w:vAlign w:val="center"/>
          </w:tcPr>
          <w:p w14:paraId="39270895" w14:textId="57B65725" w:rsidR="00622070" w:rsidRPr="00232D96" w:rsidRDefault="00006CB9" w:rsidP="00232D96">
            <w:pPr>
              <w:jc w:val="center"/>
              <w:rPr>
                <w:rFonts w:cs="Arial"/>
                <w:sz w:val="18"/>
                <w:szCs w:val="18"/>
              </w:rPr>
            </w:pPr>
            <w:r w:rsidRPr="00BF72F5">
              <w:rPr>
                <w:rFonts w:cs="Arial"/>
                <w:sz w:val="18"/>
                <w:szCs w:val="18"/>
              </w:rPr>
              <w:t>12.774.112,4</w:t>
            </w:r>
            <w:r w:rsidR="00917820" w:rsidRPr="00BF72F5">
              <w:rPr>
                <w:rFonts w:cs="Arial"/>
                <w:sz w:val="18"/>
                <w:szCs w:val="18"/>
              </w:rPr>
              <w:t>8</w:t>
            </w:r>
          </w:p>
        </w:tc>
      </w:tr>
      <w:tr w:rsidR="00917820" w:rsidRPr="001B2C50" w14:paraId="0EB21709" w14:textId="77777777" w:rsidTr="00BF72F5">
        <w:tc>
          <w:tcPr>
            <w:tcW w:w="1297" w:type="dxa"/>
            <w:vAlign w:val="center"/>
          </w:tcPr>
          <w:p w14:paraId="568D778E" w14:textId="77777777" w:rsidR="008761F8" w:rsidRPr="00232D96" w:rsidRDefault="008761F8" w:rsidP="00232D96">
            <w:pPr>
              <w:rPr>
                <w:rFonts w:cs="Arial"/>
                <w:sz w:val="18"/>
                <w:szCs w:val="18"/>
              </w:rPr>
            </w:pPr>
            <w:r w:rsidRPr="00232D96">
              <w:rPr>
                <w:rFonts w:cs="Arial"/>
                <w:sz w:val="18"/>
                <w:szCs w:val="18"/>
              </w:rPr>
              <w:t>1.3 MSP</w:t>
            </w:r>
          </w:p>
        </w:tc>
        <w:tc>
          <w:tcPr>
            <w:tcW w:w="2100" w:type="dxa"/>
          </w:tcPr>
          <w:p w14:paraId="0C3077A1" w14:textId="77777777" w:rsidR="008761F8" w:rsidRPr="00232D96" w:rsidRDefault="008761F8" w:rsidP="007F40E4">
            <w:pPr>
              <w:jc w:val="both"/>
              <w:rPr>
                <w:rFonts w:cs="Arial"/>
                <w:sz w:val="18"/>
                <w:szCs w:val="18"/>
              </w:rPr>
            </w:pPr>
            <w:r w:rsidRPr="00232D96">
              <w:rPr>
                <w:rFonts w:cs="Arial"/>
                <w:sz w:val="18"/>
                <w:szCs w:val="18"/>
              </w:rPr>
              <w:t>04 Podpora prek finančnih instrumentov: jamstva</w:t>
            </w:r>
          </w:p>
        </w:tc>
        <w:tc>
          <w:tcPr>
            <w:tcW w:w="1276" w:type="dxa"/>
            <w:vAlign w:val="center"/>
          </w:tcPr>
          <w:p w14:paraId="1034BDC5" w14:textId="77777777" w:rsidR="008761F8" w:rsidRPr="00232D96" w:rsidRDefault="008761F8" w:rsidP="00D451F8">
            <w:pPr>
              <w:jc w:val="center"/>
              <w:rPr>
                <w:rFonts w:cs="Arial"/>
                <w:sz w:val="18"/>
                <w:szCs w:val="18"/>
              </w:rPr>
            </w:pPr>
            <w:r w:rsidRPr="00232D96">
              <w:rPr>
                <w:rFonts w:cs="Arial"/>
                <w:sz w:val="18"/>
                <w:szCs w:val="18"/>
              </w:rPr>
              <w:t>021</w:t>
            </w:r>
          </w:p>
        </w:tc>
        <w:tc>
          <w:tcPr>
            <w:tcW w:w="1891" w:type="dxa"/>
            <w:gridSpan w:val="2"/>
            <w:vAlign w:val="center"/>
          </w:tcPr>
          <w:p w14:paraId="5260EB55" w14:textId="10FE7DC5" w:rsidR="008761F8" w:rsidRPr="00232D96" w:rsidRDefault="00232D96" w:rsidP="00BF72F5">
            <w:pPr>
              <w:tabs>
                <w:tab w:val="left" w:pos="554"/>
              </w:tabs>
              <w:jc w:val="center"/>
              <w:rPr>
                <w:rFonts w:cs="Arial"/>
                <w:sz w:val="18"/>
                <w:szCs w:val="18"/>
              </w:rPr>
            </w:pPr>
            <w:r w:rsidRPr="00232D96">
              <w:rPr>
                <w:rFonts w:cs="Arial"/>
                <w:sz w:val="18"/>
                <w:szCs w:val="18"/>
              </w:rPr>
              <w:t>53.012.963,00</w:t>
            </w:r>
          </w:p>
        </w:tc>
        <w:tc>
          <w:tcPr>
            <w:tcW w:w="1559" w:type="dxa"/>
            <w:gridSpan w:val="2"/>
            <w:vAlign w:val="center"/>
          </w:tcPr>
          <w:p w14:paraId="6B3101A1" w14:textId="3E66C9F7" w:rsidR="008761F8" w:rsidRPr="00232D96" w:rsidRDefault="00232D96" w:rsidP="00232D96">
            <w:pPr>
              <w:jc w:val="center"/>
              <w:rPr>
                <w:rFonts w:cs="Arial"/>
                <w:sz w:val="18"/>
                <w:szCs w:val="18"/>
              </w:rPr>
            </w:pPr>
            <w:r w:rsidRPr="00232D96">
              <w:rPr>
                <w:rFonts w:cs="Arial"/>
                <w:sz w:val="18"/>
                <w:szCs w:val="18"/>
              </w:rPr>
              <w:t>31.987.037,00</w:t>
            </w:r>
          </w:p>
        </w:tc>
        <w:tc>
          <w:tcPr>
            <w:tcW w:w="1653" w:type="dxa"/>
            <w:vAlign w:val="center"/>
          </w:tcPr>
          <w:p w14:paraId="521870F4" w14:textId="085EE2F3" w:rsidR="008761F8" w:rsidRPr="00232D96" w:rsidRDefault="00232D96" w:rsidP="00232D96">
            <w:pPr>
              <w:jc w:val="center"/>
              <w:rPr>
                <w:rFonts w:cs="Arial"/>
                <w:sz w:val="18"/>
                <w:szCs w:val="18"/>
              </w:rPr>
            </w:pPr>
            <w:r w:rsidRPr="00BF72F5">
              <w:rPr>
                <w:rFonts w:cs="Arial"/>
                <w:sz w:val="18"/>
                <w:szCs w:val="18"/>
              </w:rPr>
              <w:t>85</w:t>
            </w:r>
            <w:r w:rsidR="008761F8" w:rsidRPr="00232D96">
              <w:rPr>
                <w:rFonts w:cs="Arial"/>
                <w:sz w:val="18"/>
                <w:szCs w:val="18"/>
              </w:rPr>
              <w:t>.000.000,00</w:t>
            </w:r>
          </w:p>
        </w:tc>
      </w:tr>
      <w:tr w:rsidR="00917820" w:rsidRPr="001B2C50" w14:paraId="63E2B73C" w14:textId="77777777" w:rsidTr="00BF72F5">
        <w:tc>
          <w:tcPr>
            <w:tcW w:w="1297" w:type="dxa"/>
            <w:vAlign w:val="center"/>
          </w:tcPr>
          <w:p w14:paraId="7A21D6B3" w14:textId="77777777" w:rsidR="008761F8" w:rsidRPr="001B2C50" w:rsidRDefault="008761F8" w:rsidP="00D451F8">
            <w:pPr>
              <w:rPr>
                <w:rFonts w:cs="Arial"/>
                <w:sz w:val="18"/>
                <w:szCs w:val="18"/>
              </w:rPr>
            </w:pPr>
            <w:r w:rsidRPr="001B2C50">
              <w:rPr>
                <w:rFonts w:cs="Arial"/>
                <w:sz w:val="18"/>
                <w:szCs w:val="18"/>
              </w:rPr>
              <w:t>2.1 Spodbujanje EE</w:t>
            </w:r>
          </w:p>
        </w:tc>
        <w:tc>
          <w:tcPr>
            <w:tcW w:w="2100" w:type="dxa"/>
          </w:tcPr>
          <w:p w14:paraId="7F3683F7" w14:textId="77777777" w:rsidR="008761F8" w:rsidRPr="001B2C50" w:rsidRDefault="008761F8" w:rsidP="007F40E4">
            <w:pPr>
              <w:jc w:val="both"/>
              <w:rPr>
                <w:rFonts w:cs="Arial"/>
                <w:sz w:val="18"/>
                <w:szCs w:val="18"/>
              </w:rPr>
            </w:pPr>
            <w:r w:rsidRPr="001B2C50">
              <w:rPr>
                <w:rFonts w:cs="Arial"/>
                <w:sz w:val="18"/>
                <w:szCs w:val="18"/>
              </w:rPr>
              <w:t>03 Podpora prek finančnih instrumentov: posojila</w:t>
            </w:r>
          </w:p>
        </w:tc>
        <w:tc>
          <w:tcPr>
            <w:tcW w:w="1276" w:type="dxa"/>
            <w:vAlign w:val="center"/>
          </w:tcPr>
          <w:p w14:paraId="4440AC5E" w14:textId="77777777" w:rsidR="008761F8" w:rsidRPr="001B2C50" w:rsidRDefault="008761F8" w:rsidP="00D451F8">
            <w:pPr>
              <w:jc w:val="center"/>
              <w:rPr>
                <w:rFonts w:cs="Arial"/>
                <w:sz w:val="18"/>
                <w:szCs w:val="18"/>
              </w:rPr>
            </w:pPr>
            <w:r w:rsidRPr="001B2C50">
              <w:rPr>
                <w:rFonts w:cs="Arial"/>
                <w:sz w:val="18"/>
                <w:szCs w:val="18"/>
              </w:rPr>
              <w:t>040</w:t>
            </w:r>
          </w:p>
        </w:tc>
        <w:tc>
          <w:tcPr>
            <w:tcW w:w="1891" w:type="dxa"/>
            <w:gridSpan w:val="2"/>
            <w:vAlign w:val="center"/>
          </w:tcPr>
          <w:p w14:paraId="00216985" w14:textId="47BDE0AD" w:rsidR="008761F8" w:rsidRPr="001B2C50" w:rsidRDefault="008761F8" w:rsidP="00D451F8">
            <w:pPr>
              <w:jc w:val="center"/>
              <w:rPr>
                <w:rFonts w:cs="Arial"/>
                <w:sz w:val="18"/>
                <w:szCs w:val="18"/>
              </w:rPr>
            </w:pPr>
            <w:r w:rsidRPr="001B2C50">
              <w:rPr>
                <w:rFonts w:cs="Arial"/>
                <w:sz w:val="18"/>
                <w:szCs w:val="18"/>
              </w:rPr>
              <w:t>9.600.000,00</w:t>
            </w:r>
          </w:p>
        </w:tc>
        <w:tc>
          <w:tcPr>
            <w:tcW w:w="1559" w:type="dxa"/>
            <w:gridSpan w:val="2"/>
            <w:vAlign w:val="center"/>
          </w:tcPr>
          <w:p w14:paraId="1CD9BEDA" w14:textId="5A6135F9" w:rsidR="008761F8" w:rsidRPr="001B2C50" w:rsidRDefault="008761F8" w:rsidP="00D451F8">
            <w:pPr>
              <w:jc w:val="center"/>
              <w:rPr>
                <w:rFonts w:cs="Arial"/>
                <w:sz w:val="18"/>
                <w:szCs w:val="18"/>
              </w:rPr>
            </w:pPr>
            <w:r w:rsidRPr="001B2C50">
              <w:rPr>
                <w:rFonts w:cs="Arial"/>
                <w:sz w:val="18"/>
                <w:szCs w:val="18"/>
              </w:rPr>
              <w:t>2.400.000,00</w:t>
            </w:r>
          </w:p>
        </w:tc>
        <w:tc>
          <w:tcPr>
            <w:tcW w:w="1653" w:type="dxa"/>
            <w:vAlign w:val="center"/>
          </w:tcPr>
          <w:p w14:paraId="687B7920" w14:textId="6BCBCA62" w:rsidR="008761F8" w:rsidRPr="001B2C50" w:rsidRDefault="008761F8" w:rsidP="00D451F8">
            <w:pPr>
              <w:jc w:val="center"/>
              <w:rPr>
                <w:rFonts w:cs="Arial"/>
                <w:sz w:val="18"/>
                <w:szCs w:val="18"/>
              </w:rPr>
            </w:pPr>
            <w:r w:rsidRPr="001B2C50">
              <w:rPr>
                <w:rFonts w:cs="Arial"/>
                <w:sz w:val="18"/>
                <w:szCs w:val="18"/>
              </w:rPr>
              <w:t>12.000.000,00</w:t>
            </w:r>
          </w:p>
        </w:tc>
      </w:tr>
      <w:tr w:rsidR="00917820" w:rsidRPr="001B2C50" w14:paraId="7626D769" w14:textId="77777777" w:rsidTr="00BF72F5">
        <w:tc>
          <w:tcPr>
            <w:tcW w:w="1297" w:type="dxa"/>
            <w:vAlign w:val="center"/>
          </w:tcPr>
          <w:p w14:paraId="0B9C673F" w14:textId="77777777" w:rsidR="008761F8" w:rsidRPr="001B2C50" w:rsidRDefault="008761F8" w:rsidP="00D451F8">
            <w:pPr>
              <w:rPr>
                <w:rFonts w:cs="Arial"/>
                <w:sz w:val="18"/>
                <w:szCs w:val="18"/>
              </w:rPr>
            </w:pPr>
            <w:r w:rsidRPr="001B2C50">
              <w:rPr>
                <w:rFonts w:cs="Arial"/>
                <w:sz w:val="18"/>
                <w:szCs w:val="18"/>
              </w:rPr>
              <w:t>2.1 Spodbujanje EE</w:t>
            </w:r>
          </w:p>
        </w:tc>
        <w:tc>
          <w:tcPr>
            <w:tcW w:w="2100" w:type="dxa"/>
          </w:tcPr>
          <w:p w14:paraId="0A318553" w14:textId="77777777" w:rsidR="008761F8" w:rsidRPr="001B2C50" w:rsidRDefault="008761F8" w:rsidP="007F40E4">
            <w:pPr>
              <w:jc w:val="both"/>
              <w:rPr>
                <w:rFonts w:cs="Arial"/>
                <w:sz w:val="18"/>
                <w:szCs w:val="18"/>
              </w:rPr>
            </w:pPr>
            <w:r w:rsidRPr="001B2C50">
              <w:rPr>
                <w:rFonts w:cs="Arial"/>
                <w:sz w:val="18"/>
                <w:szCs w:val="18"/>
              </w:rPr>
              <w:t>05 Podpora prek finančnih instrumentov: nepovratna sredstva v okviru finančnega instrumenta</w:t>
            </w:r>
          </w:p>
        </w:tc>
        <w:tc>
          <w:tcPr>
            <w:tcW w:w="1276" w:type="dxa"/>
            <w:vAlign w:val="center"/>
          </w:tcPr>
          <w:p w14:paraId="7C1D588B" w14:textId="77777777" w:rsidR="008761F8" w:rsidRPr="001B2C50" w:rsidRDefault="008761F8" w:rsidP="00D451F8">
            <w:pPr>
              <w:jc w:val="center"/>
              <w:rPr>
                <w:rFonts w:cs="Arial"/>
                <w:sz w:val="18"/>
                <w:szCs w:val="18"/>
              </w:rPr>
            </w:pPr>
            <w:r w:rsidRPr="001B2C50">
              <w:rPr>
                <w:rFonts w:cs="Arial"/>
                <w:sz w:val="18"/>
                <w:szCs w:val="18"/>
              </w:rPr>
              <w:t>040</w:t>
            </w:r>
          </w:p>
        </w:tc>
        <w:tc>
          <w:tcPr>
            <w:tcW w:w="1891" w:type="dxa"/>
            <w:gridSpan w:val="2"/>
            <w:vAlign w:val="center"/>
          </w:tcPr>
          <w:p w14:paraId="0CDAB540" w14:textId="5E60653A" w:rsidR="008761F8" w:rsidRPr="001B2C50" w:rsidRDefault="008761F8" w:rsidP="00D451F8">
            <w:pPr>
              <w:jc w:val="center"/>
              <w:rPr>
                <w:rFonts w:cs="Arial"/>
                <w:sz w:val="18"/>
                <w:szCs w:val="18"/>
              </w:rPr>
            </w:pPr>
            <w:r w:rsidRPr="001B2C50">
              <w:rPr>
                <w:rFonts w:cs="Arial"/>
                <w:sz w:val="18"/>
                <w:szCs w:val="18"/>
              </w:rPr>
              <w:t>4.000.000,00</w:t>
            </w:r>
          </w:p>
        </w:tc>
        <w:tc>
          <w:tcPr>
            <w:tcW w:w="1559" w:type="dxa"/>
            <w:gridSpan w:val="2"/>
            <w:vAlign w:val="center"/>
          </w:tcPr>
          <w:p w14:paraId="3D680954" w14:textId="33183EC2" w:rsidR="008761F8" w:rsidRPr="001B2C50" w:rsidRDefault="008761F8" w:rsidP="00D451F8">
            <w:pPr>
              <w:jc w:val="center"/>
              <w:rPr>
                <w:rFonts w:cs="Arial"/>
                <w:sz w:val="18"/>
                <w:szCs w:val="18"/>
              </w:rPr>
            </w:pPr>
            <w:r w:rsidRPr="001B2C50">
              <w:rPr>
                <w:rFonts w:cs="Arial"/>
                <w:sz w:val="18"/>
                <w:szCs w:val="18"/>
              </w:rPr>
              <w:t>1.000.000,00</w:t>
            </w:r>
          </w:p>
        </w:tc>
        <w:tc>
          <w:tcPr>
            <w:tcW w:w="1653" w:type="dxa"/>
            <w:vAlign w:val="center"/>
          </w:tcPr>
          <w:p w14:paraId="5B3AB461" w14:textId="377D6A61" w:rsidR="008761F8" w:rsidRPr="001B2C50" w:rsidRDefault="008761F8" w:rsidP="00D451F8">
            <w:pPr>
              <w:jc w:val="center"/>
              <w:rPr>
                <w:rFonts w:cs="Arial"/>
                <w:sz w:val="18"/>
                <w:szCs w:val="18"/>
              </w:rPr>
            </w:pPr>
            <w:r w:rsidRPr="001B2C50">
              <w:rPr>
                <w:rFonts w:cs="Arial"/>
                <w:sz w:val="18"/>
                <w:szCs w:val="18"/>
              </w:rPr>
              <w:t>5.000.000,00</w:t>
            </w:r>
          </w:p>
        </w:tc>
      </w:tr>
      <w:tr w:rsidR="00917820" w:rsidRPr="001B2C50" w14:paraId="3F498915" w14:textId="77777777" w:rsidTr="00BF72F5">
        <w:tc>
          <w:tcPr>
            <w:tcW w:w="1297" w:type="dxa"/>
            <w:vAlign w:val="center"/>
          </w:tcPr>
          <w:p w14:paraId="4B22BFBE" w14:textId="77777777" w:rsidR="008761F8" w:rsidRPr="00232D96" w:rsidRDefault="008761F8" w:rsidP="00D451F8">
            <w:pPr>
              <w:rPr>
                <w:rFonts w:cs="Arial"/>
                <w:sz w:val="18"/>
                <w:szCs w:val="18"/>
              </w:rPr>
            </w:pPr>
            <w:r w:rsidRPr="00232D96">
              <w:rPr>
                <w:rFonts w:cs="Arial"/>
                <w:sz w:val="18"/>
                <w:szCs w:val="18"/>
              </w:rPr>
              <w:t>2.6 Spodbujanje prehoda na krožno gospodarstvo</w:t>
            </w:r>
          </w:p>
        </w:tc>
        <w:tc>
          <w:tcPr>
            <w:tcW w:w="2100" w:type="dxa"/>
          </w:tcPr>
          <w:p w14:paraId="0F22CBBF" w14:textId="77777777" w:rsidR="008761F8" w:rsidRPr="00232D96" w:rsidRDefault="008761F8" w:rsidP="007F40E4">
            <w:pPr>
              <w:spacing w:before="60"/>
              <w:rPr>
                <w:rFonts w:cs="Arial"/>
                <w:sz w:val="18"/>
                <w:szCs w:val="18"/>
              </w:rPr>
            </w:pPr>
            <w:r w:rsidRPr="00232D96">
              <w:rPr>
                <w:rFonts w:cs="Arial"/>
                <w:sz w:val="18"/>
                <w:szCs w:val="18"/>
              </w:rPr>
              <w:t>05 Podpora prek finančnih instrumentov: nepovratna sredstva</w:t>
            </w:r>
          </w:p>
          <w:p w14:paraId="44EF0B32" w14:textId="77777777" w:rsidR="008761F8" w:rsidRPr="00232D96" w:rsidRDefault="008761F8" w:rsidP="007F40E4">
            <w:pPr>
              <w:jc w:val="both"/>
              <w:rPr>
                <w:rFonts w:cs="Arial"/>
                <w:sz w:val="18"/>
                <w:szCs w:val="18"/>
              </w:rPr>
            </w:pPr>
          </w:p>
        </w:tc>
        <w:tc>
          <w:tcPr>
            <w:tcW w:w="1276" w:type="dxa"/>
            <w:vAlign w:val="center"/>
          </w:tcPr>
          <w:p w14:paraId="4421EC20" w14:textId="77777777" w:rsidR="008761F8" w:rsidRPr="00232D96" w:rsidRDefault="008761F8" w:rsidP="00D451F8">
            <w:pPr>
              <w:jc w:val="center"/>
              <w:rPr>
                <w:rFonts w:cs="Arial"/>
                <w:sz w:val="18"/>
                <w:szCs w:val="18"/>
              </w:rPr>
            </w:pPr>
            <w:r w:rsidRPr="00232D96">
              <w:rPr>
                <w:rFonts w:cs="Arial"/>
                <w:sz w:val="18"/>
                <w:szCs w:val="18"/>
              </w:rPr>
              <w:t>075</w:t>
            </w:r>
          </w:p>
        </w:tc>
        <w:tc>
          <w:tcPr>
            <w:tcW w:w="1891" w:type="dxa"/>
            <w:gridSpan w:val="2"/>
            <w:vAlign w:val="center"/>
          </w:tcPr>
          <w:p w14:paraId="646C5ADE" w14:textId="442C6667" w:rsidR="008761F8" w:rsidRPr="00232D96" w:rsidRDefault="008761F8" w:rsidP="00D451F8">
            <w:pPr>
              <w:jc w:val="center"/>
              <w:rPr>
                <w:rFonts w:cs="Arial"/>
                <w:sz w:val="18"/>
                <w:szCs w:val="18"/>
              </w:rPr>
            </w:pPr>
            <w:r w:rsidRPr="00232D96">
              <w:rPr>
                <w:rFonts w:cs="Arial"/>
                <w:sz w:val="18"/>
                <w:szCs w:val="18"/>
              </w:rPr>
              <w:t>6.150.000,00</w:t>
            </w:r>
          </w:p>
        </w:tc>
        <w:tc>
          <w:tcPr>
            <w:tcW w:w="1559" w:type="dxa"/>
            <w:gridSpan w:val="2"/>
            <w:vAlign w:val="center"/>
          </w:tcPr>
          <w:p w14:paraId="2BE6EF49" w14:textId="766153A8" w:rsidR="008761F8" w:rsidRPr="00232D96" w:rsidRDefault="008761F8" w:rsidP="00D451F8">
            <w:pPr>
              <w:jc w:val="center"/>
              <w:rPr>
                <w:rFonts w:cs="Arial"/>
                <w:sz w:val="18"/>
                <w:szCs w:val="18"/>
              </w:rPr>
            </w:pPr>
            <w:r w:rsidRPr="00232D96">
              <w:rPr>
                <w:rFonts w:cs="Arial"/>
                <w:sz w:val="18"/>
                <w:szCs w:val="18"/>
              </w:rPr>
              <w:t>3.727.500,00</w:t>
            </w:r>
          </w:p>
        </w:tc>
        <w:tc>
          <w:tcPr>
            <w:tcW w:w="1653" w:type="dxa"/>
            <w:vAlign w:val="center"/>
          </w:tcPr>
          <w:p w14:paraId="557687EE" w14:textId="5112C1AB" w:rsidR="008761F8" w:rsidRPr="00232D96" w:rsidRDefault="008761F8" w:rsidP="00D451F8">
            <w:pPr>
              <w:jc w:val="center"/>
              <w:rPr>
                <w:rFonts w:cs="Arial"/>
                <w:sz w:val="18"/>
                <w:szCs w:val="18"/>
              </w:rPr>
            </w:pPr>
            <w:r w:rsidRPr="00232D96">
              <w:rPr>
                <w:rFonts w:cs="Arial"/>
                <w:sz w:val="18"/>
                <w:szCs w:val="18"/>
              </w:rPr>
              <w:t>9.877.500,00</w:t>
            </w:r>
          </w:p>
        </w:tc>
      </w:tr>
      <w:tr w:rsidR="00917820" w:rsidRPr="001B2C50" w14:paraId="4F3AF9A9" w14:textId="77777777" w:rsidTr="00BF72F5">
        <w:tc>
          <w:tcPr>
            <w:tcW w:w="1297" w:type="dxa"/>
            <w:vAlign w:val="center"/>
          </w:tcPr>
          <w:p w14:paraId="031CB962" w14:textId="77777777" w:rsidR="008761F8" w:rsidRPr="00232D96" w:rsidRDefault="008761F8" w:rsidP="00D451F8">
            <w:pPr>
              <w:rPr>
                <w:rFonts w:cs="Arial"/>
                <w:sz w:val="18"/>
                <w:szCs w:val="18"/>
              </w:rPr>
            </w:pPr>
            <w:r w:rsidRPr="00232D96">
              <w:rPr>
                <w:rFonts w:cs="Arial"/>
                <w:sz w:val="18"/>
                <w:szCs w:val="18"/>
              </w:rPr>
              <w:t>2.6 Spodbujanje prehoda na krožno gospodarstvo</w:t>
            </w:r>
          </w:p>
        </w:tc>
        <w:tc>
          <w:tcPr>
            <w:tcW w:w="2100" w:type="dxa"/>
          </w:tcPr>
          <w:p w14:paraId="00009469" w14:textId="77777777" w:rsidR="008761F8" w:rsidRPr="00232D96" w:rsidRDefault="008761F8" w:rsidP="007F40E4">
            <w:pPr>
              <w:spacing w:before="60"/>
              <w:rPr>
                <w:rFonts w:cs="Arial"/>
                <w:sz w:val="18"/>
                <w:szCs w:val="18"/>
              </w:rPr>
            </w:pPr>
            <w:r w:rsidRPr="00232D96">
              <w:rPr>
                <w:rFonts w:cs="Arial"/>
                <w:sz w:val="18"/>
                <w:szCs w:val="18"/>
              </w:rPr>
              <w:t>05 Podpora prek finančnih instrumentov: nepovratna sredstva</w:t>
            </w:r>
          </w:p>
          <w:p w14:paraId="314A2F47" w14:textId="77777777" w:rsidR="008761F8" w:rsidRPr="00232D96" w:rsidRDefault="008761F8" w:rsidP="007F40E4">
            <w:pPr>
              <w:jc w:val="both"/>
              <w:rPr>
                <w:rFonts w:cs="Arial"/>
                <w:sz w:val="18"/>
                <w:szCs w:val="18"/>
              </w:rPr>
            </w:pPr>
          </w:p>
        </w:tc>
        <w:tc>
          <w:tcPr>
            <w:tcW w:w="1276" w:type="dxa"/>
            <w:vAlign w:val="center"/>
          </w:tcPr>
          <w:p w14:paraId="7752BB2A" w14:textId="77777777" w:rsidR="008761F8" w:rsidRPr="00232D96" w:rsidRDefault="008761F8" w:rsidP="00D451F8">
            <w:pPr>
              <w:jc w:val="center"/>
              <w:rPr>
                <w:rFonts w:cs="Arial"/>
                <w:sz w:val="18"/>
                <w:szCs w:val="18"/>
              </w:rPr>
            </w:pPr>
            <w:r w:rsidRPr="00232D96">
              <w:rPr>
                <w:rFonts w:cs="Arial"/>
                <w:sz w:val="18"/>
                <w:szCs w:val="18"/>
              </w:rPr>
              <w:t>076</w:t>
            </w:r>
          </w:p>
        </w:tc>
        <w:tc>
          <w:tcPr>
            <w:tcW w:w="1891" w:type="dxa"/>
            <w:gridSpan w:val="2"/>
            <w:vAlign w:val="center"/>
          </w:tcPr>
          <w:p w14:paraId="3BE335A1" w14:textId="0ED356DC" w:rsidR="008761F8" w:rsidRPr="00232D96" w:rsidRDefault="008761F8" w:rsidP="00D451F8">
            <w:pPr>
              <w:jc w:val="center"/>
              <w:rPr>
                <w:rFonts w:cs="Arial"/>
                <w:sz w:val="18"/>
                <w:szCs w:val="18"/>
              </w:rPr>
            </w:pPr>
            <w:r w:rsidRPr="00232D96">
              <w:rPr>
                <w:rFonts w:cs="Arial"/>
                <w:sz w:val="18"/>
                <w:szCs w:val="18"/>
              </w:rPr>
              <w:t>3.510.000,00</w:t>
            </w:r>
          </w:p>
        </w:tc>
        <w:tc>
          <w:tcPr>
            <w:tcW w:w="1559" w:type="dxa"/>
            <w:gridSpan w:val="2"/>
            <w:vAlign w:val="center"/>
          </w:tcPr>
          <w:p w14:paraId="168D2AFF" w14:textId="5CB7EF17" w:rsidR="008761F8" w:rsidRPr="00232D96" w:rsidRDefault="008761F8" w:rsidP="00D451F8">
            <w:pPr>
              <w:jc w:val="center"/>
              <w:rPr>
                <w:rFonts w:cs="Arial"/>
                <w:sz w:val="18"/>
                <w:szCs w:val="18"/>
              </w:rPr>
            </w:pPr>
            <w:r w:rsidRPr="00232D96">
              <w:rPr>
                <w:rFonts w:cs="Arial"/>
                <w:sz w:val="18"/>
                <w:szCs w:val="18"/>
              </w:rPr>
              <w:t>1.612.500,00</w:t>
            </w:r>
          </w:p>
        </w:tc>
        <w:tc>
          <w:tcPr>
            <w:tcW w:w="1653" w:type="dxa"/>
            <w:vAlign w:val="center"/>
          </w:tcPr>
          <w:p w14:paraId="40B73361" w14:textId="3B95DF25" w:rsidR="008761F8" w:rsidRPr="00232D96" w:rsidRDefault="008761F8" w:rsidP="00D451F8">
            <w:pPr>
              <w:jc w:val="center"/>
              <w:rPr>
                <w:rFonts w:cs="Arial"/>
                <w:sz w:val="18"/>
                <w:szCs w:val="18"/>
              </w:rPr>
            </w:pPr>
            <w:r w:rsidRPr="00232D96">
              <w:rPr>
                <w:rFonts w:cs="Arial"/>
                <w:sz w:val="18"/>
                <w:szCs w:val="18"/>
              </w:rPr>
              <w:t>5.122.500,00</w:t>
            </w:r>
          </w:p>
        </w:tc>
      </w:tr>
      <w:tr w:rsidR="00917820" w:rsidRPr="001B2C50" w14:paraId="1359A0E6" w14:textId="77777777" w:rsidTr="00BF72F5">
        <w:tc>
          <w:tcPr>
            <w:tcW w:w="1297" w:type="dxa"/>
            <w:vAlign w:val="center"/>
          </w:tcPr>
          <w:p w14:paraId="2488B80A" w14:textId="77777777" w:rsidR="008761F8" w:rsidRPr="00232D96" w:rsidRDefault="008761F8" w:rsidP="00D451F8">
            <w:pPr>
              <w:rPr>
                <w:rFonts w:cs="Arial"/>
                <w:sz w:val="18"/>
                <w:szCs w:val="18"/>
              </w:rPr>
            </w:pPr>
            <w:r w:rsidRPr="00232D96">
              <w:rPr>
                <w:rFonts w:cs="Arial"/>
                <w:sz w:val="18"/>
                <w:szCs w:val="18"/>
              </w:rPr>
              <w:t>2.6 Spodbujanje prehoda na krožno gospodarstvo</w:t>
            </w:r>
          </w:p>
        </w:tc>
        <w:tc>
          <w:tcPr>
            <w:tcW w:w="2100" w:type="dxa"/>
          </w:tcPr>
          <w:p w14:paraId="2C0923D6" w14:textId="77777777" w:rsidR="008761F8" w:rsidRPr="00232D96" w:rsidRDefault="008761F8" w:rsidP="007F40E4">
            <w:pPr>
              <w:jc w:val="both"/>
              <w:rPr>
                <w:rFonts w:cs="Arial"/>
                <w:sz w:val="18"/>
                <w:szCs w:val="18"/>
              </w:rPr>
            </w:pPr>
            <w:r w:rsidRPr="00232D96">
              <w:rPr>
                <w:rFonts w:cs="Arial"/>
                <w:sz w:val="18"/>
                <w:szCs w:val="18"/>
              </w:rPr>
              <w:t>03 Podpora prek finančnih instrumentov: posojila</w:t>
            </w:r>
          </w:p>
        </w:tc>
        <w:tc>
          <w:tcPr>
            <w:tcW w:w="1276" w:type="dxa"/>
            <w:vAlign w:val="center"/>
          </w:tcPr>
          <w:p w14:paraId="12CA71C8" w14:textId="77777777" w:rsidR="008761F8" w:rsidRPr="00232D96" w:rsidRDefault="008761F8" w:rsidP="00D451F8">
            <w:pPr>
              <w:jc w:val="center"/>
              <w:rPr>
                <w:rFonts w:cs="Arial"/>
                <w:sz w:val="18"/>
                <w:szCs w:val="18"/>
              </w:rPr>
            </w:pPr>
            <w:r w:rsidRPr="00232D96">
              <w:rPr>
                <w:rFonts w:cs="Arial"/>
                <w:sz w:val="18"/>
                <w:szCs w:val="18"/>
              </w:rPr>
              <w:t>075</w:t>
            </w:r>
          </w:p>
        </w:tc>
        <w:tc>
          <w:tcPr>
            <w:tcW w:w="1891" w:type="dxa"/>
            <w:gridSpan w:val="2"/>
            <w:vAlign w:val="center"/>
          </w:tcPr>
          <w:p w14:paraId="7B7BB622" w14:textId="175C35E7" w:rsidR="008761F8" w:rsidRPr="00232D96" w:rsidRDefault="008761F8" w:rsidP="00D451F8">
            <w:pPr>
              <w:jc w:val="center"/>
              <w:rPr>
                <w:rFonts w:cs="Arial"/>
                <w:sz w:val="18"/>
                <w:szCs w:val="18"/>
              </w:rPr>
            </w:pPr>
            <w:r w:rsidRPr="00232D96">
              <w:rPr>
                <w:rFonts w:cs="Arial"/>
                <w:sz w:val="18"/>
                <w:szCs w:val="18"/>
              </w:rPr>
              <w:t>6.150.000,00</w:t>
            </w:r>
          </w:p>
        </w:tc>
        <w:tc>
          <w:tcPr>
            <w:tcW w:w="1559" w:type="dxa"/>
            <w:gridSpan w:val="2"/>
            <w:vAlign w:val="center"/>
          </w:tcPr>
          <w:p w14:paraId="54072432" w14:textId="478C8BA6" w:rsidR="008761F8" w:rsidRPr="00232D96" w:rsidRDefault="008761F8" w:rsidP="00D451F8">
            <w:pPr>
              <w:jc w:val="center"/>
              <w:rPr>
                <w:rFonts w:cs="Arial"/>
                <w:sz w:val="18"/>
                <w:szCs w:val="18"/>
              </w:rPr>
            </w:pPr>
            <w:r w:rsidRPr="00232D96">
              <w:rPr>
                <w:rFonts w:cs="Arial"/>
                <w:sz w:val="18"/>
                <w:szCs w:val="18"/>
              </w:rPr>
              <w:t>3.727.500,00</w:t>
            </w:r>
          </w:p>
        </w:tc>
        <w:tc>
          <w:tcPr>
            <w:tcW w:w="1653" w:type="dxa"/>
            <w:vAlign w:val="center"/>
          </w:tcPr>
          <w:p w14:paraId="31047718" w14:textId="72EAB5E5" w:rsidR="008761F8" w:rsidRPr="00232D96" w:rsidRDefault="008761F8" w:rsidP="00D451F8">
            <w:pPr>
              <w:jc w:val="center"/>
              <w:rPr>
                <w:rFonts w:cs="Arial"/>
                <w:sz w:val="18"/>
                <w:szCs w:val="18"/>
              </w:rPr>
            </w:pPr>
            <w:r w:rsidRPr="00232D96">
              <w:rPr>
                <w:rFonts w:cs="Arial"/>
                <w:sz w:val="18"/>
                <w:szCs w:val="18"/>
              </w:rPr>
              <w:t>9.877.500,00</w:t>
            </w:r>
          </w:p>
        </w:tc>
      </w:tr>
      <w:tr w:rsidR="00917820" w:rsidRPr="001B2C50" w14:paraId="3E017A23" w14:textId="77777777" w:rsidTr="00BF72F5">
        <w:tc>
          <w:tcPr>
            <w:tcW w:w="1297" w:type="dxa"/>
            <w:vAlign w:val="center"/>
          </w:tcPr>
          <w:p w14:paraId="707E4E79" w14:textId="77777777" w:rsidR="008761F8" w:rsidRPr="00232D96" w:rsidRDefault="008761F8" w:rsidP="00D451F8">
            <w:pPr>
              <w:rPr>
                <w:rFonts w:cs="Arial"/>
                <w:sz w:val="18"/>
                <w:szCs w:val="18"/>
              </w:rPr>
            </w:pPr>
            <w:r w:rsidRPr="00232D96">
              <w:rPr>
                <w:rFonts w:cs="Arial"/>
                <w:sz w:val="18"/>
                <w:szCs w:val="18"/>
              </w:rPr>
              <w:t>2.6 Spodbujanje prehoda na krožno gospodarstvo</w:t>
            </w:r>
          </w:p>
        </w:tc>
        <w:tc>
          <w:tcPr>
            <w:tcW w:w="2100" w:type="dxa"/>
          </w:tcPr>
          <w:p w14:paraId="38957DA1" w14:textId="77777777" w:rsidR="008761F8" w:rsidRPr="00232D96" w:rsidRDefault="008761F8" w:rsidP="007F40E4">
            <w:pPr>
              <w:jc w:val="both"/>
              <w:rPr>
                <w:rFonts w:cs="Arial"/>
                <w:sz w:val="18"/>
                <w:szCs w:val="18"/>
              </w:rPr>
            </w:pPr>
            <w:r w:rsidRPr="00232D96">
              <w:rPr>
                <w:rFonts w:cs="Arial"/>
                <w:sz w:val="18"/>
                <w:szCs w:val="18"/>
              </w:rPr>
              <w:t>03 Podpora prek finančnih instrumentov: posojila</w:t>
            </w:r>
          </w:p>
        </w:tc>
        <w:tc>
          <w:tcPr>
            <w:tcW w:w="1276" w:type="dxa"/>
            <w:vAlign w:val="center"/>
          </w:tcPr>
          <w:p w14:paraId="5A016520" w14:textId="17BAC499" w:rsidR="008761F8" w:rsidRPr="00232D96" w:rsidRDefault="008761F8" w:rsidP="00D451F8">
            <w:pPr>
              <w:jc w:val="center"/>
              <w:rPr>
                <w:rFonts w:cs="Arial"/>
                <w:sz w:val="18"/>
                <w:szCs w:val="18"/>
              </w:rPr>
            </w:pPr>
            <w:r w:rsidRPr="00232D96">
              <w:rPr>
                <w:rFonts w:cs="Arial"/>
                <w:sz w:val="18"/>
                <w:szCs w:val="18"/>
              </w:rPr>
              <w:t>076</w:t>
            </w:r>
          </w:p>
        </w:tc>
        <w:tc>
          <w:tcPr>
            <w:tcW w:w="1891" w:type="dxa"/>
            <w:gridSpan w:val="2"/>
            <w:vAlign w:val="center"/>
          </w:tcPr>
          <w:p w14:paraId="02915C16" w14:textId="75D64A00" w:rsidR="008761F8" w:rsidRPr="00232D96" w:rsidRDefault="008761F8" w:rsidP="00D451F8">
            <w:pPr>
              <w:jc w:val="center"/>
              <w:rPr>
                <w:rFonts w:cs="Arial"/>
                <w:sz w:val="18"/>
                <w:szCs w:val="18"/>
              </w:rPr>
            </w:pPr>
            <w:r w:rsidRPr="00232D96">
              <w:rPr>
                <w:rFonts w:cs="Arial"/>
                <w:color w:val="000000"/>
                <w:sz w:val="18"/>
                <w:szCs w:val="18"/>
              </w:rPr>
              <w:t>3.510.000,00</w:t>
            </w:r>
          </w:p>
        </w:tc>
        <w:tc>
          <w:tcPr>
            <w:tcW w:w="1559" w:type="dxa"/>
            <w:gridSpan w:val="2"/>
            <w:vAlign w:val="center"/>
          </w:tcPr>
          <w:p w14:paraId="1D867B35" w14:textId="38E1D504" w:rsidR="008761F8" w:rsidRPr="00232D96" w:rsidRDefault="008761F8" w:rsidP="00D451F8">
            <w:pPr>
              <w:jc w:val="center"/>
              <w:rPr>
                <w:rFonts w:cs="Arial"/>
                <w:sz w:val="18"/>
                <w:szCs w:val="18"/>
              </w:rPr>
            </w:pPr>
            <w:r w:rsidRPr="00232D96">
              <w:rPr>
                <w:rFonts w:cs="Arial"/>
                <w:color w:val="000000"/>
                <w:sz w:val="18"/>
                <w:szCs w:val="18"/>
              </w:rPr>
              <w:t>1.612.500,00</w:t>
            </w:r>
          </w:p>
        </w:tc>
        <w:tc>
          <w:tcPr>
            <w:tcW w:w="1653" w:type="dxa"/>
            <w:vAlign w:val="center"/>
          </w:tcPr>
          <w:p w14:paraId="4B31511C" w14:textId="0F3430AF" w:rsidR="008761F8" w:rsidRPr="00232D96" w:rsidRDefault="008761F8" w:rsidP="00D451F8">
            <w:pPr>
              <w:jc w:val="center"/>
              <w:rPr>
                <w:rFonts w:cs="Arial"/>
                <w:sz w:val="18"/>
                <w:szCs w:val="18"/>
              </w:rPr>
            </w:pPr>
            <w:r w:rsidRPr="00232D96">
              <w:rPr>
                <w:rFonts w:cs="Arial"/>
                <w:sz w:val="18"/>
                <w:szCs w:val="18"/>
              </w:rPr>
              <w:t>5.122.500,00</w:t>
            </w:r>
          </w:p>
        </w:tc>
      </w:tr>
      <w:tr w:rsidR="00917820" w:rsidRPr="001B2C50" w14:paraId="0EF22E46" w14:textId="77777777" w:rsidTr="00BF72F5">
        <w:tc>
          <w:tcPr>
            <w:tcW w:w="1297" w:type="dxa"/>
            <w:vAlign w:val="center"/>
          </w:tcPr>
          <w:p w14:paraId="59B757D2" w14:textId="77777777" w:rsidR="008761F8" w:rsidRPr="001B2C50" w:rsidRDefault="008761F8" w:rsidP="00D451F8">
            <w:pPr>
              <w:rPr>
                <w:rFonts w:cs="Arial"/>
                <w:sz w:val="18"/>
                <w:szCs w:val="18"/>
              </w:rPr>
            </w:pPr>
            <w:r w:rsidRPr="001B2C50">
              <w:rPr>
                <w:rFonts w:cs="Arial"/>
                <w:sz w:val="18"/>
                <w:szCs w:val="18"/>
              </w:rPr>
              <w:t>5.1 Spodbujanje razvoja v mestnih območjih</w:t>
            </w:r>
          </w:p>
        </w:tc>
        <w:tc>
          <w:tcPr>
            <w:tcW w:w="2100" w:type="dxa"/>
          </w:tcPr>
          <w:p w14:paraId="45B0A3B3" w14:textId="30341BAA" w:rsidR="008761F8" w:rsidRPr="001B2C50" w:rsidRDefault="008761F8" w:rsidP="007F40E4">
            <w:pPr>
              <w:jc w:val="both"/>
              <w:rPr>
                <w:rFonts w:cs="Arial"/>
                <w:sz w:val="18"/>
                <w:szCs w:val="18"/>
              </w:rPr>
            </w:pPr>
            <w:r w:rsidRPr="001B2C50">
              <w:rPr>
                <w:rFonts w:cs="Arial"/>
                <w:sz w:val="18"/>
                <w:szCs w:val="18"/>
              </w:rPr>
              <w:t>03 Podpora prek finančnih instrumentov: posojila</w:t>
            </w:r>
          </w:p>
        </w:tc>
        <w:tc>
          <w:tcPr>
            <w:tcW w:w="1276" w:type="dxa"/>
            <w:vAlign w:val="center"/>
          </w:tcPr>
          <w:p w14:paraId="1A9F1C62" w14:textId="01571A38" w:rsidR="008761F8" w:rsidRPr="001B2C50" w:rsidRDefault="008761F8" w:rsidP="00D451F8">
            <w:pPr>
              <w:jc w:val="center"/>
              <w:rPr>
                <w:rFonts w:cs="Arial"/>
                <w:sz w:val="18"/>
                <w:szCs w:val="18"/>
              </w:rPr>
            </w:pPr>
            <w:r w:rsidRPr="001B2C50">
              <w:rPr>
                <w:rFonts w:cs="Arial"/>
                <w:sz w:val="18"/>
                <w:szCs w:val="18"/>
              </w:rPr>
              <w:t>169</w:t>
            </w:r>
          </w:p>
        </w:tc>
        <w:tc>
          <w:tcPr>
            <w:tcW w:w="1891" w:type="dxa"/>
            <w:gridSpan w:val="2"/>
            <w:vAlign w:val="center"/>
          </w:tcPr>
          <w:p w14:paraId="65108BDA" w14:textId="3B959ED1" w:rsidR="008761F8" w:rsidRPr="001B2C50" w:rsidRDefault="008761F8" w:rsidP="00D451F8">
            <w:pPr>
              <w:jc w:val="center"/>
              <w:rPr>
                <w:rFonts w:cs="Arial"/>
                <w:sz w:val="18"/>
                <w:szCs w:val="18"/>
              </w:rPr>
            </w:pPr>
            <w:r w:rsidRPr="001B2C50">
              <w:rPr>
                <w:rFonts w:cs="Arial"/>
                <w:sz w:val="18"/>
                <w:szCs w:val="18"/>
              </w:rPr>
              <w:t>6.000.000,00</w:t>
            </w:r>
          </w:p>
        </w:tc>
        <w:tc>
          <w:tcPr>
            <w:tcW w:w="1559" w:type="dxa"/>
            <w:gridSpan w:val="2"/>
            <w:vAlign w:val="center"/>
          </w:tcPr>
          <w:p w14:paraId="46D22980" w14:textId="75FA8CD1" w:rsidR="008761F8" w:rsidRPr="001B2C50" w:rsidRDefault="008761F8" w:rsidP="00D451F8">
            <w:pPr>
              <w:jc w:val="center"/>
              <w:rPr>
                <w:rFonts w:cs="Arial"/>
                <w:sz w:val="18"/>
                <w:szCs w:val="18"/>
              </w:rPr>
            </w:pPr>
            <w:r w:rsidRPr="001B2C50">
              <w:rPr>
                <w:rFonts w:cs="Arial"/>
                <w:sz w:val="18"/>
                <w:szCs w:val="18"/>
              </w:rPr>
              <w:t>2.000.000,00</w:t>
            </w:r>
          </w:p>
        </w:tc>
        <w:tc>
          <w:tcPr>
            <w:tcW w:w="1653" w:type="dxa"/>
            <w:vAlign w:val="center"/>
          </w:tcPr>
          <w:p w14:paraId="078EDE48" w14:textId="7556E350" w:rsidR="008761F8" w:rsidRPr="001B2C50" w:rsidRDefault="008761F8" w:rsidP="00D451F8">
            <w:pPr>
              <w:jc w:val="center"/>
              <w:rPr>
                <w:rFonts w:cs="Arial"/>
                <w:sz w:val="18"/>
                <w:szCs w:val="18"/>
              </w:rPr>
            </w:pPr>
            <w:r w:rsidRPr="001B2C50">
              <w:rPr>
                <w:rFonts w:cs="Arial"/>
                <w:sz w:val="18"/>
                <w:szCs w:val="18"/>
              </w:rPr>
              <w:t>8.000.000,00</w:t>
            </w:r>
          </w:p>
        </w:tc>
      </w:tr>
      <w:tr w:rsidR="00917820" w:rsidRPr="001B2C50" w14:paraId="76CD7095" w14:textId="77777777" w:rsidTr="00BF72F5">
        <w:tc>
          <w:tcPr>
            <w:tcW w:w="4673" w:type="dxa"/>
            <w:gridSpan w:val="3"/>
            <w:shd w:val="clear" w:color="auto" w:fill="B4C6E7" w:themeFill="accent1" w:themeFillTint="66"/>
          </w:tcPr>
          <w:p w14:paraId="7BE5FD28" w14:textId="77777777" w:rsidR="008761F8" w:rsidRPr="001B2C50" w:rsidRDefault="008761F8" w:rsidP="00D451F8">
            <w:pPr>
              <w:jc w:val="center"/>
              <w:rPr>
                <w:rFonts w:cs="Arial"/>
                <w:sz w:val="18"/>
                <w:szCs w:val="18"/>
              </w:rPr>
            </w:pPr>
            <w:r w:rsidRPr="001B2C50">
              <w:rPr>
                <w:rFonts w:cs="Arial"/>
                <w:b/>
                <w:bCs/>
                <w:sz w:val="18"/>
                <w:szCs w:val="18"/>
              </w:rPr>
              <w:t>Skupna vsota</w:t>
            </w:r>
          </w:p>
        </w:tc>
        <w:tc>
          <w:tcPr>
            <w:tcW w:w="1879" w:type="dxa"/>
            <w:shd w:val="clear" w:color="auto" w:fill="B4C6E7" w:themeFill="accent1" w:themeFillTint="66"/>
            <w:vAlign w:val="center"/>
          </w:tcPr>
          <w:p w14:paraId="412DDD8B" w14:textId="74EAAF64" w:rsidR="008761F8" w:rsidRPr="00D451F8" w:rsidRDefault="00622070" w:rsidP="00622070">
            <w:pPr>
              <w:jc w:val="both"/>
              <w:rPr>
                <w:rFonts w:cs="Arial"/>
                <w:b/>
                <w:bCs/>
                <w:color w:val="000000"/>
                <w:sz w:val="18"/>
                <w:szCs w:val="18"/>
              </w:rPr>
            </w:pPr>
            <w:r w:rsidRPr="00D451F8">
              <w:rPr>
                <w:rFonts w:cs="Arial"/>
                <w:b/>
                <w:bCs/>
                <w:color w:val="000000"/>
                <w:sz w:val="18"/>
                <w:szCs w:val="18"/>
              </w:rPr>
              <w:t>128.136.696,13</w:t>
            </w:r>
          </w:p>
        </w:tc>
        <w:tc>
          <w:tcPr>
            <w:tcW w:w="1559" w:type="dxa"/>
            <w:gridSpan w:val="2"/>
            <w:shd w:val="clear" w:color="auto" w:fill="B4C6E7" w:themeFill="accent1" w:themeFillTint="66"/>
            <w:vAlign w:val="center"/>
          </w:tcPr>
          <w:p w14:paraId="1798FAA2" w14:textId="14F15664" w:rsidR="008761F8" w:rsidRPr="00D451F8" w:rsidRDefault="00622070" w:rsidP="00622070">
            <w:pPr>
              <w:jc w:val="both"/>
              <w:rPr>
                <w:rFonts w:cs="Arial"/>
                <w:b/>
                <w:bCs/>
                <w:color w:val="000000"/>
                <w:sz w:val="18"/>
                <w:szCs w:val="18"/>
              </w:rPr>
            </w:pPr>
            <w:r w:rsidRPr="00D451F8">
              <w:rPr>
                <w:rFonts w:cs="Arial"/>
                <w:b/>
                <w:bCs/>
                <w:color w:val="000000"/>
                <w:sz w:val="18"/>
                <w:szCs w:val="18"/>
              </w:rPr>
              <w:t>61.863.303,87</w:t>
            </w:r>
          </w:p>
        </w:tc>
        <w:tc>
          <w:tcPr>
            <w:tcW w:w="1665" w:type="dxa"/>
            <w:gridSpan w:val="2"/>
            <w:shd w:val="clear" w:color="auto" w:fill="B4C6E7" w:themeFill="accent1" w:themeFillTint="66"/>
            <w:vAlign w:val="center"/>
          </w:tcPr>
          <w:p w14:paraId="62D3EA39" w14:textId="77777777" w:rsidR="008761F8" w:rsidRPr="001B2C50" w:rsidRDefault="008761F8" w:rsidP="007F40E4">
            <w:pPr>
              <w:jc w:val="both"/>
              <w:rPr>
                <w:rFonts w:cs="Arial"/>
                <w:sz w:val="18"/>
                <w:szCs w:val="18"/>
              </w:rPr>
            </w:pPr>
            <w:r w:rsidRPr="001B2C50">
              <w:rPr>
                <w:rFonts w:cs="Arial"/>
                <w:b/>
                <w:bCs/>
                <w:color w:val="000000"/>
                <w:sz w:val="18"/>
                <w:szCs w:val="18"/>
              </w:rPr>
              <w:t>190.000.000,00</w:t>
            </w:r>
          </w:p>
        </w:tc>
      </w:tr>
    </w:tbl>
    <w:p w14:paraId="21B1ACC2" w14:textId="77777777" w:rsidR="005854B1" w:rsidRDefault="005854B1" w:rsidP="00F154F0">
      <w:pPr>
        <w:jc w:val="both"/>
        <w:rPr>
          <w:rFonts w:cs="Arial"/>
          <w:sz w:val="20"/>
          <w:szCs w:val="20"/>
        </w:rPr>
      </w:pPr>
    </w:p>
    <w:p w14:paraId="2AF9806A" w14:textId="77777777" w:rsidR="005854B1" w:rsidRDefault="005854B1" w:rsidP="00F154F0">
      <w:pPr>
        <w:jc w:val="both"/>
        <w:rPr>
          <w:rFonts w:cs="Arial"/>
          <w:sz w:val="20"/>
          <w:szCs w:val="20"/>
        </w:rPr>
      </w:pPr>
    </w:p>
    <w:p w14:paraId="06E70960" w14:textId="77777777" w:rsidR="005854B1" w:rsidRDefault="005854B1" w:rsidP="00F154F0">
      <w:pPr>
        <w:jc w:val="both"/>
        <w:rPr>
          <w:rFonts w:cs="Arial"/>
          <w:sz w:val="20"/>
          <w:szCs w:val="20"/>
        </w:rPr>
      </w:pPr>
    </w:p>
    <w:p w14:paraId="57B155B7" w14:textId="77777777" w:rsidR="005854B1" w:rsidRDefault="005854B1" w:rsidP="00F154F0">
      <w:pPr>
        <w:jc w:val="both"/>
        <w:rPr>
          <w:rFonts w:cs="Arial"/>
          <w:sz w:val="20"/>
          <w:szCs w:val="20"/>
        </w:rPr>
      </w:pPr>
    </w:p>
    <w:p w14:paraId="149FC227" w14:textId="7CFCE91F" w:rsidR="00823181" w:rsidRPr="00E17453" w:rsidRDefault="00823181" w:rsidP="00F154F0">
      <w:pPr>
        <w:jc w:val="both"/>
        <w:rPr>
          <w:rFonts w:cs="Arial"/>
          <w:sz w:val="20"/>
          <w:szCs w:val="20"/>
        </w:rPr>
      </w:pPr>
    </w:p>
    <w:sectPr w:rsidR="00823181" w:rsidRPr="00E17453" w:rsidSect="00C664E3">
      <w:footerReference w:type="default" r:id="rId11"/>
      <w:footerReference w:type="first" r:id="rId12"/>
      <w:type w:val="continuous"/>
      <w:pgSz w:w="11900" w:h="16840" w:code="9"/>
      <w:pgMar w:top="1440" w:right="1080" w:bottom="1440" w:left="1080" w:header="964"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8C1E" w14:textId="77777777" w:rsidR="009B4861" w:rsidRDefault="009B4861" w:rsidP="0067131F">
      <w:r>
        <w:separator/>
      </w:r>
    </w:p>
  </w:endnote>
  <w:endnote w:type="continuationSeparator" w:id="0">
    <w:p w14:paraId="0468F8B4" w14:textId="77777777" w:rsidR="009B4861" w:rsidRDefault="009B4861" w:rsidP="0067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IDFont+F2">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86414"/>
      <w:docPartObj>
        <w:docPartGallery w:val="Page Numbers (Bottom of Page)"/>
        <w:docPartUnique/>
      </w:docPartObj>
    </w:sdtPr>
    <w:sdtEndPr>
      <w:rPr>
        <w:sz w:val="20"/>
        <w:szCs w:val="22"/>
      </w:rPr>
    </w:sdtEndPr>
    <w:sdtContent>
      <w:p w14:paraId="02C7B218" w14:textId="5508858F" w:rsidR="00B56804" w:rsidRPr="002B584F" w:rsidRDefault="00B56804">
        <w:pPr>
          <w:pStyle w:val="Noga"/>
          <w:jc w:val="center"/>
          <w:rPr>
            <w:sz w:val="20"/>
            <w:szCs w:val="22"/>
          </w:rPr>
        </w:pPr>
        <w:r w:rsidRPr="002B584F">
          <w:rPr>
            <w:sz w:val="20"/>
            <w:szCs w:val="22"/>
          </w:rPr>
          <w:fldChar w:fldCharType="begin"/>
        </w:r>
        <w:r w:rsidRPr="002B584F">
          <w:rPr>
            <w:sz w:val="20"/>
            <w:szCs w:val="22"/>
          </w:rPr>
          <w:instrText>PAGE   \* MERGEFORMAT</w:instrText>
        </w:r>
        <w:r w:rsidRPr="002B584F">
          <w:rPr>
            <w:sz w:val="20"/>
            <w:szCs w:val="22"/>
          </w:rPr>
          <w:fldChar w:fldCharType="separate"/>
        </w:r>
        <w:r w:rsidRPr="002B584F">
          <w:rPr>
            <w:sz w:val="20"/>
            <w:szCs w:val="22"/>
          </w:rPr>
          <w:t>2</w:t>
        </w:r>
        <w:r w:rsidRPr="002B584F">
          <w:rPr>
            <w:sz w:val="20"/>
            <w:szCs w:val="22"/>
          </w:rPr>
          <w:fldChar w:fldCharType="end"/>
        </w:r>
      </w:p>
    </w:sdtContent>
  </w:sdt>
  <w:p w14:paraId="10844416" w14:textId="77777777" w:rsidR="00B56804" w:rsidRDefault="00B568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525202"/>
      <w:docPartObj>
        <w:docPartGallery w:val="Page Numbers (Bottom of Page)"/>
        <w:docPartUnique/>
      </w:docPartObj>
    </w:sdtPr>
    <w:sdtEndPr/>
    <w:sdtContent>
      <w:p w14:paraId="18AF9A77" w14:textId="1E14CDF6" w:rsidR="004F20F0" w:rsidRDefault="003878DF" w:rsidP="007F40E4">
        <w:pPr>
          <w:pStyle w:val="Noga"/>
          <w:jc w:val="center"/>
        </w:pPr>
        <w:r>
          <w:fldChar w:fldCharType="begin"/>
        </w:r>
        <w:r>
          <w:instrText>PAGE   \* MERGEFORMAT</w:instrText>
        </w:r>
        <w:r>
          <w:fldChar w:fldCharType="separate"/>
        </w:r>
        <w:r w:rsidR="00EE6DD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E303" w14:textId="77777777" w:rsidR="009B4861" w:rsidRDefault="009B4861" w:rsidP="0067131F">
      <w:r>
        <w:separator/>
      </w:r>
    </w:p>
  </w:footnote>
  <w:footnote w:type="continuationSeparator" w:id="0">
    <w:p w14:paraId="32C6C828" w14:textId="77777777" w:rsidR="009B4861" w:rsidRDefault="009B4861" w:rsidP="0067131F">
      <w:r>
        <w:continuationSeparator/>
      </w:r>
    </w:p>
  </w:footnote>
  <w:footnote w:id="1">
    <w:p w14:paraId="4B17E270" w14:textId="0A9ED3EE" w:rsidR="00874C47" w:rsidRPr="00D451F8" w:rsidRDefault="00874C47">
      <w:pPr>
        <w:pStyle w:val="Sprotnaopomba-besedilo"/>
        <w:rPr>
          <w:sz w:val="16"/>
          <w:szCs w:val="16"/>
        </w:rPr>
      </w:pPr>
      <w:r w:rsidRPr="00D451F8">
        <w:rPr>
          <w:rStyle w:val="Sprotnaopomba-sklic"/>
          <w:sz w:val="16"/>
          <w:szCs w:val="16"/>
        </w:rPr>
        <w:footnoteRef/>
      </w:r>
      <w:r w:rsidRPr="00D451F8">
        <w:rPr>
          <w:sz w:val="16"/>
          <w:szCs w:val="16"/>
        </w:rPr>
        <w:t xml:space="preserve"> </w:t>
      </w:r>
      <w:hyperlink r:id="rId1" w:history="1">
        <w:r w:rsidR="00231B90" w:rsidRPr="00D451F8">
          <w:rPr>
            <w:rStyle w:val="Hiperpovezava"/>
            <w:color w:val="auto"/>
            <w:sz w:val="16"/>
            <w:szCs w:val="16"/>
          </w:rPr>
          <w:t>https://evropskasredstva.si/app/uploads/2022/10/Predhodne-ocene-SI-PO2021_2027.pdf</w:t>
        </w:r>
      </w:hyperlink>
      <w:r w:rsidR="00231B90" w:rsidRPr="00D451F8">
        <w:rPr>
          <w:sz w:val="16"/>
          <w:szCs w:val="16"/>
        </w:rPr>
        <w:t xml:space="preserve"> </w:t>
      </w:r>
    </w:p>
  </w:footnote>
  <w:footnote w:id="2">
    <w:p w14:paraId="7EB6075E" w14:textId="22D5A248" w:rsidR="009D3FC0" w:rsidRPr="00D451F8" w:rsidRDefault="009D3FC0" w:rsidP="00D451F8">
      <w:pPr>
        <w:pStyle w:val="Sprotnaopomba-besedilo"/>
        <w:jc w:val="both"/>
        <w:rPr>
          <w:sz w:val="16"/>
          <w:szCs w:val="16"/>
        </w:rPr>
      </w:pPr>
      <w:r w:rsidRPr="00D451F8">
        <w:rPr>
          <w:rStyle w:val="Sprotnaopomba-sklic"/>
          <w:sz w:val="16"/>
          <w:szCs w:val="16"/>
        </w:rPr>
        <w:footnoteRef/>
      </w:r>
      <w:r w:rsidRPr="00D451F8">
        <w:rPr>
          <w:sz w:val="16"/>
          <w:szCs w:val="16"/>
        </w:rPr>
        <w:t xml:space="preserve"> Posebni sklad pomeni sklad, s katerim holdinški sklad zagotavlja finančne produkte končnim prejemnikom skladno z 21. točko 2. člena </w:t>
      </w:r>
      <w:r w:rsidR="00826CE9" w:rsidRPr="00D451F8">
        <w:rPr>
          <w:sz w:val="16"/>
          <w:szCs w:val="16"/>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2023/435 Evropskega parlamenta in Sveta z dne 27. februarja 2023 o spremembi uredb (EU) št. 2021/241 glede poglavij REPowerEU v načrtih za okrevanje in odpornost ter spremembi uredb (EU) št. 1303/2013, (EU) 2021/1060 in (EU) 2021/1755 ter Direktive 2003/87/ES (UL L št. 63 z dne 28. 2. 2023, str. 1; v nadaljevanju: Uredb</w:t>
      </w:r>
      <w:r w:rsidR="00DC0A1A">
        <w:rPr>
          <w:sz w:val="16"/>
          <w:szCs w:val="16"/>
        </w:rPr>
        <w:t>a</w:t>
      </w:r>
      <w:r w:rsidR="00826CE9" w:rsidRPr="00D451F8">
        <w:rPr>
          <w:sz w:val="16"/>
          <w:szCs w:val="16"/>
        </w:rPr>
        <w:t xml:space="preserve"> (EU) 2021/1060)</w:t>
      </w:r>
      <w:r w:rsidR="00DC0A1A">
        <w:rPr>
          <w:sz w:val="16"/>
          <w:szCs w:val="16"/>
        </w:rPr>
        <w:t>.</w:t>
      </w:r>
      <w:r w:rsidR="00EA4E5E" w:rsidRPr="00D451F8">
        <w:rPr>
          <w:sz w:val="16"/>
          <w:szCs w:val="16"/>
        </w:rPr>
        <w:t xml:space="preserve"> Za namene tega dokumenta se za izvajanje posebnih skladov uporablja izraz izvajanje preko finančnega posrednika.</w:t>
      </w:r>
    </w:p>
  </w:footnote>
  <w:footnote w:id="3">
    <w:p w14:paraId="00F76A86" w14:textId="4EA3A7D9" w:rsidR="00417DC9" w:rsidRDefault="00417DC9">
      <w:pPr>
        <w:pStyle w:val="Sprotnaopomba-besedilo"/>
      </w:pPr>
      <w:r>
        <w:rPr>
          <w:rStyle w:val="Sprotnaopomba-sklic"/>
        </w:rPr>
        <w:footnoteRef/>
      </w:r>
      <w:r>
        <w:t xml:space="preserve"> </w:t>
      </w:r>
      <w:r w:rsidRPr="00925A64">
        <w:rPr>
          <w:rFonts w:cs="Arial"/>
          <w:sz w:val="16"/>
          <w:szCs w:val="16"/>
        </w:rPr>
        <w:t>Naložbena strategija zajema naslednje elemente skladno s Prilogo X Uredbe (EU) 2021/1060: izvedbeni pogoji, finančni produkti, ki bodo ponujeni, ciljni končni prejemniki in predvidena kombinacija s podporo v obliki nepovratnih sredstev</w:t>
      </w:r>
      <w:r w:rsidRPr="00B87033">
        <w:rPr>
          <w:rFonts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E7198"/>
    <w:multiLevelType w:val="hybridMultilevel"/>
    <w:tmpl w:val="B3EAA3AA"/>
    <w:lvl w:ilvl="0" w:tplc="A33497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395A2B"/>
    <w:multiLevelType w:val="multilevel"/>
    <w:tmpl w:val="7B642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D229FA"/>
    <w:multiLevelType w:val="hybridMultilevel"/>
    <w:tmpl w:val="DC5AED6A"/>
    <w:lvl w:ilvl="0" w:tplc="976A35A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AB6BE5"/>
    <w:multiLevelType w:val="multilevel"/>
    <w:tmpl w:val="9FE0D288"/>
    <w:lvl w:ilvl="0">
      <w:start w:val="1"/>
      <w:numFmt w:val="decimal"/>
      <w:pStyle w:val="Naslov2"/>
      <w:lvlText w:val="%1."/>
      <w:lvlJc w:val="left"/>
      <w:pPr>
        <w:ind w:left="1843" w:firstLine="0"/>
      </w:pPr>
      <w:rPr>
        <w:rFonts w:hint="default"/>
      </w:rPr>
    </w:lvl>
    <w:lvl w:ilvl="1">
      <w:start w:val="1"/>
      <w:numFmt w:val="upperLetter"/>
      <w:suff w:val="nothing"/>
      <w:lvlText w:val="%2.   "/>
      <w:lvlJc w:val="left"/>
      <w:pPr>
        <w:ind w:left="1440" w:firstLine="0"/>
      </w:pPr>
      <w:rPr>
        <w:rFonts w:ascii="Arial" w:hAnsi="Arial" w:cs="Arial" w:hint="default"/>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5" w15:restartNumberingAfterBreak="0">
    <w:nsid w:val="70EA15A1"/>
    <w:multiLevelType w:val="multilevel"/>
    <w:tmpl w:val="EF0E6BE4"/>
    <w:lvl w:ilvl="0">
      <w:start w:val="1"/>
      <w:numFmt w:val="upperRoman"/>
      <w:pStyle w:val="Naslov1"/>
      <w:suff w:val="nothing"/>
      <w:lvlText w:val="%1.   "/>
      <w:lvlJc w:val="left"/>
      <w:pPr>
        <w:ind w:left="1843" w:firstLine="0"/>
      </w:pPr>
      <w:rPr>
        <w:rFonts w:hint="default"/>
      </w:rPr>
    </w:lvl>
    <w:lvl w:ilvl="1">
      <w:start w:val="1"/>
      <w:numFmt w:val="upperLetter"/>
      <w:suff w:val="nothing"/>
      <w:lvlText w:val="%2.   "/>
      <w:lvlJc w:val="left"/>
      <w:pPr>
        <w:ind w:left="1440" w:firstLine="0"/>
      </w:pPr>
      <w:rPr>
        <w:rFonts w:ascii="Arial" w:hAnsi="Arial" w:cs="Arial" w:hint="default"/>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16cid:durableId="1029794822">
    <w:abstractNumId w:val="5"/>
  </w:num>
  <w:num w:numId="2" w16cid:durableId="678191632">
    <w:abstractNumId w:val="2"/>
  </w:num>
  <w:num w:numId="3" w16cid:durableId="1843624256">
    <w:abstractNumId w:val="1"/>
  </w:num>
  <w:num w:numId="4" w16cid:durableId="1852329536">
    <w:abstractNumId w:val="4"/>
  </w:num>
  <w:num w:numId="5" w16cid:durableId="1788160335">
    <w:abstractNumId w:val="5"/>
  </w:num>
  <w:num w:numId="6" w16cid:durableId="1527332982">
    <w:abstractNumId w:val="5"/>
  </w:num>
  <w:num w:numId="7" w16cid:durableId="869957486">
    <w:abstractNumId w:val="5"/>
  </w:num>
  <w:num w:numId="8" w16cid:durableId="800850767">
    <w:abstractNumId w:val="5"/>
  </w:num>
  <w:num w:numId="9" w16cid:durableId="1011689590">
    <w:abstractNumId w:val="4"/>
  </w:num>
  <w:num w:numId="10" w16cid:durableId="821849374">
    <w:abstractNumId w:val="4"/>
  </w:num>
  <w:num w:numId="11" w16cid:durableId="977027730">
    <w:abstractNumId w:val="4"/>
  </w:num>
  <w:num w:numId="12" w16cid:durableId="32579796">
    <w:abstractNumId w:val="4"/>
  </w:num>
  <w:num w:numId="13" w16cid:durableId="1006708925">
    <w:abstractNumId w:val="4"/>
  </w:num>
  <w:num w:numId="14" w16cid:durableId="1881044086">
    <w:abstractNumId w:val="3"/>
  </w:num>
  <w:num w:numId="15" w16cid:durableId="39532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64"/>
    <w:rsid w:val="00000166"/>
    <w:rsid w:val="000017A8"/>
    <w:rsid w:val="00004F26"/>
    <w:rsid w:val="00006CB9"/>
    <w:rsid w:val="0000700E"/>
    <w:rsid w:val="00007BDD"/>
    <w:rsid w:val="00012448"/>
    <w:rsid w:val="00014BC6"/>
    <w:rsid w:val="00020350"/>
    <w:rsid w:val="000243A3"/>
    <w:rsid w:val="000347E0"/>
    <w:rsid w:val="00034B28"/>
    <w:rsid w:val="000466DC"/>
    <w:rsid w:val="000532C4"/>
    <w:rsid w:val="000750E8"/>
    <w:rsid w:val="00075F9A"/>
    <w:rsid w:val="00077175"/>
    <w:rsid w:val="00092E63"/>
    <w:rsid w:val="000A5FCD"/>
    <w:rsid w:val="000B429F"/>
    <w:rsid w:val="000C3138"/>
    <w:rsid w:val="000C3515"/>
    <w:rsid w:val="000C4C2B"/>
    <w:rsid w:val="000D62F8"/>
    <w:rsid w:val="00114A6D"/>
    <w:rsid w:val="001162FA"/>
    <w:rsid w:val="00122770"/>
    <w:rsid w:val="0012734B"/>
    <w:rsid w:val="00135CD1"/>
    <w:rsid w:val="001560B0"/>
    <w:rsid w:val="00162168"/>
    <w:rsid w:val="0016523E"/>
    <w:rsid w:val="0018000E"/>
    <w:rsid w:val="00185CC3"/>
    <w:rsid w:val="0019116B"/>
    <w:rsid w:val="00192241"/>
    <w:rsid w:val="00196D32"/>
    <w:rsid w:val="001A5CD4"/>
    <w:rsid w:val="001A7351"/>
    <w:rsid w:val="001B17C8"/>
    <w:rsid w:val="001C4490"/>
    <w:rsid w:val="001E612D"/>
    <w:rsid w:val="001F154D"/>
    <w:rsid w:val="001F28AF"/>
    <w:rsid w:val="001F6FDB"/>
    <w:rsid w:val="00204058"/>
    <w:rsid w:val="00231B90"/>
    <w:rsid w:val="00232D96"/>
    <w:rsid w:val="00233A5E"/>
    <w:rsid w:val="002479B0"/>
    <w:rsid w:val="0026484D"/>
    <w:rsid w:val="00267317"/>
    <w:rsid w:val="0027658F"/>
    <w:rsid w:val="00281E27"/>
    <w:rsid w:val="00290274"/>
    <w:rsid w:val="00293DC3"/>
    <w:rsid w:val="00297939"/>
    <w:rsid w:val="00297A9F"/>
    <w:rsid w:val="002A4084"/>
    <w:rsid w:val="002A75ED"/>
    <w:rsid w:val="002B584F"/>
    <w:rsid w:val="002C5A46"/>
    <w:rsid w:val="002E347A"/>
    <w:rsid w:val="002E5BCE"/>
    <w:rsid w:val="002F100E"/>
    <w:rsid w:val="002F18AB"/>
    <w:rsid w:val="002F2405"/>
    <w:rsid w:val="002F6103"/>
    <w:rsid w:val="00304996"/>
    <w:rsid w:val="00307486"/>
    <w:rsid w:val="00311A88"/>
    <w:rsid w:val="003218B6"/>
    <w:rsid w:val="00364E47"/>
    <w:rsid w:val="0036718F"/>
    <w:rsid w:val="0037160D"/>
    <w:rsid w:val="00385DEA"/>
    <w:rsid w:val="003878DF"/>
    <w:rsid w:val="003A71B4"/>
    <w:rsid w:val="003B1CE2"/>
    <w:rsid w:val="003B1E42"/>
    <w:rsid w:val="003C69A4"/>
    <w:rsid w:val="003D3FEF"/>
    <w:rsid w:val="003E30C6"/>
    <w:rsid w:val="003F23AC"/>
    <w:rsid w:val="003F5664"/>
    <w:rsid w:val="00417A61"/>
    <w:rsid w:val="00417DC9"/>
    <w:rsid w:val="004274C0"/>
    <w:rsid w:val="00445470"/>
    <w:rsid w:val="00450E5E"/>
    <w:rsid w:val="00452DC6"/>
    <w:rsid w:val="00457F32"/>
    <w:rsid w:val="004640EF"/>
    <w:rsid w:val="00465F4C"/>
    <w:rsid w:val="00472DF6"/>
    <w:rsid w:val="00473941"/>
    <w:rsid w:val="00475361"/>
    <w:rsid w:val="004756E1"/>
    <w:rsid w:val="00480589"/>
    <w:rsid w:val="00480E39"/>
    <w:rsid w:val="00483D96"/>
    <w:rsid w:val="0048483D"/>
    <w:rsid w:val="004A4B94"/>
    <w:rsid w:val="004E0DDE"/>
    <w:rsid w:val="004E2A0F"/>
    <w:rsid w:val="004F20F0"/>
    <w:rsid w:val="004F3D4C"/>
    <w:rsid w:val="004F73C4"/>
    <w:rsid w:val="00515EF8"/>
    <w:rsid w:val="00532F22"/>
    <w:rsid w:val="005333C4"/>
    <w:rsid w:val="00551237"/>
    <w:rsid w:val="00552694"/>
    <w:rsid w:val="005546E1"/>
    <w:rsid w:val="00563308"/>
    <w:rsid w:val="00566513"/>
    <w:rsid w:val="0056715A"/>
    <w:rsid w:val="00585324"/>
    <w:rsid w:val="005854B1"/>
    <w:rsid w:val="00586C1B"/>
    <w:rsid w:val="00597B12"/>
    <w:rsid w:val="005A660B"/>
    <w:rsid w:val="005B4F7A"/>
    <w:rsid w:val="005B5B79"/>
    <w:rsid w:val="005C1582"/>
    <w:rsid w:val="005D6A3D"/>
    <w:rsid w:val="005E7643"/>
    <w:rsid w:val="005F0F9A"/>
    <w:rsid w:val="00601790"/>
    <w:rsid w:val="00604910"/>
    <w:rsid w:val="00607539"/>
    <w:rsid w:val="006112BB"/>
    <w:rsid w:val="0061634D"/>
    <w:rsid w:val="00617FE6"/>
    <w:rsid w:val="00620555"/>
    <w:rsid w:val="00622070"/>
    <w:rsid w:val="0063276A"/>
    <w:rsid w:val="00636A95"/>
    <w:rsid w:val="00651B15"/>
    <w:rsid w:val="00661F16"/>
    <w:rsid w:val="0066604F"/>
    <w:rsid w:val="0067131F"/>
    <w:rsid w:val="0067292D"/>
    <w:rsid w:val="0067630C"/>
    <w:rsid w:val="0069079D"/>
    <w:rsid w:val="00691FDE"/>
    <w:rsid w:val="00694DBB"/>
    <w:rsid w:val="00697A73"/>
    <w:rsid w:val="006B0631"/>
    <w:rsid w:val="006B6A0B"/>
    <w:rsid w:val="006C4EEF"/>
    <w:rsid w:val="006C754F"/>
    <w:rsid w:val="006D4078"/>
    <w:rsid w:val="006D507D"/>
    <w:rsid w:val="006E04F2"/>
    <w:rsid w:val="006E7C57"/>
    <w:rsid w:val="006E7E26"/>
    <w:rsid w:val="0070530F"/>
    <w:rsid w:val="00710128"/>
    <w:rsid w:val="00724469"/>
    <w:rsid w:val="0074769D"/>
    <w:rsid w:val="00761218"/>
    <w:rsid w:val="007643D7"/>
    <w:rsid w:val="00765240"/>
    <w:rsid w:val="00765A47"/>
    <w:rsid w:val="00777994"/>
    <w:rsid w:val="007834DC"/>
    <w:rsid w:val="007868BD"/>
    <w:rsid w:val="0079336D"/>
    <w:rsid w:val="0079472C"/>
    <w:rsid w:val="007A201F"/>
    <w:rsid w:val="007B1EC3"/>
    <w:rsid w:val="007C274C"/>
    <w:rsid w:val="007C5B62"/>
    <w:rsid w:val="007D0DD4"/>
    <w:rsid w:val="007D32A0"/>
    <w:rsid w:val="007D573F"/>
    <w:rsid w:val="007E7842"/>
    <w:rsid w:val="007F23F4"/>
    <w:rsid w:val="007F40E4"/>
    <w:rsid w:val="008007AF"/>
    <w:rsid w:val="00801DA2"/>
    <w:rsid w:val="00807B29"/>
    <w:rsid w:val="00811BA0"/>
    <w:rsid w:val="008176CC"/>
    <w:rsid w:val="00823181"/>
    <w:rsid w:val="00823313"/>
    <w:rsid w:val="00826CE9"/>
    <w:rsid w:val="008312BA"/>
    <w:rsid w:val="00831ED9"/>
    <w:rsid w:val="00831FD3"/>
    <w:rsid w:val="008546E9"/>
    <w:rsid w:val="00857664"/>
    <w:rsid w:val="00874C47"/>
    <w:rsid w:val="008761F8"/>
    <w:rsid w:val="008823A9"/>
    <w:rsid w:val="008832C9"/>
    <w:rsid w:val="008835D3"/>
    <w:rsid w:val="00887EA0"/>
    <w:rsid w:val="00893CAE"/>
    <w:rsid w:val="008B1B83"/>
    <w:rsid w:val="008B3D6B"/>
    <w:rsid w:val="008B4E23"/>
    <w:rsid w:val="008D4E65"/>
    <w:rsid w:val="008E0763"/>
    <w:rsid w:val="008E6DEE"/>
    <w:rsid w:val="008F148C"/>
    <w:rsid w:val="008F26EC"/>
    <w:rsid w:val="0090093E"/>
    <w:rsid w:val="00900E57"/>
    <w:rsid w:val="00903CD0"/>
    <w:rsid w:val="00904756"/>
    <w:rsid w:val="0090577E"/>
    <w:rsid w:val="00906824"/>
    <w:rsid w:val="00917820"/>
    <w:rsid w:val="00945A9B"/>
    <w:rsid w:val="009538C0"/>
    <w:rsid w:val="00963864"/>
    <w:rsid w:val="00977A57"/>
    <w:rsid w:val="00981FA2"/>
    <w:rsid w:val="00985800"/>
    <w:rsid w:val="00990638"/>
    <w:rsid w:val="009911B4"/>
    <w:rsid w:val="009A226F"/>
    <w:rsid w:val="009B2898"/>
    <w:rsid w:val="009B4861"/>
    <w:rsid w:val="009C1DF7"/>
    <w:rsid w:val="009C7E8A"/>
    <w:rsid w:val="009D3CA6"/>
    <w:rsid w:val="009D3FC0"/>
    <w:rsid w:val="009E4EDD"/>
    <w:rsid w:val="009F01D4"/>
    <w:rsid w:val="009F100D"/>
    <w:rsid w:val="00A060CD"/>
    <w:rsid w:val="00A13BC7"/>
    <w:rsid w:val="00A2355B"/>
    <w:rsid w:val="00A23B5C"/>
    <w:rsid w:val="00A24FEF"/>
    <w:rsid w:val="00A44E89"/>
    <w:rsid w:val="00A51DAB"/>
    <w:rsid w:val="00A528D1"/>
    <w:rsid w:val="00A57111"/>
    <w:rsid w:val="00A60F48"/>
    <w:rsid w:val="00A74F95"/>
    <w:rsid w:val="00A76A3E"/>
    <w:rsid w:val="00A81959"/>
    <w:rsid w:val="00A83FC2"/>
    <w:rsid w:val="00A94B56"/>
    <w:rsid w:val="00A978DE"/>
    <w:rsid w:val="00AA3F36"/>
    <w:rsid w:val="00AD275C"/>
    <w:rsid w:val="00AD6C75"/>
    <w:rsid w:val="00AE03A5"/>
    <w:rsid w:val="00AF2B2F"/>
    <w:rsid w:val="00AF5235"/>
    <w:rsid w:val="00B06689"/>
    <w:rsid w:val="00B11E5D"/>
    <w:rsid w:val="00B210C4"/>
    <w:rsid w:val="00B36FC8"/>
    <w:rsid w:val="00B46EE3"/>
    <w:rsid w:val="00B55CA9"/>
    <w:rsid w:val="00B56042"/>
    <w:rsid w:val="00B56804"/>
    <w:rsid w:val="00B63132"/>
    <w:rsid w:val="00B72571"/>
    <w:rsid w:val="00B826FE"/>
    <w:rsid w:val="00B9457F"/>
    <w:rsid w:val="00B950BC"/>
    <w:rsid w:val="00BA0DE8"/>
    <w:rsid w:val="00BB3654"/>
    <w:rsid w:val="00BB3B8D"/>
    <w:rsid w:val="00BC1526"/>
    <w:rsid w:val="00BD485B"/>
    <w:rsid w:val="00BD58D7"/>
    <w:rsid w:val="00BD7398"/>
    <w:rsid w:val="00BE0769"/>
    <w:rsid w:val="00BE0F87"/>
    <w:rsid w:val="00BE4CC3"/>
    <w:rsid w:val="00BE5B0A"/>
    <w:rsid w:val="00BF1F4F"/>
    <w:rsid w:val="00BF248B"/>
    <w:rsid w:val="00BF3E37"/>
    <w:rsid w:val="00BF72F5"/>
    <w:rsid w:val="00C0019D"/>
    <w:rsid w:val="00C014A4"/>
    <w:rsid w:val="00C04AC3"/>
    <w:rsid w:val="00C106EB"/>
    <w:rsid w:val="00C10BDF"/>
    <w:rsid w:val="00C10F96"/>
    <w:rsid w:val="00C13E57"/>
    <w:rsid w:val="00C25F14"/>
    <w:rsid w:val="00C3163C"/>
    <w:rsid w:val="00C36837"/>
    <w:rsid w:val="00C404A8"/>
    <w:rsid w:val="00C42E35"/>
    <w:rsid w:val="00C55121"/>
    <w:rsid w:val="00C65AF0"/>
    <w:rsid w:val="00C664E3"/>
    <w:rsid w:val="00C72B2E"/>
    <w:rsid w:val="00C8001E"/>
    <w:rsid w:val="00C9611C"/>
    <w:rsid w:val="00C96494"/>
    <w:rsid w:val="00CA353D"/>
    <w:rsid w:val="00CA794B"/>
    <w:rsid w:val="00CB2FCA"/>
    <w:rsid w:val="00CD22EB"/>
    <w:rsid w:val="00CD2367"/>
    <w:rsid w:val="00CD5F5B"/>
    <w:rsid w:val="00CE3698"/>
    <w:rsid w:val="00CE6578"/>
    <w:rsid w:val="00CF0207"/>
    <w:rsid w:val="00D03893"/>
    <w:rsid w:val="00D10039"/>
    <w:rsid w:val="00D15D9B"/>
    <w:rsid w:val="00D23490"/>
    <w:rsid w:val="00D30339"/>
    <w:rsid w:val="00D35164"/>
    <w:rsid w:val="00D406A9"/>
    <w:rsid w:val="00D4280C"/>
    <w:rsid w:val="00D42D7B"/>
    <w:rsid w:val="00D4319F"/>
    <w:rsid w:val="00D451F8"/>
    <w:rsid w:val="00D5139F"/>
    <w:rsid w:val="00D56250"/>
    <w:rsid w:val="00D623AE"/>
    <w:rsid w:val="00DA3B45"/>
    <w:rsid w:val="00DB3862"/>
    <w:rsid w:val="00DB5629"/>
    <w:rsid w:val="00DB6847"/>
    <w:rsid w:val="00DC0A1A"/>
    <w:rsid w:val="00DC6CFC"/>
    <w:rsid w:val="00DD2408"/>
    <w:rsid w:val="00DD4664"/>
    <w:rsid w:val="00DD5B38"/>
    <w:rsid w:val="00DE43FA"/>
    <w:rsid w:val="00DF6F77"/>
    <w:rsid w:val="00DF7420"/>
    <w:rsid w:val="00E01295"/>
    <w:rsid w:val="00E12F0C"/>
    <w:rsid w:val="00E17453"/>
    <w:rsid w:val="00E21A92"/>
    <w:rsid w:val="00E2498D"/>
    <w:rsid w:val="00E255C0"/>
    <w:rsid w:val="00E27C15"/>
    <w:rsid w:val="00E33349"/>
    <w:rsid w:val="00E51325"/>
    <w:rsid w:val="00E51670"/>
    <w:rsid w:val="00E67AE9"/>
    <w:rsid w:val="00E67BED"/>
    <w:rsid w:val="00E67F98"/>
    <w:rsid w:val="00E70227"/>
    <w:rsid w:val="00E75AC8"/>
    <w:rsid w:val="00E814D9"/>
    <w:rsid w:val="00E86351"/>
    <w:rsid w:val="00E87D53"/>
    <w:rsid w:val="00E927A4"/>
    <w:rsid w:val="00E93F05"/>
    <w:rsid w:val="00E95D8B"/>
    <w:rsid w:val="00E95F8F"/>
    <w:rsid w:val="00EA1A3A"/>
    <w:rsid w:val="00EA31CB"/>
    <w:rsid w:val="00EA49ED"/>
    <w:rsid w:val="00EA4E5E"/>
    <w:rsid w:val="00EB24AF"/>
    <w:rsid w:val="00EB48F1"/>
    <w:rsid w:val="00EB680F"/>
    <w:rsid w:val="00EB708F"/>
    <w:rsid w:val="00EC25FF"/>
    <w:rsid w:val="00ED6B1B"/>
    <w:rsid w:val="00EE08E1"/>
    <w:rsid w:val="00EE6DD7"/>
    <w:rsid w:val="00EF0D84"/>
    <w:rsid w:val="00EF23AC"/>
    <w:rsid w:val="00EF4810"/>
    <w:rsid w:val="00EF6593"/>
    <w:rsid w:val="00EF67A6"/>
    <w:rsid w:val="00EF7BEC"/>
    <w:rsid w:val="00F007AE"/>
    <w:rsid w:val="00F0515F"/>
    <w:rsid w:val="00F116BE"/>
    <w:rsid w:val="00F11C74"/>
    <w:rsid w:val="00F12A06"/>
    <w:rsid w:val="00F154F0"/>
    <w:rsid w:val="00F26500"/>
    <w:rsid w:val="00F518BC"/>
    <w:rsid w:val="00F51F78"/>
    <w:rsid w:val="00F53C82"/>
    <w:rsid w:val="00F56327"/>
    <w:rsid w:val="00F576DE"/>
    <w:rsid w:val="00F66CC1"/>
    <w:rsid w:val="00F70CA0"/>
    <w:rsid w:val="00F7527D"/>
    <w:rsid w:val="00F85B58"/>
    <w:rsid w:val="00F919A8"/>
    <w:rsid w:val="00FA2AD8"/>
    <w:rsid w:val="00FA7304"/>
    <w:rsid w:val="00FA7ECD"/>
    <w:rsid w:val="00FB1C61"/>
    <w:rsid w:val="00FC57BB"/>
    <w:rsid w:val="00FF26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8FF77CA"/>
  <w15:docId w15:val="{D95C83E6-329F-4ED5-A5EB-11E2479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5664"/>
    <w:pPr>
      <w:spacing w:after="0" w:line="240" w:lineRule="auto"/>
    </w:pPr>
    <w:rPr>
      <w:rFonts w:ascii="Arial" w:eastAsia="Times New Roman" w:hAnsi="Arial" w:cs="Times New Roman"/>
      <w:szCs w:val="24"/>
    </w:rPr>
  </w:style>
  <w:style w:type="paragraph" w:styleId="Naslov1">
    <w:name w:val="heading 1"/>
    <w:aliases w:val="NASLOV"/>
    <w:basedOn w:val="Navaden"/>
    <w:next w:val="Navaden"/>
    <w:link w:val="Naslov1Znak"/>
    <w:qFormat/>
    <w:rsid w:val="003F5664"/>
    <w:pPr>
      <w:keepNext/>
      <w:numPr>
        <w:numId w:val="1"/>
      </w:numPr>
      <w:spacing w:after="240"/>
      <w:jc w:val="center"/>
      <w:outlineLvl w:val="0"/>
    </w:pPr>
    <w:rPr>
      <w:rFonts w:cs="Arial"/>
      <w:b/>
      <w:bCs/>
      <w:smallCaps/>
      <w:kern w:val="28"/>
      <w:szCs w:val="32"/>
    </w:rPr>
  </w:style>
  <w:style w:type="paragraph" w:styleId="Naslov2">
    <w:name w:val="heading 2"/>
    <w:basedOn w:val="Naslov1"/>
    <w:next w:val="Navaden"/>
    <w:link w:val="Naslov2Znak"/>
    <w:uiPriority w:val="9"/>
    <w:qFormat/>
    <w:rsid w:val="00E70227"/>
    <w:pPr>
      <w:numPr>
        <w:numId w:val="4"/>
      </w:numPr>
      <w:jc w:val="left"/>
      <w:outlineLvl w:val="1"/>
    </w:pPr>
  </w:style>
  <w:style w:type="paragraph" w:styleId="Naslov3">
    <w:name w:val="heading 3"/>
    <w:basedOn w:val="Navaden"/>
    <w:next w:val="Navaden"/>
    <w:link w:val="Naslov3Znak"/>
    <w:uiPriority w:val="9"/>
    <w:semiHidden/>
    <w:unhideWhenUsed/>
    <w:qFormat/>
    <w:rsid w:val="002E347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3F5664"/>
    <w:rPr>
      <w:rFonts w:ascii="Arial" w:eastAsia="Times New Roman" w:hAnsi="Arial" w:cs="Arial"/>
      <w:b/>
      <w:bCs/>
      <w:smallCaps/>
      <w:kern w:val="28"/>
      <w:szCs w:val="32"/>
    </w:rPr>
  </w:style>
  <w:style w:type="character" w:customStyle="1" w:styleId="Naslov2Znak">
    <w:name w:val="Naslov 2 Znak"/>
    <w:basedOn w:val="Privzetapisavaodstavka"/>
    <w:link w:val="Naslov2"/>
    <w:uiPriority w:val="9"/>
    <w:rsid w:val="00E70227"/>
    <w:rPr>
      <w:rFonts w:ascii="Arial" w:eastAsia="Times New Roman" w:hAnsi="Arial" w:cs="Arial"/>
      <w:b/>
      <w:bCs/>
      <w:smallCaps/>
      <w:kern w:val="28"/>
      <w:szCs w:val="32"/>
    </w:rPr>
  </w:style>
  <w:style w:type="character" w:styleId="Hiperpovezava">
    <w:name w:val="Hyperlink"/>
    <w:uiPriority w:val="99"/>
    <w:rsid w:val="003F5664"/>
    <w:rPr>
      <w:color w:val="0000FF"/>
      <w:u w:val="single"/>
    </w:rPr>
  </w:style>
  <w:style w:type="table" w:styleId="Tabelamrea">
    <w:name w:val="Table Grid"/>
    <w:basedOn w:val="Navadnatabel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3F5664"/>
    <w:rPr>
      <w:sz w:val="16"/>
      <w:szCs w:val="16"/>
    </w:rPr>
  </w:style>
  <w:style w:type="paragraph" w:styleId="Pripombabesedilo">
    <w:name w:val="annotation text"/>
    <w:basedOn w:val="Navaden"/>
    <w:link w:val="PripombabesediloZnak"/>
    <w:uiPriority w:val="99"/>
    <w:unhideWhenUsed/>
    <w:rsid w:val="003F5664"/>
    <w:pPr>
      <w:spacing w:after="200"/>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3F5664"/>
    <w:rPr>
      <w:sz w:val="20"/>
      <w:szCs w:val="20"/>
    </w:rPr>
  </w:style>
  <w:style w:type="paragraph" w:styleId="Kazalovsebine1">
    <w:name w:val="toc 1"/>
    <w:basedOn w:val="Navaden"/>
    <w:next w:val="Navaden"/>
    <w:autoRedefine/>
    <w:uiPriority w:val="39"/>
    <w:unhideWhenUsed/>
    <w:rsid w:val="003F5664"/>
    <w:pPr>
      <w:tabs>
        <w:tab w:val="left" w:pos="440"/>
        <w:tab w:val="right" w:leader="dot" w:pos="9055"/>
      </w:tabs>
      <w:spacing w:after="100" w:line="259" w:lineRule="auto"/>
    </w:pPr>
    <w:rPr>
      <w:rFonts w:asciiTheme="minorHAnsi" w:eastAsiaTheme="minorEastAsia" w:hAnsiTheme="minorHAnsi"/>
      <w:szCs w:val="22"/>
      <w:lang w:eastAsia="sl-SI"/>
    </w:rPr>
  </w:style>
  <w:style w:type="paragraph" w:styleId="Glava">
    <w:name w:val="header"/>
    <w:basedOn w:val="Navaden"/>
    <w:link w:val="GlavaZnak"/>
    <w:unhideWhenUsed/>
    <w:qFormat/>
    <w:rsid w:val="003F5664"/>
    <w:pPr>
      <w:tabs>
        <w:tab w:val="center" w:pos="4536"/>
        <w:tab w:val="right" w:pos="9072"/>
      </w:tabs>
    </w:pPr>
  </w:style>
  <w:style w:type="character" w:customStyle="1" w:styleId="GlavaZnak">
    <w:name w:val="Glava Znak"/>
    <w:basedOn w:val="Privzetapisavaodstavka"/>
    <w:link w:val="Glava"/>
    <w:rsid w:val="003F5664"/>
    <w:rPr>
      <w:rFonts w:ascii="Arial" w:eastAsia="Times New Roman" w:hAnsi="Arial" w:cs="Times New Roman"/>
      <w:szCs w:val="24"/>
    </w:rPr>
  </w:style>
  <w:style w:type="paragraph" w:styleId="Noga">
    <w:name w:val="footer"/>
    <w:aliases w:val="|| Footer"/>
    <w:basedOn w:val="Navaden"/>
    <w:link w:val="NogaZnak"/>
    <w:uiPriority w:val="99"/>
    <w:unhideWhenUsed/>
    <w:rsid w:val="003F5664"/>
    <w:pPr>
      <w:tabs>
        <w:tab w:val="center" w:pos="4536"/>
        <w:tab w:val="right" w:pos="9072"/>
      </w:tabs>
    </w:pPr>
  </w:style>
  <w:style w:type="character" w:customStyle="1" w:styleId="NogaZnak">
    <w:name w:val="Noga Znak"/>
    <w:aliases w:val="|| Footer Znak"/>
    <w:basedOn w:val="Privzetapisavaodstavka"/>
    <w:link w:val="Noga"/>
    <w:uiPriority w:val="99"/>
    <w:rsid w:val="003F5664"/>
    <w:rPr>
      <w:rFonts w:ascii="Arial" w:eastAsia="Times New Roman" w:hAnsi="Arial" w:cs="Times New Roman"/>
      <w:szCs w:val="24"/>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3F5664"/>
    <w:pPr>
      <w:spacing w:after="200"/>
    </w:pPr>
    <w:rPr>
      <w:b/>
      <w:bCs/>
      <w:color w:val="4472C4" w:themeColor="accent1"/>
      <w:sz w:val="18"/>
      <w:szCs w:val="18"/>
    </w:rPr>
  </w:style>
  <w:style w:type="table" w:customStyle="1" w:styleId="Tabelamrea1">
    <w:name w:val="Tabela – mreža1"/>
    <w:basedOn w:val="Navadnatabela"/>
    <w:next w:val="Tabelamre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F5664"/>
    <w:pPr>
      <w:spacing w:before="100" w:beforeAutospacing="1" w:after="100" w:afterAutospacing="1"/>
    </w:pPr>
    <w:rPr>
      <w:rFonts w:ascii="Roboto" w:hAnsi="Roboto"/>
      <w:color w:val="333333"/>
      <w:lang w:eastAsia="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3F5664"/>
    <w:rPr>
      <w:rFonts w:ascii="Arial" w:eastAsia="Times New Roman" w:hAnsi="Arial" w:cs="Times New Roman"/>
      <w:b/>
      <w:bCs/>
      <w:color w:val="4472C4" w:themeColor="accent1"/>
      <w:sz w:val="18"/>
      <w:szCs w:val="18"/>
    </w:rPr>
  </w:style>
  <w:style w:type="paragraph" w:styleId="Kazaloslik">
    <w:name w:val="table of figures"/>
    <w:basedOn w:val="Navaden"/>
    <w:next w:val="Navaden"/>
    <w:uiPriority w:val="99"/>
    <w:unhideWhenUsed/>
    <w:rsid w:val="003F5664"/>
    <w:rPr>
      <w:rFonts w:asciiTheme="minorHAnsi" w:eastAsiaTheme="minorHAnsi" w:hAnsiTheme="minorHAnsi" w:cstheme="minorBidi"/>
      <w:sz w:val="18"/>
      <w:szCs w:val="20"/>
    </w:rPr>
  </w:style>
  <w:style w:type="paragraph" w:customStyle="1" w:styleId="datumtevilka">
    <w:name w:val="datum številka"/>
    <w:basedOn w:val="Navaden"/>
    <w:qFormat/>
    <w:rsid w:val="003F5664"/>
    <w:pPr>
      <w:tabs>
        <w:tab w:val="left" w:pos="1701"/>
      </w:tabs>
      <w:spacing w:line="260" w:lineRule="atLeast"/>
    </w:pPr>
    <w:rPr>
      <w:rFonts w:cs="Arial"/>
      <w:sz w:val="20"/>
      <w:szCs w:val="20"/>
      <w:lang w:eastAsia="sl-SI"/>
    </w:rPr>
  </w:style>
  <w:style w:type="table" w:customStyle="1" w:styleId="Tabelamrea2">
    <w:name w:val="Tabela – mreža2"/>
    <w:basedOn w:val="Navadnatabela"/>
    <w:next w:val="Tabelamrea"/>
    <w:uiPriority w:val="39"/>
    <w:rsid w:val="003F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E70227"/>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F5496" w:themeColor="accent1" w:themeShade="BF"/>
      <w:kern w:val="0"/>
      <w:sz w:val="32"/>
      <w:lang w:eastAsia="sl-SI"/>
    </w:rPr>
  </w:style>
  <w:style w:type="paragraph" w:styleId="Kazalovsebine2">
    <w:name w:val="toc 2"/>
    <w:basedOn w:val="Navaden"/>
    <w:next w:val="Navaden"/>
    <w:autoRedefine/>
    <w:uiPriority w:val="39"/>
    <w:unhideWhenUsed/>
    <w:rsid w:val="00297A9F"/>
    <w:pPr>
      <w:tabs>
        <w:tab w:val="left" w:pos="660"/>
        <w:tab w:val="right" w:leader="dot" w:pos="9730"/>
      </w:tabs>
      <w:spacing w:after="100" w:line="259" w:lineRule="auto"/>
      <w:ind w:left="220"/>
    </w:pPr>
    <w:rPr>
      <w:rFonts w:asciiTheme="minorHAnsi" w:eastAsiaTheme="minorEastAsia" w:hAnsiTheme="minorHAnsi"/>
      <w:szCs w:val="22"/>
      <w:lang w:eastAsia="sl-SI"/>
    </w:rPr>
  </w:style>
  <w:style w:type="paragraph" w:styleId="Kazalovsebine3">
    <w:name w:val="toc 3"/>
    <w:basedOn w:val="Navaden"/>
    <w:next w:val="Navaden"/>
    <w:autoRedefine/>
    <w:uiPriority w:val="39"/>
    <w:unhideWhenUsed/>
    <w:rsid w:val="00E70227"/>
    <w:pPr>
      <w:spacing w:after="100" w:line="259" w:lineRule="auto"/>
      <w:ind w:left="440"/>
    </w:pPr>
    <w:rPr>
      <w:rFonts w:asciiTheme="minorHAnsi" w:eastAsiaTheme="minorEastAsia" w:hAnsiTheme="minorHAnsi"/>
      <w:szCs w:val="22"/>
      <w:lang w:eastAsia="sl-SI"/>
    </w:rPr>
  </w:style>
  <w:style w:type="paragraph" w:styleId="Zadevapripombe">
    <w:name w:val="annotation subject"/>
    <w:basedOn w:val="Pripombabesedilo"/>
    <w:next w:val="Pripombabesedilo"/>
    <w:link w:val="ZadevapripombeZnak"/>
    <w:uiPriority w:val="99"/>
    <w:semiHidden/>
    <w:unhideWhenUsed/>
    <w:rsid w:val="00C36837"/>
    <w:pPr>
      <w:spacing w:after="0"/>
    </w:pPr>
    <w:rPr>
      <w:rFonts w:ascii="Arial" w:eastAsia="Times New Roman" w:hAnsi="Arial" w:cs="Times New Roman"/>
      <w:b/>
      <w:bCs/>
    </w:rPr>
  </w:style>
  <w:style w:type="character" w:customStyle="1" w:styleId="ZadevapripombeZnak">
    <w:name w:val="Zadeva pripombe Znak"/>
    <w:basedOn w:val="PripombabesediloZnak"/>
    <w:link w:val="Zadevapripombe"/>
    <w:uiPriority w:val="99"/>
    <w:semiHidden/>
    <w:rsid w:val="00C36837"/>
    <w:rPr>
      <w:rFonts w:ascii="Arial" w:eastAsia="Times New Roman" w:hAnsi="Arial" w:cs="Times New Roman"/>
      <w:b/>
      <w:bCs/>
      <w:sz w:val="20"/>
      <w:szCs w:val="20"/>
    </w:rPr>
  </w:style>
  <w:style w:type="paragraph" w:customStyle="1" w:styleId="tbl-norm">
    <w:name w:val="tbl-norm"/>
    <w:basedOn w:val="Navaden"/>
    <w:rsid w:val="00D42D7B"/>
    <w:pPr>
      <w:spacing w:before="100" w:beforeAutospacing="1" w:after="100" w:afterAutospacing="1"/>
    </w:pPr>
    <w:rPr>
      <w:rFonts w:ascii="Times New Roman" w:hAnsi="Times New Roman"/>
      <w:sz w:val="24"/>
      <w:lang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67131F"/>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67131F"/>
    <w:rPr>
      <w:rFonts w:ascii="Arial" w:eastAsia="Times New Roman" w:hAnsi="Arial" w:cs="Times New Roman"/>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basedOn w:val="Privzetapisavaodstavka"/>
    <w:uiPriority w:val="99"/>
    <w:unhideWhenUsed/>
    <w:qFormat/>
    <w:rsid w:val="0067131F"/>
    <w:rPr>
      <w:vertAlign w:val="superscript"/>
    </w:rPr>
  </w:style>
  <w:style w:type="paragraph" w:styleId="Revizija">
    <w:name w:val="Revision"/>
    <w:hidden/>
    <w:uiPriority w:val="99"/>
    <w:semiHidden/>
    <w:rsid w:val="0067292D"/>
    <w:pPr>
      <w:spacing w:after="0" w:line="240" w:lineRule="auto"/>
    </w:pPr>
    <w:rPr>
      <w:rFonts w:ascii="Arial" w:eastAsia="Times New Roman" w:hAnsi="Arial" w:cs="Times New Roman"/>
      <w:szCs w:val="24"/>
    </w:rPr>
  </w:style>
  <w:style w:type="paragraph" w:styleId="Besedilooblaka">
    <w:name w:val="Balloon Text"/>
    <w:basedOn w:val="Navaden"/>
    <w:link w:val="BesedilooblakaZnak"/>
    <w:uiPriority w:val="99"/>
    <w:semiHidden/>
    <w:unhideWhenUsed/>
    <w:rsid w:val="006D407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4078"/>
    <w:rPr>
      <w:rFonts w:ascii="Segoe UI" w:eastAsia="Times New Roman" w:hAnsi="Segoe UI" w:cs="Segoe UI"/>
      <w:sz w:val="18"/>
      <w:szCs w:val="18"/>
    </w:rPr>
  </w:style>
  <w:style w:type="character" w:customStyle="1" w:styleId="OdstavekseznamaZnak">
    <w:name w:val="Odstavek seznama Znak"/>
    <w:aliases w:val="K1 Znak,Table of contents numbered Znak,Elenco num ARGEA Znak,body Znak,Odsek zoznamu2 Znak"/>
    <w:link w:val="Odstavekseznama"/>
    <w:uiPriority w:val="34"/>
    <w:qFormat/>
    <w:locked/>
    <w:rsid w:val="008007AF"/>
    <w:rPr>
      <w:sz w:val="24"/>
      <w:szCs w:val="24"/>
    </w:rPr>
  </w:style>
  <w:style w:type="paragraph" w:styleId="Odstavekseznama">
    <w:name w:val="List Paragraph"/>
    <w:aliases w:val="K1,Table of contents numbered,Elenco num ARGEA,body,Odsek zoznamu2"/>
    <w:basedOn w:val="Navaden"/>
    <w:link w:val="OdstavekseznamaZnak"/>
    <w:uiPriority w:val="34"/>
    <w:qFormat/>
    <w:rsid w:val="008007AF"/>
    <w:pPr>
      <w:ind w:left="720"/>
      <w:contextualSpacing/>
    </w:pPr>
    <w:rPr>
      <w:rFonts w:asciiTheme="minorHAnsi" w:eastAsiaTheme="minorHAnsi" w:hAnsiTheme="minorHAnsi" w:cstheme="minorBidi"/>
      <w:sz w:val="24"/>
    </w:rPr>
  </w:style>
  <w:style w:type="paragraph" w:customStyle="1" w:styleId="ExhibitHeading4">
    <w:name w:val="Exhibit Heading 4"/>
    <w:basedOn w:val="Navaden"/>
    <w:next w:val="Telobesedila"/>
    <w:qFormat/>
    <w:rsid w:val="008007AF"/>
    <w:pPr>
      <w:keepNext/>
      <w:numPr>
        <w:ilvl w:val="3"/>
        <w:numId w:val="15"/>
      </w:numPr>
      <w:spacing w:after="160" w:line="0" w:lineRule="atLeast"/>
      <w:ind w:left="792" w:hanging="792"/>
      <w:jc w:val="both"/>
      <w:outlineLvl w:val="3"/>
    </w:pPr>
    <w:rPr>
      <w:rFonts w:asciiTheme="majorHAnsi" w:eastAsiaTheme="minorHAnsi" w:hAnsiTheme="majorHAnsi" w:cstheme="minorBidi"/>
      <w:i/>
      <w:color w:val="44546A" w:themeColor="text2"/>
      <w:sz w:val="28"/>
      <w:szCs w:val="20"/>
    </w:rPr>
  </w:style>
  <w:style w:type="paragraph" w:customStyle="1" w:styleId="ExhibitHeading5">
    <w:name w:val="Exhibit Heading 5"/>
    <w:basedOn w:val="ExhibitHeading4"/>
    <w:next w:val="Telobesedila"/>
    <w:qFormat/>
    <w:rsid w:val="008007AF"/>
    <w:pPr>
      <w:numPr>
        <w:ilvl w:val="4"/>
      </w:numPr>
      <w:ind w:left="864" w:hanging="864"/>
      <w:outlineLvl w:val="4"/>
    </w:pPr>
    <w:rPr>
      <w:sz w:val="24"/>
    </w:rPr>
  </w:style>
  <w:style w:type="paragraph" w:styleId="Telobesedila">
    <w:name w:val="Body Text"/>
    <w:basedOn w:val="Navaden"/>
    <w:link w:val="TelobesedilaZnak"/>
    <w:uiPriority w:val="99"/>
    <w:semiHidden/>
    <w:unhideWhenUsed/>
    <w:rsid w:val="008007AF"/>
    <w:pPr>
      <w:spacing w:after="120"/>
    </w:pPr>
  </w:style>
  <w:style w:type="character" w:customStyle="1" w:styleId="TelobesedilaZnak">
    <w:name w:val="Telo besedila Znak"/>
    <w:basedOn w:val="Privzetapisavaodstavka"/>
    <w:link w:val="Telobesedila"/>
    <w:uiPriority w:val="99"/>
    <w:semiHidden/>
    <w:rsid w:val="008007AF"/>
    <w:rPr>
      <w:rFonts w:ascii="Arial" w:eastAsia="Times New Roman" w:hAnsi="Arial" w:cs="Times New Roman"/>
      <w:szCs w:val="24"/>
    </w:rPr>
  </w:style>
  <w:style w:type="character" w:styleId="Nerazreenaomemba">
    <w:name w:val="Unresolved Mention"/>
    <w:basedOn w:val="Privzetapisavaodstavka"/>
    <w:uiPriority w:val="99"/>
    <w:semiHidden/>
    <w:unhideWhenUsed/>
    <w:rsid w:val="00231B90"/>
    <w:rPr>
      <w:color w:val="605E5C"/>
      <w:shd w:val="clear" w:color="auto" w:fill="E1DFDD"/>
    </w:rPr>
  </w:style>
  <w:style w:type="character" w:customStyle="1" w:styleId="Naslov3Znak">
    <w:name w:val="Naslov 3 Znak"/>
    <w:basedOn w:val="Privzetapisavaodstavka"/>
    <w:link w:val="Naslov3"/>
    <w:uiPriority w:val="9"/>
    <w:semiHidden/>
    <w:rsid w:val="002E34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9253">
      <w:bodyDiv w:val="1"/>
      <w:marLeft w:val="0"/>
      <w:marRight w:val="0"/>
      <w:marTop w:val="0"/>
      <w:marBottom w:val="0"/>
      <w:divBdr>
        <w:top w:val="none" w:sz="0" w:space="0" w:color="auto"/>
        <w:left w:val="none" w:sz="0" w:space="0" w:color="auto"/>
        <w:bottom w:val="none" w:sz="0" w:space="0" w:color="auto"/>
        <w:right w:val="none" w:sz="0" w:space="0" w:color="auto"/>
      </w:divBdr>
    </w:div>
    <w:div w:id="109974523">
      <w:bodyDiv w:val="1"/>
      <w:marLeft w:val="0"/>
      <w:marRight w:val="0"/>
      <w:marTop w:val="0"/>
      <w:marBottom w:val="0"/>
      <w:divBdr>
        <w:top w:val="none" w:sz="0" w:space="0" w:color="auto"/>
        <w:left w:val="none" w:sz="0" w:space="0" w:color="auto"/>
        <w:bottom w:val="none" w:sz="0" w:space="0" w:color="auto"/>
        <w:right w:val="none" w:sz="0" w:space="0" w:color="auto"/>
      </w:divBdr>
    </w:div>
    <w:div w:id="256445495">
      <w:bodyDiv w:val="1"/>
      <w:marLeft w:val="0"/>
      <w:marRight w:val="0"/>
      <w:marTop w:val="0"/>
      <w:marBottom w:val="0"/>
      <w:divBdr>
        <w:top w:val="none" w:sz="0" w:space="0" w:color="auto"/>
        <w:left w:val="none" w:sz="0" w:space="0" w:color="auto"/>
        <w:bottom w:val="none" w:sz="0" w:space="0" w:color="auto"/>
        <w:right w:val="none" w:sz="0" w:space="0" w:color="auto"/>
      </w:divBdr>
    </w:div>
    <w:div w:id="430590168">
      <w:bodyDiv w:val="1"/>
      <w:marLeft w:val="0"/>
      <w:marRight w:val="0"/>
      <w:marTop w:val="0"/>
      <w:marBottom w:val="0"/>
      <w:divBdr>
        <w:top w:val="none" w:sz="0" w:space="0" w:color="auto"/>
        <w:left w:val="none" w:sz="0" w:space="0" w:color="auto"/>
        <w:bottom w:val="none" w:sz="0" w:space="0" w:color="auto"/>
        <w:right w:val="none" w:sz="0" w:space="0" w:color="auto"/>
      </w:divBdr>
    </w:div>
    <w:div w:id="475337829">
      <w:bodyDiv w:val="1"/>
      <w:marLeft w:val="0"/>
      <w:marRight w:val="0"/>
      <w:marTop w:val="0"/>
      <w:marBottom w:val="0"/>
      <w:divBdr>
        <w:top w:val="none" w:sz="0" w:space="0" w:color="auto"/>
        <w:left w:val="none" w:sz="0" w:space="0" w:color="auto"/>
        <w:bottom w:val="none" w:sz="0" w:space="0" w:color="auto"/>
        <w:right w:val="none" w:sz="0" w:space="0" w:color="auto"/>
      </w:divBdr>
    </w:div>
    <w:div w:id="606625195">
      <w:bodyDiv w:val="1"/>
      <w:marLeft w:val="0"/>
      <w:marRight w:val="0"/>
      <w:marTop w:val="0"/>
      <w:marBottom w:val="0"/>
      <w:divBdr>
        <w:top w:val="none" w:sz="0" w:space="0" w:color="auto"/>
        <w:left w:val="none" w:sz="0" w:space="0" w:color="auto"/>
        <w:bottom w:val="none" w:sz="0" w:space="0" w:color="auto"/>
        <w:right w:val="none" w:sz="0" w:space="0" w:color="auto"/>
      </w:divBdr>
    </w:div>
    <w:div w:id="646128205">
      <w:bodyDiv w:val="1"/>
      <w:marLeft w:val="0"/>
      <w:marRight w:val="0"/>
      <w:marTop w:val="0"/>
      <w:marBottom w:val="0"/>
      <w:divBdr>
        <w:top w:val="none" w:sz="0" w:space="0" w:color="auto"/>
        <w:left w:val="none" w:sz="0" w:space="0" w:color="auto"/>
        <w:bottom w:val="none" w:sz="0" w:space="0" w:color="auto"/>
        <w:right w:val="none" w:sz="0" w:space="0" w:color="auto"/>
      </w:divBdr>
    </w:div>
    <w:div w:id="743575916">
      <w:bodyDiv w:val="1"/>
      <w:marLeft w:val="0"/>
      <w:marRight w:val="0"/>
      <w:marTop w:val="0"/>
      <w:marBottom w:val="0"/>
      <w:divBdr>
        <w:top w:val="none" w:sz="0" w:space="0" w:color="auto"/>
        <w:left w:val="none" w:sz="0" w:space="0" w:color="auto"/>
        <w:bottom w:val="none" w:sz="0" w:space="0" w:color="auto"/>
        <w:right w:val="none" w:sz="0" w:space="0" w:color="auto"/>
      </w:divBdr>
    </w:div>
    <w:div w:id="838811759">
      <w:bodyDiv w:val="1"/>
      <w:marLeft w:val="0"/>
      <w:marRight w:val="0"/>
      <w:marTop w:val="0"/>
      <w:marBottom w:val="0"/>
      <w:divBdr>
        <w:top w:val="none" w:sz="0" w:space="0" w:color="auto"/>
        <w:left w:val="none" w:sz="0" w:space="0" w:color="auto"/>
        <w:bottom w:val="none" w:sz="0" w:space="0" w:color="auto"/>
        <w:right w:val="none" w:sz="0" w:space="0" w:color="auto"/>
      </w:divBdr>
      <w:divsChild>
        <w:div w:id="415053249">
          <w:marLeft w:val="0"/>
          <w:marRight w:val="0"/>
          <w:marTop w:val="0"/>
          <w:marBottom w:val="120"/>
          <w:divBdr>
            <w:top w:val="none" w:sz="0" w:space="0" w:color="auto"/>
            <w:left w:val="none" w:sz="0" w:space="0" w:color="auto"/>
            <w:bottom w:val="none" w:sz="0" w:space="0" w:color="auto"/>
            <w:right w:val="none" w:sz="0" w:space="0" w:color="auto"/>
          </w:divBdr>
        </w:div>
      </w:divsChild>
    </w:div>
    <w:div w:id="1035733438">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87988943">
      <w:bodyDiv w:val="1"/>
      <w:marLeft w:val="0"/>
      <w:marRight w:val="0"/>
      <w:marTop w:val="0"/>
      <w:marBottom w:val="0"/>
      <w:divBdr>
        <w:top w:val="none" w:sz="0" w:space="0" w:color="auto"/>
        <w:left w:val="none" w:sz="0" w:space="0" w:color="auto"/>
        <w:bottom w:val="none" w:sz="0" w:space="0" w:color="auto"/>
        <w:right w:val="none" w:sz="0" w:space="0" w:color="auto"/>
      </w:divBdr>
    </w:div>
    <w:div w:id="1300842473">
      <w:bodyDiv w:val="1"/>
      <w:marLeft w:val="0"/>
      <w:marRight w:val="0"/>
      <w:marTop w:val="0"/>
      <w:marBottom w:val="0"/>
      <w:divBdr>
        <w:top w:val="none" w:sz="0" w:space="0" w:color="auto"/>
        <w:left w:val="none" w:sz="0" w:space="0" w:color="auto"/>
        <w:bottom w:val="none" w:sz="0" w:space="0" w:color="auto"/>
        <w:right w:val="none" w:sz="0" w:space="0" w:color="auto"/>
      </w:divBdr>
    </w:div>
    <w:div w:id="1319647691">
      <w:bodyDiv w:val="1"/>
      <w:marLeft w:val="0"/>
      <w:marRight w:val="0"/>
      <w:marTop w:val="0"/>
      <w:marBottom w:val="0"/>
      <w:divBdr>
        <w:top w:val="none" w:sz="0" w:space="0" w:color="auto"/>
        <w:left w:val="none" w:sz="0" w:space="0" w:color="auto"/>
        <w:bottom w:val="none" w:sz="0" w:space="0" w:color="auto"/>
        <w:right w:val="none" w:sz="0" w:space="0" w:color="auto"/>
      </w:divBdr>
    </w:div>
    <w:div w:id="1439057366">
      <w:bodyDiv w:val="1"/>
      <w:marLeft w:val="0"/>
      <w:marRight w:val="0"/>
      <w:marTop w:val="0"/>
      <w:marBottom w:val="0"/>
      <w:divBdr>
        <w:top w:val="none" w:sz="0" w:space="0" w:color="auto"/>
        <w:left w:val="none" w:sz="0" w:space="0" w:color="auto"/>
        <w:bottom w:val="none" w:sz="0" w:space="0" w:color="auto"/>
        <w:right w:val="none" w:sz="0" w:space="0" w:color="auto"/>
      </w:divBdr>
    </w:div>
    <w:div w:id="1445494336">
      <w:bodyDiv w:val="1"/>
      <w:marLeft w:val="0"/>
      <w:marRight w:val="0"/>
      <w:marTop w:val="0"/>
      <w:marBottom w:val="0"/>
      <w:divBdr>
        <w:top w:val="none" w:sz="0" w:space="0" w:color="auto"/>
        <w:left w:val="none" w:sz="0" w:space="0" w:color="auto"/>
        <w:bottom w:val="none" w:sz="0" w:space="0" w:color="auto"/>
        <w:right w:val="none" w:sz="0" w:space="0" w:color="auto"/>
      </w:divBdr>
    </w:div>
    <w:div w:id="1472211349">
      <w:bodyDiv w:val="1"/>
      <w:marLeft w:val="0"/>
      <w:marRight w:val="0"/>
      <w:marTop w:val="0"/>
      <w:marBottom w:val="0"/>
      <w:divBdr>
        <w:top w:val="none" w:sz="0" w:space="0" w:color="auto"/>
        <w:left w:val="none" w:sz="0" w:space="0" w:color="auto"/>
        <w:bottom w:val="none" w:sz="0" w:space="0" w:color="auto"/>
        <w:right w:val="none" w:sz="0" w:space="0" w:color="auto"/>
      </w:divBdr>
    </w:div>
    <w:div w:id="1512256918">
      <w:bodyDiv w:val="1"/>
      <w:marLeft w:val="0"/>
      <w:marRight w:val="0"/>
      <w:marTop w:val="0"/>
      <w:marBottom w:val="0"/>
      <w:divBdr>
        <w:top w:val="none" w:sz="0" w:space="0" w:color="auto"/>
        <w:left w:val="none" w:sz="0" w:space="0" w:color="auto"/>
        <w:bottom w:val="none" w:sz="0" w:space="0" w:color="auto"/>
        <w:right w:val="none" w:sz="0" w:space="0" w:color="auto"/>
      </w:divBdr>
    </w:div>
    <w:div w:id="1518034354">
      <w:bodyDiv w:val="1"/>
      <w:marLeft w:val="0"/>
      <w:marRight w:val="0"/>
      <w:marTop w:val="0"/>
      <w:marBottom w:val="0"/>
      <w:divBdr>
        <w:top w:val="none" w:sz="0" w:space="0" w:color="auto"/>
        <w:left w:val="none" w:sz="0" w:space="0" w:color="auto"/>
        <w:bottom w:val="none" w:sz="0" w:space="0" w:color="auto"/>
        <w:right w:val="none" w:sz="0" w:space="0" w:color="auto"/>
      </w:divBdr>
    </w:div>
    <w:div w:id="1544054057">
      <w:bodyDiv w:val="1"/>
      <w:marLeft w:val="0"/>
      <w:marRight w:val="0"/>
      <w:marTop w:val="0"/>
      <w:marBottom w:val="0"/>
      <w:divBdr>
        <w:top w:val="none" w:sz="0" w:space="0" w:color="auto"/>
        <w:left w:val="none" w:sz="0" w:space="0" w:color="auto"/>
        <w:bottom w:val="none" w:sz="0" w:space="0" w:color="auto"/>
        <w:right w:val="none" w:sz="0" w:space="0" w:color="auto"/>
      </w:divBdr>
    </w:div>
    <w:div w:id="1562212630">
      <w:bodyDiv w:val="1"/>
      <w:marLeft w:val="0"/>
      <w:marRight w:val="0"/>
      <w:marTop w:val="0"/>
      <w:marBottom w:val="0"/>
      <w:divBdr>
        <w:top w:val="none" w:sz="0" w:space="0" w:color="auto"/>
        <w:left w:val="none" w:sz="0" w:space="0" w:color="auto"/>
        <w:bottom w:val="none" w:sz="0" w:space="0" w:color="auto"/>
        <w:right w:val="none" w:sz="0" w:space="0" w:color="auto"/>
      </w:divBdr>
    </w:div>
    <w:div w:id="1609433842">
      <w:bodyDiv w:val="1"/>
      <w:marLeft w:val="0"/>
      <w:marRight w:val="0"/>
      <w:marTop w:val="0"/>
      <w:marBottom w:val="0"/>
      <w:divBdr>
        <w:top w:val="none" w:sz="0" w:space="0" w:color="auto"/>
        <w:left w:val="none" w:sz="0" w:space="0" w:color="auto"/>
        <w:bottom w:val="none" w:sz="0" w:space="0" w:color="auto"/>
        <w:right w:val="none" w:sz="0" w:space="0" w:color="auto"/>
      </w:divBdr>
    </w:div>
    <w:div w:id="1695224042">
      <w:bodyDiv w:val="1"/>
      <w:marLeft w:val="0"/>
      <w:marRight w:val="0"/>
      <w:marTop w:val="0"/>
      <w:marBottom w:val="0"/>
      <w:divBdr>
        <w:top w:val="none" w:sz="0" w:space="0" w:color="auto"/>
        <w:left w:val="none" w:sz="0" w:space="0" w:color="auto"/>
        <w:bottom w:val="none" w:sz="0" w:space="0" w:color="auto"/>
        <w:right w:val="none" w:sz="0" w:space="0" w:color="auto"/>
      </w:divBdr>
    </w:div>
    <w:div w:id="1865553113">
      <w:bodyDiv w:val="1"/>
      <w:marLeft w:val="0"/>
      <w:marRight w:val="0"/>
      <w:marTop w:val="0"/>
      <w:marBottom w:val="0"/>
      <w:divBdr>
        <w:top w:val="none" w:sz="0" w:space="0" w:color="auto"/>
        <w:left w:val="none" w:sz="0" w:space="0" w:color="auto"/>
        <w:bottom w:val="none" w:sz="0" w:space="0" w:color="auto"/>
        <w:right w:val="none" w:sz="0" w:space="0" w:color="auto"/>
      </w:divBdr>
    </w:div>
    <w:div w:id="1949386109">
      <w:bodyDiv w:val="1"/>
      <w:marLeft w:val="0"/>
      <w:marRight w:val="0"/>
      <w:marTop w:val="0"/>
      <w:marBottom w:val="0"/>
      <w:divBdr>
        <w:top w:val="none" w:sz="0" w:space="0" w:color="auto"/>
        <w:left w:val="none" w:sz="0" w:space="0" w:color="auto"/>
        <w:bottom w:val="none" w:sz="0" w:space="0" w:color="auto"/>
        <w:right w:val="none" w:sz="0" w:space="0" w:color="auto"/>
      </w:divBdr>
    </w:div>
    <w:div w:id="200062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radni-list.si/glasilo-uradni-list-rs/vsebina/2023-01-3596" TargetMode="External"/><Relationship Id="rId4" Type="http://schemas.openxmlformats.org/officeDocument/2006/relationships/settings" Target="settings.xml"/><Relationship Id="rId9" Type="http://schemas.openxmlformats.org/officeDocument/2006/relationships/hyperlink" Target="https://www.uradni-list.si/glasilo-uradni-list-rs/vsebina/2023-01-0403/uredba-o-izvajanju-uredb-eu-in-euratom-na-podrocju-izvajanja-evropske-kohezijske-politike-v-obdobju-2021-2027-za-cilj-nalozbe-za-rast-in-delovna-mest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vropskasredstva.si/app/uploads/2022/10/Predhodne-ocene-SI-PO2021_2027.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1DA3D9-D7D6-4CE7-A18E-A0D9CE94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16400</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MGTŠ1</dc:creator>
  <cp:keywords/>
  <dc:description/>
  <cp:lastModifiedBy>Teja Florjančič</cp:lastModifiedBy>
  <cp:revision>4</cp:revision>
  <cp:lastPrinted>2025-07-07T07:36:00Z</cp:lastPrinted>
  <dcterms:created xsi:type="dcterms:W3CDTF">2025-07-30T13:55:00Z</dcterms:created>
  <dcterms:modified xsi:type="dcterms:W3CDTF">2025-07-31T10:00:00Z</dcterms:modified>
</cp:coreProperties>
</file>