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4A03D" w14:textId="1A70F20D" w:rsidR="00BB4897" w:rsidRPr="00807137" w:rsidRDefault="00BB4897" w:rsidP="002A4DC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07137">
        <w:rPr>
          <w:rFonts w:ascii="Arial" w:hAnsi="Arial" w:cs="Arial"/>
          <w:b/>
          <w:bCs/>
          <w:sz w:val="20"/>
          <w:szCs w:val="20"/>
        </w:rPr>
        <w:t xml:space="preserve">Priloga </w:t>
      </w:r>
      <w:r w:rsidR="002C2755" w:rsidRPr="00807137">
        <w:rPr>
          <w:rFonts w:ascii="Arial" w:hAnsi="Arial" w:cs="Arial"/>
          <w:b/>
          <w:bCs/>
          <w:sz w:val="20"/>
          <w:szCs w:val="20"/>
        </w:rPr>
        <w:t>2</w:t>
      </w:r>
      <w:r w:rsidRPr="00807137">
        <w:rPr>
          <w:rFonts w:ascii="Arial" w:hAnsi="Arial" w:cs="Arial"/>
          <w:b/>
          <w:bCs/>
          <w:sz w:val="20"/>
          <w:szCs w:val="20"/>
        </w:rPr>
        <w:t xml:space="preserve">: Načrt izvajanja </w:t>
      </w:r>
      <w:bookmarkStart w:id="0" w:name="_Hlk144455189"/>
      <w:r w:rsidRPr="00807137">
        <w:rPr>
          <w:rFonts w:ascii="Arial" w:hAnsi="Arial" w:cs="Arial"/>
          <w:b/>
          <w:bCs/>
          <w:sz w:val="20"/>
          <w:szCs w:val="20"/>
        </w:rPr>
        <w:t xml:space="preserve">finančnega inženiringa »Ukrep finančnega inženiringa v obliki posojilnega sklada </w:t>
      </w:r>
      <w:bookmarkEnd w:id="0"/>
      <w:r w:rsidR="002C2755" w:rsidRPr="00807137">
        <w:rPr>
          <w:rFonts w:ascii="Arial" w:hAnsi="Arial" w:cs="Arial"/>
          <w:b/>
          <w:bCs/>
          <w:sz w:val="20"/>
          <w:szCs w:val="20"/>
        </w:rPr>
        <w:t>za financiranje likvidnosti in proticikličnega delovanja</w:t>
      </w:r>
      <w:r w:rsidRPr="00807137">
        <w:rPr>
          <w:rFonts w:ascii="Arial" w:hAnsi="Arial" w:cs="Arial"/>
          <w:b/>
          <w:bCs/>
          <w:sz w:val="20"/>
          <w:szCs w:val="20"/>
        </w:rPr>
        <w:t xml:space="preserve">« </w:t>
      </w:r>
    </w:p>
    <w:p w14:paraId="2AAF7C5A" w14:textId="77777777" w:rsidR="00BB4897" w:rsidRPr="00807137" w:rsidRDefault="00BB4897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8D0F9E" w14:textId="5EC74CD1" w:rsidR="00BB4897" w:rsidRPr="00807137" w:rsidRDefault="00BB4897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7137">
        <w:rPr>
          <w:rFonts w:ascii="Arial" w:hAnsi="Arial" w:cs="Arial"/>
          <w:sz w:val="20"/>
          <w:szCs w:val="20"/>
        </w:rPr>
        <w:t>Skladno s četrtim odstavkom 13. člena Zakona o javnih financah (Uradni list RS, št. 11/11 – uradno prečiščeno besedilo, 14/13 – popr., 101/13, 55/15 – ZFisP, 96/15 – ZIPRS1617, 13/18, 195/20 – odl. US, 18/23 – ZDU-1O, 76/23, 24/25 – ZFisP-1 in 39/25) ministrstvo pristojno za gospodarstvo (v nadaljevanju</w:t>
      </w:r>
      <w:r w:rsidR="0025406A">
        <w:rPr>
          <w:rFonts w:ascii="Arial" w:hAnsi="Arial" w:cs="Arial"/>
          <w:sz w:val="20"/>
          <w:szCs w:val="20"/>
        </w:rPr>
        <w:t>:</w:t>
      </w:r>
      <w:r w:rsidRPr="00807137">
        <w:rPr>
          <w:rFonts w:ascii="Arial" w:hAnsi="Arial" w:cs="Arial"/>
          <w:sz w:val="20"/>
          <w:szCs w:val="20"/>
        </w:rPr>
        <w:t xml:space="preserve"> ministrstvo)</w:t>
      </w:r>
      <w:r w:rsidR="00E22443" w:rsidRPr="00807137">
        <w:rPr>
          <w:rFonts w:ascii="Arial" w:hAnsi="Arial" w:cs="Arial"/>
          <w:sz w:val="20"/>
          <w:szCs w:val="20"/>
        </w:rPr>
        <w:t xml:space="preserve"> </w:t>
      </w:r>
      <w:r w:rsidRPr="00807137">
        <w:rPr>
          <w:rFonts w:ascii="Arial" w:hAnsi="Arial" w:cs="Arial"/>
          <w:sz w:val="20"/>
          <w:szCs w:val="20"/>
        </w:rPr>
        <w:t xml:space="preserve">za </w:t>
      </w:r>
      <w:r w:rsidR="00F650E7" w:rsidRPr="00807137">
        <w:rPr>
          <w:rFonts w:ascii="Arial" w:hAnsi="Arial" w:cs="Arial"/>
          <w:sz w:val="20"/>
          <w:szCs w:val="20"/>
        </w:rPr>
        <w:t>»</w:t>
      </w:r>
      <w:r w:rsidR="00CF4ACC">
        <w:rPr>
          <w:rFonts w:ascii="Arial" w:hAnsi="Arial" w:cs="Arial"/>
          <w:sz w:val="20"/>
          <w:szCs w:val="20"/>
        </w:rPr>
        <w:t>U</w:t>
      </w:r>
      <w:r w:rsidRPr="00807137">
        <w:rPr>
          <w:rFonts w:ascii="Arial" w:hAnsi="Arial" w:cs="Arial"/>
          <w:sz w:val="20"/>
          <w:szCs w:val="20"/>
        </w:rPr>
        <w:t xml:space="preserve">krep finančnega inženiringa v obliki posojilnega sklada za </w:t>
      </w:r>
      <w:r w:rsidR="002C2755" w:rsidRPr="00807137">
        <w:rPr>
          <w:rFonts w:ascii="Arial" w:hAnsi="Arial" w:cs="Arial"/>
          <w:sz w:val="20"/>
          <w:szCs w:val="20"/>
        </w:rPr>
        <w:t>financiranje likvidnosti in proti</w:t>
      </w:r>
      <w:r w:rsidR="0025406A">
        <w:rPr>
          <w:rFonts w:ascii="Arial" w:hAnsi="Arial" w:cs="Arial"/>
          <w:sz w:val="20"/>
          <w:szCs w:val="20"/>
        </w:rPr>
        <w:t xml:space="preserve"> </w:t>
      </w:r>
      <w:r w:rsidR="002C2755" w:rsidRPr="00807137">
        <w:rPr>
          <w:rFonts w:ascii="Arial" w:hAnsi="Arial" w:cs="Arial"/>
          <w:sz w:val="20"/>
          <w:szCs w:val="20"/>
        </w:rPr>
        <w:t>cikličnega delovanja</w:t>
      </w:r>
      <w:r w:rsidR="00F650E7" w:rsidRPr="00807137">
        <w:rPr>
          <w:rFonts w:ascii="Arial" w:hAnsi="Arial" w:cs="Arial"/>
          <w:sz w:val="20"/>
          <w:szCs w:val="20"/>
        </w:rPr>
        <w:t>«</w:t>
      </w:r>
      <w:r w:rsidRPr="00807137">
        <w:rPr>
          <w:rFonts w:ascii="Arial" w:hAnsi="Arial" w:cs="Arial"/>
          <w:sz w:val="20"/>
          <w:szCs w:val="20"/>
        </w:rPr>
        <w:t xml:space="preserve"> pripravi </w:t>
      </w:r>
      <w:r w:rsidR="0025406A">
        <w:rPr>
          <w:rFonts w:ascii="Arial" w:hAnsi="Arial" w:cs="Arial"/>
          <w:sz w:val="20"/>
          <w:szCs w:val="20"/>
        </w:rPr>
        <w:t>»</w:t>
      </w:r>
      <w:r w:rsidRPr="00807137">
        <w:rPr>
          <w:rFonts w:ascii="Arial" w:hAnsi="Arial" w:cs="Arial"/>
          <w:sz w:val="20"/>
          <w:szCs w:val="20"/>
        </w:rPr>
        <w:t>Načrt izvajanja finančnega instrumenta</w:t>
      </w:r>
      <w:r w:rsidR="00B2697A">
        <w:rPr>
          <w:rFonts w:ascii="Arial" w:hAnsi="Arial" w:cs="Arial"/>
          <w:sz w:val="20"/>
          <w:szCs w:val="20"/>
        </w:rPr>
        <w:t>«</w:t>
      </w:r>
      <w:r w:rsidRPr="00807137">
        <w:rPr>
          <w:rFonts w:ascii="Arial" w:hAnsi="Arial" w:cs="Arial"/>
          <w:sz w:val="20"/>
          <w:szCs w:val="20"/>
        </w:rPr>
        <w:t xml:space="preserve"> (</w:t>
      </w:r>
      <w:r w:rsidR="00B2697A">
        <w:rPr>
          <w:rFonts w:ascii="Arial" w:hAnsi="Arial" w:cs="Arial"/>
          <w:sz w:val="20"/>
          <w:szCs w:val="20"/>
        </w:rPr>
        <w:t xml:space="preserve">v nadaljevanju: </w:t>
      </w:r>
      <w:r w:rsidRPr="00807137">
        <w:rPr>
          <w:rFonts w:ascii="Arial" w:hAnsi="Arial" w:cs="Arial"/>
          <w:sz w:val="20"/>
          <w:szCs w:val="20"/>
        </w:rPr>
        <w:t>NIFI)</w:t>
      </w:r>
      <w:r w:rsidR="00F650E7" w:rsidRPr="00807137">
        <w:rPr>
          <w:rFonts w:ascii="Arial" w:hAnsi="Arial" w:cs="Arial"/>
          <w:sz w:val="20"/>
          <w:szCs w:val="20"/>
        </w:rPr>
        <w:t>.</w:t>
      </w:r>
    </w:p>
    <w:p w14:paraId="7F7D6AA2" w14:textId="77777777" w:rsidR="002A4DC3" w:rsidRPr="00807137" w:rsidRDefault="002A4DC3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9CD53A" w14:textId="77777777" w:rsidR="00BB4897" w:rsidRPr="00807137" w:rsidRDefault="00BB4897" w:rsidP="002A4DC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Toc51325415"/>
      <w:bookmarkStart w:id="2" w:name="_Toc139558246"/>
      <w:r w:rsidRPr="00807137">
        <w:rPr>
          <w:rFonts w:ascii="Arial" w:hAnsi="Arial" w:cs="Arial"/>
          <w:b/>
          <w:bCs/>
          <w:sz w:val="20"/>
          <w:szCs w:val="20"/>
        </w:rPr>
        <w:t>UVODNO POJASNILO</w:t>
      </w:r>
      <w:bookmarkEnd w:id="1"/>
      <w:bookmarkEnd w:id="2"/>
    </w:p>
    <w:p w14:paraId="44150FE8" w14:textId="77777777" w:rsidR="002A4DC3" w:rsidRPr="00807137" w:rsidRDefault="002A4DC3" w:rsidP="002A4DC3">
      <w:pPr>
        <w:spacing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3F7BCCE2" w14:textId="37F5CABC" w:rsidR="00E15D6D" w:rsidRPr="00807137" w:rsidRDefault="00F650E7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7137">
        <w:rPr>
          <w:rFonts w:ascii="Arial" w:hAnsi="Arial" w:cs="Arial"/>
          <w:sz w:val="20"/>
          <w:szCs w:val="20"/>
        </w:rPr>
        <w:t>Slovenija in tudi Evropska unija kot celota izgublja</w:t>
      </w:r>
      <w:r w:rsidR="00677535">
        <w:rPr>
          <w:rFonts w:ascii="Arial" w:hAnsi="Arial" w:cs="Arial"/>
          <w:sz w:val="20"/>
          <w:szCs w:val="20"/>
        </w:rPr>
        <w:t>ta</w:t>
      </w:r>
      <w:r w:rsidRPr="00807137">
        <w:rPr>
          <w:rFonts w:ascii="Arial" w:hAnsi="Arial" w:cs="Arial"/>
          <w:sz w:val="20"/>
          <w:szCs w:val="20"/>
        </w:rPr>
        <w:t xml:space="preserve"> </w:t>
      </w:r>
      <w:r w:rsidR="001657D1">
        <w:rPr>
          <w:rFonts w:ascii="Arial" w:hAnsi="Arial" w:cs="Arial"/>
          <w:sz w:val="20"/>
          <w:szCs w:val="20"/>
        </w:rPr>
        <w:t>v</w:t>
      </w:r>
      <w:r w:rsidRPr="00807137">
        <w:rPr>
          <w:rFonts w:ascii="Arial" w:hAnsi="Arial" w:cs="Arial"/>
          <w:sz w:val="20"/>
          <w:szCs w:val="20"/>
        </w:rPr>
        <w:t xml:space="preserve"> globalni tekmi za konkurenčnost in produktivnost. Za odpravo večjega inovacijskega razkoraka za ZDA in Kitajsko je potrebno znatno višati vlaganja v raziskave, razvoj in inovacije ter predvsem v napredne tehnologije, kar izhaja tudi iz Draghi</w:t>
      </w:r>
      <w:r w:rsidR="00B2697A">
        <w:rPr>
          <w:rFonts w:ascii="Arial" w:hAnsi="Arial" w:cs="Arial"/>
          <w:sz w:val="20"/>
          <w:szCs w:val="20"/>
        </w:rPr>
        <w:t>jevega</w:t>
      </w:r>
      <w:r w:rsidRPr="00807137">
        <w:rPr>
          <w:rFonts w:ascii="Arial" w:hAnsi="Arial" w:cs="Arial"/>
          <w:sz w:val="20"/>
          <w:szCs w:val="20"/>
        </w:rPr>
        <w:t xml:space="preserve"> poročila »A competitiveness strategy for Europe, Part A</w:t>
      </w:r>
      <w:r w:rsidR="002A10F3">
        <w:rPr>
          <w:rFonts w:ascii="Arial" w:hAnsi="Arial" w:cs="Arial"/>
          <w:sz w:val="20"/>
          <w:szCs w:val="20"/>
        </w:rPr>
        <w:t>«</w:t>
      </w:r>
      <w:r w:rsidRPr="00807137">
        <w:rPr>
          <w:rFonts w:ascii="Arial" w:hAnsi="Arial" w:cs="Arial"/>
          <w:sz w:val="20"/>
          <w:szCs w:val="20"/>
        </w:rPr>
        <w:t xml:space="preserve">. Slovenija je v letu 2024 padla na lestvici globalne </w:t>
      </w:r>
      <w:r w:rsidR="00E15D6D" w:rsidRPr="00807137">
        <w:rPr>
          <w:rFonts w:ascii="Arial" w:hAnsi="Arial" w:cs="Arial"/>
          <w:sz w:val="20"/>
          <w:szCs w:val="20"/>
        </w:rPr>
        <w:t>konkurenčnosti</w:t>
      </w:r>
      <w:r w:rsidRPr="00807137">
        <w:rPr>
          <w:rFonts w:ascii="Arial" w:hAnsi="Arial" w:cs="Arial"/>
          <w:sz w:val="20"/>
          <w:szCs w:val="20"/>
        </w:rPr>
        <w:t xml:space="preserve"> za štiri mesta in zaseda </w:t>
      </w:r>
      <w:r w:rsidR="00E15D6D" w:rsidRPr="00807137">
        <w:rPr>
          <w:rFonts w:ascii="Arial" w:hAnsi="Arial" w:cs="Arial"/>
          <w:sz w:val="20"/>
          <w:szCs w:val="20"/>
        </w:rPr>
        <w:t>trenutno</w:t>
      </w:r>
      <w:r w:rsidRPr="00807137">
        <w:rPr>
          <w:rFonts w:ascii="Arial" w:hAnsi="Arial" w:cs="Arial"/>
          <w:sz w:val="20"/>
          <w:szCs w:val="20"/>
        </w:rPr>
        <w:t xml:space="preserve"> 46. mesto, kot navaja Evropski inovacijski indeks 2024 – zmerni napredek Slovenije in novi izzivi.</w:t>
      </w:r>
      <w:r w:rsidR="00E15D6D" w:rsidRPr="00807137">
        <w:rPr>
          <w:rFonts w:ascii="Arial" w:hAnsi="Arial" w:cs="Arial"/>
          <w:sz w:val="20"/>
          <w:szCs w:val="20"/>
        </w:rPr>
        <w:t xml:space="preserve"> Podjetja so v okviru ankete Banke Slovenije za leto 2024 poročala, da so bila previdna in so vložila manj zahtev za pridobitev zunanjih virov financiranja predvsem zaradi negotovosti v ekonomskem okolju. Poleg tega se </w:t>
      </w:r>
      <w:r w:rsidR="00B2697A">
        <w:rPr>
          <w:rFonts w:ascii="Arial" w:hAnsi="Arial" w:cs="Arial"/>
          <w:sz w:val="20"/>
          <w:szCs w:val="20"/>
        </w:rPr>
        <w:t xml:space="preserve">v </w:t>
      </w:r>
      <w:r w:rsidR="00E15D6D" w:rsidRPr="00807137">
        <w:rPr>
          <w:rFonts w:ascii="Arial" w:hAnsi="Arial" w:cs="Arial"/>
          <w:sz w:val="20"/>
          <w:szCs w:val="20"/>
        </w:rPr>
        <w:t>podjetj</w:t>
      </w:r>
      <w:r w:rsidR="00B2697A">
        <w:rPr>
          <w:rFonts w:ascii="Arial" w:hAnsi="Arial" w:cs="Arial"/>
          <w:sz w:val="20"/>
          <w:szCs w:val="20"/>
        </w:rPr>
        <w:t>ih</w:t>
      </w:r>
      <w:r w:rsidR="00E15D6D" w:rsidRPr="00807137">
        <w:rPr>
          <w:rFonts w:ascii="Arial" w:hAnsi="Arial" w:cs="Arial"/>
          <w:sz w:val="20"/>
          <w:szCs w:val="20"/>
        </w:rPr>
        <w:t xml:space="preserve"> povečuje potreba po likvidnostnih sredstvih (obratni kapital) zaradi povečanja stroškov dela zaradi novih zaposlitev, izobraževanja zaposlenih, povečanja zalog in materiala, povečanja prodaje, ipd..</w:t>
      </w:r>
    </w:p>
    <w:p w14:paraId="520A911B" w14:textId="77777777" w:rsidR="002A4DC3" w:rsidRPr="00807137" w:rsidRDefault="002A4DC3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AF5C9D" w14:textId="3F2079A7" w:rsidR="00E15D6D" w:rsidRPr="00807137" w:rsidRDefault="00E15D6D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7137">
        <w:rPr>
          <w:rFonts w:ascii="Arial" w:hAnsi="Arial" w:cs="Arial"/>
          <w:sz w:val="20"/>
          <w:szCs w:val="20"/>
        </w:rPr>
        <w:t xml:space="preserve">Za dosego preboja različna poročila in analize izpostavljajo potrebo po sistemskih ukrepih (Poročilo o produktivnosti 2023, UMAR). Zaradi navedenega je potrebna močna javna spodbuda, ki bo </w:t>
      </w:r>
      <w:r w:rsidR="00677535">
        <w:rPr>
          <w:rFonts w:ascii="Arial" w:hAnsi="Arial" w:cs="Arial"/>
          <w:sz w:val="20"/>
          <w:szCs w:val="20"/>
        </w:rPr>
        <w:t>večje</w:t>
      </w:r>
      <w:r w:rsidRPr="00807137">
        <w:rPr>
          <w:rFonts w:ascii="Arial" w:hAnsi="Arial" w:cs="Arial"/>
          <w:sz w:val="20"/>
          <w:szCs w:val="20"/>
        </w:rPr>
        <w:t xml:space="preserve"> števil</w:t>
      </w:r>
      <w:r w:rsidR="00677535">
        <w:rPr>
          <w:rFonts w:ascii="Arial" w:hAnsi="Arial" w:cs="Arial"/>
          <w:sz w:val="20"/>
          <w:szCs w:val="20"/>
        </w:rPr>
        <w:t>o</w:t>
      </w:r>
      <w:r w:rsidRPr="00807137">
        <w:rPr>
          <w:rFonts w:ascii="Arial" w:hAnsi="Arial" w:cs="Arial"/>
          <w:sz w:val="20"/>
          <w:szCs w:val="20"/>
        </w:rPr>
        <w:t xml:space="preserve"> podjetij </w:t>
      </w:r>
      <w:r w:rsidR="00677535">
        <w:rPr>
          <w:rFonts w:ascii="Arial" w:hAnsi="Arial" w:cs="Arial"/>
          <w:sz w:val="20"/>
          <w:szCs w:val="20"/>
        </w:rPr>
        <w:t>spodbudila k odločitvi</w:t>
      </w:r>
      <w:r w:rsidRPr="00807137">
        <w:rPr>
          <w:rFonts w:ascii="Arial" w:hAnsi="Arial" w:cs="Arial"/>
          <w:sz w:val="20"/>
          <w:szCs w:val="20"/>
        </w:rPr>
        <w:t xml:space="preserve"> za vlaganja v raziskave, razvoj in inovacije ter kakovostna vlaganja v nadaljnjo rast in razvoj ter prestrukturiranje podjetij skladno z mednarodnimi zelenimi in digitalnimi usmeritvami, uvajanjem visokotehnoloških rešitev, robotizacije in modernizacije samega poslovanja.</w:t>
      </w:r>
      <w:r w:rsidR="00CF4ACC">
        <w:rPr>
          <w:rFonts w:ascii="Arial" w:hAnsi="Arial" w:cs="Arial"/>
          <w:sz w:val="20"/>
          <w:szCs w:val="20"/>
        </w:rPr>
        <w:t xml:space="preserve"> </w:t>
      </w:r>
      <w:r w:rsidRPr="00807137">
        <w:rPr>
          <w:rFonts w:ascii="Arial" w:hAnsi="Arial" w:cs="Arial"/>
          <w:sz w:val="20"/>
          <w:szCs w:val="20"/>
        </w:rPr>
        <w:t>Zaradi navedenega bo SID banka v sodelovanju z državo vzpostavila mehanizem finančnega inženiringa, s katerim bo za podjetja ustvarila optimalno okolje za srednjeročno in dolgoročno načrtovanje investicij ter jih tako stimulirala k sprejemu investicijskih odločitev, ki so glede na Draghijevo poročilo nujno potrebne.</w:t>
      </w:r>
    </w:p>
    <w:p w14:paraId="52433E8E" w14:textId="77777777" w:rsidR="002A4DC3" w:rsidRPr="00807137" w:rsidRDefault="002A4DC3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76B9C8" w14:textId="0CB84DD6" w:rsidR="00BB4897" w:rsidRPr="00807137" w:rsidRDefault="00E15D6D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7137">
        <w:rPr>
          <w:rFonts w:ascii="Arial" w:hAnsi="Arial" w:cs="Arial"/>
          <w:sz w:val="20"/>
          <w:szCs w:val="20"/>
        </w:rPr>
        <w:t xml:space="preserve">Ukrep finančnega inženiringa podjetjem </w:t>
      </w:r>
      <w:r w:rsidR="00677535">
        <w:rPr>
          <w:rFonts w:ascii="Arial" w:hAnsi="Arial" w:cs="Arial"/>
          <w:sz w:val="20"/>
          <w:szCs w:val="20"/>
        </w:rPr>
        <w:t>o</w:t>
      </w:r>
      <w:r w:rsidR="002A4DC3" w:rsidRPr="00807137">
        <w:rPr>
          <w:rFonts w:ascii="Arial" w:hAnsi="Arial" w:cs="Arial"/>
          <w:sz w:val="20"/>
          <w:szCs w:val="20"/>
        </w:rPr>
        <w:t>mogoča</w:t>
      </w:r>
      <w:r w:rsidRPr="00807137">
        <w:rPr>
          <w:rFonts w:ascii="Arial" w:hAnsi="Arial" w:cs="Arial"/>
          <w:sz w:val="20"/>
          <w:szCs w:val="20"/>
        </w:rPr>
        <w:t xml:space="preserve"> pridobitev ugodnega in dolgoročnega finančnega vira, ki na </w:t>
      </w:r>
      <w:r w:rsidR="002A4DC3" w:rsidRPr="00807137">
        <w:rPr>
          <w:rFonts w:ascii="Arial" w:hAnsi="Arial" w:cs="Arial"/>
          <w:sz w:val="20"/>
          <w:szCs w:val="20"/>
        </w:rPr>
        <w:t>mesečni</w:t>
      </w:r>
      <w:r w:rsidRPr="00807137">
        <w:rPr>
          <w:rFonts w:ascii="Arial" w:hAnsi="Arial" w:cs="Arial"/>
          <w:sz w:val="20"/>
          <w:szCs w:val="20"/>
        </w:rPr>
        <w:t xml:space="preserve"> ravni pretirano ne obremeni denarnega toka. Poleg tega ukrepi finančnega inženiringa multiplicirajo sredstva proračuna RS, namenjena financiranju razvojne vrzeli, saj tako prejemnik sredstev kot tudi izvajalec finančnega inženiringa (</w:t>
      </w:r>
      <w:r w:rsidR="00677535">
        <w:rPr>
          <w:rFonts w:ascii="Arial" w:hAnsi="Arial" w:cs="Arial"/>
          <w:sz w:val="20"/>
          <w:szCs w:val="20"/>
        </w:rPr>
        <w:t xml:space="preserve">t. j. </w:t>
      </w:r>
      <w:r w:rsidRPr="00807137">
        <w:rPr>
          <w:rFonts w:ascii="Arial" w:hAnsi="Arial" w:cs="Arial"/>
          <w:sz w:val="20"/>
          <w:szCs w:val="20"/>
        </w:rPr>
        <w:t>SID banka) doda večinski delež virov financiranja, kar na enoto vložka države generira večji obseg financiranja.</w:t>
      </w:r>
    </w:p>
    <w:p w14:paraId="0407DDC4" w14:textId="77777777" w:rsidR="006953B4" w:rsidRPr="00807137" w:rsidRDefault="006953B4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266AFE" w14:textId="6DBE0DA8" w:rsidR="002A4DC3" w:rsidRPr="00807137" w:rsidRDefault="00BB4897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7137">
        <w:rPr>
          <w:rFonts w:ascii="Arial" w:hAnsi="Arial" w:cs="Arial"/>
          <w:sz w:val="20"/>
          <w:szCs w:val="20"/>
        </w:rPr>
        <w:t>NIFI je sestavni del obrazložitve predloga proračuna države in za potrebe izvajanja proračuna</w:t>
      </w:r>
      <w:r w:rsidR="00E15D6D" w:rsidRPr="00807137">
        <w:rPr>
          <w:rFonts w:ascii="Arial" w:hAnsi="Arial" w:cs="Arial"/>
          <w:sz w:val="20"/>
          <w:szCs w:val="20"/>
        </w:rPr>
        <w:t xml:space="preserve"> RS </w:t>
      </w:r>
      <w:r w:rsidRPr="00807137">
        <w:rPr>
          <w:rFonts w:ascii="Arial" w:hAnsi="Arial" w:cs="Arial"/>
          <w:sz w:val="20"/>
          <w:szCs w:val="20"/>
        </w:rPr>
        <w:t>vključuje opis ukrepa</w:t>
      </w:r>
      <w:r w:rsidR="00E15D6D" w:rsidRPr="00807137">
        <w:rPr>
          <w:rFonts w:ascii="Arial" w:hAnsi="Arial" w:cs="Arial"/>
          <w:sz w:val="20"/>
          <w:szCs w:val="20"/>
        </w:rPr>
        <w:t xml:space="preserve">, </w:t>
      </w:r>
      <w:r w:rsidR="002A4DC3" w:rsidRPr="00807137">
        <w:rPr>
          <w:rFonts w:ascii="Arial" w:hAnsi="Arial" w:cs="Arial"/>
          <w:sz w:val="20"/>
          <w:szCs w:val="20"/>
        </w:rPr>
        <w:t>oblik</w:t>
      </w:r>
      <w:r w:rsidR="006953B4" w:rsidRPr="00807137">
        <w:rPr>
          <w:rFonts w:ascii="Arial" w:hAnsi="Arial" w:cs="Arial"/>
          <w:sz w:val="20"/>
          <w:szCs w:val="20"/>
        </w:rPr>
        <w:t>o</w:t>
      </w:r>
      <w:r w:rsidR="002A4DC3" w:rsidRPr="00807137">
        <w:rPr>
          <w:rFonts w:ascii="Arial" w:hAnsi="Arial" w:cs="Arial"/>
          <w:sz w:val="20"/>
          <w:szCs w:val="20"/>
        </w:rPr>
        <w:t xml:space="preserve"> financiranja</w:t>
      </w:r>
      <w:r w:rsidR="006953B4" w:rsidRPr="00807137">
        <w:rPr>
          <w:rFonts w:ascii="Arial" w:hAnsi="Arial" w:cs="Arial"/>
          <w:sz w:val="20"/>
          <w:szCs w:val="20"/>
        </w:rPr>
        <w:t>,</w:t>
      </w:r>
      <w:r w:rsidR="002A4DC3" w:rsidRPr="00807137">
        <w:rPr>
          <w:rFonts w:ascii="Arial" w:hAnsi="Arial" w:cs="Arial"/>
          <w:sz w:val="20"/>
          <w:szCs w:val="20"/>
        </w:rPr>
        <w:t xml:space="preserve"> končn</w:t>
      </w:r>
      <w:r w:rsidR="006953B4" w:rsidRPr="00807137">
        <w:rPr>
          <w:rFonts w:ascii="Arial" w:hAnsi="Arial" w:cs="Arial"/>
          <w:sz w:val="20"/>
          <w:szCs w:val="20"/>
        </w:rPr>
        <w:t>e</w:t>
      </w:r>
      <w:r w:rsidR="002A4DC3" w:rsidRPr="00807137">
        <w:rPr>
          <w:rFonts w:ascii="Arial" w:hAnsi="Arial" w:cs="Arial"/>
          <w:sz w:val="20"/>
          <w:szCs w:val="20"/>
        </w:rPr>
        <w:t xml:space="preserve"> prejemnik</w:t>
      </w:r>
      <w:r w:rsidR="006953B4" w:rsidRPr="00807137">
        <w:rPr>
          <w:rFonts w:ascii="Arial" w:hAnsi="Arial" w:cs="Arial"/>
          <w:sz w:val="20"/>
          <w:szCs w:val="20"/>
        </w:rPr>
        <w:t>e</w:t>
      </w:r>
      <w:r w:rsidR="002A4DC3" w:rsidRPr="00807137">
        <w:rPr>
          <w:rFonts w:ascii="Arial" w:hAnsi="Arial" w:cs="Arial"/>
          <w:sz w:val="20"/>
          <w:szCs w:val="20"/>
        </w:rPr>
        <w:t xml:space="preserve">, obseg sredstev za izvajanje ukrepa, višina izplačila izvajalcu posojilnega sklada finančnega inženiringa in ocenjen obseg in dinamika odobritev sredstev. </w:t>
      </w:r>
    </w:p>
    <w:p w14:paraId="071739F6" w14:textId="77777777" w:rsidR="002A4DC3" w:rsidRPr="00807137" w:rsidRDefault="002A4DC3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C202A0" w14:textId="3716BDAB" w:rsidR="00BB4897" w:rsidRPr="00807137" w:rsidRDefault="002A4DC3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7137">
        <w:rPr>
          <w:rFonts w:ascii="Arial" w:hAnsi="Arial" w:cs="Arial"/>
          <w:sz w:val="20"/>
          <w:szCs w:val="20"/>
        </w:rPr>
        <w:t xml:space="preserve">Vse pa bo podrobneje predstavljeno v </w:t>
      </w:r>
      <w:r w:rsidR="00E15D6D" w:rsidRPr="00807137">
        <w:rPr>
          <w:rFonts w:ascii="Arial" w:hAnsi="Arial" w:cs="Arial"/>
          <w:sz w:val="20"/>
          <w:szCs w:val="20"/>
        </w:rPr>
        <w:t>dokumentu</w:t>
      </w:r>
      <w:r w:rsidR="00BB4897" w:rsidRPr="00807137">
        <w:rPr>
          <w:rFonts w:ascii="Arial" w:hAnsi="Arial" w:cs="Arial"/>
          <w:sz w:val="20"/>
          <w:szCs w:val="20"/>
        </w:rPr>
        <w:t xml:space="preserve"> Ključni elementi </w:t>
      </w:r>
      <w:r w:rsidR="00E15D6D" w:rsidRPr="00807137">
        <w:rPr>
          <w:rFonts w:ascii="Arial" w:hAnsi="Arial" w:cs="Arial"/>
          <w:sz w:val="20"/>
          <w:szCs w:val="20"/>
        </w:rPr>
        <w:t>fi</w:t>
      </w:r>
      <w:r w:rsidR="00BB4897" w:rsidRPr="00807137">
        <w:rPr>
          <w:rFonts w:ascii="Arial" w:hAnsi="Arial" w:cs="Arial"/>
          <w:sz w:val="20"/>
          <w:szCs w:val="20"/>
        </w:rPr>
        <w:t xml:space="preserve">nančnega instrumenta, ki </w:t>
      </w:r>
      <w:r w:rsidR="00E15D6D" w:rsidRPr="00807137">
        <w:rPr>
          <w:rFonts w:ascii="Arial" w:hAnsi="Arial" w:cs="Arial"/>
          <w:sz w:val="20"/>
          <w:szCs w:val="20"/>
        </w:rPr>
        <w:t>ga bo v nadaljnji fazi</w:t>
      </w:r>
      <w:r w:rsidR="00BB4897" w:rsidRPr="00807137">
        <w:rPr>
          <w:rFonts w:ascii="Arial" w:hAnsi="Arial" w:cs="Arial"/>
          <w:sz w:val="20"/>
          <w:szCs w:val="20"/>
        </w:rPr>
        <w:t xml:space="preserve"> obravnava</w:t>
      </w:r>
      <w:r w:rsidR="00E15D6D" w:rsidRPr="00807137">
        <w:rPr>
          <w:rFonts w:ascii="Arial" w:hAnsi="Arial" w:cs="Arial"/>
          <w:sz w:val="20"/>
          <w:szCs w:val="20"/>
        </w:rPr>
        <w:t>la</w:t>
      </w:r>
      <w:r w:rsidR="00BB4897" w:rsidRPr="00807137">
        <w:rPr>
          <w:rFonts w:ascii="Arial" w:hAnsi="Arial" w:cs="Arial"/>
          <w:sz w:val="20"/>
          <w:szCs w:val="20"/>
        </w:rPr>
        <w:t xml:space="preserve"> Vlada RS</w:t>
      </w:r>
      <w:r w:rsidRPr="00807137">
        <w:rPr>
          <w:rFonts w:ascii="Arial" w:hAnsi="Arial" w:cs="Arial"/>
          <w:sz w:val="20"/>
          <w:szCs w:val="20"/>
        </w:rPr>
        <w:t>.</w:t>
      </w:r>
    </w:p>
    <w:p w14:paraId="3DA81953" w14:textId="77777777" w:rsidR="006569B0" w:rsidRPr="00807137" w:rsidRDefault="006569B0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EB8D37" w14:textId="35D86CE6" w:rsidR="00BB4897" w:rsidRPr="00807137" w:rsidRDefault="00BB4897" w:rsidP="002A4DC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3" w:name="_Toc51325416"/>
      <w:bookmarkStart w:id="4" w:name="_Toc139558247"/>
      <w:r w:rsidRPr="00807137">
        <w:rPr>
          <w:rFonts w:ascii="Arial" w:hAnsi="Arial" w:cs="Arial"/>
          <w:b/>
          <w:bCs/>
          <w:sz w:val="20"/>
          <w:szCs w:val="20"/>
        </w:rPr>
        <w:t>OBSEG</w:t>
      </w:r>
      <w:r w:rsidR="006953B4" w:rsidRPr="00807137">
        <w:rPr>
          <w:rFonts w:ascii="Arial" w:hAnsi="Arial" w:cs="Arial"/>
          <w:b/>
          <w:bCs/>
          <w:sz w:val="20"/>
          <w:szCs w:val="20"/>
        </w:rPr>
        <w:t xml:space="preserve"> IN NAMEN SREDSTEV, KONČNI PREJEMNIKI</w:t>
      </w:r>
      <w:r w:rsidRPr="00807137">
        <w:rPr>
          <w:rFonts w:ascii="Arial" w:hAnsi="Arial" w:cs="Arial"/>
          <w:b/>
          <w:bCs/>
          <w:sz w:val="20"/>
          <w:szCs w:val="20"/>
        </w:rPr>
        <w:t xml:space="preserve"> IN </w:t>
      </w:r>
      <w:bookmarkEnd w:id="3"/>
      <w:bookmarkEnd w:id="4"/>
      <w:r w:rsidR="006953B4" w:rsidRPr="00807137">
        <w:rPr>
          <w:rFonts w:ascii="Arial" w:hAnsi="Arial" w:cs="Arial"/>
          <w:b/>
          <w:bCs/>
          <w:sz w:val="20"/>
          <w:szCs w:val="20"/>
        </w:rPr>
        <w:t>UPRAVLJAVEC SREDSTEV</w:t>
      </w:r>
    </w:p>
    <w:p w14:paraId="38A24A47" w14:textId="77777777" w:rsidR="002A4DC3" w:rsidRPr="00807137" w:rsidRDefault="002A4DC3" w:rsidP="002A4DC3">
      <w:pPr>
        <w:spacing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2BC798EF" w14:textId="4ABC9652" w:rsidR="002A4DC3" w:rsidRPr="00807137" w:rsidRDefault="006953B4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697A">
        <w:rPr>
          <w:rFonts w:ascii="Arial" w:hAnsi="Arial" w:cs="Arial"/>
          <w:sz w:val="20"/>
          <w:szCs w:val="20"/>
          <w:u w:val="single"/>
        </w:rPr>
        <w:t>O</w:t>
      </w:r>
      <w:r w:rsidR="00B2697A" w:rsidRPr="00B2697A">
        <w:rPr>
          <w:rFonts w:ascii="Arial" w:hAnsi="Arial" w:cs="Arial"/>
          <w:sz w:val="20"/>
          <w:szCs w:val="20"/>
          <w:u w:val="single"/>
        </w:rPr>
        <w:t>bseg sredstev</w:t>
      </w:r>
      <w:r w:rsidRPr="00B2697A">
        <w:rPr>
          <w:rFonts w:ascii="Arial" w:hAnsi="Arial" w:cs="Arial"/>
          <w:sz w:val="20"/>
          <w:szCs w:val="20"/>
          <w:u w:val="single"/>
        </w:rPr>
        <w:t>:</w:t>
      </w:r>
      <w:r w:rsidRPr="00807137">
        <w:rPr>
          <w:rFonts w:ascii="Arial" w:hAnsi="Arial" w:cs="Arial"/>
          <w:sz w:val="20"/>
          <w:szCs w:val="20"/>
        </w:rPr>
        <w:t xml:space="preserve"> Predviden obseg sredstev proračuna RS znaša 1</w:t>
      </w:r>
      <w:r w:rsidR="002C2755" w:rsidRPr="00807137">
        <w:rPr>
          <w:rFonts w:ascii="Arial" w:hAnsi="Arial" w:cs="Arial"/>
          <w:sz w:val="20"/>
          <w:szCs w:val="20"/>
        </w:rPr>
        <w:t>5</w:t>
      </w:r>
      <w:r w:rsidRPr="00807137">
        <w:rPr>
          <w:rFonts w:ascii="Arial" w:hAnsi="Arial" w:cs="Arial"/>
          <w:sz w:val="20"/>
          <w:szCs w:val="20"/>
        </w:rPr>
        <w:t xml:space="preserve">0.000.000,00 EUR, in sicer po </w:t>
      </w:r>
      <w:r w:rsidR="002C2755" w:rsidRPr="00807137">
        <w:rPr>
          <w:rFonts w:ascii="Arial" w:hAnsi="Arial" w:cs="Arial"/>
          <w:sz w:val="20"/>
          <w:szCs w:val="20"/>
        </w:rPr>
        <w:t>5</w:t>
      </w:r>
      <w:r w:rsidRPr="00807137">
        <w:rPr>
          <w:rFonts w:ascii="Arial" w:hAnsi="Arial" w:cs="Arial"/>
          <w:sz w:val="20"/>
          <w:szCs w:val="20"/>
        </w:rPr>
        <w:t>0.000.000,00 EUR v letih 2026, 2027 in 2028. SID banka vloži 3</w:t>
      </w:r>
      <w:r w:rsidR="002C2755" w:rsidRPr="00807137">
        <w:rPr>
          <w:rFonts w:ascii="Arial" w:hAnsi="Arial" w:cs="Arial"/>
          <w:sz w:val="20"/>
          <w:szCs w:val="20"/>
        </w:rPr>
        <w:t>5</w:t>
      </w:r>
      <w:r w:rsidRPr="00807137">
        <w:rPr>
          <w:rFonts w:ascii="Arial" w:hAnsi="Arial" w:cs="Arial"/>
          <w:sz w:val="20"/>
          <w:szCs w:val="20"/>
        </w:rPr>
        <w:t>0.000.000,00 EUR lastnih sredstev.</w:t>
      </w:r>
      <w:r w:rsidR="006569B0" w:rsidRPr="00807137">
        <w:rPr>
          <w:rFonts w:ascii="Arial" w:hAnsi="Arial" w:cs="Arial"/>
          <w:sz w:val="20"/>
          <w:szCs w:val="20"/>
        </w:rPr>
        <w:t xml:space="preserve"> Skupni obseg sredstev posojilnega sklada (sredstva proračuna RS in SID banke) je 500.000.000,00 EUR.</w:t>
      </w:r>
    </w:p>
    <w:p w14:paraId="568E064B" w14:textId="77777777" w:rsidR="006569B0" w:rsidRPr="00807137" w:rsidRDefault="006569B0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575E11" w14:textId="53ED1F71" w:rsidR="002A4DC3" w:rsidRPr="00807137" w:rsidRDefault="006953B4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697A">
        <w:rPr>
          <w:rFonts w:ascii="Arial" w:hAnsi="Arial" w:cs="Arial"/>
          <w:sz w:val="20"/>
          <w:szCs w:val="20"/>
          <w:u w:val="single"/>
        </w:rPr>
        <w:t>N</w:t>
      </w:r>
      <w:r w:rsidR="00B2697A" w:rsidRPr="00B2697A">
        <w:rPr>
          <w:rFonts w:ascii="Arial" w:hAnsi="Arial" w:cs="Arial"/>
          <w:sz w:val="20"/>
          <w:szCs w:val="20"/>
          <w:u w:val="single"/>
        </w:rPr>
        <w:t>amen</w:t>
      </w:r>
      <w:r w:rsidRPr="00B2697A">
        <w:rPr>
          <w:rFonts w:ascii="Arial" w:hAnsi="Arial" w:cs="Arial"/>
          <w:sz w:val="20"/>
          <w:szCs w:val="20"/>
          <w:u w:val="single"/>
        </w:rPr>
        <w:t>:</w:t>
      </w:r>
      <w:r w:rsidRPr="00807137">
        <w:rPr>
          <w:rFonts w:ascii="Arial" w:hAnsi="Arial" w:cs="Arial"/>
          <w:sz w:val="20"/>
          <w:szCs w:val="20"/>
        </w:rPr>
        <w:t xml:space="preserve"> </w:t>
      </w:r>
      <w:r w:rsidR="002A4DC3" w:rsidRPr="00807137">
        <w:rPr>
          <w:rFonts w:ascii="Arial" w:hAnsi="Arial" w:cs="Arial"/>
          <w:sz w:val="20"/>
          <w:szCs w:val="20"/>
        </w:rPr>
        <w:t xml:space="preserve">Sredstva so namenjena za </w:t>
      </w:r>
      <w:r w:rsidR="002C2755" w:rsidRPr="00807137">
        <w:rPr>
          <w:rFonts w:ascii="Arial" w:hAnsi="Arial" w:cs="Arial"/>
          <w:sz w:val="20"/>
          <w:szCs w:val="20"/>
        </w:rPr>
        <w:t xml:space="preserve">intervencijsko financiranje podjetij </w:t>
      </w:r>
      <w:r w:rsidR="00677535">
        <w:rPr>
          <w:rFonts w:ascii="Arial" w:hAnsi="Arial" w:cs="Arial"/>
          <w:sz w:val="20"/>
          <w:szCs w:val="20"/>
        </w:rPr>
        <w:t xml:space="preserve">skladno s pravili državnih pomoči </w:t>
      </w:r>
      <w:r w:rsidR="002C2755" w:rsidRPr="00807137">
        <w:rPr>
          <w:rFonts w:ascii="Arial" w:hAnsi="Arial" w:cs="Arial"/>
          <w:sz w:val="20"/>
          <w:szCs w:val="20"/>
        </w:rPr>
        <w:t>zaradi dodatnih ali nepredvidenih likvidnostnih potreb, ki nastopijo kot posledica zunanjih okoliščin zunaj nadzora takšnega podjetja (npr. volatilnost mednarodnih trgov, trganje verig vrednosti,</w:t>
      </w:r>
      <w:r w:rsidR="008F4C01">
        <w:rPr>
          <w:rFonts w:ascii="Arial" w:hAnsi="Arial" w:cs="Arial"/>
          <w:sz w:val="20"/>
          <w:szCs w:val="20"/>
        </w:rPr>
        <w:t xml:space="preserve"> </w:t>
      </w:r>
      <w:r w:rsidR="002C2755" w:rsidRPr="00807137">
        <w:rPr>
          <w:rFonts w:ascii="Arial" w:hAnsi="Arial" w:cs="Arial"/>
          <w:sz w:val="20"/>
          <w:szCs w:val="20"/>
        </w:rPr>
        <w:t>prekvalifikacija določenih gospodarskih sektorjev, potencialno financiranje prevzema podjetij, druge oblike vi</w:t>
      </w:r>
      <w:r w:rsidR="00F363A7" w:rsidRPr="00807137">
        <w:rPr>
          <w:rFonts w:ascii="Arial" w:hAnsi="Arial" w:cs="Arial"/>
          <w:sz w:val="20"/>
          <w:szCs w:val="20"/>
        </w:rPr>
        <w:t>š</w:t>
      </w:r>
      <w:r w:rsidR="002C2755" w:rsidRPr="00807137">
        <w:rPr>
          <w:rFonts w:ascii="Arial" w:hAnsi="Arial" w:cs="Arial"/>
          <w:sz w:val="20"/>
          <w:szCs w:val="20"/>
        </w:rPr>
        <w:t>je sile</w:t>
      </w:r>
      <w:r w:rsidR="00F363A7" w:rsidRPr="00807137">
        <w:rPr>
          <w:rFonts w:ascii="Arial" w:hAnsi="Arial" w:cs="Arial"/>
          <w:sz w:val="20"/>
          <w:szCs w:val="20"/>
        </w:rPr>
        <w:t>, ki ni predvidena po drugi zakonodaji (npr. ZOPNN)</w:t>
      </w:r>
      <w:r w:rsidR="002C2755" w:rsidRPr="00807137">
        <w:rPr>
          <w:rFonts w:ascii="Arial" w:hAnsi="Arial" w:cs="Arial"/>
          <w:sz w:val="20"/>
          <w:szCs w:val="20"/>
        </w:rPr>
        <w:t xml:space="preserve">). </w:t>
      </w:r>
      <w:r w:rsidR="00B04043" w:rsidRPr="00B04043">
        <w:rPr>
          <w:rFonts w:ascii="Arial" w:hAnsi="Arial" w:cs="Arial"/>
          <w:sz w:val="20"/>
          <w:szCs w:val="20"/>
        </w:rPr>
        <w:t xml:space="preserve">Posojilni sklad predstavlja ukrep, ki je </w:t>
      </w:r>
      <w:r w:rsidR="00B04043" w:rsidRPr="00B04043">
        <w:rPr>
          <w:rFonts w:ascii="Arial" w:hAnsi="Arial" w:cs="Arial"/>
          <w:sz w:val="20"/>
          <w:szCs w:val="20"/>
        </w:rPr>
        <w:lastRenderedPageBreak/>
        <w:t xml:space="preserve">komplementaren drugim ukrepom za spodbujanje gospodarstva (nepovratna in povratna sredstva), saj je zaznana finančna vrzeli </w:t>
      </w:r>
      <w:r w:rsidR="00B04043">
        <w:rPr>
          <w:rFonts w:ascii="Arial" w:hAnsi="Arial" w:cs="Arial"/>
          <w:sz w:val="20"/>
          <w:szCs w:val="20"/>
        </w:rPr>
        <w:t>financiranja podjetij zaradi sprememb na globalnih trgih.</w:t>
      </w:r>
    </w:p>
    <w:p w14:paraId="26E0F517" w14:textId="77777777" w:rsidR="002A4DC3" w:rsidRPr="00807137" w:rsidRDefault="002A4DC3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F83BD6" w14:textId="74EDE214" w:rsidR="006953B4" w:rsidRPr="00807137" w:rsidRDefault="00B2697A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4043">
        <w:rPr>
          <w:rFonts w:ascii="Arial" w:hAnsi="Arial" w:cs="Arial"/>
          <w:sz w:val="20"/>
          <w:szCs w:val="20"/>
          <w:u w:val="single"/>
        </w:rPr>
        <w:t>Končni prejemniki</w:t>
      </w:r>
      <w:r w:rsidR="006953B4" w:rsidRPr="00B04043">
        <w:rPr>
          <w:rFonts w:ascii="Arial" w:hAnsi="Arial" w:cs="Arial"/>
          <w:sz w:val="20"/>
          <w:szCs w:val="20"/>
          <w:u w:val="single"/>
        </w:rPr>
        <w:t>:</w:t>
      </w:r>
      <w:r w:rsidR="006953B4" w:rsidRPr="00807137">
        <w:rPr>
          <w:rFonts w:ascii="Arial" w:hAnsi="Arial" w:cs="Arial"/>
          <w:sz w:val="20"/>
          <w:szCs w:val="20"/>
        </w:rPr>
        <w:t xml:space="preserve"> Končni prejemniki sredstev so podjetja vseh velikosti – tako velika podjetja kot tudi mala in srednje velika podjetja, ki potrebujejo sredstva za investicije in zagotavljanje likvidnosti.</w:t>
      </w:r>
    </w:p>
    <w:p w14:paraId="10852133" w14:textId="77777777" w:rsidR="002A4DC3" w:rsidRPr="00807137" w:rsidRDefault="002A4DC3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F54A6F" w14:textId="0947E8BF" w:rsidR="00BB4897" w:rsidRPr="00807137" w:rsidRDefault="00B2697A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697A">
        <w:rPr>
          <w:rFonts w:ascii="Arial" w:hAnsi="Arial" w:cs="Arial"/>
          <w:sz w:val="20"/>
          <w:szCs w:val="20"/>
          <w:u w:val="single"/>
        </w:rPr>
        <w:t>Upravljavec sredstev</w:t>
      </w:r>
      <w:r w:rsidR="006953B4" w:rsidRPr="00B2697A">
        <w:rPr>
          <w:rFonts w:ascii="Arial" w:hAnsi="Arial" w:cs="Arial"/>
          <w:sz w:val="20"/>
          <w:szCs w:val="20"/>
          <w:u w:val="single"/>
        </w:rPr>
        <w:t>:</w:t>
      </w:r>
      <w:r w:rsidR="006953B4" w:rsidRPr="00807137">
        <w:rPr>
          <w:rFonts w:ascii="Arial" w:hAnsi="Arial" w:cs="Arial"/>
          <w:sz w:val="20"/>
          <w:szCs w:val="20"/>
        </w:rPr>
        <w:t xml:space="preserve"> </w:t>
      </w:r>
      <w:r w:rsidR="002A4DC3" w:rsidRPr="00807137">
        <w:rPr>
          <w:rFonts w:ascii="Arial" w:hAnsi="Arial" w:cs="Arial"/>
          <w:sz w:val="20"/>
          <w:szCs w:val="20"/>
        </w:rPr>
        <w:t>S sredstvi</w:t>
      </w:r>
      <w:r w:rsidR="00BB4897" w:rsidRPr="00807137">
        <w:rPr>
          <w:rFonts w:ascii="Arial" w:hAnsi="Arial" w:cs="Arial"/>
          <w:sz w:val="20"/>
          <w:szCs w:val="20"/>
        </w:rPr>
        <w:t xml:space="preserve"> upravlja SID banka, v svojem imenu in za svoj račun, pri čemer vodenje in izkazovanje posojilnega sklada v poslovnih knjigah in poročilih evidentira računovodsko ločeno od drugega poslovanja SID banke. </w:t>
      </w:r>
    </w:p>
    <w:p w14:paraId="5F245C86" w14:textId="77777777" w:rsidR="002A4DC3" w:rsidRPr="00807137" w:rsidRDefault="002A4DC3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357AC9" w14:textId="68AD48D4" w:rsidR="00BB4897" w:rsidRPr="00807137" w:rsidRDefault="00BB4897" w:rsidP="002A4DC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5" w:name="_Toc139318765"/>
      <w:bookmarkStart w:id="6" w:name="_Toc139318766"/>
      <w:bookmarkStart w:id="7" w:name="_Toc139318767"/>
      <w:bookmarkStart w:id="8" w:name="_Toc139318768"/>
      <w:bookmarkStart w:id="9" w:name="_Toc139318769"/>
      <w:bookmarkStart w:id="10" w:name="_Toc139318770"/>
      <w:bookmarkStart w:id="11" w:name="_Toc139318771"/>
      <w:bookmarkStart w:id="12" w:name="_Toc139318772"/>
      <w:bookmarkStart w:id="13" w:name="_Toc139318773"/>
      <w:bookmarkStart w:id="14" w:name="_Toc139318774"/>
      <w:bookmarkStart w:id="15" w:name="_Toc139318775"/>
      <w:bookmarkStart w:id="16" w:name="_Toc139558248"/>
      <w:bookmarkStart w:id="17" w:name="_Toc51325417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807137">
        <w:rPr>
          <w:rFonts w:ascii="Arial" w:hAnsi="Arial" w:cs="Arial"/>
          <w:b/>
          <w:bCs/>
          <w:sz w:val="20"/>
          <w:szCs w:val="20"/>
        </w:rPr>
        <w:t xml:space="preserve"> OBLIKE FINANCIRANJA IZ POSOJILNEGA SKLADA </w:t>
      </w:r>
      <w:bookmarkEnd w:id="16"/>
      <w:bookmarkEnd w:id="17"/>
      <w:r w:rsidR="006953B4" w:rsidRPr="0080713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C1F4CBF" w14:textId="77777777" w:rsidR="002A4DC3" w:rsidRPr="00807137" w:rsidRDefault="002A4DC3" w:rsidP="002A4DC3">
      <w:pPr>
        <w:spacing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0CB45D25" w14:textId="00C53B27" w:rsidR="00BB4897" w:rsidRPr="00807137" w:rsidRDefault="00B2697A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697A">
        <w:rPr>
          <w:rFonts w:ascii="Arial" w:hAnsi="Arial" w:cs="Arial"/>
          <w:sz w:val="20"/>
          <w:szCs w:val="20"/>
          <w:u w:val="single"/>
        </w:rPr>
        <w:t>Oblika financiranja</w:t>
      </w:r>
      <w:r w:rsidR="006953B4" w:rsidRPr="00B2697A">
        <w:rPr>
          <w:rFonts w:ascii="Arial" w:hAnsi="Arial" w:cs="Arial"/>
          <w:sz w:val="20"/>
          <w:szCs w:val="20"/>
          <w:u w:val="single"/>
        </w:rPr>
        <w:t>:</w:t>
      </w:r>
      <w:r w:rsidR="006953B4" w:rsidRPr="00807137">
        <w:rPr>
          <w:rFonts w:ascii="Arial" w:hAnsi="Arial" w:cs="Arial"/>
          <w:sz w:val="20"/>
          <w:szCs w:val="20"/>
        </w:rPr>
        <w:t xml:space="preserve"> </w:t>
      </w:r>
      <w:r w:rsidR="00BB4897" w:rsidRPr="00807137">
        <w:rPr>
          <w:rFonts w:ascii="Arial" w:hAnsi="Arial" w:cs="Arial"/>
          <w:sz w:val="20"/>
          <w:szCs w:val="20"/>
        </w:rPr>
        <w:t>Sredstva posojilnega sklada so naložbe neposrednega financiranja končnih prejemnikov v obliki kreditov, ter prosta sredstva posojilnega sklada, s katerimi se upravlja v skladu s 24. členom Uredbe o postopkih, merilih in načinih dodeljevanja sredstev za spodbujanje razvojnih programov in prednostnih nalog, obveznosti posojilnega sklada pa so obveznosti iz naslova vplačanih sredstev v posojilni sklad (vplačana proračunska sredstva se pri tem izkazujejo kot obveznost SID banke iz prejetega posojila ministrstva) in druge obveznosti.</w:t>
      </w:r>
    </w:p>
    <w:p w14:paraId="36CD8AAB" w14:textId="77777777" w:rsidR="006953B4" w:rsidRPr="00807137" w:rsidRDefault="006953B4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660C09" w14:textId="68685A72" w:rsidR="00BB4897" w:rsidRPr="00807137" w:rsidRDefault="00B2697A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697A">
        <w:rPr>
          <w:rFonts w:ascii="Arial" w:hAnsi="Arial" w:cs="Arial"/>
          <w:sz w:val="20"/>
          <w:szCs w:val="20"/>
          <w:u w:val="single"/>
        </w:rPr>
        <w:t>Dinamika odobritve sredstev</w:t>
      </w:r>
      <w:r w:rsidR="006569B0" w:rsidRPr="00B2697A">
        <w:rPr>
          <w:rFonts w:ascii="Arial" w:hAnsi="Arial" w:cs="Arial"/>
          <w:sz w:val="20"/>
          <w:szCs w:val="20"/>
          <w:u w:val="single"/>
        </w:rPr>
        <w:t>:</w:t>
      </w:r>
      <w:r w:rsidR="006569B0" w:rsidRPr="00807137">
        <w:rPr>
          <w:rFonts w:ascii="Arial" w:hAnsi="Arial" w:cs="Arial"/>
          <w:sz w:val="20"/>
          <w:szCs w:val="20"/>
        </w:rPr>
        <w:t xml:space="preserve"> </w:t>
      </w:r>
      <w:r w:rsidR="006953B4" w:rsidRPr="00807137">
        <w:rPr>
          <w:rFonts w:ascii="Arial" w:hAnsi="Arial" w:cs="Arial"/>
          <w:sz w:val="20"/>
          <w:szCs w:val="20"/>
        </w:rPr>
        <w:t>Predviden</w:t>
      </w:r>
      <w:r w:rsidR="00677535">
        <w:rPr>
          <w:rFonts w:ascii="Arial" w:hAnsi="Arial" w:cs="Arial"/>
          <w:sz w:val="20"/>
          <w:szCs w:val="20"/>
        </w:rPr>
        <w:t>a</w:t>
      </w:r>
      <w:r w:rsidR="006953B4" w:rsidRPr="00807137">
        <w:rPr>
          <w:rFonts w:ascii="Arial" w:hAnsi="Arial" w:cs="Arial"/>
          <w:sz w:val="20"/>
          <w:szCs w:val="20"/>
        </w:rPr>
        <w:t xml:space="preserve"> dinamika</w:t>
      </w:r>
      <w:r w:rsidR="00BB4897" w:rsidRPr="00807137">
        <w:rPr>
          <w:rFonts w:ascii="Arial" w:hAnsi="Arial" w:cs="Arial"/>
          <w:sz w:val="20"/>
          <w:szCs w:val="20"/>
        </w:rPr>
        <w:t xml:space="preserve"> odobritve sredstev končni</w:t>
      </w:r>
      <w:r w:rsidR="006953B4" w:rsidRPr="00807137">
        <w:rPr>
          <w:rFonts w:ascii="Arial" w:hAnsi="Arial" w:cs="Arial"/>
          <w:sz w:val="20"/>
          <w:szCs w:val="20"/>
        </w:rPr>
        <w:t>m</w:t>
      </w:r>
      <w:r w:rsidR="00BB4897" w:rsidRPr="00807137">
        <w:rPr>
          <w:rFonts w:ascii="Arial" w:hAnsi="Arial" w:cs="Arial"/>
          <w:sz w:val="20"/>
          <w:szCs w:val="20"/>
        </w:rPr>
        <w:t xml:space="preserve"> prejemniko</w:t>
      </w:r>
      <w:r w:rsidR="006953B4" w:rsidRPr="00807137">
        <w:rPr>
          <w:rFonts w:ascii="Arial" w:hAnsi="Arial" w:cs="Arial"/>
          <w:sz w:val="20"/>
          <w:szCs w:val="20"/>
        </w:rPr>
        <w:t>m</w:t>
      </w:r>
      <w:r w:rsidR="00BB4897" w:rsidRPr="00807137">
        <w:rPr>
          <w:rFonts w:ascii="Arial" w:hAnsi="Arial" w:cs="Arial"/>
          <w:sz w:val="20"/>
          <w:szCs w:val="20"/>
        </w:rPr>
        <w:t xml:space="preserve"> </w:t>
      </w:r>
      <w:r w:rsidR="006953B4" w:rsidRPr="00807137">
        <w:rPr>
          <w:rFonts w:ascii="Arial" w:hAnsi="Arial" w:cs="Arial"/>
          <w:sz w:val="20"/>
          <w:szCs w:val="20"/>
        </w:rPr>
        <w:t>je odvisna od</w:t>
      </w:r>
      <w:r w:rsidR="00BB4897" w:rsidRPr="00807137">
        <w:rPr>
          <w:rFonts w:ascii="Arial" w:hAnsi="Arial" w:cs="Arial"/>
          <w:sz w:val="20"/>
          <w:szCs w:val="20"/>
        </w:rPr>
        <w:t xml:space="preserve"> dejanskega povpraševanja na trgu</w:t>
      </w:r>
      <w:r w:rsidR="006953B4" w:rsidRPr="00807137">
        <w:rPr>
          <w:rFonts w:ascii="Arial" w:hAnsi="Arial" w:cs="Arial"/>
          <w:sz w:val="20"/>
          <w:szCs w:val="20"/>
        </w:rPr>
        <w:t>.</w:t>
      </w:r>
    </w:p>
    <w:p w14:paraId="2F0D85E2" w14:textId="42F82725" w:rsidR="00BB4897" w:rsidRPr="00807137" w:rsidRDefault="006569B0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7137">
        <w:rPr>
          <w:rFonts w:ascii="Arial" w:hAnsi="Arial" w:cs="Arial"/>
          <w:b/>
          <w:sz w:val="20"/>
          <w:szCs w:val="20"/>
        </w:rPr>
        <w:t xml:space="preserve"> </w:t>
      </w:r>
    </w:p>
    <w:p w14:paraId="34D5E8B9" w14:textId="77777777" w:rsidR="00BB4897" w:rsidRPr="00807137" w:rsidRDefault="00BB4897" w:rsidP="002A4DC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18" w:name="_Toc139558249"/>
      <w:r w:rsidRPr="00807137">
        <w:rPr>
          <w:rFonts w:ascii="Arial" w:hAnsi="Arial" w:cs="Arial"/>
          <w:b/>
          <w:bCs/>
          <w:sz w:val="20"/>
          <w:szCs w:val="20"/>
        </w:rPr>
        <w:t>REZULTAT POSOJILNEGA SKLADA, POROČANJE IN LIKVIDACIJA</w:t>
      </w:r>
      <w:bookmarkEnd w:id="18"/>
      <w:r w:rsidRPr="0080713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8A9FB96" w14:textId="77777777" w:rsidR="002A4DC3" w:rsidRPr="00807137" w:rsidRDefault="002A4DC3" w:rsidP="002A4DC3">
      <w:pPr>
        <w:spacing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6D20D1EE" w14:textId="28B43B35" w:rsidR="00BB4897" w:rsidRPr="00807137" w:rsidRDefault="00B2697A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697A">
        <w:rPr>
          <w:rFonts w:ascii="Arial" w:hAnsi="Arial" w:cs="Arial"/>
          <w:sz w:val="20"/>
          <w:szCs w:val="20"/>
          <w:u w:val="single"/>
        </w:rPr>
        <w:t>Rezultati</w:t>
      </w:r>
      <w:r w:rsidR="006569B0" w:rsidRPr="00B2697A">
        <w:rPr>
          <w:rFonts w:ascii="Arial" w:hAnsi="Arial" w:cs="Arial"/>
          <w:sz w:val="20"/>
          <w:szCs w:val="20"/>
          <w:u w:val="single"/>
        </w:rPr>
        <w:t>:</w:t>
      </w:r>
      <w:r w:rsidR="006569B0" w:rsidRPr="00807137">
        <w:rPr>
          <w:rFonts w:ascii="Arial" w:hAnsi="Arial" w:cs="Arial"/>
          <w:sz w:val="20"/>
          <w:szCs w:val="20"/>
        </w:rPr>
        <w:t xml:space="preserve"> </w:t>
      </w:r>
      <w:r w:rsidR="00CF4ACC">
        <w:rPr>
          <w:rFonts w:ascii="Arial" w:hAnsi="Arial" w:cs="Arial"/>
          <w:sz w:val="20"/>
          <w:szCs w:val="20"/>
        </w:rPr>
        <w:t xml:space="preserve">S sredstvi posojilnega sklada bo podprtih cca. </w:t>
      </w:r>
      <w:r w:rsidR="008F4C01">
        <w:rPr>
          <w:rFonts w:ascii="Arial" w:hAnsi="Arial" w:cs="Arial"/>
          <w:sz w:val="20"/>
          <w:szCs w:val="20"/>
        </w:rPr>
        <w:t>150 projektov</w:t>
      </w:r>
      <w:r w:rsidR="00CF4ACC">
        <w:rPr>
          <w:rFonts w:ascii="Arial" w:hAnsi="Arial" w:cs="Arial"/>
          <w:sz w:val="20"/>
          <w:szCs w:val="20"/>
        </w:rPr>
        <w:t xml:space="preserve"> podjetij. </w:t>
      </w:r>
      <w:r w:rsidR="006569B0" w:rsidRPr="00807137">
        <w:rPr>
          <w:rFonts w:ascii="Arial" w:hAnsi="Arial" w:cs="Arial"/>
          <w:sz w:val="20"/>
          <w:szCs w:val="20"/>
        </w:rPr>
        <w:t>Prva</w:t>
      </w:r>
      <w:r w:rsidR="00BB4897" w:rsidRPr="00807137">
        <w:rPr>
          <w:rFonts w:ascii="Arial" w:hAnsi="Arial" w:cs="Arial"/>
          <w:sz w:val="20"/>
          <w:szCs w:val="20"/>
        </w:rPr>
        <w:t xml:space="preserve"> izguba posojilnega sklada</w:t>
      </w:r>
      <w:r w:rsidR="006569B0" w:rsidRPr="00807137">
        <w:rPr>
          <w:rFonts w:ascii="Arial" w:hAnsi="Arial" w:cs="Arial"/>
          <w:sz w:val="20"/>
          <w:szCs w:val="20"/>
        </w:rPr>
        <w:t xml:space="preserve"> se</w:t>
      </w:r>
      <w:r w:rsidR="00BB4897" w:rsidRPr="00807137">
        <w:rPr>
          <w:rFonts w:ascii="Arial" w:hAnsi="Arial" w:cs="Arial"/>
          <w:sz w:val="20"/>
          <w:szCs w:val="20"/>
        </w:rPr>
        <w:t xml:space="preserve"> krije v breme dodeljenih sredstev Republike Slovenije. Tako se, prvih </w:t>
      </w:r>
      <w:r w:rsidR="00F363A7" w:rsidRPr="00807137">
        <w:rPr>
          <w:rFonts w:ascii="Arial" w:hAnsi="Arial" w:cs="Arial"/>
          <w:sz w:val="20"/>
          <w:szCs w:val="20"/>
        </w:rPr>
        <w:t>30</w:t>
      </w:r>
      <w:r w:rsidR="00BB4897" w:rsidRPr="00807137">
        <w:rPr>
          <w:rFonts w:ascii="Arial" w:hAnsi="Arial" w:cs="Arial"/>
          <w:sz w:val="20"/>
          <w:szCs w:val="20"/>
        </w:rPr>
        <w:t xml:space="preserve"> odstotkov primanjkljaja iz naslova upravičenih stroškov posojilnega sklada krije v breme dodeljenih sredstev države, ves nadaljnji primanjkljaj iz naslova upravičenih stroškov posojilnega sklada pa bremeni SID banko.</w:t>
      </w:r>
      <w:r w:rsidR="006569B0" w:rsidRPr="00807137">
        <w:rPr>
          <w:rFonts w:ascii="Arial" w:hAnsi="Arial" w:cs="Arial"/>
          <w:sz w:val="20"/>
          <w:szCs w:val="20"/>
        </w:rPr>
        <w:t xml:space="preserve"> </w:t>
      </w:r>
      <w:r w:rsidR="00BB4897" w:rsidRPr="00807137">
        <w:rPr>
          <w:rFonts w:ascii="Arial" w:hAnsi="Arial" w:cs="Arial"/>
          <w:sz w:val="20"/>
          <w:szCs w:val="20"/>
        </w:rPr>
        <w:t>Višina razpoložljivih sredstev državnega proračuna za kritje prve izgube posojilnega sklada je odvisna od prevrednotenja obveznosti SID banke do ministrstva. Prevrednotenje obveznosti SID banke do ministrstva se izvaja skladno s podpisanim sporazumom o financiranju med SID banko in ministrstvom (v nadaljevanju: sporazum) in je odvisno od izkaza poslovnega izida posojilnega sklada. Podobna ureditev velja za vse že dosedanje posojilne sklade finančnega inženiringa z ministrstvom.</w:t>
      </w:r>
      <w:r w:rsidR="00CF4ACC">
        <w:rPr>
          <w:rFonts w:ascii="Arial" w:hAnsi="Arial" w:cs="Arial"/>
          <w:sz w:val="20"/>
          <w:szCs w:val="20"/>
        </w:rPr>
        <w:t xml:space="preserve"> </w:t>
      </w:r>
      <w:r w:rsidR="00BB4897" w:rsidRPr="00807137">
        <w:rPr>
          <w:rFonts w:ascii="Arial" w:hAnsi="Arial" w:cs="Arial"/>
          <w:sz w:val="20"/>
          <w:szCs w:val="20"/>
        </w:rPr>
        <w:t>Za izvajanje posojilnih skladov finančnega inženiringa ima SID banka oblikovano lastno metodologijo za ocenjevanje izgub iz kreditnega tveganja, ki ustrezno krije pričakovane izgube iz naslova kreditnega tveganja. V skladu z Mednarodnimi standardi računovodskega poročanja (MSRP) so dolžniki razvrščeni posamično ali v skupine za skupinsko ocenjevanje izgub iz kreditnega tveganja. Kvaliteto zavarovanja presoja SID banka skladno s politikami s področja upravljanja tveganj. Poslovanje SID banke je podvrženo nadzoru regulatorjev, predvsem Banke Slovenije.</w:t>
      </w:r>
    </w:p>
    <w:p w14:paraId="1F229618" w14:textId="77777777" w:rsidR="00BB4897" w:rsidRPr="00807137" w:rsidRDefault="00BB4897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E4C94C" w14:textId="448F8035" w:rsidR="00BB4897" w:rsidRPr="00807137" w:rsidRDefault="00B2697A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697A">
        <w:rPr>
          <w:rFonts w:ascii="Arial" w:hAnsi="Arial" w:cs="Arial"/>
          <w:sz w:val="20"/>
          <w:szCs w:val="20"/>
          <w:u w:val="single"/>
        </w:rPr>
        <w:t>Poročanje</w:t>
      </w:r>
      <w:r w:rsidR="006569B0" w:rsidRPr="00B2697A">
        <w:rPr>
          <w:rFonts w:ascii="Arial" w:hAnsi="Arial" w:cs="Arial"/>
          <w:sz w:val="20"/>
          <w:szCs w:val="20"/>
          <w:u w:val="single"/>
        </w:rPr>
        <w:t>:</w:t>
      </w:r>
      <w:r w:rsidR="006569B0" w:rsidRPr="00807137">
        <w:rPr>
          <w:rFonts w:ascii="Arial" w:hAnsi="Arial" w:cs="Arial"/>
          <w:sz w:val="20"/>
          <w:szCs w:val="20"/>
        </w:rPr>
        <w:t xml:space="preserve"> </w:t>
      </w:r>
      <w:r w:rsidR="00BB4897" w:rsidRPr="00807137">
        <w:rPr>
          <w:rFonts w:ascii="Arial" w:hAnsi="Arial" w:cs="Arial"/>
          <w:sz w:val="20"/>
          <w:szCs w:val="20"/>
        </w:rPr>
        <w:t>SID banka ministrstvu redno poroča o izvajanju ukrepa finančnega inženiringa in uporabi sredstev državnega proračuna po sporazumu v obliki:</w:t>
      </w:r>
    </w:p>
    <w:p w14:paraId="400B3363" w14:textId="72E61027" w:rsidR="00BB4897" w:rsidRPr="00807137" w:rsidRDefault="006569B0" w:rsidP="002A4DC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7137">
        <w:rPr>
          <w:rFonts w:ascii="Arial" w:hAnsi="Arial" w:cs="Arial"/>
          <w:sz w:val="20"/>
          <w:szCs w:val="20"/>
        </w:rPr>
        <w:t>obdobnih</w:t>
      </w:r>
      <w:r w:rsidR="00BB4897" w:rsidRPr="00807137">
        <w:rPr>
          <w:rFonts w:ascii="Arial" w:hAnsi="Arial" w:cs="Arial"/>
          <w:sz w:val="20"/>
          <w:szCs w:val="20"/>
        </w:rPr>
        <w:t xml:space="preserve"> poročil o naložbah in obveznostih posojilnega sklada, o odobrenih in zavrnjenih vlogah ter vlogah v obdelavi, o prihodkih in odhodkih posojilnega sklada, z ločenim prikazom porabe sredstev državnega proračuna,</w:t>
      </w:r>
    </w:p>
    <w:p w14:paraId="08BF4173" w14:textId="77777777" w:rsidR="00BB4897" w:rsidRPr="00807137" w:rsidRDefault="00BB4897" w:rsidP="002A4DC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7137">
        <w:rPr>
          <w:rFonts w:ascii="Arial" w:hAnsi="Arial" w:cs="Arial"/>
          <w:sz w:val="20"/>
          <w:szCs w:val="20"/>
        </w:rPr>
        <w:t xml:space="preserve">letnih poročil o poslovanju posojilnega sklada, ki zajemajo: </w:t>
      </w:r>
    </w:p>
    <w:p w14:paraId="2C3E7C25" w14:textId="77777777" w:rsidR="00BB4897" w:rsidRPr="00807137" w:rsidRDefault="00BB4897" w:rsidP="006569B0">
      <w:pPr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7137">
        <w:rPr>
          <w:rFonts w:ascii="Arial" w:hAnsi="Arial" w:cs="Arial"/>
          <w:sz w:val="20"/>
          <w:szCs w:val="20"/>
        </w:rPr>
        <w:t xml:space="preserve">poročilo in informacijo o rezultatih in učinkih posojilnega sklada, skladno z naložbeno strategijo in kazalniki, </w:t>
      </w:r>
    </w:p>
    <w:p w14:paraId="742D6716" w14:textId="77777777" w:rsidR="00BB4897" w:rsidRPr="00807137" w:rsidRDefault="00BB4897" w:rsidP="006569B0">
      <w:pPr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7137">
        <w:rPr>
          <w:rFonts w:ascii="Arial" w:hAnsi="Arial" w:cs="Arial"/>
          <w:sz w:val="20"/>
          <w:szCs w:val="20"/>
        </w:rPr>
        <w:t xml:space="preserve">informacijo o vseh izvedenih revizijah in kontrolah, vključno z analizo sistematičnih in ponavljajočih slabosti ter načrtovanih korektivnih ukrepih, </w:t>
      </w:r>
    </w:p>
    <w:p w14:paraId="0CD8BA6B" w14:textId="77777777" w:rsidR="00BB4897" w:rsidRPr="00807137" w:rsidRDefault="00BB4897" w:rsidP="006569B0">
      <w:pPr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7137">
        <w:rPr>
          <w:rFonts w:ascii="Arial" w:hAnsi="Arial" w:cs="Arial"/>
          <w:sz w:val="20"/>
          <w:szCs w:val="20"/>
        </w:rPr>
        <w:t>oceno tveganj in načrt upravljanja s tveganji za prihodnje obdobje,</w:t>
      </w:r>
    </w:p>
    <w:p w14:paraId="7174656C" w14:textId="77777777" w:rsidR="00BB4897" w:rsidRPr="00807137" w:rsidRDefault="00BB4897" w:rsidP="006569B0">
      <w:pPr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7137">
        <w:rPr>
          <w:rFonts w:ascii="Arial" w:hAnsi="Arial" w:cs="Arial"/>
          <w:sz w:val="20"/>
          <w:szCs w:val="20"/>
        </w:rPr>
        <w:t>računovodske izkaze posojilnega sklada za posamezno poslovno obdobje (izkaz poslovnega izida, izkaz vseobsegajočega donosa in izkaz finančnega položaja),</w:t>
      </w:r>
    </w:p>
    <w:p w14:paraId="1963D62D" w14:textId="77777777" w:rsidR="00BB4897" w:rsidRPr="00807137" w:rsidRDefault="00BB4897" w:rsidP="006569B0">
      <w:pPr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7137">
        <w:rPr>
          <w:rFonts w:ascii="Arial" w:hAnsi="Arial" w:cs="Arial"/>
          <w:sz w:val="20"/>
          <w:szCs w:val="20"/>
        </w:rPr>
        <w:t>izjavo o zanesljivosti izvedenih aktivnosti posojilnega sklada o popolnosti, točnosti in verodostojnosti računovodskih izkazov, pravilnosti delovanja sistemov notranje kontrole, zakonitosti in pravilnosti z izkazi povezanih transakcij ter spoštovanja načela dobrega finančnega poslovodenja.</w:t>
      </w:r>
    </w:p>
    <w:p w14:paraId="261C2C3B" w14:textId="77777777" w:rsidR="00BB4897" w:rsidRPr="00807137" w:rsidRDefault="00BB4897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4CDD40" w14:textId="7E608248" w:rsidR="00BB4897" w:rsidRPr="00807137" w:rsidRDefault="006569B0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7137">
        <w:rPr>
          <w:rFonts w:ascii="Arial" w:hAnsi="Arial" w:cs="Arial"/>
          <w:sz w:val="20"/>
          <w:szCs w:val="20"/>
        </w:rPr>
        <w:t xml:space="preserve">LIKVIDACIJA: </w:t>
      </w:r>
      <w:r w:rsidR="00BB4897" w:rsidRPr="00807137">
        <w:rPr>
          <w:rFonts w:ascii="Arial" w:hAnsi="Arial" w:cs="Arial"/>
          <w:sz w:val="20"/>
          <w:szCs w:val="20"/>
        </w:rPr>
        <w:t>Ob začetku likvidacije posojilnega sklada</w:t>
      </w:r>
      <w:r w:rsidRPr="00807137">
        <w:rPr>
          <w:rFonts w:ascii="Arial" w:hAnsi="Arial" w:cs="Arial"/>
          <w:sz w:val="20"/>
          <w:szCs w:val="20"/>
        </w:rPr>
        <w:t xml:space="preserve"> </w:t>
      </w:r>
      <w:r w:rsidR="00BB4897" w:rsidRPr="00807137">
        <w:rPr>
          <w:rFonts w:ascii="Arial" w:hAnsi="Arial" w:cs="Arial"/>
          <w:sz w:val="20"/>
          <w:szCs w:val="20"/>
        </w:rPr>
        <w:t>sestavi SID banka začetni likvidacijski obračun.</w:t>
      </w:r>
      <w:r w:rsidRPr="00807137">
        <w:rPr>
          <w:rFonts w:ascii="Arial" w:hAnsi="Arial" w:cs="Arial"/>
          <w:sz w:val="20"/>
          <w:szCs w:val="20"/>
        </w:rPr>
        <w:t xml:space="preserve"> </w:t>
      </w:r>
      <w:r w:rsidR="00BB4897" w:rsidRPr="00807137">
        <w:rPr>
          <w:rFonts w:ascii="Arial" w:hAnsi="Arial" w:cs="Arial"/>
          <w:sz w:val="20"/>
          <w:szCs w:val="20"/>
        </w:rPr>
        <w:t xml:space="preserve">Likvidacija posojilnega sklada se konča po zaključku vseh poslov posojilnega sklada, kar vključuje tudi </w:t>
      </w:r>
      <w:r w:rsidR="00BB4897" w:rsidRPr="00807137">
        <w:rPr>
          <w:rFonts w:ascii="Arial" w:hAnsi="Arial" w:cs="Arial"/>
          <w:sz w:val="20"/>
          <w:szCs w:val="20"/>
        </w:rPr>
        <w:lastRenderedPageBreak/>
        <w:t>poplačilo zadnjega kredita, danega iz posojilnega sklada, s sestavo končnega likvidacijskega obračuna. Z dnem sprejema končnega likvidacijskega obračuna na Vladi RS, se likvidacija posojilnega sklada zaključi.</w:t>
      </w:r>
      <w:r w:rsidR="00D064EC">
        <w:rPr>
          <w:rFonts w:ascii="Arial" w:hAnsi="Arial" w:cs="Arial"/>
          <w:sz w:val="20"/>
          <w:szCs w:val="20"/>
        </w:rPr>
        <w:t xml:space="preserve"> </w:t>
      </w:r>
      <w:r w:rsidR="00BB4897" w:rsidRPr="00807137">
        <w:rPr>
          <w:rFonts w:ascii="Arial" w:hAnsi="Arial" w:cs="Arial"/>
          <w:sz w:val="20"/>
          <w:szCs w:val="20"/>
        </w:rPr>
        <w:t>Terjatev ministrstva v razmerju do SID banke zapade v plačilo po končnem likvidacijskem obračunu.</w:t>
      </w:r>
      <w:r w:rsidR="00D064EC">
        <w:rPr>
          <w:rFonts w:ascii="Arial" w:hAnsi="Arial" w:cs="Arial"/>
          <w:sz w:val="20"/>
          <w:szCs w:val="20"/>
        </w:rPr>
        <w:t xml:space="preserve"> </w:t>
      </w:r>
      <w:r w:rsidR="00BB4897" w:rsidRPr="00807137">
        <w:rPr>
          <w:rFonts w:ascii="Arial" w:hAnsi="Arial" w:cs="Arial"/>
          <w:sz w:val="20"/>
          <w:szCs w:val="20"/>
        </w:rPr>
        <w:t>Tako začetni kot končni likvidacijski obračun SID</w:t>
      </w:r>
      <w:r w:rsidRPr="00807137">
        <w:rPr>
          <w:rFonts w:ascii="Arial" w:hAnsi="Arial" w:cs="Arial"/>
          <w:sz w:val="20"/>
          <w:szCs w:val="20"/>
        </w:rPr>
        <w:t xml:space="preserve"> </w:t>
      </w:r>
      <w:r w:rsidR="00BB4897" w:rsidRPr="00807137">
        <w:rPr>
          <w:rFonts w:ascii="Arial" w:hAnsi="Arial" w:cs="Arial"/>
          <w:sz w:val="20"/>
          <w:szCs w:val="20"/>
        </w:rPr>
        <w:t>banka pošlje v potrditev ministrstvu.</w:t>
      </w:r>
      <w:r w:rsidRPr="00807137">
        <w:rPr>
          <w:rFonts w:ascii="Arial" w:hAnsi="Arial" w:cs="Arial"/>
          <w:sz w:val="20"/>
          <w:szCs w:val="20"/>
        </w:rPr>
        <w:t xml:space="preserve"> </w:t>
      </w:r>
      <w:r w:rsidR="00BB4897" w:rsidRPr="00807137">
        <w:rPr>
          <w:rFonts w:ascii="Arial" w:hAnsi="Arial" w:cs="Arial"/>
          <w:sz w:val="20"/>
          <w:szCs w:val="20"/>
        </w:rPr>
        <w:t xml:space="preserve">SID banka izdela zaključno poročilo o izvajanju in rezultatih posojilnega sklada, vključno z učinki, v roku šestih mesecev po zaključku likvidacije posojilnega sklada. </w:t>
      </w:r>
    </w:p>
    <w:p w14:paraId="59D0A3D6" w14:textId="77777777" w:rsidR="00BB4897" w:rsidRPr="00807137" w:rsidRDefault="00BB4897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DD06A5" w14:textId="77777777" w:rsidR="00396D4E" w:rsidRPr="00807137" w:rsidRDefault="00396D4E" w:rsidP="002A4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396D4E" w:rsidRPr="008071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611EF" w14:textId="77777777" w:rsidR="00BB4897" w:rsidRDefault="00BB4897" w:rsidP="00BB4897">
      <w:pPr>
        <w:spacing w:after="0" w:line="240" w:lineRule="auto"/>
      </w:pPr>
      <w:r>
        <w:separator/>
      </w:r>
    </w:p>
  </w:endnote>
  <w:endnote w:type="continuationSeparator" w:id="0">
    <w:p w14:paraId="08B3EF91" w14:textId="77777777" w:rsidR="00BB4897" w:rsidRDefault="00BB4897" w:rsidP="00BB4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0899D" w14:textId="77777777" w:rsidR="003352DC" w:rsidRDefault="003352D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420160"/>
      <w:docPartObj>
        <w:docPartGallery w:val="Page Numbers (Bottom of Page)"/>
        <w:docPartUnique/>
      </w:docPartObj>
    </w:sdtPr>
    <w:sdtContent>
      <w:p w14:paraId="693003BD" w14:textId="463D8A02" w:rsidR="003352DC" w:rsidRDefault="003352D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36A772" w14:textId="77777777" w:rsidR="003352DC" w:rsidRDefault="003352D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0516B" w14:textId="77777777" w:rsidR="003352DC" w:rsidRDefault="003352D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90094" w14:textId="77777777" w:rsidR="00BB4897" w:rsidRDefault="00BB4897" w:rsidP="00BB4897">
      <w:pPr>
        <w:spacing w:after="0" w:line="240" w:lineRule="auto"/>
      </w:pPr>
      <w:r>
        <w:separator/>
      </w:r>
    </w:p>
  </w:footnote>
  <w:footnote w:type="continuationSeparator" w:id="0">
    <w:p w14:paraId="24832341" w14:textId="77777777" w:rsidR="00BB4897" w:rsidRDefault="00BB4897" w:rsidP="00BB4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3EFEB" w14:textId="77777777" w:rsidR="003352DC" w:rsidRDefault="003352D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C74A4" w14:textId="77777777" w:rsidR="003352DC" w:rsidRDefault="003352DC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9FA8F" w14:textId="77777777" w:rsidR="003352DC" w:rsidRDefault="003352D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27F05"/>
    <w:multiLevelType w:val="hybridMultilevel"/>
    <w:tmpl w:val="C4904FCA"/>
    <w:lvl w:ilvl="0" w:tplc="AED814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A2F64"/>
    <w:multiLevelType w:val="hybridMultilevel"/>
    <w:tmpl w:val="9CB2EAD2"/>
    <w:lvl w:ilvl="0" w:tplc="AED814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CE0D2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95A2B"/>
    <w:multiLevelType w:val="multilevel"/>
    <w:tmpl w:val="7B642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0182B14"/>
    <w:multiLevelType w:val="hybridMultilevel"/>
    <w:tmpl w:val="642C87F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59117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8163252">
    <w:abstractNumId w:val="0"/>
  </w:num>
  <w:num w:numId="3" w16cid:durableId="632563694">
    <w:abstractNumId w:val="1"/>
  </w:num>
  <w:num w:numId="4" w16cid:durableId="1550725759">
    <w:abstractNumId w:val="1"/>
  </w:num>
  <w:num w:numId="5" w16cid:durableId="1676761940">
    <w:abstractNumId w:val="0"/>
  </w:num>
  <w:num w:numId="6" w16cid:durableId="1439527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97"/>
    <w:rsid w:val="00101290"/>
    <w:rsid w:val="001657D1"/>
    <w:rsid w:val="0022317B"/>
    <w:rsid w:val="0025406A"/>
    <w:rsid w:val="002A10F3"/>
    <w:rsid w:val="002A4DC3"/>
    <w:rsid w:val="002C2755"/>
    <w:rsid w:val="003352DC"/>
    <w:rsid w:val="00396D4E"/>
    <w:rsid w:val="0047660A"/>
    <w:rsid w:val="005058F6"/>
    <w:rsid w:val="00613A82"/>
    <w:rsid w:val="00632C88"/>
    <w:rsid w:val="006569B0"/>
    <w:rsid w:val="00677535"/>
    <w:rsid w:val="006953B4"/>
    <w:rsid w:val="006C3792"/>
    <w:rsid w:val="006C4F3B"/>
    <w:rsid w:val="00807137"/>
    <w:rsid w:val="008F4C01"/>
    <w:rsid w:val="00920D65"/>
    <w:rsid w:val="00B04043"/>
    <w:rsid w:val="00B2697A"/>
    <w:rsid w:val="00B50437"/>
    <w:rsid w:val="00BB4897"/>
    <w:rsid w:val="00C47896"/>
    <w:rsid w:val="00C94DD5"/>
    <w:rsid w:val="00CD07CC"/>
    <w:rsid w:val="00CF4ACC"/>
    <w:rsid w:val="00D064EC"/>
    <w:rsid w:val="00D15EB9"/>
    <w:rsid w:val="00E15D6D"/>
    <w:rsid w:val="00E22443"/>
    <w:rsid w:val="00EB024F"/>
    <w:rsid w:val="00F363A7"/>
    <w:rsid w:val="00F6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34032"/>
  <w15:chartTrackingRefBased/>
  <w15:docId w15:val="{55A2E324-35DD-4377-BE6A-7F7AA120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B48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B4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B48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B48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B48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B48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B48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B48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B48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B48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B48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B48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B489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B4897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B4897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B4897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B4897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B489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B48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B4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B48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B48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B4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B4897"/>
    <w:rPr>
      <w:i/>
      <w:iCs/>
      <w:color w:val="404040" w:themeColor="text1" w:themeTint="BF"/>
    </w:rPr>
  </w:style>
  <w:style w:type="paragraph" w:styleId="Odstavekseznama">
    <w:name w:val="List Paragraph"/>
    <w:aliases w:val="K1,Table of contents numbered,Elenco num ARGEA,Odsek zoznamu2,Normal bullet 2,Tabela - prazna vrstica,body,Bullet Number,Num Bullet 1,lp1,List Paragraph1,lp11,List Paragraph11,En tête 1,Table/Figure Heading"/>
    <w:basedOn w:val="Navaden"/>
    <w:link w:val="OdstavekseznamaZnak"/>
    <w:uiPriority w:val="34"/>
    <w:qFormat/>
    <w:rsid w:val="00BB4897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B4897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B48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B4897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B4897"/>
    <w:rPr>
      <w:b/>
      <w:bCs/>
      <w:smallCaps/>
      <w:color w:val="0F4761" w:themeColor="accent1" w:themeShade="BF"/>
      <w:spacing w:val="5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B4897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B4897"/>
    <w:rPr>
      <w:sz w:val="20"/>
      <w:szCs w:val="20"/>
    </w:rPr>
  </w:style>
  <w:style w:type="character" w:styleId="Sprotnaopomba-sklic">
    <w:name w:val="footnote reference"/>
    <w:aliases w:val="Footnote symbol,Fussnota,Footnote,Footnote reference number,note TESI,SUPERS,EN Footnote Reference,-E Fußnotenzeichen,Times 10 Point,Exposant 3 Point,E...,nota de rodapé,Footnote Reference_LVL6,Footnote Reference_LVL61,Footnot,fr"/>
    <w:uiPriority w:val="99"/>
    <w:semiHidden/>
    <w:unhideWhenUsed/>
    <w:qFormat/>
    <w:rsid w:val="00BB4897"/>
    <w:rPr>
      <w:vertAlign w:val="superscript"/>
    </w:rPr>
  </w:style>
  <w:style w:type="table" w:styleId="Tabelamrea">
    <w:name w:val="Table Grid"/>
    <w:basedOn w:val="Navadnatabela"/>
    <w:uiPriority w:val="39"/>
    <w:rsid w:val="00695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aliases w:val="K1 Znak,Table of contents numbered Znak,Elenco num ARGEA Znak,Odsek zoznamu2 Znak,Normal bullet 2 Znak,Tabela - prazna vrstica Znak,body Znak,Bullet Number Znak,Num Bullet 1 Znak,lp1 Znak,List Paragraph1 Znak,lp11 Znak"/>
    <w:link w:val="Odstavekseznama"/>
    <w:uiPriority w:val="34"/>
    <w:qFormat/>
    <w:locked/>
    <w:rsid w:val="006953B4"/>
  </w:style>
  <w:style w:type="paragraph" w:styleId="Glava">
    <w:name w:val="header"/>
    <w:basedOn w:val="Navaden"/>
    <w:link w:val="GlavaZnak"/>
    <w:uiPriority w:val="99"/>
    <w:unhideWhenUsed/>
    <w:rsid w:val="00335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352DC"/>
  </w:style>
  <w:style w:type="paragraph" w:styleId="Noga">
    <w:name w:val="footer"/>
    <w:basedOn w:val="Navaden"/>
    <w:link w:val="NogaZnak"/>
    <w:uiPriority w:val="99"/>
    <w:unhideWhenUsed/>
    <w:rsid w:val="00335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35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Marovt Novak</dc:creator>
  <cp:keywords/>
  <dc:description/>
  <cp:lastModifiedBy>MGTŠ</cp:lastModifiedBy>
  <cp:revision>14</cp:revision>
  <dcterms:created xsi:type="dcterms:W3CDTF">2025-07-22T12:56:00Z</dcterms:created>
  <dcterms:modified xsi:type="dcterms:W3CDTF">2025-08-21T05:40:00Z</dcterms:modified>
</cp:coreProperties>
</file>