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183A" w14:textId="77777777" w:rsidR="003C2BB1" w:rsidRPr="00833C1E" w:rsidRDefault="003C2BB1" w:rsidP="003C2BB1">
      <w:pPr>
        <w:pStyle w:val="podpisi"/>
        <w:jc w:val="both"/>
        <w:rPr>
          <w:rFonts w:cs="Arial"/>
          <w:b/>
          <w:szCs w:val="20"/>
          <w:lang w:val="sl-SI"/>
        </w:rPr>
      </w:pPr>
      <w:r w:rsidRPr="00833C1E">
        <w:rPr>
          <w:rFonts w:cs="Arial"/>
          <w:b/>
          <w:szCs w:val="20"/>
          <w:lang w:val="sl-SI"/>
        </w:rPr>
        <w:t>PRILOGA 2 (spremni dopis – 2. del) – podatki o izvedbi notranjih postopkov pred odločitvijo na seji vlade:</w:t>
      </w:r>
    </w:p>
    <w:p w14:paraId="74952E14" w14:textId="77777777" w:rsidR="003C2BB1" w:rsidRPr="00833C1E" w:rsidRDefault="003C2BB1" w:rsidP="003C2BB1">
      <w:pPr>
        <w:rPr>
          <w:rFonts w:cs="Arial"/>
          <w:szCs w:val="20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369"/>
        <w:gridCol w:w="2683"/>
        <w:gridCol w:w="2600"/>
      </w:tblGrid>
      <w:tr w:rsidR="003C2BB1" w:rsidRPr="00833C1E" w14:paraId="49CC1D36" w14:textId="77777777" w:rsidTr="00DA6942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9A46" w14:textId="77777777"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1. Zahteva predlagatelja za:</w:t>
            </w:r>
          </w:p>
        </w:tc>
      </w:tr>
      <w:tr w:rsidR="003C2BB1" w:rsidRPr="00833C1E" w14:paraId="1B483610" w14:textId="77777777" w:rsidTr="00DA6942">
        <w:tc>
          <w:tcPr>
            <w:tcW w:w="1448" w:type="dxa"/>
          </w:tcPr>
          <w:p w14:paraId="368979C8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052" w:type="dxa"/>
            <w:gridSpan w:val="2"/>
          </w:tcPr>
          <w:p w14:paraId="5311CD57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33C1E">
              <w:rPr>
                <w:bCs/>
                <w:sz w:val="20"/>
                <w:szCs w:val="20"/>
              </w:rPr>
              <w:t>obravnavo neusklajenega gradiva</w:t>
            </w:r>
          </w:p>
        </w:tc>
        <w:tc>
          <w:tcPr>
            <w:tcW w:w="2600" w:type="dxa"/>
          </w:tcPr>
          <w:p w14:paraId="6CFF5AB8" w14:textId="4FAAC2AD" w:rsidR="003C2BB1" w:rsidRPr="00833C1E" w:rsidRDefault="003C2BB1" w:rsidP="00DA6942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NE</w:t>
            </w:r>
          </w:p>
        </w:tc>
      </w:tr>
      <w:tr w:rsidR="003C2BB1" w:rsidRPr="00833C1E" w14:paraId="17408FE7" w14:textId="77777777" w:rsidTr="00DA6942">
        <w:tc>
          <w:tcPr>
            <w:tcW w:w="1448" w:type="dxa"/>
          </w:tcPr>
          <w:p w14:paraId="3C4EC8F9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052" w:type="dxa"/>
            <w:gridSpan w:val="2"/>
          </w:tcPr>
          <w:p w14:paraId="3580C509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33C1E">
              <w:rPr>
                <w:bCs/>
                <w:sz w:val="20"/>
                <w:szCs w:val="20"/>
              </w:rPr>
              <w:t>nujnost obravnave</w:t>
            </w:r>
          </w:p>
        </w:tc>
        <w:tc>
          <w:tcPr>
            <w:tcW w:w="2600" w:type="dxa"/>
          </w:tcPr>
          <w:p w14:paraId="2813B62C" w14:textId="64FB428F" w:rsidR="003C2BB1" w:rsidRPr="00833C1E" w:rsidRDefault="003C2BB1" w:rsidP="00DA6942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NE</w:t>
            </w:r>
          </w:p>
        </w:tc>
      </w:tr>
      <w:tr w:rsidR="003C2BB1" w:rsidRPr="00833C1E" w14:paraId="48687654" w14:textId="77777777" w:rsidTr="00DA6942">
        <w:tc>
          <w:tcPr>
            <w:tcW w:w="1448" w:type="dxa"/>
          </w:tcPr>
          <w:p w14:paraId="22DD4332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 xml:space="preserve">c) </w:t>
            </w:r>
          </w:p>
        </w:tc>
        <w:tc>
          <w:tcPr>
            <w:tcW w:w="5052" w:type="dxa"/>
            <w:gridSpan w:val="2"/>
          </w:tcPr>
          <w:p w14:paraId="1D67AA6F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33C1E">
              <w:rPr>
                <w:bCs/>
                <w:sz w:val="20"/>
                <w:szCs w:val="20"/>
              </w:rPr>
              <w:t>obravnavo gradiva brez sodelovanja javnosti</w:t>
            </w:r>
          </w:p>
        </w:tc>
        <w:tc>
          <w:tcPr>
            <w:tcW w:w="2600" w:type="dxa"/>
          </w:tcPr>
          <w:p w14:paraId="2D0232ED" w14:textId="16354E61" w:rsidR="003C2BB1" w:rsidRPr="00833C1E" w:rsidRDefault="003C2BB1" w:rsidP="00DA6942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NE</w:t>
            </w:r>
          </w:p>
        </w:tc>
      </w:tr>
      <w:tr w:rsidR="003C2BB1" w:rsidRPr="00833C1E" w14:paraId="3DB04402" w14:textId="77777777" w:rsidTr="00DA6942">
        <w:tc>
          <w:tcPr>
            <w:tcW w:w="9100" w:type="dxa"/>
            <w:gridSpan w:val="4"/>
          </w:tcPr>
          <w:p w14:paraId="6A905240" w14:textId="77777777"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2. Predlog za skrajšanje poslovniških rokov z obrazložitvijo razlogov:</w:t>
            </w:r>
          </w:p>
        </w:tc>
      </w:tr>
      <w:tr w:rsidR="003C2BB1" w:rsidRPr="00833C1E" w14:paraId="2CB725EC" w14:textId="77777777" w:rsidTr="00DA6942">
        <w:tc>
          <w:tcPr>
            <w:tcW w:w="9100" w:type="dxa"/>
            <w:gridSpan w:val="4"/>
          </w:tcPr>
          <w:p w14:paraId="2E2DC3A4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>(Navedite razloge.)</w:t>
            </w:r>
          </w:p>
        </w:tc>
      </w:tr>
      <w:tr w:rsidR="003C2BB1" w:rsidRPr="00833C1E" w14:paraId="1FA3CFE0" w14:textId="77777777" w:rsidTr="00DA6942">
        <w:tc>
          <w:tcPr>
            <w:tcW w:w="6500" w:type="dxa"/>
            <w:gridSpan w:val="3"/>
          </w:tcPr>
          <w:p w14:paraId="0936A32F" w14:textId="77777777" w:rsidR="003C2BB1" w:rsidRPr="00833C1E" w:rsidRDefault="003C2BB1" w:rsidP="00DA6942">
            <w:pPr>
              <w:pStyle w:val="Vrstapredpisa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  <w:r w:rsidRPr="00833C1E">
              <w:rPr>
                <w:bCs w:val="0"/>
                <w:color w:val="auto"/>
                <w:spacing w:val="0"/>
                <w:sz w:val="20"/>
                <w:szCs w:val="20"/>
              </w:rPr>
              <w:t>3. Gradivo se sme objaviti na svetovnem spletu:</w:t>
            </w:r>
          </w:p>
        </w:tc>
        <w:tc>
          <w:tcPr>
            <w:tcW w:w="2600" w:type="dxa"/>
          </w:tcPr>
          <w:p w14:paraId="223925F5" w14:textId="77777777" w:rsidR="00555F27" w:rsidRDefault="003C2BB1" w:rsidP="00555F27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DA</w:t>
            </w:r>
          </w:p>
          <w:p w14:paraId="0D12A72B" w14:textId="50B7475A" w:rsidR="003C2BB1" w:rsidRPr="00833C1E" w:rsidRDefault="003C2BB1" w:rsidP="00555F27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Če je odgovor NE, navedite razlog, ki izhaja iz predpisov o dostopu do informacij javnega značaja.)</w:t>
            </w:r>
          </w:p>
        </w:tc>
      </w:tr>
      <w:tr w:rsidR="003C2BB1" w:rsidRPr="00833C1E" w14:paraId="65A12F6E" w14:textId="77777777" w:rsidTr="00DA6942"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8124" w14:textId="77777777"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4. Gradivo je lektorirano: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27D5" w14:textId="160C9E55"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rPr>
                <w:b w:val="0"/>
                <w:sz w:val="20"/>
                <w:szCs w:val="20"/>
              </w:rPr>
            </w:pPr>
            <w:r w:rsidRPr="00833C1E">
              <w:rPr>
                <w:b w:val="0"/>
                <w:sz w:val="20"/>
                <w:szCs w:val="20"/>
              </w:rPr>
              <w:t>NE</w:t>
            </w:r>
          </w:p>
          <w:p w14:paraId="15A9E37C" w14:textId="77777777"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833C1E">
              <w:rPr>
                <w:b w:val="0"/>
                <w:sz w:val="20"/>
                <w:szCs w:val="20"/>
              </w:rPr>
              <w:t>Lekturo opravil:</w:t>
            </w:r>
          </w:p>
          <w:p w14:paraId="3188BC01" w14:textId="77777777"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833C1E">
              <w:rPr>
                <w:b w:val="0"/>
                <w:sz w:val="20"/>
                <w:szCs w:val="20"/>
              </w:rPr>
              <w:t>(Navedite ime in priimek javnega uslužbenca, zaposlenega v Sektorju za prevajanje GSV.)</w:t>
            </w:r>
          </w:p>
        </w:tc>
      </w:tr>
      <w:tr w:rsidR="003C2BB1" w:rsidRPr="00833C1E" w14:paraId="2BE8EFB0" w14:textId="77777777" w:rsidTr="00DA6942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6A39" w14:textId="77777777"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5. Gradivo je pripravljeno na podlagi sklepa vlade št. … z dne …</w:t>
            </w:r>
          </w:p>
        </w:tc>
      </w:tr>
      <w:tr w:rsidR="003C2BB1" w:rsidRPr="00833C1E" w14:paraId="0DEC4355" w14:textId="77777777" w:rsidTr="00DA6942">
        <w:tc>
          <w:tcPr>
            <w:tcW w:w="9100" w:type="dxa"/>
            <w:gridSpan w:val="4"/>
          </w:tcPr>
          <w:p w14:paraId="22400AD5" w14:textId="77777777"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6. Predstavitev medresorskega usklajevanja:</w:t>
            </w:r>
          </w:p>
        </w:tc>
      </w:tr>
      <w:tr w:rsidR="003C2BB1" w:rsidRPr="00833C1E" w14:paraId="77E921AA" w14:textId="77777777" w:rsidTr="00DA6942">
        <w:tc>
          <w:tcPr>
            <w:tcW w:w="9100" w:type="dxa"/>
            <w:gridSpan w:val="4"/>
          </w:tcPr>
          <w:p w14:paraId="62F9CC4C" w14:textId="36BF431C" w:rsidR="00555F27" w:rsidRDefault="00555F27" w:rsidP="00901C51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348"/>
              <w:rPr>
                <w:sz w:val="20"/>
                <w:szCs w:val="20"/>
              </w:rPr>
            </w:pPr>
            <w:r w:rsidRPr="002F55ED">
              <w:rPr>
                <w:sz w:val="20"/>
                <w:szCs w:val="20"/>
              </w:rPr>
              <w:t>Gradivo je bilo poslano v medresorsko us</w:t>
            </w:r>
            <w:r>
              <w:rPr>
                <w:sz w:val="20"/>
                <w:szCs w:val="20"/>
              </w:rPr>
              <w:t xml:space="preserve">klajevanje: </w:t>
            </w:r>
            <w:r w:rsidR="00A50BE0">
              <w:rPr>
                <w:sz w:val="20"/>
                <w:szCs w:val="20"/>
              </w:rPr>
              <w:t>Ministrstvu za finance, Ministrstvu za javno upravo, Ministrstvu za pravosodje, Ministrstvu za zdravje, Ministrstvu za notranje zadeve, Ministrstvu za vzgojo in izobraževanje, Ministrstvu za solidarno prihodnost</w:t>
            </w:r>
            <w:r>
              <w:rPr>
                <w:sz w:val="20"/>
                <w:szCs w:val="20"/>
              </w:rPr>
              <w:t xml:space="preserve">, Službi vlade za zakonodajo, Varuhu človekovih pravic, Informacijskemu pooblaščencu. </w:t>
            </w:r>
          </w:p>
          <w:p w14:paraId="53CCEE91" w14:textId="069666F3" w:rsidR="00901C51" w:rsidRPr="00833C1E" w:rsidRDefault="00901C51" w:rsidP="00460130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348"/>
              <w:rPr>
                <w:sz w:val="20"/>
                <w:szCs w:val="20"/>
              </w:rPr>
            </w:pPr>
          </w:p>
        </w:tc>
      </w:tr>
      <w:tr w:rsidR="003C2BB1" w:rsidRPr="00833C1E" w14:paraId="100B12CF" w14:textId="77777777" w:rsidTr="00DA6942">
        <w:tc>
          <w:tcPr>
            <w:tcW w:w="9100" w:type="dxa"/>
            <w:gridSpan w:val="4"/>
          </w:tcPr>
          <w:p w14:paraId="45BD73AA" w14:textId="59ED73C2"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Datum pošiljanja:</w:t>
            </w:r>
            <w:r w:rsidR="0039274E">
              <w:rPr>
                <w:sz w:val="20"/>
                <w:szCs w:val="20"/>
              </w:rPr>
              <w:t xml:space="preserve"> 14. 1. 2025</w:t>
            </w:r>
            <w:r w:rsidR="00802394">
              <w:rPr>
                <w:sz w:val="20"/>
                <w:szCs w:val="20"/>
              </w:rPr>
              <w:t>; 11. 3. 2025</w:t>
            </w:r>
            <w:r w:rsidR="005C6407">
              <w:rPr>
                <w:sz w:val="20"/>
                <w:szCs w:val="20"/>
              </w:rPr>
              <w:t>,</w:t>
            </w:r>
            <w:r w:rsidR="00802394">
              <w:rPr>
                <w:sz w:val="20"/>
                <w:szCs w:val="20"/>
              </w:rPr>
              <w:t xml:space="preserve"> 12. 3. 2025</w:t>
            </w:r>
            <w:r w:rsidR="005C6407">
              <w:rPr>
                <w:sz w:val="20"/>
                <w:szCs w:val="20"/>
              </w:rPr>
              <w:t>, 14. 3. 2025</w:t>
            </w:r>
            <w:r w:rsidR="00802394">
              <w:rPr>
                <w:sz w:val="20"/>
                <w:szCs w:val="20"/>
              </w:rPr>
              <w:t xml:space="preserve">; 17. 3. 2025 (MF, MNZ, SVZ) in 18. 3. 2025 (MVI) </w:t>
            </w:r>
          </w:p>
        </w:tc>
      </w:tr>
      <w:tr w:rsidR="003C2BB1" w:rsidRPr="00833C1E" w14:paraId="1446B381" w14:textId="77777777" w:rsidTr="00DA6942">
        <w:trPr>
          <w:trHeight w:val="225"/>
        </w:trPr>
        <w:tc>
          <w:tcPr>
            <w:tcW w:w="3817" w:type="dxa"/>
            <w:gridSpan w:val="2"/>
            <w:vMerge w:val="restart"/>
          </w:tcPr>
          <w:p w14:paraId="13DD3EB5" w14:textId="3B341E7E"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Gradivo je usklajeno:</w:t>
            </w:r>
          </w:p>
        </w:tc>
        <w:tc>
          <w:tcPr>
            <w:tcW w:w="5283" w:type="dxa"/>
            <w:gridSpan w:val="2"/>
          </w:tcPr>
          <w:p w14:paraId="29BB5F60" w14:textId="1D2A0233" w:rsidR="003C2BB1" w:rsidRPr="00833C1E" w:rsidRDefault="001C53F3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delno</w:t>
            </w:r>
          </w:p>
        </w:tc>
      </w:tr>
      <w:tr w:rsidR="003C2BB1" w:rsidRPr="00833C1E" w14:paraId="20780F9B" w14:textId="77777777" w:rsidTr="00DA6942">
        <w:trPr>
          <w:trHeight w:val="323"/>
        </w:trPr>
        <w:tc>
          <w:tcPr>
            <w:tcW w:w="3817" w:type="dxa"/>
            <w:gridSpan w:val="2"/>
            <w:vMerge/>
          </w:tcPr>
          <w:p w14:paraId="7761163B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14:paraId="629EC261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Bistvena neusklajena vprašanja in razlogi za to:</w:t>
            </w:r>
          </w:p>
          <w:p w14:paraId="647CF786" w14:textId="77777777" w:rsidR="001C53F3" w:rsidRDefault="001C53F3" w:rsidP="001C53F3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je v celoti usklajeno z ministrstvi in SVZ;</w:t>
            </w:r>
          </w:p>
          <w:p w14:paraId="079A6692" w14:textId="0D6B284C" w:rsidR="004E2201" w:rsidRDefault="001C53F3" w:rsidP="001C53F3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Vsebinsko niso </w:t>
            </w:r>
            <w:r w:rsidR="00121ABC">
              <w:rPr>
                <w:sz w:val="20"/>
                <w:szCs w:val="20"/>
              </w:rPr>
              <w:t xml:space="preserve">usklajena </w:t>
            </w:r>
            <w:r>
              <w:rPr>
                <w:sz w:val="20"/>
                <w:szCs w:val="20"/>
              </w:rPr>
              <w:t>posamezna vprašanja</w:t>
            </w:r>
            <w:r w:rsidR="004E2201">
              <w:rPr>
                <w:sz w:val="20"/>
                <w:szCs w:val="20"/>
              </w:rPr>
              <w:t>:</w:t>
            </w:r>
          </w:p>
          <w:p w14:paraId="065D865B" w14:textId="77777777" w:rsidR="00EC26E4" w:rsidRDefault="00EC26E4" w:rsidP="005C30E1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1080"/>
              <w:rPr>
                <w:sz w:val="20"/>
                <w:szCs w:val="20"/>
              </w:rPr>
            </w:pPr>
          </w:p>
          <w:p w14:paraId="06184752" w14:textId="07FD9CED" w:rsidR="004E2201" w:rsidRPr="004E2201" w:rsidRDefault="001C53F3" w:rsidP="004E2201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20" w:hanging="720"/>
              <w:rPr>
                <w:sz w:val="20"/>
                <w:szCs w:val="20"/>
                <w:u w:val="single"/>
              </w:rPr>
            </w:pPr>
            <w:r w:rsidRPr="004E2201">
              <w:rPr>
                <w:sz w:val="20"/>
                <w:szCs w:val="20"/>
                <w:u w:val="single"/>
              </w:rPr>
              <w:t xml:space="preserve">mnenje </w:t>
            </w:r>
            <w:r w:rsidR="00461303" w:rsidRPr="004E2201">
              <w:rPr>
                <w:sz w:val="20"/>
                <w:szCs w:val="20"/>
                <w:u w:val="single"/>
              </w:rPr>
              <w:t>Varuha človekovih pravic</w:t>
            </w:r>
          </w:p>
          <w:p w14:paraId="7EF33E08" w14:textId="67D25C7B" w:rsidR="004E2201" w:rsidRPr="005C30E1" w:rsidRDefault="004E2201" w:rsidP="004E2201">
            <w:pPr>
              <w:pStyle w:val="Alineazaodstavkom"/>
              <w:numPr>
                <w:ilvl w:val="0"/>
                <w:numId w:val="0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Izpostavlja vprašanje ustreznosti določbe glede plačila dela rejniku</w:t>
            </w:r>
            <w:r w:rsidR="005C30E1">
              <w:rPr>
                <w:sz w:val="20"/>
                <w:szCs w:val="20"/>
              </w:rPr>
              <w:t xml:space="preserve">, in sicer </w:t>
            </w:r>
            <w:r w:rsidR="00F45D3F">
              <w:rPr>
                <w:sz w:val="20"/>
                <w:szCs w:val="20"/>
              </w:rPr>
              <w:t xml:space="preserve">navaja, da </w:t>
            </w:r>
            <w:r>
              <w:rPr>
                <w:sz w:val="20"/>
                <w:szCs w:val="20"/>
              </w:rPr>
              <w:t xml:space="preserve">ni mogoče izključiti možnosti, da bi v prihodnje prihajalo do zmotnega razumevanja zakonskega besedila, da </w:t>
            </w:r>
            <w:r w:rsidRPr="004E2201">
              <w:rPr>
                <w:sz w:val="20"/>
                <w:szCs w:val="20"/>
              </w:rPr>
              <w:t>določba prvega odstavka 53. člena ZIRD opredeljuje enak</w:t>
            </w:r>
            <w:r>
              <w:rPr>
                <w:sz w:val="20"/>
                <w:szCs w:val="20"/>
              </w:rPr>
              <w:t xml:space="preserve"> </w:t>
            </w:r>
            <w:r w:rsidRPr="004E2201">
              <w:rPr>
                <w:sz w:val="20"/>
                <w:szCs w:val="20"/>
              </w:rPr>
              <w:t>znesek plačila dela rejnika, ne glede na število otrok v rejništvu.</w:t>
            </w:r>
            <w:r w:rsidR="00F76063">
              <w:rPr>
                <w:sz w:val="20"/>
                <w:szCs w:val="20"/>
              </w:rPr>
              <w:t xml:space="preserve"> </w:t>
            </w:r>
            <w:r w:rsidR="00F76063" w:rsidRPr="005C30E1">
              <w:rPr>
                <w:sz w:val="20"/>
                <w:szCs w:val="20"/>
              </w:rPr>
              <w:t>Predlagatelj meni, da je predlagana določba ustrezna. Rejnik je za posameznega otroka upravičen do mesečne rejnine, kar ureja 50. člen ZIRD, ki je dopolnjen v 14. členu predloga zakona (npr. v primeru</w:t>
            </w:r>
            <w:r w:rsidR="00F45D3F">
              <w:rPr>
                <w:sz w:val="20"/>
                <w:szCs w:val="20"/>
              </w:rPr>
              <w:t xml:space="preserve"> namestitve</w:t>
            </w:r>
            <w:r w:rsidR="00F76063" w:rsidRPr="005C30E1">
              <w:rPr>
                <w:sz w:val="20"/>
                <w:szCs w:val="20"/>
              </w:rPr>
              <w:t xml:space="preserve"> treh otrok </w:t>
            </w:r>
            <w:r w:rsidR="00F45D3F">
              <w:rPr>
                <w:sz w:val="20"/>
                <w:szCs w:val="20"/>
              </w:rPr>
              <w:t xml:space="preserve">je upravičen </w:t>
            </w:r>
            <w:r w:rsidR="00F76063" w:rsidRPr="005C30E1">
              <w:rPr>
                <w:sz w:val="20"/>
                <w:szCs w:val="20"/>
              </w:rPr>
              <w:t>do treh rejnin ter s tem treh plačil dela).</w:t>
            </w:r>
          </w:p>
          <w:p w14:paraId="23C0F203" w14:textId="77777777" w:rsidR="004E2201" w:rsidRPr="00F76063" w:rsidRDefault="004E2201" w:rsidP="004E2201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20" w:hanging="720"/>
              <w:rPr>
                <w:sz w:val="20"/>
                <w:szCs w:val="20"/>
              </w:rPr>
            </w:pPr>
          </w:p>
          <w:p w14:paraId="49D19753" w14:textId="63F70992" w:rsidR="004F2721" w:rsidRDefault="004E2201" w:rsidP="004E2201">
            <w:pPr>
              <w:pStyle w:val="Alineazaodstavkom"/>
              <w:numPr>
                <w:ilvl w:val="0"/>
                <w:numId w:val="0"/>
              </w:numPr>
              <w:spacing w:line="260" w:lineRule="exact"/>
              <w:rPr>
                <w:sz w:val="20"/>
                <w:szCs w:val="20"/>
              </w:rPr>
            </w:pPr>
            <w:r w:rsidRPr="00F76063">
              <w:rPr>
                <w:sz w:val="20"/>
                <w:szCs w:val="20"/>
              </w:rPr>
              <w:t xml:space="preserve">Varuh predlaga, da je </w:t>
            </w:r>
            <w:r w:rsidRPr="004E2201">
              <w:rPr>
                <w:sz w:val="20"/>
                <w:szCs w:val="20"/>
              </w:rPr>
              <w:t>posebej obravnavano vprašanje plačila stroškov</w:t>
            </w:r>
            <w:r w:rsidRPr="00F76063">
              <w:rPr>
                <w:sz w:val="20"/>
                <w:szCs w:val="20"/>
              </w:rPr>
              <w:t xml:space="preserve"> </w:t>
            </w:r>
            <w:r w:rsidRPr="004E2201">
              <w:rPr>
                <w:sz w:val="20"/>
                <w:szCs w:val="20"/>
              </w:rPr>
              <w:t>obiskovanja matične družine, če ta živi v oddaljenem kraju</w:t>
            </w:r>
            <w:r w:rsidR="00F76063">
              <w:rPr>
                <w:sz w:val="20"/>
                <w:szCs w:val="20"/>
              </w:rPr>
              <w:t>,</w:t>
            </w:r>
            <w:r w:rsidRPr="004E2201">
              <w:rPr>
                <w:sz w:val="20"/>
                <w:szCs w:val="20"/>
              </w:rPr>
              <w:t xml:space="preserve"> in ne more zagotavljati za to</w:t>
            </w:r>
            <w:r w:rsidRPr="00F76063">
              <w:rPr>
                <w:sz w:val="20"/>
                <w:szCs w:val="20"/>
              </w:rPr>
              <w:t xml:space="preserve"> potrebnih </w:t>
            </w:r>
            <w:r w:rsidRPr="00F76063">
              <w:rPr>
                <w:sz w:val="20"/>
                <w:szCs w:val="20"/>
              </w:rPr>
              <w:lastRenderedPageBreak/>
              <w:t xml:space="preserve">sredstev. Izpostavlja </w:t>
            </w:r>
            <w:r w:rsidR="00F76063" w:rsidRPr="00F76063">
              <w:rPr>
                <w:sz w:val="20"/>
                <w:szCs w:val="20"/>
              </w:rPr>
              <w:t xml:space="preserve">tudi </w:t>
            </w:r>
            <w:r w:rsidRPr="00F76063">
              <w:rPr>
                <w:sz w:val="20"/>
                <w:szCs w:val="20"/>
              </w:rPr>
              <w:t xml:space="preserve">vprašanje ustreznosti ureditve 52. člena ZIRD zakona, saj </w:t>
            </w:r>
            <w:r w:rsidRPr="004E2201">
              <w:rPr>
                <w:sz w:val="20"/>
                <w:szCs w:val="20"/>
              </w:rPr>
              <w:t>omogoča maksimalni možen dodatek za primere izrednih izdatkov otroka v zvezi z</w:t>
            </w:r>
            <w:r w:rsidRPr="00F76063">
              <w:rPr>
                <w:sz w:val="20"/>
                <w:szCs w:val="20"/>
              </w:rPr>
              <w:t xml:space="preserve"> </w:t>
            </w:r>
            <w:r w:rsidRPr="004E2201">
              <w:rPr>
                <w:sz w:val="20"/>
                <w:szCs w:val="20"/>
              </w:rPr>
              <w:t>izobraževalnim procesom in interesnimi dejavnostmi otroka, pri čemer ni vzpostavljeno</w:t>
            </w:r>
            <w:r w:rsidRPr="00F76063">
              <w:rPr>
                <w:sz w:val="20"/>
                <w:szCs w:val="20"/>
              </w:rPr>
              <w:t xml:space="preserve"> </w:t>
            </w:r>
            <w:r w:rsidRPr="004E2201">
              <w:rPr>
                <w:sz w:val="20"/>
                <w:szCs w:val="20"/>
              </w:rPr>
              <w:t>ustrezno razlikovanje do otrok, ki imajo poleg izrednih izdatkov v zvezi z izobraževalnim</w:t>
            </w:r>
            <w:r w:rsidRPr="00F76063">
              <w:rPr>
                <w:sz w:val="20"/>
                <w:szCs w:val="20"/>
              </w:rPr>
              <w:t xml:space="preserve"> </w:t>
            </w:r>
            <w:r w:rsidRPr="004E2201">
              <w:rPr>
                <w:sz w:val="20"/>
                <w:szCs w:val="20"/>
              </w:rPr>
              <w:t>procesom in interesnimi dejavnostmi otroka tudi izredne izdatke povezane z zdravjem</w:t>
            </w:r>
            <w:r w:rsidRPr="00F76063">
              <w:rPr>
                <w:sz w:val="20"/>
                <w:szCs w:val="20"/>
              </w:rPr>
              <w:t xml:space="preserve"> otroka ali drugimi posebnimi obravnavami otroka.</w:t>
            </w:r>
            <w:r w:rsidR="00F76063" w:rsidRPr="00F76063">
              <w:rPr>
                <w:sz w:val="20"/>
                <w:szCs w:val="20"/>
              </w:rPr>
              <w:t xml:space="preserve"> </w:t>
            </w:r>
            <w:r w:rsidR="00F76063">
              <w:rPr>
                <w:sz w:val="20"/>
                <w:szCs w:val="20"/>
              </w:rPr>
              <w:t>Predlagatelj</w:t>
            </w:r>
            <w:r w:rsidR="00F76063" w:rsidRPr="00F76063">
              <w:rPr>
                <w:sz w:val="20"/>
                <w:szCs w:val="20"/>
              </w:rPr>
              <w:t xml:space="preserve"> pojasnjuje, da je</w:t>
            </w:r>
            <w:r w:rsidR="005C30E1">
              <w:rPr>
                <w:sz w:val="20"/>
                <w:szCs w:val="20"/>
              </w:rPr>
              <w:t xml:space="preserve"> </w:t>
            </w:r>
            <w:r w:rsidR="00F76063" w:rsidRPr="00F76063">
              <w:rPr>
                <w:sz w:val="20"/>
                <w:szCs w:val="20"/>
              </w:rPr>
              <w:t>eden</w:t>
            </w:r>
            <w:r w:rsidR="00F45D3F">
              <w:rPr>
                <w:sz w:val="20"/>
                <w:szCs w:val="20"/>
              </w:rPr>
              <w:t xml:space="preserve"> od predlaganih </w:t>
            </w:r>
            <w:r w:rsidR="00F76063" w:rsidRPr="00F76063">
              <w:rPr>
                <w:sz w:val="20"/>
                <w:szCs w:val="20"/>
              </w:rPr>
              <w:t>kriterijev</w:t>
            </w:r>
            <w:r w:rsidR="005C30E1">
              <w:rPr>
                <w:sz w:val="20"/>
                <w:szCs w:val="20"/>
              </w:rPr>
              <w:t xml:space="preserve"> </w:t>
            </w:r>
            <w:r w:rsidR="00F76063" w:rsidRPr="00F76063">
              <w:rPr>
                <w:sz w:val="20"/>
                <w:szCs w:val="20"/>
              </w:rPr>
              <w:t xml:space="preserve">za dvig oskrbnine </w:t>
            </w:r>
            <w:r w:rsidR="005C30E1">
              <w:rPr>
                <w:sz w:val="20"/>
                <w:szCs w:val="20"/>
              </w:rPr>
              <w:t>zaradi izrednih izdatkov</w:t>
            </w:r>
            <w:r w:rsidR="00F45D3F">
              <w:rPr>
                <w:sz w:val="20"/>
                <w:szCs w:val="20"/>
              </w:rPr>
              <w:t xml:space="preserve"> predlagan tudi </w:t>
            </w:r>
            <w:r w:rsidR="005C30E1">
              <w:rPr>
                <w:sz w:val="20"/>
                <w:szCs w:val="20"/>
              </w:rPr>
              <w:t>kriterij</w:t>
            </w:r>
            <w:r w:rsidR="00F76063" w:rsidRPr="00F76063">
              <w:rPr>
                <w:sz w:val="20"/>
                <w:szCs w:val="20"/>
              </w:rPr>
              <w:t xml:space="preserve"> stroški obiskovanja matične družine, če ta živi izven krajevne pristojnosti centra rejnika, in ne more zagotavljati za to potrebnih sredstev</w:t>
            </w:r>
            <w:r w:rsidR="00F76063">
              <w:rPr>
                <w:sz w:val="20"/>
                <w:szCs w:val="20"/>
              </w:rPr>
              <w:t>. V zvezi z ureditvijo razlogov</w:t>
            </w:r>
            <w:r w:rsidR="005C30E1">
              <w:rPr>
                <w:sz w:val="20"/>
                <w:szCs w:val="20"/>
              </w:rPr>
              <w:t xml:space="preserve"> za dvig oskrbnine</w:t>
            </w:r>
            <w:r w:rsidR="00F76063">
              <w:rPr>
                <w:sz w:val="20"/>
                <w:szCs w:val="20"/>
              </w:rPr>
              <w:t xml:space="preserve"> predlagatelj pojasnjuje, da </w:t>
            </w:r>
            <w:r w:rsidR="00F76063" w:rsidRPr="00F76063">
              <w:rPr>
                <w:sz w:val="20"/>
                <w:szCs w:val="20"/>
              </w:rPr>
              <w:t>predlog</w:t>
            </w:r>
            <w:r w:rsidR="00F76063">
              <w:rPr>
                <w:sz w:val="20"/>
                <w:szCs w:val="20"/>
              </w:rPr>
              <w:t xml:space="preserve"> zakona določa pet razlogov za dvig oskrbnine ter določa, da č</w:t>
            </w:r>
            <w:r w:rsidR="00F76063" w:rsidRPr="00F76063">
              <w:rPr>
                <w:sz w:val="20"/>
                <w:szCs w:val="20"/>
              </w:rPr>
              <w:t>e sta podana dva ali več razlogov za zvišanje oskrbnine za 25 %, se oskrbnina lahko zviša za 50 %</w:t>
            </w:r>
            <w:r w:rsidR="005C30E1">
              <w:rPr>
                <w:sz w:val="20"/>
                <w:szCs w:val="20"/>
              </w:rPr>
              <w:t xml:space="preserve"> (16. člen predloga zakona)</w:t>
            </w:r>
            <w:r w:rsidR="00F76063" w:rsidRPr="00F76063">
              <w:rPr>
                <w:sz w:val="20"/>
                <w:szCs w:val="20"/>
              </w:rPr>
              <w:t xml:space="preserve">. </w:t>
            </w:r>
          </w:p>
          <w:p w14:paraId="10204BFE" w14:textId="77777777" w:rsidR="004F2721" w:rsidRDefault="004F2721" w:rsidP="004E2201">
            <w:pPr>
              <w:pStyle w:val="Alineazaodstavkom"/>
              <w:numPr>
                <w:ilvl w:val="0"/>
                <w:numId w:val="0"/>
              </w:numPr>
              <w:spacing w:line="260" w:lineRule="exact"/>
              <w:rPr>
                <w:sz w:val="20"/>
                <w:szCs w:val="20"/>
              </w:rPr>
            </w:pPr>
          </w:p>
          <w:p w14:paraId="1BE54313" w14:textId="77777777" w:rsidR="003C2BB1" w:rsidRPr="00EC26E4" w:rsidRDefault="004F2721" w:rsidP="004E2201">
            <w:pPr>
              <w:pStyle w:val="Alineazaodstavkom"/>
              <w:numPr>
                <w:ilvl w:val="0"/>
                <w:numId w:val="0"/>
              </w:numPr>
              <w:spacing w:line="260" w:lineRule="exact"/>
              <w:rPr>
                <w:sz w:val="20"/>
                <w:szCs w:val="20"/>
                <w:u w:val="single"/>
              </w:rPr>
            </w:pPr>
            <w:r w:rsidRPr="00EC26E4">
              <w:rPr>
                <w:sz w:val="20"/>
                <w:szCs w:val="20"/>
                <w:u w:val="single"/>
              </w:rPr>
              <w:t>Informacijski pooblaščenec</w:t>
            </w:r>
            <w:r w:rsidR="00F76063" w:rsidRPr="00EC26E4">
              <w:rPr>
                <w:sz w:val="20"/>
                <w:szCs w:val="20"/>
                <w:u w:val="single"/>
              </w:rPr>
              <w:t xml:space="preserve"> </w:t>
            </w:r>
          </w:p>
          <w:p w14:paraId="611DB596" w14:textId="58827D38" w:rsidR="004F2721" w:rsidRDefault="004F2721" w:rsidP="004E2201">
            <w:pPr>
              <w:pStyle w:val="Alineazaodstavkom"/>
              <w:numPr>
                <w:ilvl w:val="0"/>
                <w:numId w:val="0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predlog zakona nima pripomb</w:t>
            </w:r>
            <w:r w:rsidR="000422A9">
              <w:rPr>
                <w:sz w:val="20"/>
                <w:szCs w:val="20"/>
              </w:rPr>
              <w:t>.</w:t>
            </w:r>
            <w:r w:rsidR="005C30E1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 xml:space="preserve">pozarja </w:t>
            </w:r>
            <w:r w:rsidR="000422A9">
              <w:rPr>
                <w:sz w:val="20"/>
                <w:szCs w:val="20"/>
              </w:rPr>
              <w:t xml:space="preserve">pa </w:t>
            </w:r>
            <w:r>
              <w:rPr>
                <w:sz w:val="20"/>
                <w:szCs w:val="20"/>
              </w:rPr>
              <w:t>na siceršnji problem zakonodaje na področju varstva osebnih podatkov pri izvajanju rejništva ter nujnost celovite prenove določb.</w:t>
            </w:r>
          </w:p>
          <w:p w14:paraId="673612B1" w14:textId="3BF52A57" w:rsidR="00EC26E4" w:rsidRPr="00833C1E" w:rsidRDefault="00EC26E4" w:rsidP="000351BC">
            <w:pPr>
              <w:pStyle w:val="Alineazaodstavkom"/>
              <w:numPr>
                <w:ilvl w:val="0"/>
                <w:numId w:val="0"/>
              </w:numPr>
              <w:spacing w:line="260" w:lineRule="exact"/>
              <w:rPr>
                <w:sz w:val="20"/>
                <w:szCs w:val="20"/>
              </w:rPr>
            </w:pPr>
          </w:p>
        </w:tc>
      </w:tr>
      <w:tr w:rsidR="003C2BB1" w:rsidRPr="00833C1E" w14:paraId="442993B0" w14:textId="77777777" w:rsidTr="00DA6942">
        <w:trPr>
          <w:trHeight w:val="322"/>
        </w:trPr>
        <w:tc>
          <w:tcPr>
            <w:tcW w:w="3817" w:type="dxa"/>
            <w:gridSpan w:val="2"/>
            <w:vMerge/>
          </w:tcPr>
          <w:p w14:paraId="38FB7816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14:paraId="223AC879" w14:textId="77777777"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>Priložite mnenja organov, s katerimi gradivo ni usklajeno.)</w:t>
            </w:r>
          </w:p>
        </w:tc>
      </w:tr>
    </w:tbl>
    <w:p w14:paraId="0A139697" w14:textId="77777777" w:rsidR="003C2BB1" w:rsidRPr="00833C1E" w:rsidRDefault="003C2BB1" w:rsidP="003C2BB1">
      <w:pPr>
        <w:rPr>
          <w:rFonts w:cs="Arial"/>
          <w:szCs w:val="20"/>
        </w:rPr>
      </w:pPr>
    </w:p>
    <w:p w14:paraId="2C84D58E" w14:textId="77777777" w:rsidR="003C2BB1" w:rsidRPr="00833C1E" w:rsidRDefault="003C2BB1" w:rsidP="003C2BB1">
      <w:pPr>
        <w:jc w:val="both"/>
        <w:rPr>
          <w:rFonts w:cs="Arial"/>
          <w:szCs w:val="20"/>
        </w:rPr>
      </w:pPr>
      <w:r w:rsidRPr="00833C1E">
        <w:rPr>
          <w:rFonts w:cs="Arial"/>
          <w:szCs w:val="20"/>
        </w:rPr>
        <w:t>PRILOGE:</w:t>
      </w:r>
    </w:p>
    <w:p w14:paraId="7F0172FC" w14:textId="77777777" w:rsidR="003C2BB1" w:rsidRPr="00833C1E" w:rsidRDefault="003C2BB1" w:rsidP="003C2BB1">
      <w:pPr>
        <w:jc w:val="both"/>
        <w:rPr>
          <w:rFonts w:cs="Arial"/>
          <w:szCs w:val="20"/>
        </w:rPr>
      </w:pPr>
    </w:p>
    <w:p w14:paraId="75A53BE8" w14:textId="77777777" w:rsidR="003C2BB1" w:rsidRPr="00833C1E" w:rsidRDefault="003C2BB1" w:rsidP="003C2BB1">
      <w:pPr>
        <w:rPr>
          <w:rFonts w:cs="Arial"/>
          <w:b/>
          <w:szCs w:val="20"/>
        </w:rPr>
      </w:pPr>
      <w:r w:rsidRPr="00833C1E">
        <w:rPr>
          <w:rFonts w:cs="Arial"/>
          <w:b/>
          <w:iCs/>
          <w:szCs w:val="20"/>
        </w:rPr>
        <w:t>I. Mnenja:</w:t>
      </w:r>
    </w:p>
    <w:p w14:paraId="4E97CD7F" w14:textId="4EE83D82" w:rsidR="00B015A0" w:rsidRDefault="00DE6644" w:rsidP="00DE6644">
      <w:pPr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- </w:t>
      </w:r>
      <w:r w:rsidR="00B015A0">
        <w:rPr>
          <w:rFonts w:cs="Arial"/>
          <w:iCs/>
          <w:szCs w:val="20"/>
        </w:rPr>
        <w:t>Službe vlade za zakonodajo,</w:t>
      </w:r>
    </w:p>
    <w:p w14:paraId="7A6BE520" w14:textId="44A3C9F7" w:rsidR="00460130" w:rsidRDefault="00B015A0" w:rsidP="00DE6644">
      <w:pPr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- </w:t>
      </w:r>
      <w:r w:rsidR="00460130">
        <w:rPr>
          <w:rFonts w:cs="Arial"/>
          <w:iCs/>
          <w:szCs w:val="20"/>
        </w:rPr>
        <w:t>Ministrstvo za finance,</w:t>
      </w:r>
    </w:p>
    <w:p w14:paraId="7A968718" w14:textId="3550F0FD" w:rsidR="00B015A0" w:rsidRDefault="00460130" w:rsidP="00DE6644">
      <w:pPr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- </w:t>
      </w:r>
      <w:r w:rsidR="00DE6644">
        <w:rPr>
          <w:rFonts w:cs="Arial"/>
          <w:iCs/>
          <w:szCs w:val="20"/>
        </w:rPr>
        <w:t xml:space="preserve">Ministrstva za pravosodje, </w:t>
      </w:r>
    </w:p>
    <w:p w14:paraId="2B910E19" w14:textId="77777777" w:rsidR="00B015A0" w:rsidRDefault="00B015A0" w:rsidP="00DE6644">
      <w:pPr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-</w:t>
      </w:r>
      <w:r w:rsidR="00DE6644">
        <w:rPr>
          <w:rFonts w:cs="Arial"/>
          <w:iCs/>
          <w:szCs w:val="20"/>
        </w:rPr>
        <w:t xml:space="preserve"> Ministrstv</w:t>
      </w:r>
      <w:r>
        <w:rPr>
          <w:rFonts w:cs="Arial"/>
          <w:iCs/>
          <w:szCs w:val="20"/>
        </w:rPr>
        <w:t>o</w:t>
      </w:r>
      <w:r w:rsidR="00DE6644">
        <w:rPr>
          <w:rFonts w:cs="Arial"/>
          <w:iCs/>
          <w:szCs w:val="20"/>
        </w:rPr>
        <w:t xml:space="preserve"> za notranje zadeve, </w:t>
      </w:r>
    </w:p>
    <w:p w14:paraId="0460E3EF" w14:textId="77777777" w:rsidR="00B015A0" w:rsidRDefault="00B015A0" w:rsidP="00DE6644">
      <w:pPr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- </w:t>
      </w:r>
      <w:r w:rsidR="00DE6644">
        <w:rPr>
          <w:rFonts w:cs="Arial"/>
          <w:iCs/>
          <w:szCs w:val="20"/>
        </w:rPr>
        <w:t>Ministrstv</w:t>
      </w:r>
      <w:r>
        <w:rPr>
          <w:rFonts w:cs="Arial"/>
          <w:iCs/>
          <w:szCs w:val="20"/>
        </w:rPr>
        <w:t>o</w:t>
      </w:r>
      <w:r w:rsidR="00DE6644">
        <w:rPr>
          <w:rFonts w:cs="Arial"/>
          <w:iCs/>
          <w:szCs w:val="20"/>
        </w:rPr>
        <w:t xml:space="preserve"> za vzgojo in izobraževanje,</w:t>
      </w:r>
    </w:p>
    <w:p w14:paraId="39EC9874" w14:textId="77777777" w:rsidR="00B015A0" w:rsidRDefault="00B015A0" w:rsidP="00DE6644">
      <w:pPr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- </w:t>
      </w:r>
      <w:r w:rsidR="00DE6644">
        <w:rPr>
          <w:rFonts w:cs="Arial"/>
          <w:iCs/>
          <w:szCs w:val="20"/>
        </w:rPr>
        <w:t>Ministrstv</w:t>
      </w:r>
      <w:r>
        <w:rPr>
          <w:rFonts w:cs="Arial"/>
          <w:iCs/>
          <w:szCs w:val="20"/>
        </w:rPr>
        <w:t xml:space="preserve">o za </w:t>
      </w:r>
      <w:r w:rsidR="00DE6644">
        <w:rPr>
          <w:rFonts w:cs="Arial"/>
          <w:iCs/>
          <w:szCs w:val="20"/>
        </w:rPr>
        <w:t>zdravje,</w:t>
      </w:r>
    </w:p>
    <w:p w14:paraId="77F6F229" w14:textId="77777777" w:rsidR="00B015A0" w:rsidRDefault="00B015A0" w:rsidP="00DE6644">
      <w:pPr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-</w:t>
      </w:r>
      <w:r w:rsidR="00DE6644">
        <w:rPr>
          <w:rFonts w:cs="Arial"/>
          <w:iCs/>
          <w:szCs w:val="20"/>
        </w:rPr>
        <w:t xml:space="preserve"> Ministrstv</w:t>
      </w:r>
      <w:r>
        <w:rPr>
          <w:rFonts w:cs="Arial"/>
          <w:iCs/>
          <w:szCs w:val="20"/>
        </w:rPr>
        <w:t>o</w:t>
      </w:r>
      <w:r w:rsidR="00DE6644">
        <w:rPr>
          <w:rFonts w:cs="Arial"/>
          <w:iCs/>
          <w:szCs w:val="20"/>
        </w:rPr>
        <w:t xml:space="preserve"> za javno upravo, </w:t>
      </w:r>
    </w:p>
    <w:p w14:paraId="09E09CCA" w14:textId="3E8C7899" w:rsidR="00DE6644" w:rsidRDefault="00B015A0" w:rsidP="00DE6644">
      <w:pPr>
        <w:jc w:val="both"/>
        <w:rPr>
          <w:rFonts w:cs="Arial"/>
          <w:iCs/>
          <w:szCs w:val="20"/>
        </w:rPr>
      </w:pPr>
      <w:r w:rsidRPr="00B015A0">
        <w:rPr>
          <w:rFonts w:cs="Arial"/>
          <w:iCs/>
          <w:szCs w:val="20"/>
        </w:rPr>
        <w:t xml:space="preserve">- </w:t>
      </w:r>
      <w:r w:rsidR="00DE6644" w:rsidRPr="00B015A0">
        <w:rPr>
          <w:rFonts w:cs="Arial"/>
          <w:iCs/>
          <w:szCs w:val="20"/>
        </w:rPr>
        <w:t>Ministrstv</w:t>
      </w:r>
      <w:r w:rsidRPr="00B015A0">
        <w:rPr>
          <w:rFonts w:cs="Arial"/>
          <w:iCs/>
          <w:szCs w:val="20"/>
        </w:rPr>
        <w:t>o</w:t>
      </w:r>
      <w:r w:rsidR="00DE6644" w:rsidRPr="00B015A0">
        <w:rPr>
          <w:rFonts w:cs="Arial"/>
          <w:iCs/>
          <w:szCs w:val="20"/>
        </w:rPr>
        <w:t xml:space="preserve"> za solidarno prihodnost, </w:t>
      </w:r>
    </w:p>
    <w:p w14:paraId="4A6BFA9B" w14:textId="77777777" w:rsidR="00B015A0" w:rsidRDefault="00B015A0" w:rsidP="00B015A0">
      <w:pPr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- Varuh človekovih pravic,</w:t>
      </w:r>
    </w:p>
    <w:p w14:paraId="42FC3D44" w14:textId="17371769" w:rsidR="00B015A0" w:rsidRDefault="00B015A0" w:rsidP="00B015A0">
      <w:pPr>
        <w:jc w:val="both"/>
        <w:rPr>
          <w:b/>
          <w:szCs w:val="20"/>
        </w:rPr>
      </w:pPr>
      <w:r>
        <w:rPr>
          <w:rFonts w:cs="Arial"/>
          <w:iCs/>
          <w:szCs w:val="20"/>
        </w:rPr>
        <w:t>-</w:t>
      </w:r>
      <w:r w:rsidRPr="00B015A0">
        <w:rPr>
          <w:rFonts w:cs="Arial"/>
          <w:iCs/>
          <w:szCs w:val="20"/>
        </w:rPr>
        <w:t xml:space="preserve"> </w:t>
      </w:r>
      <w:r w:rsidRPr="00B015A0">
        <w:rPr>
          <w:szCs w:val="20"/>
        </w:rPr>
        <w:t>Informacijski</w:t>
      </w:r>
      <w:r>
        <w:rPr>
          <w:szCs w:val="20"/>
        </w:rPr>
        <w:t xml:space="preserve"> pooblaščenec</w:t>
      </w:r>
    </w:p>
    <w:p w14:paraId="55200693" w14:textId="5C1BC06D" w:rsidR="00DE6644" w:rsidRPr="00DE6644" w:rsidRDefault="00DE6644" w:rsidP="000351BC">
      <w:pPr>
        <w:pStyle w:val="Naslovpredpisa"/>
        <w:spacing w:before="0" w:after="0" w:line="260" w:lineRule="exact"/>
        <w:jc w:val="left"/>
        <w:rPr>
          <w:iCs/>
          <w:szCs w:val="20"/>
        </w:rPr>
      </w:pPr>
    </w:p>
    <w:p w14:paraId="52BF368B" w14:textId="77777777" w:rsidR="003C2BB1" w:rsidRPr="00833C1E" w:rsidRDefault="003C2BB1" w:rsidP="003C2BB1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14:paraId="0C9C533B" w14:textId="77777777" w:rsidR="003C2BB1" w:rsidRPr="00833C1E" w:rsidRDefault="003C2BB1" w:rsidP="003C2BB1">
      <w:pPr>
        <w:jc w:val="both"/>
        <w:rPr>
          <w:rFonts w:cs="Arial"/>
          <w:szCs w:val="20"/>
        </w:rPr>
      </w:pPr>
      <w:r w:rsidRPr="00833C1E">
        <w:rPr>
          <w:rFonts w:cs="Arial"/>
          <w:b/>
          <w:szCs w:val="20"/>
        </w:rPr>
        <w:t>II.Pri predlogih podzakonskih predpisov</w:t>
      </w:r>
      <w:r w:rsidRPr="00833C1E">
        <w:rPr>
          <w:rFonts w:cs="Arial"/>
          <w:szCs w:val="20"/>
        </w:rPr>
        <w:t>: izjava o skladnosti predloga podzakonskega predpisa s pravnimi akti Evropske unije in korelacijska tabela, če se prenaša direktiva s podzakonskim predpisom</w:t>
      </w:r>
    </w:p>
    <w:p w14:paraId="6431C504" w14:textId="77777777" w:rsidR="003C2BB1" w:rsidRPr="00833C1E" w:rsidRDefault="003C2BB1" w:rsidP="003C2BB1">
      <w:pPr>
        <w:pStyle w:val="Neotevilenodstavek"/>
        <w:spacing w:before="0" w:after="0" w:line="260" w:lineRule="exact"/>
        <w:rPr>
          <w:sz w:val="20"/>
          <w:szCs w:val="20"/>
        </w:rPr>
      </w:pPr>
    </w:p>
    <w:p w14:paraId="64600856" w14:textId="77777777" w:rsidR="003C2BB1" w:rsidRPr="00833C1E" w:rsidRDefault="003C2BB1" w:rsidP="003C2BB1">
      <w:pPr>
        <w:pStyle w:val="Neotevilenodstavek"/>
        <w:spacing w:before="0" w:after="0" w:line="260" w:lineRule="exact"/>
        <w:rPr>
          <w:sz w:val="20"/>
          <w:szCs w:val="20"/>
        </w:rPr>
      </w:pPr>
      <w:r w:rsidRPr="00833C1E">
        <w:rPr>
          <w:sz w:val="20"/>
          <w:szCs w:val="20"/>
        </w:rPr>
        <w:t>(Izjava o skladnosti (oblika pdf) – izvoz iz baze RPS</w:t>
      </w:r>
    </w:p>
    <w:p w14:paraId="532CBBEF" w14:textId="77777777" w:rsidR="003C2BB1" w:rsidRPr="00833C1E" w:rsidRDefault="003C2BB1" w:rsidP="003C2BB1">
      <w:pPr>
        <w:rPr>
          <w:rFonts w:cs="Arial"/>
        </w:rPr>
      </w:pPr>
      <w:r w:rsidRPr="00833C1E">
        <w:rPr>
          <w:rFonts w:cs="Arial"/>
          <w:szCs w:val="20"/>
        </w:rPr>
        <w:t>Korelacijska tabela (oblika pdf) – izvoz iz baze RPS)</w:t>
      </w:r>
    </w:p>
    <w:p w14:paraId="7632A0DA" w14:textId="77777777" w:rsidR="003C2BB1" w:rsidRPr="00833C1E" w:rsidRDefault="003C2BB1" w:rsidP="003C2BB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0F51D405" w14:textId="77777777" w:rsidR="003C2BB1" w:rsidRPr="00833C1E" w:rsidRDefault="003C2BB1" w:rsidP="003C2BB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55F9E769" w14:textId="77777777" w:rsidR="00FB397B" w:rsidRDefault="00FB397B"/>
    <w:sectPr w:rsidR="00FB397B" w:rsidSect="0047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3142"/>
    <w:multiLevelType w:val="hybridMultilevel"/>
    <w:tmpl w:val="1E16A84C"/>
    <w:lvl w:ilvl="0" w:tplc="F06863F4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8314E66"/>
    <w:multiLevelType w:val="hybridMultilevel"/>
    <w:tmpl w:val="215E7BF8"/>
    <w:lvl w:ilvl="0" w:tplc="B9C2D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87845"/>
    <w:multiLevelType w:val="multilevel"/>
    <w:tmpl w:val="8B584BCC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6274852">
    <w:abstractNumId w:val="1"/>
  </w:num>
  <w:num w:numId="2" w16cid:durableId="186141281">
    <w:abstractNumId w:val="3"/>
  </w:num>
  <w:num w:numId="3" w16cid:durableId="881480539">
    <w:abstractNumId w:val="4"/>
  </w:num>
  <w:num w:numId="4" w16cid:durableId="1002006137">
    <w:abstractNumId w:val="0"/>
  </w:num>
  <w:num w:numId="5" w16cid:durableId="167599228">
    <w:abstractNumId w:val="2"/>
  </w:num>
  <w:num w:numId="6" w16cid:durableId="134837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27"/>
    <w:rsid w:val="000351BC"/>
    <w:rsid w:val="000422A9"/>
    <w:rsid w:val="00057612"/>
    <w:rsid w:val="000A377E"/>
    <w:rsid w:val="00121ABC"/>
    <w:rsid w:val="00135EE4"/>
    <w:rsid w:val="001553BD"/>
    <w:rsid w:val="001973E4"/>
    <w:rsid w:val="001A31F8"/>
    <w:rsid w:val="001C53F3"/>
    <w:rsid w:val="001D65B8"/>
    <w:rsid w:val="00251A87"/>
    <w:rsid w:val="00293614"/>
    <w:rsid w:val="002F370E"/>
    <w:rsid w:val="00321A64"/>
    <w:rsid w:val="003350F1"/>
    <w:rsid w:val="003433F2"/>
    <w:rsid w:val="00372267"/>
    <w:rsid w:val="00377591"/>
    <w:rsid w:val="0039274E"/>
    <w:rsid w:val="003C2BB1"/>
    <w:rsid w:val="003D427E"/>
    <w:rsid w:val="003E1B5F"/>
    <w:rsid w:val="00414B10"/>
    <w:rsid w:val="004266C9"/>
    <w:rsid w:val="00460130"/>
    <w:rsid w:val="00461303"/>
    <w:rsid w:val="00462BAF"/>
    <w:rsid w:val="004719EE"/>
    <w:rsid w:val="00475890"/>
    <w:rsid w:val="004A0AEF"/>
    <w:rsid w:val="004E2201"/>
    <w:rsid w:val="004F2721"/>
    <w:rsid w:val="004F3EF0"/>
    <w:rsid w:val="00552483"/>
    <w:rsid w:val="00555F27"/>
    <w:rsid w:val="00597BDE"/>
    <w:rsid w:val="005C30E1"/>
    <w:rsid w:val="005C6407"/>
    <w:rsid w:val="005E673D"/>
    <w:rsid w:val="00625FA3"/>
    <w:rsid w:val="006357F3"/>
    <w:rsid w:val="006854A2"/>
    <w:rsid w:val="00695EC3"/>
    <w:rsid w:val="006A3E87"/>
    <w:rsid w:val="006F5279"/>
    <w:rsid w:val="00707558"/>
    <w:rsid w:val="00761ABB"/>
    <w:rsid w:val="00785739"/>
    <w:rsid w:val="007B3303"/>
    <w:rsid w:val="007B6361"/>
    <w:rsid w:val="007E7460"/>
    <w:rsid w:val="00801CB4"/>
    <w:rsid w:val="00802394"/>
    <w:rsid w:val="008733E7"/>
    <w:rsid w:val="008F210F"/>
    <w:rsid w:val="00901C51"/>
    <w:rsid w:val="009642F7"/>
    <w:rsid w:val="009778CF"/>
    <w:rsid w:val="00990888"/>
    <w:rsid w:val="009F7B76"/>
    <w:rsid w:val="00A0287C"/>
    <w:rsid w:val="00A3257A"/>
    <w:rsid w:val="00A41911"/>
    <w:rsid w:val="00A50BE0"/>
    <w:rsid w:val="00AB47C3"/>
    <w:rsid w:val="00AE3BB8"/>
    <w:rsid w:val="00B015A0"/>
    <w:rsid w:val="00B0346E"/>
    <w:rsid w:val="00B130D7"/>
    <w:rsid w:val="00B379A0"/>
    <w:rsid w:val="00B7506F"/>
    <w:rsid w:val="00B928ED"/>
    <w:rsid w:val="00BC1355"/>
    <w:rsid w:val="00BD4DD6"/>
    <w:rsid w:val="00BE76B0"/>
    <w:rsid w:val="00BF76F9"/>
    <w:rsid w:val="00C045A7"/>
    <w:rsid w:val="00C24B2C"/>
    <w:rsid w:val="00C44C5F"/>
    <w:rsid w:val="00C52AE5"/>
    <w:rsid w:val="00CE5066"/>
    <w:rsid w:val="00D1125E"/>
    <w:rsid w:val="00D35AF8"/>
    <w:rsid w:val="00DE6644"/>
    <w:rsid w:val="00E145CA"/>
    <w:rsid w:val="00E3772F"/>
    <w:rsid w:val="00E91F32"/>
    <w:rsid w:val="00EC26E4"/>
    <w:rsid w:val="00EF2C8C"/>
    <w:rsid w:val="00EF67A7"/>
    <w:rsid w:val="00EF7A6A"/>
    <w:rsid w:val="00F359DC"/>
    <w:rsid w:val="00F45D3F"/>
    <w:rsid w:val="00F76063"/>
    <w:rsid w:val="00FB397B"/>
    <w:rsid w:val="00FE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853E"/>
  <w15:docId w15:val="{1647BCBD-A2A3-456A-B58D-0F73C50E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2BB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rstapredpisa">
    <w:name w:val="Vrsta predpisa"/>
    <w:basedOn w:val="Navaden"/>
    <w:link w:val="VrstapredpisaZnak"/>
    <w:qFormat/>
    <w:rsid w:val="003C2BB1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3C2BB1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3C2BB1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3C2BB1"/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3C2BB1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3C2BB1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3C2BB1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3C2BB1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3C2BB1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C2BB1"/>
    <w:rPr>
      <w:rFonts w:ascii="Arial" w:eastAsia="Times New Roman" w:hAnsi="Arial" w:cs="Arial"/>
      <w:lang w:eastAsia="sl-SI"/>
    </w:rPr>
  </w:style>
  <w:style w:type="paragraph" w:customStyle="1" w:styleId="podpisi">
    <w:name w:val="podpisi"/>
    <w:basedOn w:val="Navaden"/>
    <w:qFormat/>
    <w:rsid w:val="003C2BB1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1st level - Bullet List Paragraph,List Paragraph1,Lettre d'introduction,Medium Grid 1 - Accent 21,Fiche List Paragraph,Mummuga loetelu,Bullet alinea,Dot pt,F5 List Paragraph,No Spacing1,List Paragraph Char Char Char,2,L,Paragrafo elenco"/>
    <w:basedOn w:val="Navaden"/>
    <w:link w:val="OdstavekseznamaZnak"/>
    <w:uiPriority w:val="34"/>
    <w:qFormat/>
    <w:rsid w:val="003D427E"/>
    <w:pPr>
      <w:ind w:left="720"/>
      <w:contextualSpacing/>
    </w:pPr>
  </w:style>
  <w:style w:type="character" w:customStyle="1" w:styleId="OdstavekseznamaZnak">
    <w:name w:val="Odstavek seznama Znak"/>
    <w:aliases w:val="1st level - Bullet List Paragraph Znak,List Paragraph1 Znak,Lettre d'introduction Znak,Medium Grid 1 - Accent 21 Znak,Fiche List Paragraph Znak,Mummuga loetelu Znak,Bullet alinea Znak,Dot pt Znak,F5 List Paragraph Znak,2 Znak"/>
    <w:basedOn w:val="Privzetapisavaodstavka"/>
    <w:link w:val="Odstavekseznama"/>
    <w:uiPriority w:val="34"/>
    <w:qFormat/>
    <w:locked/>
    <w:rsid w:val="003D427E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B13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DDSZ\Predloge\Vladna%20gradiva%20priloge%20-%20priloga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Vladna gradiva priloge - priloga2</Template>
  <TotalTime>18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Hribar Habjan</dc:creator>
  <cp:keywords/>
  <dc:description/>
  <cp:lastModifiedBy>Petra Hribar Habjan</cp:lastModifiedBy>
  <cp:revision>7</cp:revision>
  <dcterms:created xsi:type="dcterms:W3CDTF">2025-03-20T13:35:00Z</dcterms:created>
  <dcterms:modified xsi:type="dcterms:W3CDTF">2025-04-01T05:39:00Z</dcterms:modified>
</cp:coreProperties>
</file>