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F4D7" w14:textId="77777777" w:rsidR="004412A9" w:rsidRDefault="004412A9" w:rsidP="00AE1F83">
      <w:pPr>
        <w:spacing w:after="0" w:line="260" w:lineRule="exact"/>
        <w:contextualSpacing/>
        <w:rPr>
          <w:rFonts w:ascii="Arial" w:eastAsia="Times New Roman" w:hAnsi="Arial" w:cs="Arial"/>
          <w:b/>
          <w:sz w:val="20"/>
          <w:szCs w:val="20"/>
          <w:lang w:eastAsia="sl-SI"/>
        </w:rPr>
      </w:pPr>
    </w:p>
    <w:p w14:paraId="765D31B5" w14:textId="77777777" w:rsidR="004412A9" w:rsidRPr="007A7419" w:rsidRDefault="004412A9" w:rsidP="004412A9">
      <w:pPr>
        <w:spacing w:before="60"/>
        <w:ind w:right="-3"/>
        <w:rPr>
          <w:rFonts w:ascii="Arial" w:hAnsi="Arial" w:cs="Arial"/>
          <w:noProof/>
          <w:color w:val="000000"/>
          <w:sz w:val="16"/>
          <w:szCs w:val="16"/>
        </w:rPr>
      </w:pPr>
      <w:r w:rsidRPr="00026EEB">
        <w:rPr>
          <w:rFonts w:cs="Arial"/>
          <w:noProof/>
          <w:color w:val="000000"/>
          <w:sz w:val="16"/>
          <w:szCs w:val="16"/>
        </w:rPr>
        <w:t xml:space="preserve">          </w:t>
      </w:r>
      <w:r w:rsidRPr="007A7419">
        <w:rPr>
          <w:rFonts w:ascii="Arial" w:hAnsi="Arial" w:cs="Arial"/>
          <w:noProof/>
          <w:color w:val="000000"/>
          <w:sz w:val="16"/>
          <w:szCs w:val="16"/>
        </w:rPr>
        <w:t>Langusova ulica 4, 1535 Ljubljana</w:t>
      </w:r>
      <w:r w:rsidRPr="007A7419">
        <w:rPr>
          <w:rFonts w:ascii="Arial" w:hAnsi="Arial" w:cs="Arial"/>
          <w:noProof/>
          <w:sz w:val="18"/>
          <w:szCs w:val="18"/>
        </w:rPr>
        <w:t xml:space="preserve"> </w:t>
      </w:r>
      <w:r w:rsidRPr="007A7419">
        <w:rPr>
          <w:rFonts w:ascii="Arial" w:hAnsi="Arial" w:cs="Arial"/>
          <w:noProof/>
          <w:sz w:val="18"/>
          <w:szCs w:val="18"/>
        </w:rPr>
        <w:drawing>
          <wp:anchor distT="0" distB="0" distL="114300" distR="114300" simplePos="0" relativeHeight="251660288" behindDoc="0" locked="0" layoutInCell="1" allowOverlap="1" wp14:anchorId="3F01F517" wp14:editId="1816A0E8">
            <wp:simplePos x="0" y="0"/>
            <wp:positionH relativeFrom="column">
              <wp:posOffset>-219075</wp:posOffset>
            </wp:positionH>
            <wp:positionV relativeFrom="paragraph">
              <wp:posOffset>-331470</wp:posOffset>
            </wp:positionV>
            <wp:extent cx="3315335" cy="34417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anchor>
        </w:drawing>
      </w:r>
    </w:p>
    <w:p w14:paraId="7048D49A" w14:textId="77777777" w:rsidR="004412A9" w:rsidRPr="007A7419" w:rsidRDefault="004412A9" w:rsidP="004412A9">
      <w:pPr>
        <w:spacing w:before="60"/>
        <w:ind w:right="-3"/>
        <w:rPr>
          <w:rFonts w:ascii="Arial" w:hAnsi="Arial" w:cs="Arial"/>
          <w:noProof/>
          <w:color w:val="000000"/>
          <w:sz w:val="16"/>
          <w:szCs w:val="16"/>
        </w:rPr>
      </w:pPr>
      <w:r w:rsidRPr="00026EEB">
        <w:rPr>
          <w:rFonts w:cs="Arial"/>
          <w:noProof/>
          <w:sz w:val="16"/>
          <w:szCs w:val="16"/>
          <w:lang w:eastAsia="sl-SI"/>
        </w:rPr>
        <mc:AlternateContent>
          <mc:Choice Requires="wps">
            <w:drawing>
              <wp:anchor distT="0" distB="0" distL="114300" distR="114300" simplePos="0" relativeHeight="251659264" behindDoc="1" locked="0" layoutInCell="1" allowOverlap="1" wp14:anchorId="10DA8707" wp14:editId="2A7ADD9A">
                <wp:simplePos x="0" y="0"/>
                <wp:positionH relativeFrom="column">
                  <wp:posOffset>1404620</wp:posOffset>
                </wp:positionH>
                <wp:positionV relativeFrom="paragraph">
                  <wp:posOffset>9076055</wp:posOffset>
                </wp:positionV>
                <wp:extent cx="4791075" cy="58039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B40A2" w14:textId="77777777" w:rsidR="004412A9" w:rsidRPr="00D61ACE" w:rsidRDefault="004412A9" w:rsidP="004412A9">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A8707"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E2B40A2" w14:textId="77777777" w:rsidR="004412A9" w:rsidRPr="00D61ACE" w:rsidRDefault="004412A9" w:rsidP="004412A9">
                      <w:pPr>
                        <w:rPr>
                          <w:color w:val="000000"/>
                          <w:spacing w:val="-2"/>
                          <w:sz w:val="16"/>
                          <w:szCs w:val="16"/>
                          <w:lang w:eastAsia="sl-SI"/>
                        </w:rPr>
                      </w:pPr>
                    </w:p>
                  </w:txbxContent>
                </v:textbox>
              </v:shape>
            </w:pict>
          </mc:Fallback>
        </mc:AlternateContent>
      </w:r>
      <w:r w:rsidRPr="00026EEB">
        <w:rPr>
          <w:rFonts w:cs="Arial"/>
          <w:noProof/>
          <w:color w:val="000000"/>
          <w:sz w:val="16"/>
          <w:szCs w:val="16"/>
        </w:rPr>
        <w:t xml:space="preserve">          </w:t>
      </w:r>
      <w:r w:rsidRPr="00026EEB">
        <w:rPr>
          <w:rFonts w:cs="Arial"/>
          <w:noProof/>
          <w:color w:val="000000"/>
          <w:sz w:val="16"/>
          <w:szCs w:val="16"/>
        </w:rPr>
        <w:tab/>
      </w:r>
      <w:r w:rsidRPr="00026EEB">
        <w:rPr>
          <w:rFonts w:cs="Arial"/>
          <w:noProof/>
          <w:color w:val="000000"/>
          <w:sz w:val="16"/>
          <w:szCs w:val="16"/>
        </w:rPr>
        <w:tab/>
      </w:r>
      <w:r w:rsidRPr="00026EEB">
        <w:rPr>
          <w:rFonts w:cs="Arial"/>
          <w:noProof/>
          <w:color w:val="000000"/>
          <w:sz w:val="16"/>
          <w:szCs w:val="16"/>
        </w:rPr>
        <w:tab/>
      </w:r>
      <w:r w:rsidRPr="00026EEB">
        <w:rPr>
          <w:rFonts w:cs="Arial"/>
          <w:noProof/>
          <w:color w:val="000000"/>
          <w:sz w:val="16"/>
          <w:szCs w:val="16"/>
        </w:rPr>
        <w:tab/>
      </w:r>
      <w:r w:rsidRPr="00026EEB">
        <w:rPr>
          <w:rFonts w:cs="Arial"/>
          <w:noProof/>
          <w:color w:val="000000"/>
          <w:sz w:val="16"/>
          <w:szCs w:val="16"/>
        </w:rPr>
        <w:tab/>
        <w:t xml:space="preserve">                         </w:t>
      </w:r>
      <w:r w:rsidRPr="00026EEB">
        <w:rPr>
          <w:rFonts w:cs="Arial"/>
          <w:noProof/>
          <w:color w:val="000000"/>
          <w:sz w:val="16"/>
          <w:szCs w:val="16"/>
        </w:rPr>
        <w:tab/>
      </w:r>
      <w:r w:rsidRPr="00026EEB">
        <w:rPr>
          <w:rFonts w:cs="Arial"/>
          <w:noProof/>
          <w:color w:val="000000"/>
          <w:sz w:val="16"/>
          <w:szCs w:val="16"/>
        </w:rPr>
        <w:tab/>
        <w:t xml:space="preserve">   </w:t>
      </w:r>
      <w:r w:rsidRPr="007A7419">
        <w:rPr>
          <w:rFonts w:ascii="Arial" w:hAnsi="Arial" w:cs="Arial"/>
          <w:noProof/>
          <w:color w:val="000000"/>
          <w:sz w:val="16"/>
          <w:szCs w:val="16"/>
        </w:rPr>
        <w:t>T: 01 478 82 00</w:t>
      </w:r>
    </w:p>
    <w:p w14:paraId="35110EDC" w14:textId="77777777" w:rsidR="004412A9" w:rsidRPr="007A7419" w:rsidRDefault="004412A9" w:rsidP="004412A9">
      <w:pPr>
        <w:pStyle w:val="Glava"/>
        <w:tabs>
          <w:tab w:val="clear" w:pos="4320"/>
          <w:tab w:val="clear" w:pos="8640"/>
          <w:tab w:val="left" w:pos="5112"/>
        </w:tabs>
        <w:spacing w:line="240" w:lineRule="exact"/>
        <w:rPr>
          <w:rFonts w:cs="Arial"/>
          <w:noProof/>
          <w:color w:val="000000"/>
          <w:sz w:val="16"/>
          <w:szCs w:val="16"/>
          <w:lang w:val="sl-SI"/>
        </w:rPr>
      </w:pPr>
      <w:r w:rsidRPr="007A7419">
        <w:rPr>
          <w:rFonts w:cs="Arial"/>
          <w:noProof/>
          <w:color w:val="000000"/>
          <w:sz w:val="16"/>
          <w:szCs w:val="16"/>
          <w:lang w:val="sl-SI"/>
        </w:rPr>
        <w:tab/>
        <w:t xml:space="preserve">      </w:t>
      </w:r>
      <w:r w:rsidRPr="007A7419">
        <w:rPr>
          <w:rFonts w:cs="Arial"/>
          <w:noProof/>
          <w:color w:val="000000"/>
          <w:sz w:val="16"/>
          <w:szCs w:val="16"/>
          <w:lang w:val="sl-SI"/>
        </w:rPr>
        <w:tab/>
        <w:t xml:space="preserve">   E: gp.mope@gov.si</w:t>
      </w:r>
    </w:p>
    <w:p w14:paraId="6A73CB96" w14:textId="2389AEA7" w:rsidR="004412A9" w:rsidRPr="007A7419" w:rsidRDefault="004412A9" w:rsidP="004412A9">
      <w:pPr>
        <w:pStyle w:val="Glava"/>
        <w:tabs>
          <w:tab w:val="clear" w:pos="4320"/>
          <w:tab w:val="clear" w:pos="8640"/>
          <w:tab w:val="left" w:pos="5112"/>
        </w:tabs>
        <w:spacing w:line="240" w:lineRule="exact"/>
        <w:rPr>
          <w:rFonts w:cs="Arial"/>
          <w:noProof/>
          <w:color w:val="000000"/>
          <w:sz w:val="16"/>
          <w:szCs w:val="16"/>
          <w:lang w:val="sl-SI"/>
        </w:rPr>
      </w:pPr>
      <w:r w:rsidRPr="007A7419">
        <w:rPr>
          <w:rFonts w:cs="Arial"/>
          <w:noProof/>
          <w:color w:val="000000"/>
          <w:sz w:val="16"/>
          <w:szCs w:val="16"/>
          <w:lang w:val="sl-SI"/>
        </w:rPr>
        <w:tab/>
        <w:t xml:space="preserve">                </w:t>
      </w:r>
      <w:hyperlink r:id="rId8" w:history="1">
        <w:r w:rsidRPr="007A7419">
          <w:rPr>
            <w:rStyle w:val="Hiperpovezava"/>
            <w:rFonts w:cs="Arial"/>
            <w:noProof/>
            <w:sz w:val="16"/>
            <w:szCs w:val="16"/>
            <w:lang w:val="sl-SI"/>
          </w:rPr>
          <w:t>www.mope.gov.si</w:t>
        </w:r>
      </w:hyperlink>
    </w:p>
    <w:p w14:paraId="37F61A6B" w14:textId="77777777" w:rsidR="004412A9" w:rsidRDefault="004412A9" w:rsidP="00AE1F83">
      <w:pPr>
        <w:spacing w:after="0" w:line="260" w:lineRule="exact"/>
        <w:ind w:firstLine="708"/>
        <w:contextualSpacing/>
        <w:rPr>
          <w:rFonts w:ascii="Arial" w:eastAsia="Times New Roman" w:hAnsi="Arial" w:cs="Arial"/>
          <w:b/>
          <w:sz w:val="20"/>
          <w:szCs w:val="20"/>
          <w:lang w:eastAsia="sl-SI"/>
        </w:rPr>
      </w:pPr>
    </w:p>
    <w:p w14:paraId="4357160B" w14:textId="77777777" w:rsidR="004412A9" w:rsidRPr="00AE1F83" w:rsidRDefault="004412A9"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77ED74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Številka:</w:t>
            </w:r>
            <w:r w:rsidR="004412A9">
              <w:rPr>
                <w:rFonts w:ascii="Arial" w:eastAsia="Times New Roman" w:hAnsi="Arial" w:cs="Arial"/>
                <w:sz w:val="20"/>
                <w:szCs w:val="20"/>
                <w:lang w:eastAsia="sl-SI"/>
              </w:rPr>
              <w:t xml:space="preserve"> 430-26/2025-2570</w:t>
            </w:r>
            <w:r w:rsidR="00A163F0">
              <w:rPr>
                <w:rFonts w:ascii="Arial" w:eastAsia="Times New Roman" w:hAnsi="Arial" w:cs="Arial"/>
                <w:sz w:val="20"/>
                <w:szCs w:val="20"/>
                <w:lang w:eastAsia="sl-SI"/>
              </w:rPr>
              <w:t>-</w:t>
            </w:r>
            <w:r w:rsidR="00DA5D57">
              <w:rPr>
                <w:rFonts w:ascii="Arial" w:eastAsia="Times New Roman" w:hAnsi="Arial" w:cs="Arial"/>
                <w:sz w:val="20"/>
                <w:szCs w:val="20"/>
                <w:lang w:eastAsia="sl-SI"/>
              </w:rPr>
              <w:t>8</w:t>
            </w:r>
          </w:p>
        </w:tc>
      </w:tr>
      <w:tr w:rsidR="00AE1F83" w:rsidRPr="00AE1F83" w14:paraId="1DD59023" w14:textId="77777777" w:rsidTr="00DA6942">
        <w:trPr>
          <w:gridAfter w:val="2"/>
          <w:wAfter w:w="3067" w:type="dxa"/>
        </w:trPr>
        <w:tc>
          <w:tcPr>
            <w:tcW w:w="6096" w:type="dxa"/>
            <w:gridSpan w:val="2"/>
          </w:tcPr>
          <w:p w14:paraId="2AD08D9D" w14:textId="08370B65"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4412A9">
              <w:rPr>
                <w:rFonts w:ascii="Arial" w:eastAsia="Times New Roman" w:hAnsi="Arial" w:cs="Arial"/>
                <w:sz w:val="20"/>
                <w:szCs w:val="20"/>
                <w:lang w:eastAsia="sl-SI"/>
              </w:rPr>
              <w:t>9. 2. 2026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DE4EE8D"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412A9">
              <w:rPr>
                <w:rFonts w:ascii="Arial" w:eastAsia="Times New Roman" w:hAnsi="Arial" w:cs="Arial"/>
                <w:b/>
                <w:sz w:val="20"/>
                <w:szCs w:val="20"/>
                <w:lang w:eastAsia="sl-SI"/>
              </w:rPr>
              <w:t>Uvrstitev projekta št. 2570-26-0018 »</w:t>
            </w:r>
            <w:r w:rsidR="00366FC7">
              <w:rPr>
                <w:rFonts w:ascii="Arial" w:eastAsia="Times New Roman" w:hAnsi="Arial" w:cs="Arial"/>
                <w:b/>
                <w:sz w:val="20"/>
                <w:szCs w:val="20"/>
                <w:lang w:eastAsia="sl-SI"/>
              </w:rPr>
              <w:t>Uporaba umetne inteligence v okoljskih presojah</w:t>
            </w:r>
            <w:r w:rsidR="004412A9">
              <w:rPr>
                <w:rFonts w:ascii="Arial" w:eastAsia="Times New Roman" w:hAnsi="Arial" w:cs="Arial"/>
                <w:b/>
                <w:sz w:val="20"/>
                <w:szCs w:val="20"/>
                <w:lang w:eastAsia="sl-SI"/>
              </w:rPr>
              <w:t>«</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D28A5DF" w14:textId="1BD62B2D" w:rsidR="004412A9" w:rsidRPr="004412A9" w:rsidRDefault="004412A9" w:rsidP="004412A9">
            <w:pPr>
              <w:spacing w:line="240" w:lineRule="atLeast"/>
              <w:jc w:val="both"/>
              <w:rPr>
                <w:rFonts w:ascii="Arial" w:hAnsi="Arial" w:cs="Arial"/>
                <w:noProof/>
                <w:color w:val="000000"/>
                <w:sz w:val="20"/>
                <w:szCs w:val="20"/>
              </w:rPr>
            </w:pPr>
            <w:r w:rsidRPr="004412A9">
              <w:rPr>
                <w:rFonts w:ascii="Arial" w:hAnsi="Arial" w:cs="Arial"/>
                <w:noProof/>
                <w:color w:val="000000"/>
                <w:sz w:val="20"/>
                <w:szCs w:val="20"/>
              </w:rPr>
              <w:t xml:space="preserve">Na podlagi petega odstavka 31. člena Zakona o izvrševanju proračunov Republike Slovenije za leti 2026 in </w:t>
            </w:r>
            <w:r w:rsidRPr="004412A9">
              <w:rPr>
                <w:rFonts w:ascii="Arial" w:hAnsi="Arial" w:cs="Arial"/>
                <w:noProof/>
                <w:sz w:val="20"/>
                <w:szCs w:val="20"/>
              </w:rPr>
              <w:t xml:space="preserve">2027 </w:t>
            </w:r>
            <w:r w:rsidRPr="004412A9">
              <w:rPr>
                <w:rFonts w:ascii="Arial" w:hAnsi="Arial" w:cs="Arial"/>
                <w:bCs/>
                <w:noProof/>
                <w:sz w:val="20"/>
                <w:szCs w:val="20"/>
              </w:rPr>
              <w:t>(Uradni list RS, št. 95/25)</w:t>
            </w:r>
            <w:r w:rsidRPr="004412A9">
              <w:rPr>
                <w:rFonts w:ascii="Arial" w:hAnsi="Arial" w:cs="Arial"/>
                <w:noProof/>
                <w:sz w:val="20"/>
                <w:szCs w:val="20"/>
              </w:rPr>
              <w:t xml:space="preserve"> </w:t>
            </w:r>
            <w:r w:rsidRPr="004412A9">
              <w:rPr>
                <w:rFonts w:ascii="Arial" w:hAnsi="Arial" w:cs="Arial"/>
                <w:noProof/>
                <w:color w:val="000000"/>
                <w:sz w:val="20"/>
                <w:szCs w:val="20"/>
              </w:rPr>
              <w:t>je Vlada Republike Slovenije na … dne … pod točko … sprejela naslednji</w:t>
            </w:r>
          </w:p>
          <w:p w14:paraId="1B7064AF" w14:textId="77777777" w:rsidR="004412A9" w:rsidRPr="004412A9" w:rsidRDefault="004412A9" w:rsidP="004412A9">
            <w:pPr>
              <w:spacing w:line="240" w:lineRule="atLeast"/>
              <w:jc w:val="center"/>
              <w:rPr>
                <w:rFonts w:ascii="Arial" w:hAnsi="Arial" w:cs="Arial"/>
                <w:noProof/>
                <w:color w:val="000000"/>
                <w:sz w:val="20"/>
                <w:szCs w:val="20"/>
              </w:rPr>
            </w:pPr>
            <w:r w:rsidRPr="004412A9">
              <w:rPr>
                <w:rFonts w:ascii="Arial" w:hAnsi="Arial" w:cs="Arial"/>
                <w:noProof/>
                <w:color w:val="000000"/>
                <w:sz w:val="20"/>
                <w:szCs w:val="20"/>
              </w:rPr>
              <w:t>SKLEP:</w:t>
            </w:r>
          </w:p>
          <w:p w14:paraId="41D34D0A" w14:textId="77777777" w:rsidR="004412A9" w:rsidRPr="004412A9" w:rsidRDefault="004412A9" w:rsidP="004412A9">
            <w:pPr>
              <w:spacing w:line="240" w:lineRule="atLeast"/>
              <w:jc w:val="both"/>
              <w:rPr>
                <w:rFonts w:ascii="Arial" w:hAnsi="Arial" w:cs="Arial"/>
                <w:noProof/>
                <w:color w:val="000000"/>
                <w:sz w:val="20"/>
                <w:szCs w:val="20"/>
              </w:rPr>
            </w:pPr>
          </w:p>
          <w:p w14:paraId="623F4CB3" w14:textId="396C2D90" w:rsidR="004412A9" w:rsidRPr="004412A9" w:rsidRDefault="004412A9" w:rsidP="004412A9">
            <w:pPr>
              <w:spacing w:line="240" w:lineRule="atLeast"/>
              <w:jc w:val="both"/>
              <w:rPr>
                <w:rFonts w:ascii="Arial" w:hAnsi="Arial" w:cs="Arial"/>
                <w:noProof/>
                <w:sz w:val="20"/>
                <w:szCs w:val="20"/>
              </w:rPr>
            </w:pPr>
            <w:r w:rsidRPr="004412A9">
              <w:rPr>
                <w:rFonts w:ascii="Arial" w:hAnsi="Arial" w:cs="Arial"/>
                <w:noProof/>
                <w:color w:val="000000" w:themeColor="text1"/>
                <w:sz w:val="20"/>
                <w:szCs w:val="20"/>
              </w:rPr>
              <w:t>V veljavni Načrt razvojnih programov 2026-2029, se skladno s podatki iz priložene tabele, uvrsti nov projekt št. 2570-26-0018 »</w:t>
            </w:r>
            <w:r w:rsidR="00366FC7">
              <w:rPr>
                <w:rFonts w:ascii="Arial" w:hAnsi="Arial" w:cs="Arial"/>
                <w:noProof/>
                <w:color w:val="000000" w:themeColor="text1"/>
                <w:sz w:val="20"/>
                <w:szCs w:val="20"/>
              </w:rPr>
              <w:t>Uporaba umetne inteligence v okoljskih presojah</w:t>
            </w:r>
            <w:r w:rsidRPr="004412A9">
              <w:rPr>
                <w:rFonts w:ascii="Arial" w:hAnsi="Arial" w:cs="Arial"/>
                <w:noProof/>
                <w:sz w:val="20"/>
                <w:szCs w:val="20"/>
              </w:rPr>
              <w:t>«.</w:t>
            </w:r>
          </w:p>
          <w:p w14:paraId="316E6797" w14:textId="77777777" w:rsidR="004412A9" w:rsidRPr="004412A9" w:rsidRDefault="004412A9" w:rsidP="004412A9">
            <w:pPr>
              <w:spacing w:line="240" w:lineRule="atLeast"/>
              <w:jc w:val="both"/>
              <w:rPr>
                <w:rFonts w:ascii="Arial" w:hAnsi="Arial" w:cs="Arial"/>
                <w:noProof/>
                <w:color w:val="000000" w:themeColor="text1"/>
                <w:sz w:val="20"/>
                <w:szCs w:val="20"/>
              </w:rPr>
            </w:pPr>
          </w:p>
          <w:p w14:paraId="7388C94B" w14:textId="77777777" w:rsidR="004412A9" w:rsidRPr="004412A9" w:rsidRDefault="004412A9" w:rsidP="004412A9">
            <w:pPr>
              <w:spacing w:line="240" w:lineRule="auto"/>
              <w:jc w:val="both"/>
              <w:rPr>
                <w:rFonts w:ascii="Arial" w:hAnsi="Arial" w:cs="Arial"/>
                <w:noProof/>
                <w:color w:val="000000"/>
                <w:sz w:val="20"/>
                <w:szCs w:val="20"/>
                <w:highlight w:val="yellow"/>
              </w:rPr>
            </w:pPr>
            <w:r w:rsidRPr="004412A9">
              <w:rPr>
                <w:rFonts w:ascii="Arial" w:hAnsi="Arial" w:cs="Arial"/>
                <w:noProof/>
                <w:color w:val="000000"/>
                <w:sz w:val="20"/>
                <w:szCs w:val="20"/>
              </w:rPr>
              <w:t xml:space="preserve">                                                                                            Barbara Kolenko Helbl                                                             </w:t>
            </w:r>
          </w:p>
          <w:p w14:paraId="619F4059" w14:textId="77777777" w:rsidR="004412A9" w:rsidRPr="004412A9" w:rsidRDefault="004412A9" w:rsidP="004412A9">
            <w:pPr>
              <w:spacing w:line="240" w:lineRule="auto"/>
              <w:jc w:val="both"/>
              <w:rPr>
                <w:rFonts w:ascii="Arial" w:hAnsi="Arial" w:cs="Arial"/>
                <w:noProof/>
                <w:color w:val="000000"/>
                <w:sz w:val="20"/>
                <w:szCs w:val="20"/>
              </w:rPr>
            </w:pPr>
            <w:r w:rsidRPr="004412A9">
              <w:rPr>
                <w:rFonts w:ascii="Arial" w:hAnsi="Arial" w:cs="Arial"/>
                <w:noProof/>
                <w:color w:val="000000"/>
                <w:sz w:val="20"/>
                <w:szCs w:val="20"/>
              </w:rPr>
              <w:t xml:space="preserve">                                                                                     Generalna sekretarka Vlade RS</w:t>
            </w:r>
          </w:p>
          <w:p w14:paraId="35748B25" w14:textId="77777777" w:rsidR="004412A9" w:rsidRPr="004412A9" w:rsidRDefault="004412A9" w:rsidP="004412A9">
            <w:pPr>
              <w:spacing w:line="240" w:lineRule="atLeast"/>
              <w:jc w:val="both"/>
              <w:rPr>
                <w:rFonts w:ascii="Arial" w:hAnsi="Arial" w:cs="Arial"/>
                <w:noProof/>
                <w:color w:val="000000"/>
                <w:sz w:val="20"/>
                <w:szCs w:val="20"/>
              </w:rPr>
            </w:pPr>
          </w:p>
          <w:p w14:paraId="530AEB19" w14:textId="77777777" w:rsidR="004412A9" w:rsidRPr="004412A9" w:rsidRDefault="004412A9" w:rsidP="004412A9">
            <w:pPr>
              <w:spacing w:line="240" w:lineRule="atLeast"/>
              <w:jc w:val="both"/>
              <w:rPr>
                <w:rFonts w:ascii="Arial" w:hAnsi="Arial" w:cs="Arial"/>
                <w:noProof/>
                <w:sz w:val="20"/>
                <w:szCs w:val="20"/>
              </w:rPr>
            </w:pPr>
            <w:r w:rsidRPr="004412A9">
              <w:rPr>
                <w:rFonts w:ascii="Arial" w:hAnsi="Arial" w:cs="Arial"/>
                <w:noProof/>
                <w:sz w:val="20"/>
                <w:szCs w:val="20"/>
              </w:rPr>
              <w:t>Prejemniki:</w:t>
            </w:r>
          </w:p>
          <w:p w14:paraId="64EA040F" w14:textId="77777777" w:rsidR="004412A9" w:rsidRPr="004412A9" w:rsidRDefault="004412A9" w:rsidP="004412A9">
            <w:pPr>
              <w:numPr>
                <w:ilvl w:val="0"/>
                <w:numId w:val="2"/>
              </w:numPr>
              <w:spacing w:after="0" w:line="240" w:lineRule="atLeast"/>
              <w:jc w:val="both"/>
              <w:rPr>
                <w:rFonts w:ascii="Arial" w:hAnsi="Arial" w:cs="Arial"/>
                <w:noProof/>
                <w:sz w:val="20"/>
                <w:szCs w:val="20"/>
              </w:rPr>
            </w:pPr>
            <w:r w:rsidRPr="004412A9">
              <w:rPr>
                <w:rFonts w:ascii="Arial" w:hAnsi="Arial" w:cs="Arial"/>
                <w:noProof/>
                <w:sz w:val="20"/>
                <w:szCs w:val="20"/>
              </w:rPr>
              <w:t>Ministrstvo za okolje, podnebje in energijo,</w:t>
            </w:r>
          </w:p>
          <w:p w14:paraId="00AA9576" w14:textId="77777777" w:rsidR="004412A9" w:rsidRPr="004412A9" w:rsidRDefault="004412A9" w:rsidP="004412A9">
            <w:pPr>
              <w:numPr>
                <w:ilvl w:val="0"/>
                <w:numId w:val="2"/>
              </w:numPr>
              <w:spacing w:after="0" w:line="240" w:lineRule="atLeast"/>
              <w:jc w:val="both"/>
              <w:rPr>
                <w:rFonts w:ascii="Arial" w:hAnsi="Arial" w:cs="Arial"/>
                <w:noProof/>
                <w:sz w:val="20"/>
                <w:szCs w:val="20"/>
              </w:rPr>
            </w:pPr>
            <w:r w:rsidRPr="004412A9">
              <w:rPr>
                <w:rFonts w:ascii="Arial" w:hAnsi="Arial" w:cs="Arial"/>
                <w:noProof/>
                <w:sz w:val="20"/>
                <w:szCs w:val="20"/>
              </w:rPr>
              <w:t>Ministrstvo za finance,</w:t>
            </w:r>
          </w:p>
          <w:p w14:paraId="2B347376" w14:textId="77777777" w:rsidR="004412A9" w:rsidRPr="004412A9" w:rsidRDefault="004412A9" w:rsidP="004412A9">
            <w:pPr>
              <w:numPr>
                <w:ilvl w:val="0"/>
                <w:numId w:val="2"/>
              </w:numPr>
              <w:spacing w:after="0" w:line="240" w:lineRule="atLeast"/>
              <w:jc w:val="both"/>
              <w:rPr>
                <w:rFonts w:ascii="Arial" w:hAnsi="Arial" w:cs="Arial"/>
                <w:noProof/>
                <w:sz w:val="20"/>
                <w:szCs w:val="20"/>
              </w:rPr>
            </w:pPr>
            <w:r w:rsidRPr="004412A9">
              <w:rPr>
                <w:rFonts w:ascii="Arial" w:hAnsi="Arial" w:cs="Arial"/>
                <w:noProof/>
                <w:sz w:val="20"/>
                <w:szCs w:val="20"/>
              </w:rPr>
              <w:t>Služba Vlade Republike Slovenije za zakonodaje,</w:t>
            </w:r>
          </w:p>
          <w:p w14:paraId="163E3410" w14:textId="77777777" w:rsidR="004412A9" w:rsidRPr="004412A9" w:rsidRDefault="004412A9" w:rsidP="004412A9">
            <w:pPr>
              <w:pStyle w:val="Neotevilenodstavek"/>
              <w:numPr>
                <w:ilvl w:val="0"/>
                <w:numId w:val="2"/>
              </w:numPr>
              <w:rPr>
                <w:iCs/>
                <w:noProof/>
                <w:sz w:val="20"/>
                <w:szCs w:val="20"/>
              </w:rPr>
            </w:pPr>
            <w:r w:rsidRPr="004412A9">
              <w:rPr>
                <w:noProof/>
                <w:sz w:val="20"/>
                <w:szCs w:val="20"/>
              </w:rPr>
              <w:t>Generalni sekretariat Vlade RS.</w:t>
            </w:r>
          </w:p>
          <w:p w14:paraId="6B5FFFA5" w14:textId="77777777" w:rsidR="004412A9" w:rsidRPr="004412A9" w:rsidRDefault="004412A9" w:rsidP="004412A9">
            <w:pPr>
              <w:pStyle w:val="Neotevilenodstavek"/>
              <w:rPr>
                <w:iCs/>
                <w:noProof/>
                <w:sz w:val="20"/>
                <w:szCs w:val="20"/>
              </w:rPr>
            </w:pPr>
          </w:p>
          <w:p w14:paraId="5CDF5D7B" w14:textId="77777777" w:rsidR="004412A9" w:rsidRPr="004412A9" w:rsidRDefault="004412A9" w:rsidP="004412A9">
            <w:pPr>
              <w:pStyle w:val="Neotevilenodstavek"/>
              <w:rPr>
                <w:iCs/>
                <w:noProof/>
                <w:sz w:val="20"/>
                <w:szCs w:val="20"/>
              </w:rPr>
            </w:pPr>
            <w:r w:rsidRPr="004412A9">
              <w:rPr>
                <w:iCs/>
                <w:noProof/>
                <w:sz w:val="20"/>
                <w:szCs w:val="20"/>
              </w:rPr>
              <w:t>Priloge:</w:t>
            </w:r>
          </w:p>
          <w:p w14:paraId="00121593" w14:textId="77777777" w:rsidR="004412A9" w:rsidRPr="004412A9" w:rsidRDefault="004412A9" w:rsidP="004412A9">
            <w:pPr>
              <w:pStyle w:val="Neotevilenodstavek"/>
              <w:rPr>
                <w:iCs/>
                <w:noProof/>
                <w:sz w:val="20"/>
                <w:szCs w:val="20"/>
              </w:rPr>
            </w:pPr>
            <w:r w:rsidRPr="004412A9">
              <w:rPr>
                <w:iCs/>
                <w:noProof/>
                <w:sz w:val="20"/>
                <w:szCs w:val="20"/>
              </w:rPr>
              <w:t>-</w:t>
            </w:r>
            <w:r w:rsidRPr="004412A9">
              <w:rPr>
                <w:iCs/>
                <w:noProof/>
                <w:sz w:val="20"/>
                <w:szCs w:val="20"/>
              </w:rPr>
              <w:tab/>
              <w:t>Priloga 1: Obrazložitev</w:t>
            </w:r>
          </w:p>
          <w:p w14:paraId="50D24C5E" w14:textId="77777777" w:rsidR="004412A9" w:rsidRPr="004412A9" w:rsidRDefault="004412A9" w:rsidP="004412A9">
            <w:pPr>
              <w:pStyle w:val="Neotevilenodstavek"/>
              <w:rPr>
                <w:iCs/>
                <w:noProof/>
                <w:sz w:val="20"/>
                <w:szCs w:val="20"/>
              </w:rPr>
            </w:pPr>
            <w:r w:rsidRPr="004412A9">
              <w:rPr>
                <w:iCs/>
                <w:noProof/>
                <w:sz w:val="20"/>
                <w:szCs w:val="20"/>
              </w:rPr>
              <w:t>-</w:t>
            </w:r>
            <w:r w:rsidRPr="004412A9">
              <w:rPr>
                <w:iCs/>
                <w:noProof/>
                <w:sz w:val="20"/>
                <w:szCs w:val="20"/>
              </w:rPr>
              <w:tab/>
              <w:t>Priloga 2: Priloga 2 k Vladnemu gradivu</w:t>
            </w:r>
          </w:p>
          <w:p w14:paraId="6B50AC24" w14:textId="77777777" w:rsidR="004412A9" w:rsidRDefault="004412A9" w:rsidP="004412A9">
            <w:pPr>
              <w:pStyle w:val="Neotevilenodstavek"/>
              <w:rPr>
                <w:iCs/>
                <w:noProof/>
                <w:sz w:val="20"/>
                <w:szCs w:val="20"/>
              </w:rPr>
            </w:pPr>
            <w:r w:rsidRPr="004412A9">
              <w:rPr>
                <w:iCs/>
                <w:noProof/>
                <w:sz w:val="20"/>
                <w:szCs w:val="20"/>
              </w:rPr>
              <w:t>-</w:t>
            </w:r>
            <w:r w:rsidRPr="004412A9">
              <w:rPr>
                <w:iCs/>
                <w:noProof/>
                <w:sz w:val="20"/>
                <w:szCs w:val="20"/>
              </w:rPr>
              <w:tab/>
              <w:t>Priloga 3: Obrazec 3</w:t>
            </w:r>
          </w:p>
          <w:p w14:paraId="11B455FD" w14:textId="6A5C2D70" w:rsidR="00AE1F83" w:rsidRPr="00AE1F83" w:rsidRDefault="004412A9" w:rsidP="004412A9">
            <w:pPr>
              <w:pStyle w:val="Neotevilenodstavek"/>
              <w:rPr>
                <w:iCs/>
                <w:sz w:val="20"/>
                <w:szCs w:val="20"/>
              </w:rPr>
            </w:pPr>
            <w:r>
              <w:rPr>
                <w:iCs/>
                <w:noProof/>
                <w:sz w:val="20"/>
                <w:szCs w:val="20"/>
              </w:rPr>
              <w:t>-</w:t>
            </w:r>
            <w:r w:rsidRPr="00026EEB">
              <w:rPr>
                <w:iCs/>
                <w:noProof/>
                <w:sz w:val="20"/>
                <w:szCs w:val="20"/>
              </w:rPr>
              <w:tab/>
              <w:t>Priloga 4: Mnenje MF</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99EEBD3" w14:textId="77777777" w:rsidR="004412A9" w:rsidRPr="00124FE9" w:rsidRDefault="004412A9" w:rsidP="004412A9">
            <w:pPr>
              <w:numPr>
                <w:ilvl w:val="0"/>
                <w:numId w:val="6"/>
              </w:numPr>
              <w:overflowPunct w:val="0"/>
              <w:autoSpaceDE w:val="0"/>
              <w:autoSpaceDN w:val="0"/>
              <w:adjustRightInd w:val="0"/>
              <w:spacing w:before="60" w:after="60" w:line="200" w:lineRule="exact"/>
              <w:textAlignment w:val="baseline"/>
              <w:rPr>
                <w:rFonts w:ascii="Arial" w:hAnsi="Arial" w:cs="Arial"/>
                <w:iCs/>
                <w:noProof/>
                <w:sz w:val="20"/>
                <w:szCs w:val="20"/>
                <w:lang w:eastAsia="sl-SI"/>
              </w:rPr>
            </w:pPr>
            <w:r w:rsidRPr="00124FE9">
              <w:rPr>
                <w:rFonts w:ascii="Arial" w:hAnsi="Arial" w:cs="Arial"/>
                <w:iCs/>
                <w:noProof/>
                <w:sz w:val="20"/>
                <w:szCs w:val="20"/>
                <w:lang w:eastAsia="sl-SI"/>
              </w:rPr>
              <w:t xml:space="preserve">mag. Bojan Kumer, minister, </w:t>
            </w:r>
          </w:p>
          <w:p w14:paraId="56418360" w14:textId="77777777" w:rsidR="004412A9" w:rsidRPr="00124FE9" w:rsidRDefault="004412A9" w:rsidP="004412A9">
            <w:pPr>
              <w:numPr>
                <w:ilvl w:val="0"/>
                <w:numId w:val="6"/>
              </w:numPr>
              <w:overflowPunct w:val="0"/>
              <w:autoSpaceDE w:val="0"/>
              <w:autoSpaceDN w:val="0"/>
              <w:adjustRightInd w:val="0"/>
              <w:spacing w:before="60" w:after="60" w:line="200" w:lineRule="exact"/>
              <w:textAlignment w:val="baseline"/>
              <w:rPr>
                <w:rFonts w:ascii="Arial" w:eastAsia="Times New Roman" w:hAnsi="Arial" w:cs="Arial"/>
                <w:iCs/>
                <w:sz w:val="20"/>
                <w:szCs w:val="20"/>
                <w:lang w:eastAsia="sl-SI"/>
              </w:rPr>
            </w:pPr>
            <w:r w:rsidRPr="00124FE9">
              <w:rPr>
                <w:rFonts w:ascii="Arial" w:hAnsi="Arial" w:cs="Arial"/>
                <w:iCs/>
                <w:noProof/>
                <w:sz w:val="20"/>
                <w:szCs w:val="20"/>
                <w:lang w:eastAsia="sl-SI"/>
              </w:rPr>
              <w:t>Uroš Vajgl, državni sekretar,</w:t>
            </w:r>
          </w:p>
          <w:p w14:paraId="0369F08A" w14:textId="781845FA" w:rsidR="00AE1F83" w:rsidRPr="00124FE9" w:rsidRDefault="004412A9" w:rsidP="004412A9">
            <w:pPr>
              <w:numPr>
                <w:ilvl w:val="0"/>
                <w:numId w:val="6"/>
              </w:numPr>
              <w:overflowPunct w:val="0"/>
              <w:autoSpaceDE w:val="0"/>
              <w:autoSpaceDN w:val="0"/>
              <w:adjustRightInd w:val="0"/>
              <w:spacing w:before="60" w:after="60" w:line="200" w:lineRule="exact"/>
              <w:textAlignment w:val="baseline"/>
              <w:rPr>
                <w:rFonts w:ascii="Arial" w:eastAsia="Times New Roman" w:hAnsi="Arial" w:cs="Arial"/>
                <w:iCs/>
                <w:sz w:val="20"/>
                <w:szCs w:val="20"/>
                <w:lang w:eastAsia="sl-SI"/>
              </w:rPr>
            </w:pPr>
            <w:r w:rsidRPr="00124FE9">
              <w:rPr>
                <w:rFonts w:ascii="Arial" w:hAnsi="Arial" w:cs="Arial"/>
                <w:iCs/>
                <w:noProof/>
                <w:sz w:val="20"/>
                <w:szCs w:val="20"/>
                <w:lang w:eastAsia="sl-SI"/>
              </w:rPr>
              <w:t>mag. Tanja Bolte, generalna direktorica Direktorata za okolje.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5624023C" w:rsidR="00AE1F83" w:rsidRPr="00AE1F83" w:rsidRDefault="004412A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65A6ECEB" w:rsidR="00AE1F83" w:rsidRPr="00AE1F83" w:rsidRDefault="004412A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50C4B014" w14:textId="3B70028C" w:rsidR="004412A9" w:rsidRPr="00124FE9" w:rsidRDefault="004412A9" w:rsidP="004412A9">
            <w:pPr>
              <w:spacing w:line="276" w:lineRule="auto"/>
              <w:jc w:val="both"/>
              <w:rPr>
                <w:rFonts w:ascii="Arial" w:hAnsi="Arial" w:cs="Arial"/>
                <w:noProof/>
                <w:color w:val="FF0000"/>
                <w:sz w:val="20"/>
                <w:szCs w:val="20"/>
              </w:rPr>
            </w:pPr>
            <w:r w:rsidRPr="00124FE9">
              <w:rPr>
                <w:rFonts w:ascii="Arial" w:hAnsi="Arial" w:cs="Arial"/>
                <w:noProof/>
                <w:sz w:val="20"/>
                <w:szCs w:val="20"/>
              </w:rPr>
              <w:lastRenderedPageBreak/>
              <w:t xml:space="preserve">Namen investicije je razvoj, implementacija, testiranje in vzpostavitev produkcijskega delovanja inteligentnega sistema Okoljske presoje AI, ki bo podpiral pripravo okoljskih odločb na Ministrstvu za okolje, podnebje in energijo. V okviru projekta se po zaključku razvojne faze zagotavlja tudi tri (3) letno okolje za produkcijsko in testno okolje. Uresničitev projekta bo omogočila hitrejše in učinkovitejše postopke, povečala zaupanje javnosti v delo MOPE ter postavila temelje za nadaljnjo uporabo naprednih tehnologij v javni upravi. Cilji projekta so: večja učinkovitost postopkov, pozitiven vpliv na kakovost odločb v smislu večje usklajenosti oz. poenotenosti, izboljšanje uporabniške izkušnje in preglednosti, zagotovitev skladnosti in varnosti, upravljanje znanja ter dolgoročna vzdržnost in možnost razvoja sistema. Investicija predstavlja vlaganja na okoljskem in razvojnem področju - v podporo pri pregledovanju vlog oziroma dokumentacije in odločanju v omenjenih postopkih želi MOPE razviti in uvesti inteligentni sistem, ki bo združeval funkcionalnosti umetne inteligence, modularno arhitekturo in uporabniško usmerjen dizajn in bo oblikovan z namenom, da omogoči učinkovitejšo, preglednejšo in skladnejšo obdelavo vlog, dokumentacije in bolj kakovostno pripravo odločb. Vrednost celotnega projekta znaša </w:t>
            </w:r>
            <w:r w:rsidR="00124FE9">
              <w:rPr>
                <w:rFonts w:ascii="Arial" w:hAnsi="Arial" w:cs="Arial"/>
                <w:noProof/>
                <w:sz w:val="20"/>
                <w:szCs w:val="20"/>
              </w:rPr>
              <w:t>809.400</w:t>
            </w:r>
            <w:r w:rsidRPr="00124FE9">
              <w:rPr>
                <w:rFonts w:ascii="Arial" w:hAnsi="Arial" w:cs="Arial"/>
                <w:noProof/>
                <w:sz w:val="20"/>
                <w:szCs w:val="20"/>
              </w:rPr>
              <w:t>,00 EUR.</w:t>
            </w:r>
          </w:p>
          <w:p w14:paraId="69893AC2" w14:textId="49A1BEA1" w:rsidR="00AE1F83" w:rsidRPr="00AE1F83" w:rsidRDefault="004412A9" w:rsidP="004412A9">
            <w:pPr>
              <w:spacing w:line="276" w:lineRule="auto"/>
              <w:jc w:val="both"/>
              <w:rPr>
                <w:rFonts w:ascii="Arial" w:eastAsia="Times New Roman" w:hAnsi="Arial" w:cs="Arial"/>
                <w:iCs/>
                <w:sz w:val="20"/>
                <w:szCs w:val="20"/>
                <w:lang w:eastAsia="sl-SI"/>
              </w:rPr>
            </w:pPr>
            <w:r w:rsidRPr="00124FE9">
              <w:rPr>
                <w:rFonts w:ascii="Arial" w:hAnsi="Arial" w:cs="Arial"/>
                <w:noProof/>
                <w:sz w:val="20"/>
                <w:szCs w:val="20"/>
              </w:rPr>
              <w:t xml:space="preserve">Na podlagi navedenega MOPE predlaga Vladi Republike </w:t>
            </w:r>
            <w:r w:rsidRPr="00124FE9">
              <w:rPr>
                <w:rFonts w:ascii="Arial" w:hAnsi="Arial" w:cs="Arial"/>
                <w:noProof/>
                <w:color w:val="000000" w:themeColor="text1"/>
                <w:sz w:val="20"/>
                <w:szCs w:val="20"/>
              </w:rPr>
              <w:t xml:space="preserve">Slovenije, da se projekt </w:t>
            </w:r>
            <w:r w:rsidRPr="00124FE9">
              <w:rPr>
                <w:rFonts w:ascii="Arial" w:hAnsi="Arial" w:cs="Arial"/>
                <w:noProof/>
                <w:sz w:val="20"/>
                <w:szCs w:val="20"/>
              </w:rPr>
              <w:t xml:space="preserve"> </w:t>
            </w:r>
            <w:r w:rsidR="00A163F0">
              <w:rPr>
                <w:rFonts w:ascii="Arial" w:hAnsi="Arial" w:cs="Arial"/>
                <w:noProof/>
                <w:sz w:val="20"/>
                <w:szCs w:val="20"/>
              </w:rPr>
              <w:t>»</w:t>
            </w:r>
            <w:r w:rsidR="00366FC7">
              <w:rPr>
                <w:rFonts w:ascii="Arial" w:hAnsi="Arial" w:cs="Arial"/>
                <w:noProof/>
                <w:sz w:val="20"/>
                <w:szCs w:val="20"/>
              </w:rPr>
              <w:t>Uporaba umetne inteligence v okoljskih presojah</w:t>
            </w:r>
            <w:r w:rsidR="00A163F0">
              <w:rPr>
                <w:rFonts w:ascii="Arial" w:hAnsi="Arial" w:cs="Arial"/>
                <w:noProof/>
                <w:sz w:val="20"/>
                <w:szCs w:val="20"/>
              </w:rPr>
              <w:t>«</w:t>
            </w:r>
            <w:r w:rsidRPr="00124FE9">
              <w:rPr>
                <w:rFonts w:ascii="Arial" w:hAnsi="Arial" w:cs="Arial"/>
                <w:noProof/>
                <w:sz w:val="20"/>
                <w:szCs w:val="20"/>
              </w:rPr>
              <w:t xml:space="preserve">  </w:t>
            </w:r>
            <w:r w:rsidRPr="00124FE9">
              <w:rPr>
                <w:rFonts w:ascii="Arial" w:hAnsi="Arial" w:cs="Arial"/>
                <w:noProof/>
                <w:color w:val="000000" w:themeColor="text1"/>
                <w:sz w:val="20"/>
                <w:szCs w:val="20"/>
              </w:rPr>
              <w:t>uvrsti v veljavni Na</w:t>
            </w:r>
            <w:r w:rsidRPr="00124FE9">
              <w:rPr>
                <w:rFonts w:ascii="Arial" w:hAnsi="Arial" w:cs="Arial"/>
                <w:noProof/>
                <w:sz w:val="20"/>
                <w:szCs w:val="20"/>
              </w:rPr>
              <w:t>črt razvojnih programov 2026-2029.</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495583C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79F17B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691028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1DDFC5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7835F0F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041C8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1FA44E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412A9"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2CBAB41A"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5781C04"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2570-26-0018</w:t>
            </w:r>
            <w:r w:rsidR="00330AA4" w:rsidRPr="00124FE9">
              <w:rPr>
                <w:rFonts w:ascii="Arial" w:hAnsi="Arial" w:cs="Arial"/>
                <w:noProof/>
                <w:sz w:val="20"/>
                <w:szCs w:val="20"/>
              </w:rPr>
              <w:t xml:space="preserve"> </w:t>
            </w:r>
            <w:r w:rsidRPr="00124FE9">
              <w:rPr>
                <w:rFonts w:ascii="Arial" w:hAnsi="Arial" w:cs="Arial"/>
                <w:noProof/>
                <w:color w:val="000000" w:themeColor="text1"/>
                <w:sz w:val="20"/>
                <w:szCs w:val="20"/>
              </w:rPr>
              <w:t>»</w:t>
            </w:r>
            <w:r w:rsidR="00366FC7">
              <w:rPr>
                <w:rFonts w:ascii="Arial" w:hAnsi="Arial" w:cs="Arial"/>
                <w:noProof/>
                <w:color w:val="000000" w:themeColor="text1"/>
                <w:sz w:val="20"/>
                <w:szCs w:val="20"/>
              </w:rPr>
              <w:t>Uporaba umetne inteligence v okoljskih presojah</w:t>
            </w:r>
            <w:r w:rsidRPr="00124FE9">
              <w:rPr>
                <w:rFonts w:ascii="Arial" w:hAnsi="Arial" w:cs="Arial"/>
                <w:noProof/>
                <w:sz w:val="20"/>
                <w:szCs w:val="20"/>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B7BB64B"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bCs/>
                <w:noProof/>
                <w:sz w:val="20"/>
                <w:szCs w:val="20"/>
              </w:rPr>
              <w:t>231758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6F3041C5" w:rsidR="004412A9" w:rsidRPr="00124FE9" w:rsidRDefault="004412A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hAnsi="Arial" w:cs="Arial"/>
                <w:noProof/>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4E37667" w:rsidR="004412A9" w:rsidRPr="00124FE9" w:rsidRDefault="004412A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hAnsi="Arial" w:cs="Arial"/>
                <w:noProof/>
                <w:sz w:val="20"/>
                <w:szCs w:val="20"/>
              </w:rPr>
              <w:t>0</w:t>
            </w:r>
          </w:p>
        </w:tc>
      </w:tr>
      <w:tr w:rsidR="004412A9"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65423245"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1DC6E6BA"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2570-2</w:t>
            </w:r>
            <w:r w:rsidR="00330AA4" w:rsidRPr="00124FE9">
              <w:rPr>
                <w:rFonts w:ascii="Arial" w:hAnsi="Arial" w:cs="Arial"/>
                <w:noProof/>
                <w:sz w:val="20"/>
                <w:szCs w:val="20"/>
              </w:rPr>
              <w:t>6</w:t>
            </w:r>
            <w:r w:rsidRPr="00124FE9">
              <w:rPr>
                <w:rFonts w:ascii="Arial" w:hAnsi="Arial" w:cs="Arial"/>
                <w:noProof/>
                <w:sz w:val="20"/>
                <w:szCs w:val="20"/>
              </w:rPr>
              <w:t>-001</w:t>
            </w:r>
            <w:r w:rsidR="00330AA4" w:rsidRPr="00124FE9">
              <w:rPr>
                <w:rFonts w:ascii="Arial" w:hAnsi="Arial" w:cs="Arial"/>
                <w:noProof/>
                <w:sz w:val="20"/>
                <w:szCs w:val="20"/>
              </w:rPr>
              <w:t xml:space="preserve">8 </w:t>
            </w:r>
            <w:r w:rsidR="00330AA4" w:rsidRPr="00124FE9">
              <w:rPr>
                <w:rFonts w:ascii="Arial" w:hAnsi="Arial" w:cs="Arial"/>
                <w:noProof/>
                <w:color w:val="000000" w:themeColor="text1"/>
                <w:sz w:val="20"/>
                <w:szCs w:val="20"/>
              </w:rPr>
              <w:t>»</w:t>
            </w:r>
            <w:r w:rsidR="00366FC7">
              <w:rPr>
                <w:rFonts w:ascii="Arial" w:hAnsi="Arial" w:cs="Arial"/>
                <w:noProof/>
                <w:color w:val="000000" w:themeColor="text1"/>
                <w:sz w:val="20"/>
                <w:szCs w:val="20"/>
              </w:rPr>
              <w:t>Uporaba umetne inteligence v okoljskih presojah</w:t>
            </w:r>
            <w:r w:rsidR="00330AA4" w:rsidRPr="00124FE9">
              <w:rPr>
                <w:rFonts w:ascii="Arial" w:hAnsi="Arial" w:cs="Arial"/>
                <w:noProof/>
                <w:sz w:val="20"/>
                <w:szCs w:val="20"/>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146DE7A0" w:rsidR="004412A9" w:rsidRPr="00124FE9" w:rsidRDefault="004412A9" w:rsidP="004412A9">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bCs/>
                <w:noProof/>
                <w:sz w:val="20"/>
                <w:szCs w:val="20"/>
              </w:rPr>
              <w:t>251027 Informacijski sistem s področja okolja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575B9DB2" w:rsidR="004412A9" w:rsidRPr="00124FE9" w:rsidRDefault="004412A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hAnsi="Arial" w:cs="Arial"/>
                <w:noProof/>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70BD94D2" w:rsidR="004412A9" w:rsidRPr="00124FE9" w:rsidRDefault="004412A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hAnsi="Arial" w:cs="Arial"/>
                <w:noProof/>
                <w:sz w:val="20"/>
                <w:szCs w:val="20"/>
              </w:rPr>
              <w:t>0</w:t>
            </w:r>
          </w:p>
        </w:tc>
      </w:tr>
      <w:tr w:rsidR="004412A9" w:rsidRPr="00AE1F83" w14:paraId="4691E305" w14:textId="2971478E" w:rsidTr="009D1FA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7962D478" w:rsidR="004412A9" w:rsidRPr="00AE1F83" w:rsidRDefault="004412A9" w:rsidP="004412A9">
            <w:pPr>
              <w:widowControl w:val="0"/>
              <w:tabs>
                <w:tab w:val="left" w:pos="360"/>
              </w:tabs>
              <w:spacing w:after="0" w:line="260" w:lineRule="exact"/>
              <w:outlineLvl w:val="0"/>
              <w:rPr>
                <w:rFonts w:ascii="Arial" w:eastAsia="Times New Roman" w:hAnsi="Arial" w:cs="Arial"/>
                <w:b/>
                <w:kern w:val="32"/>
                <w:sz w:val="20"/>
                <w:szCs w:val="20"/>
                <w:lang w:eastAsia="sl-SI"/>
              </w:rPr>
            </w:pPr>
            <w:r w:rsidRPr="00026EEB">
              <w:rPr>
                <w:noProof/>
              </w:rPr>
              <w:t>SKUPAJ</w:t>
            </w:r>
          </w:p>
        </w:tc>
        <w:tc>
          <w:tcPr>
            <w:tcW w:w="1371" w:type="dxa"/>
            <w:gridSpan w:val="3"/>
            <w:tcBorders>
              <w:top w:val="single" w:sz="4" w:space="0" w:color="auto"/>
              <w:left w:val="single" w:sz="4" w:space="0" w:color="auto"/>
              <w:bottom w:val="single" w:sz="4" w:space="0" w:color="auto"/>
              <w:right w:val="single" w:sz="4" w:space="0" w:color="auto"/>
            </w:tcBorders>
          </w:tcPr>
          <w:p w14:paraId="173712FB" w14:textId="5F7DEF63" w:rsidR="004412A9" w:rsidRPr="00124FE9" w:rsidRDefault="004412A9" w:rsidP="004412A9">
            <w:pPr>
              <w:widowControl w:val="0"/>
              <w:spacing w:after="0" w:line="260" w:lineRule="exact"/>
              <w:jc w:val="center"/>
              <w:rPr>
                <w:rFonts w:ascii="Arial" w:eastAsia="Times New Roman" w:hAnsi="Arial" w:cs="Arial"/>
                <w:b/>
                <w:sz w:val="20"/>
                <w:szCs w:val="20"/>
              </w:rPr>
            </w:pPr>
            <w:r w:rsidRPr="00124FE9">
              <w:rPr>
                <w:rFonts w:ascii="Arial" w:hAnsi="Arial" w:cs="Arial"/>
                <w:noProof/>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3263721C" w:rsidR="004412A9" w:rsidRPr="00124FE9" w:rsidRDefault="00124FE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eastAsia="Times New Roman" w:hAnsi="Arial" w:cs="Arial"/>
                <w:bCs/>
                <w:kern w:val="32"/>
                <w:sz w:val="20"/>
                <w:szCs w:val="20"/>
                <w:lang w:eastAsia="sl-SI"/>
              </w:rPr>
              <w:t>0</w:t>
            </w: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330AA4"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73D12EF"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0D0C2827"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2550-17-0003 Poraba sredstev Sklada za podnebne spremembe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266D2507"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bCs/>
                <w:noProof/>
                <w:sz w:val="20"/>
                <w:szCs w:val="20"/>
              </w:rPr>
              <w:t>231758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702ED58"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eastAsia="Times New Roman" w:hAnsi="Arial" w:cs="Arial"/>
                <w:bCs/>
                <w:kern w:val="32"/>
                <w:sz w:val="20"/>
                <w:szCs w:val="20"/>
                <w:lang w:eastAsia="sl-SI"/>
              </w:rPr>
              <w:t>665.400,00</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04C4984B"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30AA4"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4432549C"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59E4C10F"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noProof/>
                <w:sz w:val="20"/>
                <w:szCs w:val="20"/>
              </w:rPr>
              <w:t>2570-25-0002 Vzdrževanja in nadgradnja IS Dovoljenja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37CF34DE" w:rsidR="00330AA4" w:rsidRPr="00124FE9" w:rsidRDefault="00330AA4" w:rsidP="00330AA4">
            <w:pPr>
              <w:widowControl w:val="0"/>
              <w:tabs>
                <w:tab w:val="left" w:pos="360"/>
              </w:tabs>
              <w:spacing w:after="0" w:line="260" w:lineRule="exact"/>
              <w:outlineLvl w:val="0"/>
              <w:rPr>
                <w:rFonts w:ascii="Arial" w:eastAsia="Times New Roman" w:hAnsi="Arial" w:cs="Arial"/>
                <w:bCs/>
                <w:kern w:val="32"/>
                <w:sz w:val="20"/>
                <w:szCs w:val="20"/>
                <w:lang w:eastAsia="sl-SI"/>
              </w:rPr>
            </w:pPr>
            <w:r w:rsidRPr="00124FE9">
              <w:rPr>
                <w:rFonts w:ascii="Arial" w:hAnsi="Arial" w:cs="Arial"/>
                <w:bCs/>
                <w:noProof/>
                <w:sz w:val="20"/>
                <w:szCs w:val="20"/>
              </w:rPr>
              <w:t>251027 Informacijski sistem s področja okolja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1AC5C898" w:rsidR="00330AA4" w:rsidRPr="00124FE9" w:rsidRDefault="00124FE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eastAsia="Times New Roman" w:hAnsi="Arial" w:cs="Arial"/>
                <w:bCs/>
                <w:kern w:val="32"/>
                <w:sz w:val="20"/>
                <w:szCs w:val="20"/>
                <w:lang w:eastAsia="sl-SI"/>
              </w:rPr>
              <w:t>0</w:t>
            </w: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677447DD" w:rsidR="00330AA4" w:rsidRPr="00124FE9" w:rsidRDefault="00124FE9" w:rsidP="00124FE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24FE9">
              <w:rPr>
                <w:rFonts w:ascii="Arial" w:eastAsia="Times New Roman" w:hAnsi="Arial" w:cs="Arial"/>
                <w:bCs/>
                <w:kern w:val="32"/>
                <w:sz w:val="20"/>
                <w:szCs w:val="20"/>
                <w:lang w:eastAsia="sl-SI"/>
              </w:rPr>
              <w:t>54.000,00</w:t>
            </w: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4B1E22FB" w:rsidR="00AE1F83" w:rsidRPr="00AE1F83" w:rsidRDefault="00124FE9" w:rsidP="00124FE9">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665.400,00</w:t>
            </w: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63689C1C" w:rsidR="00AE1F83" w:rsidRPr="00AE1F83" w:rsidRDefault="00124FE9" w:rsidP="00124FE9">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54.000,00</w:t>
            </w: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lastRenderedPageBreak/>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5BAF128B"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lastRenderedPageBreak/>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0409BC95"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8116D55" w14:textId="77777777" w:rsidR="00124FE9" w:rsidRPr="00026EEB" w:rsidRDefault="00124FE9" w:rsidP="00124FE9">
            <w:pPr>
              <w:pStyle w:val="Poglavje"/>
              <w:widowControl w:val="0"/>
              <w:spacing w:before="0" w:after="0" w:line="260" w:lineRule="exact"/>
              <w:ind w:left="4433"/>
              <w:rPr>
                <w:b w:val="0"/>
                <w:noProof/>
                <w:sz w:val="20"/>
                <w:szCs w:val="20"/>
              </w:rPr>
            </w:pPr>
            <w:r w:rsidRPr="00026EEB">
              <w:rPr>
                <w:b w:val="0"/>
                <w:noProof/>
                <w:sz w:val="20"/>
                <w:szCs w:val="20"/>
              </w:rPr>
              <w:t>mag. Bojan Kumer</w:t>
            </w:r>
          </w:p>
          <w:p w14:paraId="3F9C1951" w14:textId="77777777" w:rsidR="00124FE9" w:rsidRPr="00026EEB" w:rsidRDefault="00124FE9" w:rsidP="00124FE9">
            <w:pPr>
              <w:pStyle w:val="Poglavje"/>
              <w:widowControl w:val="0"/>
              <w:spacing w:before="0" w:after="0" w:line="260" w:lineRule="exact"/>
              <w:ind w:left="4433"/>
              <w:rPr>
                <w:b w:val="0"/>
                <w:noProof/>
                <w:sz w:val="20"/>
                <w:szCs w:val="20"/>
              </w:rPr>
            </w:pPr>
            <w:r w:rsidRPr="00026EEB">
              <w:rPr>
                <w:b w:val="0"/>
                <w:noProof/>
                <w:sz w:val="20"/>
                <w:szCs w:val="20"/>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9C88808" w14:textId="77777777" w:rsidR="00124FE9" w:rsidRDefault="00124FE9"/>
    <w:p w14:paraId="55CD0D3E" w14:textId="77777777" w:rsidR="00124FE9" w:rsidRDefault="00124FE9"/>
    <w:p w14:paraId="3188D22B" w14:textId="77777777" w:rsidR="00366FC7" w:rsidRDefault="00124FE9" w:rsidP="00366FC7">
      <w:pPr>
        <w:spacing w:after="0" w:line="240" w:lineRule="auto"/>
        <w:rPr>
          <w:rFonts w:ascii="Arial" w:hAnsi="Arial" w:cs="Arial"/>
          <w:b/>
          <w:noProof/>
          <w:sz w:val="20"/>
          <w:szCs w:val="20"/>
        </w:rPr>
      </w:pPr>
      <w:r w:rsidRPr="00124FE9">
        <w:rPr>
          <w:rFonts w:ascii="Arial" w:hAnsi="Arial" w:cs="Arial"/>
          <w:b/>
          <w:noProof/>
          <w:sz w:val="20"/>
          <w:szCs w:val="20"/>
        </w:rPr>
        <w:lastRenderedPageBreak/>
        <w:t>Priloga 1</w:t>
      </w:r>
    </w:p>
    <w:p w14:paraId="00D46C63" w14:textId="1A1BA4AA" w:rsidR="00366FC7" w:rsidRDefault="00124FE9" w:rsidP="00366FC7">
      <w:pPr>
        <w:spacing w:after="0" w:line="240" w:lineRule="auto"/>
        <w:rPr>
          <w:rFonts w:ascii="Arial" w:hAnsi="Arial" w:cs="Arial"/>
          <w:b/>
          <w:noProof/>
          <w:sz w:val="20"/>
          <w:szCs w:val="20"/>
        </w:rPr>
      </w:pPr>
      <w:r w:rsidRPr="00124FE9">
        <w:rPr>
          <w:rFonts w:ascii="Arial" w:hAnsi="Arial" w:cs="Arial"/>
          <w:b/>
          <w:noProof/>
          <w:sz w:val="20"/>
          <w:szCs w:val="20"/>
        </w:rPr>
        <w:t>OBRAZLOŽITEV</w:t>
      </w:r>
      <w:bookmarkStart w:id="0" w:name="_Hlk216862125"/>
    </w:p>
    <w:p w14:paraId="4488A358" w14:textId="6713E210"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Investicija predstavlja vlaganja na okoljskem in razvojnem področju.</w:t>
      </w:r>
      <w:bookmarkEnd w:id="0"/>
      <w:r w:rsidRPr="00124FE9">
        <w:rPr>
          <w:rFonts w:ascii="Arial" w:hAnsi="Arial" w:cs="Arial"/>
          <w:bCs/>
          <w:noProof/>
          <w:sz w:val="20"/>
          <w:szCs w:val="20"/>
        </w:rPr>
        <w:t xml:space="preserve"> MOPE je pristojno za odločanje v t. i. postopkih predhodne presoje (PP) in presoje vplivov na okolje (PVO) in za podajo mnenja t.i. postopkih integralnega gradbenega dovoljenja. V postopku se s časom pojavljajo novi poudarki oziroma vsebine, katerih razvoj je potrebno skrbno slediti in ustrezno nadgraditi postopke presoje. Pomemben vidik, kjer je potrebno zagotoviti napredek, je na primer zlasti presoja nameravanega posega z vidika morebitnega prispevka le tega k nacionalnim podnebnim ciljem ali presoja morebitnega negativnega vpliva na podnebne cilje. Potrebna je tudi presoja nameravanega posega z vidika njegove podnebne ranljivosti oziroma potrebnega prilagajanja značilnosti posega predvidenim spremembam podnebja (tudi ob upoštevanju bolj pogostih ali večjih naravnih dogodkov, ki se smatrajo za nesreče). Vsi omenjeni vidiki morajo biti na eni strani ustrezno obravnavani v poročilu o vplivih na okolje ter na drugi strani - ob upoštevanju načina izvedbe in pomembnih lastnostih posega in njegove lokacije ter načrtovanega trajanja (obratovanja) posega- ustrezno ocenjeni/presojani s strani ministrstva. Podobno se nova vprašanja odpirajo pri obravnavi vplivov na tla, kjer so pomembne funkcije vseh tal nasploh in ne le npr. varovanje kmetijskih zemljišč itd. </w:t>
      </w:r>
    </w:p>
    <w:p w14:paraId="1C0F2876" w14:textId="2B75398E"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 xml:space="preserve">Poleg novih vsebinskih poudarkov je za te postopke značilno tudi, da so procesi so obremenjeni z velikim obsegom dokumentacije, “ročnim” delom oziroma pregledovanjem, raznolikimi viri podatkov, zahtevami obsežne in razpršene normativne ureditve ter z različnimi metodološkimi pristopi na posameznih področjih. </w:t>
      </w:r>
    </w:p>
    <w:p w14:paraId="0B8D9C12" w14:textId="4B2DC27E"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 xml:space="preserve">Odločanje je torej vsebinsko, pogosto pa tudi postopkovno (več strank z nasprotujočimi si interesi) zahtevno. </w:t>
      </w:r>
    </w:p>
    <w:p w14:paraId="3BD16D5E" w14:textId="358B47AC"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 xml:space="preserve">Namen investicije je razvoj, implementacija, testiranje in vzpostavitev produkcijskega delovanja inteligentnega sistema Okoljske presoje AI, ki bo podpiral pripravo okoljskih odločb na Ministrstvu za okolje, podnebje in energijo. V okviru projekta se po zaključku razvojne faze zagotavlja tudi tri (3) letno okolje za produkcijsko in testno okolje. Uresničitev projekta bo omogočila hitrejše in učinkovitejše postopke, povečala zaupanje javnosti v delo MOPE ter postavila temelje za nadaljnjo uporabo naprednih tehnologij v javni upravi. Cilji projekta so: večja učinkovitost postopkov, pozitiven vpliv na kakovost odločb v smislu večje usklajenosti oz. poenotenosti, izboljšanje uporabniške izkušnje in preglednosti, zagotovitev skladnosti in varnosti, upravljanje znanja ter dolgoročna vzdržnost in možnost razvoja sistema. </w:t>
      </w:r>
    </w:p>
    <w:p w14:paraId="58BC81D8" w14:textId="3B495A8A"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 xml:space="preserve">V podporo pri pregledovanju vlog oziroma dokumentacije in odločanju v predhodnih postopkih in postopkih presoje vplivov na okolje želi MOPE torej razviti in uvesti inteligentni sistem, ki bo združeval funkcionalnosti umetne inteligence, modularno arhitekturo in uporabniško usmerjen dizajn in bo oblikovan z namenom, da omogoči učinkovitejšo, preglednejšo in skladnejšo obdelavo vlog, dokumentacije in bolj kakovostno pripravo odločb. </w:t>
      </w:r>
    </w:p>
    <w:p w14:paraId="52CE1A1A" w14:textId="77777777" w:rsidR="00124FE9" w:rsidRPr="00124FE9" w:rsidRDefault="00124FE9" w:rsidP="000309FF">
      <w:pPr>
        <w:spacing w:line="240" w:lineRule="auto"/>
        <w:jc w:val="both"/>
        <w:rPr>
          <w:rFonts w:ascii="Arial" w:hAnsi="Arial" w:cs="Arial"/>
          <w:bCs/>
          <w:noProof/>
          <w:sz w:val="20"/>
          <w:szCs w:val="20"/>
        </w:rPr>
      </w:pPr>
      <w:r w:rsidRPr="00124FE9">
        <w:rPr>
          <w:rFonts w:ascii="Arial" w:hAnsi="Arial" w:cs="Arial"/>
          <w:bCs/>
          <w:noProof/>
          <w:sz w:val="20"/>
          <w:szCs w:val="20"/>
        </w:rPr>
        <w:t>Cilji projekta bodo doseženi po naslednjih fazah: Faza 1 - Načrtovanje in arhitektura - zajema pripravo projektnega načrta (PZI), usklajevanje ciljev in specifikacij ter zasnovo arhitekture sistema. Faza 2 - Razvoj aplikacije in UI agentov vključuje razvoj spletne aplikacije, UI-funkcionalnosti in baz podatkov. Faza 3 - Vzpostavitev testnega okolja je namenjena konfiguraciji izoliranega sandbox okolja in uvozu testnih podatkov. Omogoča testiranje sistemskih funkcionalnosti brez vpliva na produkcijo. Faza 4 - Integracija in testiranje pokriva integracijo vseh komponent, razvoj benchmark sistema, testiranje z realnimi uporabniki in povezovanje z zunanjimi informacijskimi sistemi. Ključna faza za potrjevanje zanesljivosti in uporabnosti rešitve. Faza 5 - Objava in spremljanje delovanja je zaključna faza, v kateri se sistem aiMOPE prenese v produkcijsko okolje, spremlja njegovo delovanje in zbira povratne informacije za nadaljnji razvoj. Faza 6 - Gostovanje in vzdrževanje na infrastrukturi izvajalca.</w:t>
      </w:r>
    </w:p>
    <w:p w14:paraId="09525EC7" w14:textId="77777777" w:rsidR="00CF06E9" w:rsidRDefault="00366FC7" w:rsidP="000309FF">
      <w:pPr>
        <w:autoSpaceDE w:val="0"/>
        <w:autoSpaceDN w:val="0"/>
        <w:adjustRightInd w:val="0"/>
        <w:spacing w:after="0" w:line="240" w:lineRule="auto"/>
        <w:jc w:val="both"/>
        <w:rPr>
          <w:rFonts w:ascii="Arial" w:hAnsi="Arial" w:cs="Arial"/>
          <w:bCs/>
          <w:sz w:val="20"/>
          <w:szCs w:val="20"/>
        </w:rPr>
      </w:pPr>
      <w:r w:rsidRPr="00366FC7">
        <w:rPr>
          <w:rFonts w:ascii="Arial" w:hAnsi="Arial" w:cs="Arial"/>
          <w:bCs/>
          <w:sz w:val="20"/>
          <w:szCs w:val="20"/>
        </w:rPr>
        <w:t>Sredstva za leto 2026 bodo zagotovljena s prerazporeditvijo</w:t>
      </w:r>
      <w:r>
        <w:rPr>
          <w:rFonts w:ascii="Arial" w:hAnsi="Arial" w:cs="Arial"/>
          <w:bCs/>
          <w:sz w:val="20"/>
          <w:szCs w:val="20"/>
        </w:rPr>
        <w:t xml:space="preserve"> sredstev </w:t>
      </w:r>
      <w:r w:rsidRPr="00366FC7">
        <w:rPr>
          <w:rFonts w:ascii="Arial" w:hAnsi="Arial" w:cs="Arial"/>
          <w:bCs/>
          <w:sz w:val="20"/>
          <w:szCs w:val="20"/>
        </w:rPr>
        <w:t>iz evidenčnega projekta 2550-17-0003 Poraba sredstev Sklada za podnebne spremembe, proračunska postavka 231758 Sklad za podnebne spremembe, in sicer  v višini 665.400,00 EUR.</w:t>
      </w:r>
    </w:p>
    <w:p w14:paraId="47CC4118" w14:textId="07EF7B1B" w:rsidR="00124FE9" w:rsidRDefault="00366FC7" w:rsidP="000309FF">
      <w:pPr>
        <w:autoSpaceDE w:val="0"/>
        <w:autoSpaceDN w:val="0"/>
        <w:adjustRightInd w:val="0"/>
        <w:spacing w:after="0" w:line="240" w:lineRule="auto"/>
        <w:jc w:val="both"/>
        <w:rPr>
          <w:rFonts w:ascii="Arial" w:hAnsi="Arial" w:cs="Arial"/>
          <w:bCs/>
          <w:sz w:val="20"/>
          <w:szCs w:val="20"/>
        </w:rPr>
      </w:pPr>
      <w:r w:rsidRPr="00366FC7">
        <w:rPr>
          <w:rFonts w:ascii="Arial" w:hAnsi="Arial" w:cs="Arial"/>
          <w:bCs/>
          <w:sz w:val="20"/>
          <w:szCs w:val="20"/>
        </w:rPr>
        <w:t xml:space="preserve">V letih 2027, 2028 in 2029 so sredstva zagotovljena na evidenčnem projektu 2570-25-0002 Vzdrževanja in nadgradnja IS Dovoljenja, proračunska postavka 251027 Informacijski sistem s področja okolja, in sicer v letu 2027 v višini 54.000,00 EUR, v letu 2028 v višini 48.000,00 EUR in v letu 2029 v višini 42.000,00 EUR. </w:t>
      </w:r>
    </w:p>
    <w:p w14:paraId="10D90209" w14:textId="77777777" w:rsidR="00CF06E9" w:rsidRPr="00124FE9" w:rsidRDefault="00CF06E9" w:rsidP="000309FF">
      <w:pPr>
        <w:autoSpaceDE w:val="0"/>
        <w:autoSpaceDN w:val="0"/>
        <w:adjustRightInd w:val="0"/>
        <w:spacing w:after="0" w:line="240" w:lineRule="auto"/>
        <w:jc w:val="both"/>
        <w:rPr>
          <w:rFonts w:ascii="Arial" w:hAnsi="Arial" w:cs="Arial"/>
          <w:bCs/>
          <w:noProof/>
          <w:sz w:val="20"/>
          <w:szCs w:val="20"/>
        </w:rPr>
      </w:pPr>
    </w:p>
    <w:p w14:paraId="2BEE6E53" w14:textId="56035565" w:rsidR="00124FE9" w:rsidRPr="00124FE9" w:rsidRDefault="00124FE9" w:rsidP="000309FF">
      <w:pPr>
        <w:spacing w:line="240" w:lineRule="auto"/>
        <w:jc w:val="both"/>
        <w:rPr>
          <w:rFonts w:ascii="Arial" w:hAnsi="Arial" w:cs="Arial"/>
          <w:sz w:val="20"/>
          <w:szCs w:val="20"/>
        </w:rPr>
      </w:pPr>
      <w:r w:rsidRPr="00124FE9">
        <w:rPr>
          <w:rFonts w:ascii="Arial" w:hAnsi="Arial" w:cs="Arial"/>
          <w:bCs/>
          <w:noProof/>
          <w:sz w:val="20"/>
          <w:szCs w:val="20"/>
        </w:rPr>
        <w:t xml:space="preserve">Izhodiščna vrednost projekta znaša </w:t>
      </w:r>
      <w:r>
        <w:rPr>
          <w:rFonts w:ascii="Arial" w:hAnsi="Arial" w:cs="Arial"/>
          <w:bCs/>
          <w:noProof/>
          <w:sz w:val="20"/>
          <w:szCs w:val="20"/>
        </w:rPr>
        <w:t>809.400</w:t>
      </w:r>
      <w:r w:rsidRPr="00124FE9">
        <w:rPr>
          <w:rFonts w:ascii="Arial" w:hAnsi="Arial" w:cs="Arial"/>
          <w:bCs/>
          <w:noProof/>
          <w:sz w:val="20"/>
          <w:szCs w:val="20"/>
        </w:rPr>
        <w:t>,00 EUR. Projekt se bo predvidoma izvajal do 31. 12. 2029.</w:t>
      </w:r>
    </w:p>
    <w:sectPr w:rsidR="00124FE9" w:rsidRPr="00124FE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A836" w14:textId="77777777" w:rsidR="001710D0" w:rsidRDefault="001710D0" w:rsidP="00124FE9">
      <w:pPr>
        <w:spacing w:after="0" w:line="240" w:lineRule="auto"/>
      </w:pPr>
      <w:r>
        <w:separator/>
      </w:r>
    </w:p>
  </w:endnote>
  <w:endnote w:type="continuationSeparator" w:id="0">
    <w:p w14:paraId="50A09C5E" w14:textId="77777777" w:rsidR="001710D0" w:rsidRDefault="001710D0" w:rsidP="0012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008389"/>
      <w:docPartObj>
        <w:docPartGallery w:val="Page Numbers (Bottom of Page)"/>
        <w:docPartUnique/>
      </w:docPartObj>
    </w:sdtPr>
    <w:sdtEndPr>
      <w:rPr>
        <w:sz w:val="18"/>
        <w:szCs w:val="18"/>
      </w:rPr>
    </w:sdtEndPr>
    <w:sdtContent>
      <w:p w14:paraId="5CE37D60" w14:textId="7E261B7E" w:rsidR="00124FE9" w:rsidRPr="00124FE9" w:rsidRDefault="00124FE9">
        <w:pPr>
          <w:pStyle w:val="Noga"/>
          <w:jc w:val="center"/>
          <w:rPr>
            <w:sz w:val="18"/>
            <w:szCs w:val="18"/>
          </w:rPr>
        </w:pPr>
        <w:r w:rsidRPr="00124FE9">
          <w:rPr>
            <w:sz w:val="18"/>
            <w:szCs w:val="18"/>
          </w:rPr>
          <w:fldChar w:fldCharType="begin"/>
        </w:r>
        <w:r w:rsidRPr="00124FE9">
          <w:rPr>
            <w:sz w:val="18"/>
            <w:szCs w:val="18"/>
          </w:rPr>
          <w:instrText>PAGE   \* MERGEFORMAT</w:instrText>
        </w:r>
        <w:r w:rsidRPr="00124FE9">
          <w:rPr>
            <w:sz w:val="18"/>
            <w:szCs w:val="18"/>
          </w:rPr>
          <w:fldChar w:fldCharType="separate"/>
        </w:r>
        <w:r w:rsidRPr="00124FE9">
          <w:rPr>
            <w:sz w:val="18"/>
            <w:szCs w:val="18"/>
          </w:rPr>
          <w:t>2</w:t>
        </w:r>
        <w:r w:rsidRPr="00124FE9">
          <w:rPr>
            <w:sz w:val="18"/>
            <w:szCs w:val="18"/>
          </w:rPr>
          <w:fldChar w:fldCharType="end"/>
        </w:r>
      </w:p>
    </w:sdtContent>
  </w:sdt>
  <w:p w14:paraId="236FB8C1" w14:textId="77777777" w:rsidR="00124FE9" w:rsidRDefault="00124FE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AD93" w14:textId="77777777" w:rsidR="001710D0" w:rsidRDefault="001710D0" w:rsidP="00124FE9">
      <w:pPr>
        <w:spacing w:after="0" w:line="240" w:lineRule="auto"/>
      </w:pPr>
      <w:r>
        <w:separator/>
      </w:r>
    </w:p>
  </w:footnote>
  <w:footnote w:type="continuationSeparator" w:id="0">
    <w:p w14:paraId="3E4F0114" w14:textId="77777777" w:rsidR="001710D0" w:rsidRDefault="001710D0" w:rsidP="00124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27C"/>
    <w:multiLevelType w:val="hybridMultilevel"/>
    <w:tmpl w:val="6C267B1E"/>
    <w:lvl w:ilvl="0" w:tplc="9516DFAC">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8635FD6"/>
    <w:multiLevelType w:val="hybridMultilevel"/>
    <w:tmpl w:val="0D72307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D384696"/>
    <w:multiLevelType w:val="hybridMultilevel"/>
    <w:tmpl w:val="6E5A00A8"/>
    <w:lvl w:ilvl="0" w:tplc="1408F0B8">
      <w:start w:val="5"/>
      <w:numFmt w:val="bullet"/>
      <w:lvlText w:val="-"/>
      <w:lvlJc w:val="left"/>
      <w:pPr>
        <w:ind w:left="1006" w:hanging="360"/>
      </w:pPr>
      <w:rPr>
        <w:rFonts w:ascii="Arial" w:eastAsia="Times New Roman" w:hAnsi="Arial" w:cs="Arial" w:hint="default"/>
      </w:rPr>
    </w:lvl>
    <w:lvl w:ilvl="1" w:tplc="04240003" w:tentative="1">
      <w:start w:val="1"/>
      <w:numFmt w:val="bullet"/>
      <w:lvlText w:val="o"/>
      <w:lvlJc w:val="left"/>
      <w:pPr>
        <w:ind w:left="1726" w:hanging="360"/>
      </w:pPr>
      <w:rPr>
        <w:rFonts w:ascii="Courier New" w:hAnsi="Courier New" w:cs="Courier New" w:hint="default"/>
      </w:rPr>
    </w:lvl>
    <w:lvl w:ilvl="2" w:tplc="04240005" w:tentative="1">
      <w:start w:val="1"/>
      <w:numFmt w:val="bullet"/>
      <w:lvlText w:val=""/>
      <w:lvlJc w:val="left"/>
      <w:pPr>
        <w:ind w:left="2446" w:hanging="360"/>
      </w:pPr>
      <w:rPr>
        <w:rFonts w:ascii="Wingdings" w:hAnsi="Wingdings" w:hint="default"/>
      </w:rPr>
    </w:lvl>
    <w:lvl w:ilvl="3" w:tplc="04240001" w:tentative="1">
      <w:start w:val="1"/>
      <w:numFmt w:val="bullet"/>
      <w:lvlText w:val=""/>
      <w:lvlJc w:val="left"/>
      <w:pPr>
        <w:ind w:left="3166" w:hanging="360"/>
      </w:pPr>
      <w:rPr>
        <w:rFonts w:ascii="Symbol" w:hAnsi="Symbol" w:hint="default"/>
      </w:rPr>
    </w:lvl>
    <w:lvl w:ilvl="4" w:tplc="04240003" w:tentative="1">
      <w:start w:val="1"/>
      <w:numFmt w:val="bullet"/>
      <w:lvlText w:val="o"/>
      <w:lvlJc w:val="left"/>
      <w:pPr>
        <w:ind w:left="3886" w:hanging="360"/>
      </w:pPr>
      <w:rPr>
        <w:rFonts w:ascii="Courier New" w:hAnsi="Courier New" w:cs="Courier New" w:hint="default"/>
      </w:rPr>
    </w:lvl>
    <w:lvl w:ilvl="5" w:tplc="04240005" w:tentative="1">
      <w:start w:val="1"/>
      <w:numFmt w:val="bullet"/>
      <w:lvlText w:val=""/>
      <w:lvlJc w:val="left"/>
      <w:pPr>
        <w:ind w:left="4606" w:hanging="360"/>
      </w:pPr>
      <w:rPr>
        <w:rFonts w:ascii="Wingdings" w:hAnsi="Wingdings" w:hint="default"/>
      </w:rPr>
    </w:lvl>
    <w:lvl w:ilvl="6" w:tplc="04240001" w:tentative="1">
      <w:start w:val="1"/>
      <w:numFmt w:val="bullet"/>
      <w:lvlText w:val=""/>
      <w:lvlJc w:val="left"/>
      <w:pPr>
        <w:ind w:left="5326" w:hanging="360"/>
      </w:pPr>
      <w:rPr>
        <w:rFonts w:ascii="Symbol" w:hAnsi="Symbol" w:hint="default"/>
      </w:rPr>
    </w:lvl>
    <w:lvl w:ilvl="7" w:tplc="04240003" w:tentative="1">
      <w:start w:val="1"/>
      <w:numFmt w:val="bullet"/>
      <w:lvlText w:val="o"/>
      <w:lvlJc w:val="left"/>
      <w:pPr>
        <w:ind w:left="6046" w:hanging="360"/>
      </w:pPr>
      <w:rPr>
        <w:rFonts w:ascii="Courier New" w:hAnsi="Courier New" w:cs="Courier New" w:hint="default"/>
      </w:rPr>
    </w:lvl>
    <w:lvl w:ilvl="8" w:tplc="04240005" w:tentative="1">
      <w:start w:val="1"/>
      <w:numFmt w:val="bullet"/>
      <w:lvlText w:val=""/>
      <w:lvlJc w:val="left"/>
      <w:pPr>
        <w:ind w:left="6766"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5220510">
    <w:abstractNumId w:val="1"/>
  </w:num>
  <w:num w:numId="2" w16cid:durableId="2054499292">
    <w:abstractNumId w:val="7"/>
  </w:num>
  <w:num w:numId="3" w16cid:durableId="1661694178">
    <w:abstractNumId w:val="6"/>
  </w:num>
  <w:num w:numId="4" w16cid:durableId="1602176501">
    <w:abstractNumId w:val="8"/>
  </w:num>
  <w:num w:numId="5" w16cid:durableId="89398840">
    <w:abstractNumId w:val="10"/>
  </w:num>
  <w:num w:numId="6" w16cid:durableId="491334719">
    <w:abstractNumId w:val="4"/>
  </w:num>
  <w:num w:numId="7" w16cid:durableId="86318639">
    <w:abstractNumId w:val="2"/>
  </w:num>
  <w:num w:numId="8" w16cid:durableId="664011247">
    <w:abstractNumId w:val="5"/>
  </w:num>
  <w:num w:numId="9" w16cid:durableId="1035930729">
    <w:abstractNumId w:val="3"/>
  </w:num>
  <w:num w:numId="10" w16cid:durableId="1874608479">
    <w:abstractNumId w:val="0"/>
  </w:num>
  <w:num w:numId="11" w16cid:durableId="424301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309FF"/>
    <w:rsid w:val="00124FE9"/>
    <w:rsid w:val="00151441"/>
    <w:rsid w:val="00165288"/>
    <w:rsid w:val="001710D0"/>
    <w:rsid w:val="001973E4"/>
    <w:rsid w:val="00260974"/>
    <w:rsid w:val="00321A64"/>
    <w:rsid w:val="00330AA4"/>
    <w:rsid w:val="00366FC7"/>
    <w:rsid w:val="004412A9"/>
    <w:rsid w:val="004821EB"/>
    <w:rsid w:val="004C410D"/>
    <w:rsid w:val="005549AB"/>
    <w:rsid w:val="00597BDE"/>
    <w:rsid w:val="00607408"/>
    <w:rsid w:val="00695EC3"/>
    <w:rsid w:val="007A7419"/>
    <w:rsid w:val="0080521C"/>
    <w:rsid w:val="008E39A8"/>
    <w:rsid w:val="008F210F"/>
    <w:rsid w:val="00990888"/>
    <w:rsid w:val="009E5D8E"/>
    <w:rsid w:val="00A049F9"/>
    <w:rsid w:val="00A163F0"/>
    <w:rsid w:val="00A87E0A"/>
    <w:rsid w:val="00AE1F83"/>
    <w:rsid w:val="00AF004F"/>
    <w:rsid w:val="00B0355B"/>
    <w:rsid w:val="00B379A0"/>
    <w:rsid w:val="00BC1355"/>
    <w:rsid w:val="00C24B2C"/>
    <w:rsid w:val="00C44C5F"/>
    <w:rsid w:val="00CF06E9"/>
    <w:rsid w:val="00D77654"/>
    <w:rsid w:val="00DA5D57"/>
    <w:rsid w:val="00EE227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4412A9"/>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4412A9"/>
    <w:rPr>
      <w:rFonts w:ascii="Arial" w:eastAsia="Times New Roman" w:hAnsi="Arial" w:cs="Times New Roman"/>
      <w:sz w:val="20"/>
      <w:szCs w:val="24"/>
      <w:lang w:val="en-US"/>
    </w:rPr>
  </w:style>
  <w:style w:type="character" w:styleId="Hiperpovezava">
    <w:name w:val="Hyperlink"/>
    <w:rsid w:val="004412A9"/>
    <w:rPr>
      <w:color w:val="0000FF"/>
      <w:u w:val="single"/>
    </w:rPr>
  </w:style>
  <w:style w:type="paragraph" w:customStyle="1" w:styleId="Neotevilenodstavek">
    <w:name w:val="Neoštevilčen odstavek"/>
    <w:basedOn w:val="Navaden"/>
    <w:link w:val="NeotevilenodstavekZnak"/>
    <w:qFormat/>
    <w:rsid w:val="004412A9"/>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412A9"/>
    <w:rPr>
      <w:rFonts w:ascii="Arial" w:eastAsia="Times New Roman" w:hAnsi="Arial" w:cs="Arial"/>
      <w:lang w:eastAsia="sl-SI"/>
    </w:rPr>
  </w:style>
  <w:style w:type="paragraph" w:customStyle="1" w:styleId="Oddelek">
    <w:name w:val="Oddelek"/>
    <w:basedOn w:val="Navaden"/>
    <w:qFormat/>
    <w:rsid w:val="004412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paragraph" w:customStyle="1" w:styleId="Poglavje">
    <w:name w:val="Poglavje"/>
    <w:basedOn w:val="Navaden"/>
    <w:qFormat/>
    <w:rsid w:val="00124FE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oga">
    <w:name w:val="footer"/>
    <w:basedOn w:val="Navaden"/>
    <w:link w:val="NogaZnak"/>
    <w:uiPriority w:val="99"/>
    <w:unhideWhenUsed/>
    <w:rsid w:val="00124FE9"/>
    <w:pPr>
      <w:tabs>
        <w:tab w:val="center" w:pos="4536"/>
        <w:tab w:val="right" w:pos="9072"/>
      </w:tabs>
      <w:spacing w:after="0" w:line="240" w:lineRule="auto"/>
    </w:pPr>
  </w:style>
  <w:style w:type="character" w:customStyle="1" w:styleId="NogaZnak">
    <w:name w:val="Noga Znak"/>
    <w:basedOn w:val="Privzetapisavaodstavka"/>
    <w:link w:val="Noga"/>
    <w:uiPriority w:val="99"/>
    <w:rsid w:val="00124FE9"/>
  </w:style>
  <w:style w:type="paragraph" w:styleId="Odstavekseznama">
    <w:name w:val="List Paragraph"/>
    <w:basedOn w:val="Navaden"/>
    <w:uiPriority w:val="34"/>
    <w:qFormat/>
    <w:rsid w:val="00366FC7"/>
    <w:pPr>
      <w:spacing w:after="0" w:line="260" w:lineRule="atLeast"/>
      <w:ind w:left="720"/>
      <w:contextualSpacing/>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e.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2184</Words>
  <Characters>12450</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Avtor</cp:lastModifiedBy>
  <cp:revision>4</cp:revision>
  <dcterms:created xsi:type="dcterms:W3CDTF">2026-02-23T12:04:00Z</dcterms:created>
  <dcterms:modified xsi:type="dcterms:W3CDTF">2026-02-27T11:31:00Z</dcterms:modified>
</cp:coreProperties>
</file>