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E10A8" w:rsidRPr="00131B28" w:rsidP="00CB7264" w14:paraId="13AF0792" w14:textId="77777777">
      <w:pPr>
        <w:pStyle w:val="Odstavekseznama1"/>
        <w:spacing w:line="260" w:lineRule="exact"/>
        <w:ind w:left="0"/>
        <w:rPr>
          <w:rFonts w:ascii="Arial" w:hAnsi="Arial" w:cs="Arial"/>
          <w:b/>
          <w:sz w:val="20"/>
          <w:szCs w:val="20"/>
        </w:rPr>
      </w:pPr>
    </w:p>
    <w:tbl>
      <w:tblPr>
        <w:tblW w:w="92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1"/>
        <w:gridCol w:w="4648"/>
        <w:gridCol w:w="796"/>
        <w:gridCol w:w="2271"/>
      </w:tblGrid>
      <w:tr w14:paraId="7E84D985" w14:textId="77777777" w:rsidTr="0077375B">
        <w:tblPrEx>
          <w:tblW w:w="92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067" w:type="dxa"/>
        </w:trPr>
        <w:tc>
          <w:tcPr>
            <w:tcW w:w="6209" w:type="dxa"/>
            <w:gridSpan w:val="2"/>
          </w:tcPr>
          <w:p w:rsidR="009F1E59" w:rsidRPr="00131B28" w:rsidP="00AB65D9" w14:paraId="3CC22150" w14:textId="77777777">
            <w:pPr>
              <w:pStyle w:val="datumtevilka"/>
            </w:pPr>
            <w:r w:rsidRPr="00131B28">
              <w:t xml:space="preserve">Številka: </w:t>
            </w:r>
            <w:bookmarkStart w:id="0" w:name="Klasifikacija"/>
            <w:r w:rsidRPr="00131B28">
              <w:t>007-47/2024-21</w:t>
            </w:r>
            <w:bookmarkEnd w:id="0"/>
          </w:p>
        </w:tc>
      </w:tr>
      <w:tr w14:paraId="278A7E1F" w14:textId="77777777" w:rsidTr="0077375B">
        <w:tblPrEx>
          <w:tblW w:w="9276" w:type="dxa"/>
          <w:tblInd w:w="-5" w:type="dxa"/>
          <w:tblLook w:val="04A0"/>
        </w:tblPrEx>
        <w:trPr>
          <w:gridAfter w:val="2"/>
          <w:wAfter w:w="3067" w:type="dxa"/>
        </w:trPr>
        <w:tc>
          <w:tcPr>
            <w:tcW w:w="6209" w:type="dxa"/>
            <w:gridSpan w:val="2"/>
          </w:tcPr>
          <w:p w:rsidR="009F1E59" w:rsidRPr="00131B28" w:rsidP="00AB65D9" w14:paraId="4999ACE4" w14:textId="77777777">
            <w:pPr>
              <w:pStyle w:val="datumtevilka"/>
            </w:pPr>
            <w:r w:rsidRPr="00131B28">
              <w:t xml:space="preserve">Ljubljana, dne </w:t>
            </w:r>
            <w:bookmarkStart w:id="1" w:name="DatumDokumenta"/>
            <w:r w:rsidRPr="00131B28">
              <w:t>10. 01. 2025</w:t>
            </w:r>
            <w:bookmarkEnd w:id="1"/>
          </w:p>
        </w:tc>
      </w:tr>
      <w:tr w14:paraId="53CCC1DA" w14:textId="77777777" w:rsidTr="0077375B">
        <w:tblPrEx>
          <w:tblW w:w="9276" w:type="dxa"/>
          <w:tblInd w:w="-5" w:type="dxa"/>
          <w:tblLook w:val="04A0"/>
        </w:tblPrEx>
        <w:trPr>
          <w:gridAfter w:val="2"/>
          <w:wAfter w:w="3067" w:type="dxa"/>
        </w:trPr>
        <w:tc>
          <w:tcPr>
            <w:tcW w:w="6209" w:type="dxa"/>
            <w:gridSpan w:val="2"/>
          </w:tcPr>
          <w:p w:rsidR="00FB3C81" w:rsidRPr="00131B28" w:rsidP="002C278B" w14:paraId="07153632" w14:textId="11F979F7">
            <w:pPr>
              <w:pStyle w:val="Neotevilenodstavek"/>
              <w:spacing w:before="0" w:after="0" w:line="260" w:lineRule="exact"/>
              <w:jc w:val="left"/>
              <w:rPr>
                <w:sz w:val="20"/>
                <w:szCs w:val="20"/>
              </w:rPr>
            </w:pPr>
            <w:r>
              <w:rPr>
                <w:iCs/>
                <w:sz w:val="20"/>
                <w:szCs w:val="20"/>
              </w:rPr>
              <w:t>EVA 2024-1911-0022</w:t>
            </w:r>
          </w:p>
        </w:tc>
      </w:tr>
      <w:tr w14:paraId="04B2F2F1" w14:textId="77777777" w:rsidTr="0077375B">
        <w:tblPrEx>
          <w:tblW w:w="9276" w:type="dxa"/>
          <w:tblInd w:w="-5" w:type="dxa"/>
          <w:tblLook w:val="04A0"/>
        </w:tblPrEx>
        <w:trPr>
          <w:gridAfter w:val="2"/>
          <w:wAfter w:w="3067" w:type="dxa"/>
        </w:trPr>
        <w:tc>
          <w:tcPr>
            <w:tcW w:w="6209" w:type="dxa"/>
            <w:gridSpan w:val="2"/>
          </w:tcPr>
          <w:p w:rsidR="00FB3C81" w:rsidRPr="00131B28" w:rsidP="002C278B" w14:paraId="7135B00B" w14:textId="77777777">
            <w:pPr>
              <w:spacing w:after="0" w:line="260" w:lineRule="exact"/>
              <w:rPr>
                <w:rFonts w:ascii="Arial" w:hAnsi="Arial" w:cs="Arial"/>
                <w:sz w:val="20"/>
                <w:szCs w:val="20"/>
              </w:rPr>
            </w:pPr>
          </w:p>
          <w:p w:rsidR="00FB3C81" w:rsidRPr="00131B28" w:rsidP="002C278B" w14:paraId="33AF8CC2" w14:textId="77777777">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rsidR="00FB3C81" w:rsidRPr="00131B28" w:rsidP="002C278B" w14:paraId="70B7C491" w14:textId="77777777">
            <w:pPr>
              <w:spacing w:after="0" w:line="260" w:lineRule="exact"/>
              <w:rPr>
                <w:rFonts w:ascii="Arial" w:hAnsi="Arial" w:cs="Arial"/>
                <w:b/>
                <w:sz w:val="20"/>
                <w:szCs w:val="20"/>
              </w:rPr>
            </w:pPr>
            <w:hyperlink r:id="rId5" w:history="1">
              <w:r w:rsidRPr="00131B28" w:rsidR="00EC1D65">
                <w:rPr>
                  <w:rStyle w:val="Hyperlink"/>
                  <w:rFonts w:ascii="Arial" w:hAnsi="Arial" w:cs="Arial"/>
                  <w:b/>
                  <w:sz w:val="20"/>
                  <w:szCs w:val="20"/>
                </w:rPr>
                <w:t>gp.gs@gov.si</w:t>
              </w:r>
            </w:hyperlink>
          </w:p>
          <w:p w:rsidR="00FB3C81" w:rsidRPr="00131B28" w:rsidP="002C278B" w14:paraId="54FCE390" w14:textId="77777777">
            <w:pPr>
              <w:spacing w:after="0" w:line="260" w:lineRule="exact"/>
              <w:rPr>
                <w:rFonts w:ascii="Arial" w:hAnsi="Arial" w:cs="Arial"/>
                <w:sz w:val="20"/>
                <w:szCs w:val="20"/>
              </w:rPr>
            </w:pPr>
          </w:p>
        </w:tc>
      </w:tr>
      <w:tr w14:paraId="2B70FD62" w14:textId="77777777" w:rsidTr="0077375B">
        <w:tblPrEx>
          <w:tblW w:w="9276" w:type="dxa"/>
          <w:tblInd w:w="-5" w:type="dxa"/>
          <w:tblLook w:val="04A0"/>
        </w:tblPrEx>
        <w:tc>
          <w:tcPr>
            <w:tcW w:w="9276" w:type="dxa"/>
            <w:gridSpan w:val="4"/>
          </w:tcPr>
          <w:p w:rsidR="0077375B" w:rsidRPr="00560F9E" w:rsidP="00753808" w14:paraId="2A5C2129" w14:textId="77777777">
            <w:pPr>
              <w:pStyle w:val="Naslovpredpisa"/>
              <w:spacing w:before="0" w:after="0" w:line="276" w:lineRule="auto"/>
              <w:jc w:val="both"/>
              <w:rPr>
                <w:sz w:val="20"/>
                <w:szCs w:val="20"/>
              </w:rPr>
            </w:pPr>
            <w:r w:rsidRPr="00560F9E">
              <w:rPr>
                <w:sz w:val="20"/>
                <w:szCs w:val="20"/>
              </w:rPr>
              <w:t xml:space="preserve">ZADEVA: Predlog Uredbe o spremembah in dopolnitvah Uredbe o organizaciji in delovanju sistema opazovanja, obveščanja in alarmiranja </w:t>
            </w:r>
            <w:r w:rsidRPr="001B0DBC">
              <w:rPr>
                <w:sz w:val="20"/>
                <w:szCs w:val="20"/>
              </w:rPr>
              <w:t>– predlog za obravnavo</w:t>
            </w:r>
          </w:p>
        </w:tc>
      </w:tr>
      <w:tr w14:paraId="52B51914" w14:textId="77777777" w:rsidTr="0077375B">
        <w:tblPrEx>
          <w:tblW w:w="9276" w:type="dxa"/>
          <w:tblInd w:w="-5" w:type="dxa"/>
          <w:tblLook w:val="04A0"/>
        </w:tblPrEx>
        <w:tc>
          <w:tcPr>
            <w:tcW w:w="9276" w:type="dxa"/>
            <w:gridSpan w:val="4"/>
          </w:tcPr>
          <w:p w:rsidR="0077375B" w:rsidRPr="00560F9E" w:rsidP="00753808" w14:paraId="28B56A20" w14:textId="77777777">
            <w:pPr>
              <w:pStyle w:val="Poglavje"/>
              <w:spacing w:before="0" w:after="0" w:line="276" w:lineRule="auto"/>
              <w:jc w:val="left"/>
              <w:rPr>
                <w:sz w:val="20"/>
                <w:szCs w:val="20"/>
              </w:rPr>
            </w:pPr>
            <w:r w:rsidRPr="00560F9E">
              <w:rPr>
                <w:sz w:val="20"/>
                <w:szCs w:val="20"/>
              </w:rPr>
              <w:t>1. Predlog sklepov vlade:</w:t>
            </w:r>
          </w:p>
        </w:tc>
      </w:tr>
      <w:tr w14:paraId="01FE963E" w14:textId="77777777" w:rsidTr="0077375B">
        <w:tblPrEx>
          <w:tblW w:w="9276" w:type="dxa"/>
          <w:tblInd w:w="-5" w:type="dxa"/>
          <w:tblLook w:val="04A0"/>
        </w:tblPrEx>
        <w:tc>
          <w:tcPr>
            <w:tcW w:w="9276" w:type="dxa"/>
            <w:gridSpan w:val="4"/>
          </w:tcPr>
          <w:p w:rsidR="0077375B" w:rsidRPr="00560F9E" w:rsidP="00753808" w14:paraId="088FEABD" w14:textId="77777777">
            <w:pPr>
              <w:pStyle w:val="Neotevilenodstavek"/>
              <w:spacing w:after="0" w:line="276" w:lineRule="auto"/>
              <w:rPr>
                <w:iCs/>
                <w:sz w:val="20"/>
                <w:szCs w:val="20"/>
              </w:rPr>
            </w:pPr>
            <w:r w:rsidRPr="001B0DBC">
              <w:rPr>
                <w:iCs/>
                <w:sz w:val="20"/>
                <w:szCs w:val="20"/>
              </w:rPr>
              <w:t xml:space="preserve">Na podlagi </w:t>
            </w:r>
            <w:r w:rsidRPr="00560F9E">
              <w:rPr>
                <w:iCs/>
                <w:sz w:val="20"/>
                <w:szCs w:val="20"/>
              </w:rPr>
              <w:t xml:space="preserve">drugega odstavka 49. </w:t>
            </w:r>
            <w:r>
              <w:rPr>
                <w:iCs/>
                <w:sz w:val="20"/>
                <w:szCs w:val="20"/>
              </w:rPr>
              <w:t>in</w:t>
            </w:r>
            <w:r w:rsidRPr="00560F9E">
              <w:rPr>
                <w:iCs/>
                <w:sz w:val="20"/>
                <w:szCs w:val="20"/>
              </w:rPr>
              <w:t xml:space="preserve"> tretjega odstavka 56. člena Zakona o varstvu pred naravnimi in drugimi nesrečami (Uradni list RS, št. 51/06 – uradno prečiščeno besedilo, 97/10, 21/18 – </w:t>
            </w:r>
            <w:r w:rsidRPr="00560F9E">
              <w:rPr>
                <w:iCs/>
                <w:sz w:val="20"/>
                <w:szCs w:val="20"/>
              </w:rPr>
              <w:t>ZNOrg</w:t>
            </w:r>
            <w:r w:rsidRPr="00560F9E">
              <w:rPr>
                <w:iCs/>
                <w:sz w:val="20"/>
                <w:szCs w:val="20"/>
              </w:rPr>
              <w:t xml:space="preserve"> in 117/22) je Vlada Republike Slovenije na ____ redni seji, dne ______, sprejela naslednji</w:t>
            </w:r>
          </w:p>
          <w:p w:rsidR="0077375B" w:rsidRPr="00560F9E" w:rsidP="00753808" w14:paraId="142CF94E" w14:textId="77777777">
            <w:pPr>
              <w:pStyle w:val="Neotevilenodstavek"/>
              <w:spacing w:after="0" w:line="276" w:lineRule="auto"/>
              <w:rPr>
                <w:iCs/>
                <w:sz w:val="20"/>
                <w:szCs w:val="20"/>
              </w:rPr>
            </w:pPr>
          </w:p>
          <w:p w:rsidR="0077375B" w:rsidRPr="00560F9E" w:rsidP="00753808" w14:paraId="1C64D1FF" w14:textId="77777777">
            <w:pPr>
              <w:pStyle w:val="Neotevilenodstavek"/>
              <w:spacing w:after="0" w:line="276" w:lineRule="auto"/>
              <w:jc w:val="center"/>
              <w:rPr>
                <w:iCs/>
                <w:sz w:val="20"/>
                <w:szCs w:val="20"/>
              </w:rPr>
            </w:pPr>
            <w:r w:rsidRPr="00560F9E">
              <w:rPr>
                <w:iCs/>
                <w:sz w:val="20"/>
                <w:szCs w:val="20"/>
              </w:rPr>
              <w:t>S K L E P</w:t>
            </w:r>
          </w:p>
          <w:p w:rsidR="0077375B" w:rsidRPr="00560F9E" w:rsidP="00753808" w14:paraId="62D8E100" w14:textId="77777777">
            <w:pPr>
              <w:pStyle w:val="Neotevilenodstavek"/>
              <w:spacing w:before="0" w:after="0" w:line="276" w:lineRule="auto"/>
              <w:rPr>
                <w:iCs/>
                <w:sz w:val="20"/>
                <w:szCs w:val="20"/>
              </w:rPr>
            </w:pPr>
          </w:p>
          <w:p w:rsidR="0077375B" w:rsidRPr="00560F9E" w:rsidP="00753808" w14:paraId="353CB423" w14:textId="77777777">
            <w:pPr>
              <w:pStyle w:val="Neotevilenodstavek"/>
              <w:spacing w:before="0" w:after="0" w:line="276" w:lineRule="auto"/>
              <w:rPr>
                <w:iCs/>
                <w:sz w:val="20"/>
                <w:szCs w:val="20"/>
              </w:rPr>
            </w:pPr>
            <w:r w:rsidRPr="00560F9E">
              <w:rPr>
                <w:iCs/>
                <w:sz w:val="20"/>
                <w:szCs w:val="20"/>
              </w:rPr>
              <w:t xml:space="preserve">Vlada Republike Slovenije je izdala Uredbo o spremembah in dopolnitvah Uredbe o organizaciji in delovanju sistema opazovanja, obveščanja in alarmiranja </w:t>
            </w:r>
            <w:r>
              <w:rPr>
                <w:iCs/>
                <w:sz w:val="20"/>
                <w:szCs w:val="20"/>
              </w:rPr>
              <w:t>in</w:t>
            </w:r>
            <w:r w:rsidRPr="00560F9E">
              <w:rPr>
                <w:iCs/>
                <w:sz w:val="20"/>
                <w:szCs w:val="20"/>
              </w:rPr>
              <w:t xml:space="preserve"> jo objavi v Uradnem listu Republike Slovenije. </w:t>
            </w:r>
          </w:p>
          <w:p w:rsidR="0077375B" w:rsidRPr="00560F9E" w:rsidP="00753808" w14:paraId="74D77535" w14:textId="77777777">
            <w:pPr>
              <w:pStyle w:val="Neotevilenodstavek"/>
              <w:spacing w:before="0" w:after="0" w:line="276" w:lineRule="auto"/>
              <w:rPr>
                <w:iCs/>
                <w:sz w:val="20"/>
                <w:szCs w:val="20"/>
              </w:rPr>
            </w:pPr>
          </w:p>
          <w:p w:rsidR="0077375B" w:rsidRPr="00560F9E" w:rsidP="00753808" w14:paraId="08B871EF" w14:textId="77777777">
            <w:pPr>
              <w:pStyle w:val="Neotevilenodstavek"/>
              <w:spacing w:before="0" w:after="0" w:line="276" w:lineRule="auto"/>
              <w:rPr>
                <w:iCs/>
                <w:sz w:val="20"/>
                <w:szCs w:val="20"/>
              </w:rPr>
            </w:pPr>
          </w:p>
          <w:p w:rsidR="0077375B" w:rsidRPr="00560F9E" w:rsidP="00753808" w14:paraId="26F7A515" w14:textId="77777777">
            <w:pPr>
              <w:pStyle w:val="Neotevilenodstavek"/>
              <w:spacing w:after="0"/>
              <w:jc w:val="center"/>
              <w:rPr>
                <w:iCs/>
                <w:sz w:val="20"/>
                <w:szCs w:val="20"/>
              </w:rPr>
            </w:pPr>
            <w:r w:rsidRPr="00560F9E">
              <w:rPr>
                <w:iCs/>
                <w:sz w:val="20"/>
                <w:szCs w:val="20"/>
              </w:rPr>
              <w:t xml:space="preserve">                                                                         Barbara Kolenko </w:t>
            </w:r>
            <w:r w:rsidRPr="00560F9E">
              <w:rPr>
                <w:iCs/>
                <w:sz w:val="20"/>
                <w:szCs w:val="20"/>
              </w:rPr>
              <w:t>Helbl</w:t>
            </w:r>
          </w:p>
          <w:p w:rsidR="0077375B" w:rsidP="00753808" w14:paraId="0584E682" w14:textId="77777777">
            <w:pPr>
              <w:pStyle w:val="Neotevilenodstavek"/>
              <w:spacing w:before="0" w:after="0" w:line="276" w:lineRule="auto"/>
              <w:jc w:val="center"/>
              <w:rPr>
                <w:iCs/>
                <w:sz w:val="20"/>
                <w:szCs w:val="20"/>
              </w:rPr>
            </w:pPr>
            <w:r w:rsidRPr="00560F9E">
              <w:rPr>
                <w:iCs/>
                <w:sz w:val="20"/>
                <w:szCs w:val="20"/>
              </w:rPr>
              <w:t xml:space="preserve">                                                                         GENERALNA SEKRETARKA</w:t>
            </w:r>
          </w:p>
          <w:p w:rsidR="0077375B" w:rsidRPr="00560F9E" w:rsidP="00753808" w14:paraId="568BAE77" w14:textId="77777777">
            <w:pPr>
              <w:pStyle w:val="Neotevilenodstavek"/>
              <w:spacing w:before="0" w:after="0" w:line="276" w:lineRule="auto"/>
              <w:jc w:val="center"/>
              <w:rPr>
                <w:iCs/>
                <w:sz w:val="20"/>
                <w:szCs w:val="20"/>
              </w:rPr>
            </w:pPr>
          </w:p>
          <w:p w:rsidR="0077375B" w:rsidRPr="00A64BF9" w:rsidP="00753808" w14:paraId="47B0EFA2" w14:textId="77777777">
            <w:pPr>
              <w:overflowPunct w:val="0"/>
              <w:autoSpaceDE w:val="0"/>
              <w:autoSpaceDN w:val="0"/>
              <w:adjustRightInd w:val="0"/>
              <w:jc w:val="both"/>
              <w:textAlignment w:val="baseline"/>
              <w:rPr>
                <w:rFonts w:ascii="Arial" w:hAnsi="Arial" w:cs="Arial"/>
                <w:iCs/>
                <w:sz w:val="20"/>
                <w:szCs w:val="20"/>
                <w:lang w:eastAsia="sl-SI"/>
              </w:rPr>
            </w:pPr>
            <w:r w:rsidRPr="00A64BF9">
              <w:rPr>
                <w:rFonts w:ascii="Arial" w:hAnsi="Arial" w:cs="Arial"/>
                <w:iCs/>
                <w:sz w:val="20"/>
                <w:szCs w:val="20"/>
                <w:lang w:eastAsia="sl-SI"/>
              </w:rPr>
              <w:t>Priloga:</w:t>
            </w:r>
          </w:p>
          <w:p w:rsidR="0077375B" w:rsidRPr="005116FA" w:rsidP="0077375B" w14:paraId="69E602F9" w14:textId="77777777">
            <w:pPr>
              <w:pStyle w:val="Neotevilenodstavek"/>
              <w:numPr>
                <w:ilvl w:val="0"/>
                <w:numId w:val="33"/>
              </w:numPr>
              <w:spacing w:before="0" w:after="0" w:line="276" w:lineRule="auto"/>
              <w:ind w:left="604"/>
              <w:rPr>
                <w:iCs/>
                <w:sz w:val="20"/>
                <w:szCs w:val="20"/>
              </w:rPr>
            </w:pPr>
            <w:r w:rsidRPr="006A47A8">
              <w:rPr>
                <w:iCs/>
                <w:sz w:val="20"/>
                <w:szCs w:val="20"/>
              </w:rPr>
              <w:t xml:space="preserve">Uredba o spremembah in dopolnitvah Uredbe o organizaciji in delovanju sistema </w:t>
            </w:r>
            <w:r w:rsidRPr="005116FA">
              <w:rPr>
                <w:iCs/>
                <w:sz w:val="20"/>
                <w:szCs w:val="20"/>
              </w:rPr>
              <w:t>opazovanja, obveščanja in alarmiranja</w:t>
            </w:r>
          </w:p>
          <w:p w:rsidR="0077375B" w:rsidP="00753808" w14:paraId="380D0497" w14:textId="77777777">
            <w:pPr>
              <w:pStyle w:val="Neotevilenodstavek"/>
              <w:spacing w:before="0" w:after="0" w:line="276" w:lineRule="auto"/>
              <w:rPr>
                <w:iCs/>
                <w:sz w:val="20"/>
                <w:szCs w:val="20"/>
              </w:rPr>
            </w:pPr>
          </w:p>
          <w:p w:rsidR="0077375B" w:rsidRPr="00560F9E" w:rsidP="00753808" w14:paraId="6675F18A" w14:textId="77777777">
            <w:pPr>
              <w:pStyle w:val="Neotevilenodstavek"/>
              <w:spacing w:before="0" w:after="0" w:line="276" w:lineRule="auto"/>
              <w:rPr>
                <w:iCs/>
                <w:sz w:val="20"/>
                <w:szCs w:val="20"/>
              </w:rPr>
            </w:pPr>
            <w:r w:rsidRPr="00560F9E">
              <w:rPr>
                <w:iCs/>
                <w:sz w:val="20"/>
                <w:szCs w:val="20"/>
              </w:rPr>
              <w:t>Prejmejo:</w:t>
            </w:r>
          </w:p>
          <w:p w:rsidR="0077375B" w:rsidRPr="00560F9E" w:rsidP="0038211D" w14:paraId="55C02F6C" w14:textId="77777777">
            <w:pPr>
              <w:pStyle w:val="Neotevilenodstavek"/>
              <w:numPr>
                <w:ilvl w:val="0"/>
                <w:numId w:val="35"/>
              </w:numPr>
              <w:spacing w:before="0" w:after="0" w:line="276" w:lineRule="auto"/>
              <w:rPr>
                <w:iCs/>
                <w:sz w:val="20"/>
                <w:szCs w:val="20"/>
              </w:rPr>
            </w:pPr>
            <w:r w:rsidRPr="00560F9E">
              <w:rPr>
                <w:iCs/>
                <w:sz w:val="20"/>
                <w:szCs w:val="20"/>
              </w:rPr>
              <w:t>Ministrstvo za obrambo</w:t>
            </w:r>
            <w:r>
              <w:rPr>
                <w:iCs/>
                <w:sz w:val="20"/>
                <w:szCs w:val="20"/>
              </w:rPr>
              <w:t>,</w:t>
            </w:r>
          </w:p>
          <w:p w:rsidR="0077375B" w:rsidRPr="00560F9E" w:rsidP="0038211D" w14:paraId="48E8187A" w14:textId="77777777">
            <w:pPr>
              <w:pStyle w:val="Neotevilenodstavek"/>
              <w:numPr>
                <w:ilvl w:val="0"/>
                <w:numId w:val="35"/>
              </w:numPr>
              <w:spacing w:before="0" w:after="0" w:line="276" w:lineRule="auto"/>
              <w:rPr>
                <w:iCs/>
                <w:sz w:val="20"/>
                <w:szCs w:val="20"/>
              </w:rPr>
            </w:pPr>
            <w:r w:rsidRPr="00560F9E">
              <w:rPr>
                <w:iCs/>
                <w:sz w:val="20"/>
                <w:szCs w:val="20"/>
              </w:rPr>
              <w:t>Služba Vlade Republike Slovenije za zakonodajo</w:t>
            </w:r>
            <w:r>
              <w:rPr>
                <w:iCs/>
                <w:sz w:val="20"/>
                <w:szCs w:val="20"/>
              </w:rPr>
              <w:t>,</w:t>
            </w:r>
          </w:p>
          <w:p w:rsidR="0077375B" w:rsidRPr="00560F9E" w:rsidP="0038211D" w14:paraId="0AFFDCC9" w14:textId="77777777">
            <w:pPr>
              <w:pStyle w:val="Neotevilenodstavek"/>
              <w:numPr>
                <w:ilvl w:val="0"/>
                <w:numId w:val="35"/>
              </w:numPr>
              <w:spacing w:before="0" w:after="0" w:line="276" w:lineRule="auto"/>
              <w:rPr>
                <w:iCs/>
                <w:sz w:val="20"/>
                <w:szCs w:val="20"/>
              </w:rPr>
            </w:pPr>
            <w:r w:rsidRPr="00560F9E">
              <w:rPr>
                <w:iCs/>
                <w:sz w:val="20"/>
                <w:szCs w:val="20"/>
              </w:rPr>
              <w:t xml:space="preserve">Urad </w:t>
            </w:r>
            <w:r>
              <w:rPr>
                <w:iCs/>
                <w:sz w:val="20"/>
                <w:szCs w:val="20"/>
              </w:rPr>
              <w:t>V</w:t>
            </w:r>
            <w:r w:rsidRPr="00560F9E">
              <w:rPr>
                <w:iCs/>
                <w:sz w:val="20"/>
                <w:szCs w:val="20"/>
              </w:rPr>
              <w:t>lade Republike Slovenije za komuniciranje</w:t>
            </w:r>
            <w:r>
              <w:rPr>
                <w:iCs/>
                <w:sz w:val="20"/>
                <w:szCs w:val="20"/>
              </w:rPr>
              <w:t>.</w:t>
            </w:r>
          </w:p>
          <w:p w:rsidR="0077375B" w:rsidRPr="00560F9E" w:rsidP="00753808" w14:paraId="14C5C40B" w14:textId="77777777">
            <w:pPr>
              <w:pStyle w:val="Neotevilenodstavek"/>
              <w:spacing w:before="0" w:after="0" w:line="276" w:lineRule="auto"/>
              <w:rPr>
                <w:iCs/>
                <w:sz w:val="20"/>
                <w:szCs w:val="20"/>
              </w:rPr>
            </w:pPr>
          </w:p>
        </w:tc>
      </w:tr>
      <w:tr w14:paraId="25995B17" w14:textId="77777777" w:rsidTr="0077375B">
        <w:tblPrEx>
          <w:tblW w:w="9276" w:type="dxa"/>
          <w:tblInd w:w="-5" w:type="dxa"/>
          <w:tblLook w:val="04A0"/>
        </w:tblPrEx>
        <w:tc>
          <w:tcPr>
            <w:tcW w:w="9276" w:type="dxa"/>
            <w:gridSpan w:val="4"/>
          </w:tcPr>
          <w:p w:rsidR="0077375B" w:rsidRPr="00560F9E" w:rsidP="00753808" w14:paraId="1ED67D80" w14:textId="77777777">
            <w:pPr>
              <w:pStyle w:val="Neotevilenodstavek"/>
              <w:spacing w:before="0" w:after="0" w:line="276" w:lineRule="auto"/>
              <w:rPr>
                <w:b/>
                <w:iCs/>
                <w:sz w:val="20"/>
                <w:szCs w:val="20"/>
              </w:rPr>
            </w:pPr>
            <w:r w:rsidRPr="00560F9E">
              <w:rPr>
                <w:b/>
                <w:sz w:val="20"/>
                <w:szCs w:val="20"/>
              </w:rPr>
              <w:t>2. Predlog za obravnavo predloga zakona po nujnem ali skrajšanem postopku v državnem zboru z obrazložitvijo razlogov:</w:t>
            </w:r>
          </w:p>
        </w:tc>
      </w:tr>
      <w:tr w14:paraId="7AA663F3" w14:textId="77777777" w:rsidTr="0077375B">
        <w:tblPrEx>
          <w:tblW w:w="9276" w:type="dxa"/>
          <w:tblInd w:w="-5" w:type="dxa"/>
          <w:tblLook w:val="04A0"/>
        </w:tblPrEx>
        <w:tc>
          <w:tcPr>
            <w:tcW w:w="9276" w:type="dxa"/>
            <w:gridSpan w:val="4"/>
          </w:tcPr>
          <w:p w:rsidR="0077375B" w:rsidRPr="00B71455" w:rsidP="00753808" w14:paraId="074845B2" w14:textId="77777777">
            <w:pPr>
              <w:pStyle w:val="Neotevilenodstavek"/>
              <w:spacing w:before="0" w:after="0" w:line="276" w:lineRule="auto"/>
              <w:rPr>
                <w:sz w:val="20"/>
                <w:szCs w:val="20"/>
              </w:rPr>
            </w:pPr>
            <w:r w:rsidRPr="00560F9E">
              <w:rPr>
                <w:color w:val="000000"/>
                <w:sz w:val="20"/>
                <w:szCs w:val="20"/>
              </w:rPr>
              <w:t>/</w:t>
            </w:r>
          </w:p>
        </w:tc>
      </w:tr>
      <w:tr w14:paraId="517E2988" w14:textId="77777777" w:rsidTr="0077375B">
        <w:tblPrEx>
          <w:tblW w:w="9276" w:type="dxa"/>
          <w:tblInd w:w="-5" w:type="dxa"/>
          <w:tblLook w:val="04A0"/>
        </w:tblPrEx>
        <w:tc>
          <w:tcPr>
            <w:tcW w:w="9276" w:type="dxa"/>
            <w:gridSpan w:val="4"/>
          </w:tcPr>
          <w:p w:rsidR="0077375B" w:rsidRPr="00560F9E" w:rsidP="00753808" w14:paraId="5C555A83" w14:textId="77777777">
            <w:pPr>
              <w:pStyle w:val="Neotevilenodstavek"/>
              <w:spacing w:before="0" w:after="0" w:line="276" w:lineRule="auto"/>
              <w:rPr>
                <w:b/>
                <w:iCs/>
                <w:sz w:val="20"/>
                <w:szCs w:val="20"/>
              </w:rPr>
            </w:pPr>
            <w:r w:rsidRPr="00560F9E">
              <w:rPr>
                <w:b/>
                <w:sz w:val="20"/>
                <w:szCs w:val="20"/>
              </w:rPr>
              <w:t>3.a Osebe, odgovorne za strokovno pripravo in usklajenost gradiva:</w:t>
            </w:r>
          </w:p>
        </w:tc>
      </w:tr>
      <w:tr w14:paraId="6F4BC447" w14:textId="77777777" w:rsidTr="0077375B">
        <w:tblPrEx>
          <w:tblW w:w="9276" w:type="dxa"/>
          <w:tblInd w:w="-5" w:type="dxa"/>
          <w:tblLook w:val="04A0"/>
        </w:tblPrEx>
        <w:tc>
          <w:tcPr>
            <w:tcW w:w="9276" w:type="dxa"/>
            <w:gridSpan w:val="4"/>
          </w:tcPr>
          <w:p w:rsidR="0077375B" w:rsidRPr="00560F9E" w:rsidP="0077375B" w14:paraId="1E34EBEE" w14:textId="77777777">
            <w:pPr>
              <w:pStyle w:val="Neotevilenodstavek"/>
              <w:numPr>
                <w:ilvl w:val="0"/>
                <w:numId w:val="34"/>
              </w:numPr>
              <w:spacing w:before="0" w:after="0" w:line="276" w:lineRule="auto"/>
              <w:rPr>
                <w:iCs/>
                <w:sz w:val="20"/>
                <w:szCs w:val="20"/>
              </w:rPr>
            </w:pPr>
            <w:r w:rsidRPr="00560F9E">
              <w:rPr>
                <w:iCs/>
                <w:sz w:val="20"/>
                <w:szCs w:val="20"/>
              </w:rPr>
              <w:t>Leon Behin, generalni direktor Uprave Republike Slovenije za zaščito in reševanje</w:t>
            </w:r>
            <w:r>
              <w:rPr>
                <w:iCs/>
                <w:sz w:val="20"/>
                <w:szCs w:val="20"/>
              </w:rPr>
              <w:t>.</w:t>
            </w:r>
          </w:p>
        </w:tc>
      </w:tr>
      <w:tr w14:paraId="00CD9E9A" w14:textId="77777777" w:rsidTr="0077375B">
        <w:tblPrEx>
          <w:tblW w:w="9276" w:type="dxa"/>
          <w:tblInd w:w="-5" w:type="dxa"/>
          <w:tblLook w:val="04A0"/>
        </w:tblPrEx>
        <w:tc>
          <w:tcPr>
            <w:tcW w:w="9276" w:type="dxa"/>
            <w:gridSpan w:val="4"/>
          </w:tcPr>
          <w:p w:rsidR="0077375B" w:rsidRPr="00560F9E" w:rsidP="00753808" w14:paraId="48B5C82F" w14:textId="77777777">
            <w:pPr>
              <w:pStyle w:val="Neotevilenodstavek"/>
              <w:spacing w:before="0" w:after="0" w:line="276" w:lineRule="auto"/>
              <w:rPr>
                <w:b/>
                <w:iCs/>
                <w:sz w:val="20"/>
                <w:szCs w:val="20"/>
              </w:rPr>
            </w:pPr>
            <w:r w:rsidRPr="00560F9E">
              <w:rPr>
                <w:b/>
                <w:iCs/>
                <w:sz w:val="20"/>
                <w:szCs w:val="20"/>
              </w:rPr>
              <w:t xml:space="preserve">3.b Zunanji strokovnjaki, ki so </w:t>
            </w:r>
            <w:r w:rsidRPr="00560F9E">
              <w:rPr>
                <w:b/>
                <w:sz w:val="20"/>
                <w:szCs w:val="20"/>
              </w:rPr>
              <w:t>sodelovali pri pripravi dela ali celotnega gradiva:</w:t>
            </w:r>
          </w:p>
        </w:tc>
      </w:tr>
      <w:tr w14:paraId="15C090CD" w14:textId="77777777" w:rsidTr="0077375B">
        <w:tblPrEx>
          <w:tblW w:w="9276" w:type="dxa"/>
          <w:tblInd w:w="-5" w:type="dxa"/>
          <w:tblLook w:val="04A0"/>
        </w:tblPrEx>
        <w:tc>
          <w:tcPr>
            <w:tcW w:w="9276" w:type="dxa"/>
            <w:gridSpan w:val="4"/>
          </w:tcPr>
          <w:p w:rsidR="0077375B" w:rsidRPr="00560F9E" w:rsidP="00753808" w14:paraId="6B4A2028" w14:textId="77777777">
            <w:pPr>
              <w:pStyle w:val="Neotevilenodstavek"/>
              <w:spacing w:before="0" w:after="0" w:line="276" w:lineRule="auto"/>
              <w:rPr>
                <w:iCs/>
                <w:sz w:val="20"/>
                <w:szCs w:val="20"/>
              </w:rPr>
            </w:pPr>
            <w:r w:rsidRPr="00560F9E">
              <w:rPr>
                <w:iCs/>
                <w:sz w:val="20"/>
                <w:szCs w:val="20"/>
              </w:rPr>
              <w:t>/</w:t>
            </w:r>
          </w:p>
        </w:tc>
      </w:tr>
      <w:tr w14:paraId="1C1A96C7" w14:textId="77777777" w:rsidTr="0077375B">
        <w:tblPrEx>
          <w:tblW w:w="9276" w:type="dxa"/>
          <w:tblInd w:w="-5" w:type="dxa"/>
          <w:tblLook w:val="04A0"/>
        </w:tblPrEx>
        <w:tc>
          <w:tcPr>
            <w:tcW w:w="9276" w:type="dxa"/>
            <w:gridSpan w:val="4"/>
          </w:tcPr>
          <w:p w:rsidR="0077375B" w:rsidRPr="00560F9E" w:rsidP="00753808" w14:paraId="177FC7A4" w14:textId="77777777">
            <w:pPr>
              <w:pStyle w:val="Neotevilenodstavek"/>
              <w:spacing w:before="0" w:after="0" w:line="276" w:lineRule="auto"/>
              <w:rPr>
                <w:b/>
                <w:iCs/>
                <w:sz w:val="20"/>
                <w:szCs w:val="20"/>
              </w:rPr>
            </w:pPr>
            <w:r w:rsidRPr="00560F9E">
              <w:rPr>
                <w:b/>
                <w:sz w:val="20"/>
                <w:szCs w:val="20"/>
              </w:rPr>
              <w:t>4. Predstavniki vlade, ki bodo sodelovali pri obravnavi gradiva:</w:t>
            </w:r>
          </w:p>
        </w:tc>
      </w:tr>
      <w:tr w14:paraId="7D1E2E5F" w14:textId="77777777" w:rsidTr="0077375B">
        <w:tblPrEx>
          <w:tblW w:w="9276" w:type="dxa"/>
          <w:tblInd w:w="-5" w:type="dxa"/>
          <w:tblLook w:val="04A0"/>
        </w:tblPrEx>
        <w:tc>
          <w:tcPr>
            <w:tcW w:w="9276" w:type="dxa"/>
            <w:gridSpan w:val="4"/>
          </w:tcPr>
          <w:p w:rsidR="0077375B" w:rsidRPr="00560F9E" w:rsidP="001D1F11" w14:paraId="7E1EC2A5" w14:textId="202C9A9B">
            <w:pPr>
              <w:pStyle w:val="Neotevilenodstavek"/>
              <w:spacing w:before="0" w:after="0" w:line="276" w:lineRule="auto"/>
              <w:ind w:left="360"/>
              <w:rPr>
                <w:b/>
                <w:sz w:val="20"/>
                <w:szCs w:val="20"/>
              </w:rPr>
            </w:pPr>
            <w:r>
              <w:rPr>
                <w:b/>
                <w:sz w:val="20"/>
                <w:szCs w:val="20"/>
              </w:rPr>
              <w:t>/</w:t>
            </w:r>
          </w:p>
        </w:tc>
      </w:tr>
      <w:tr w14:paraId="547DB529" w14:textId="77777777" w:rsidTr="0077375B">
        <w:tblPrEx>
          <w:tblW w:w="9276" w:type="dxa"/>
          <w:tblInd w:w="-5" w:type="dxa"/>
          <w:tblLook w:val="04A0"/>
        </w:tblPrEx>
        <w:tc>
          <w:tcPr>
            <w:tcW w:w="9276" w:type="dxa"/>
            <w:gridSpan w:val="4"/>
          </w:tcPr>
          <w:p w:rsidR="0077375B" w:rsidRPr="00560F9E" w:rsidP="00753808" w14:paraId="09E5EB3A" w14:textId="77777777">
            <w:pPr>
              <w:pStyle w:val="Oddelek"/>
              <w:numPr>
                <w:ilvl w:val="0"/>
                <w:numId w:val="0"/>
              </w:numPr>
              <w:spacing w:before="0" w:after="0" w:line="276" w:lineRule="auto"/>
              <w:jc w:val="left"/>
              <w:rPr>
                <w:sz w:val="20"/>
                <w:szCs w:val="20"/>
              </w:rPr>
            </w:pPr>
            <w:r w:rsidRPr="00560F9E">
              <w:rPr>
                <w:sz w:val="20"/>
                <w:szCs w:val="20"/>
              </w:rPr>
              <w:t>5. Kratek povzetek gradiva:</w:t>
            </w:r>
          </w:p>
        </w:tc>
      </w:tr>
      <w:tr w14:paraId="729606C9" w14:textId="77777777" w:rsidTr="0077375B">
        <w:tblPrEx>
          <w:tblW w:w="9276" w:type="dxa"/>
          <w:tblInd w:w="-5" w:type="dxa"/>
          <w:tblLook w:val="04A0"/>
        </w:tblPrEx>
        <w:tc>
          <w:tcPr>
            <w:tcW w:w="9276" w:type="dxa"/>
            <w:gridSpan w:val="4"/>
          </w:tcPr>
          <w:p w:rsidR="0077375B" w:rsidRPr="00560F9E" w:rsidP="00753808" w14:paraId="759BBC5C" w14:textId="77777777">
            <w:pPr>
              <w:jc w:val="both"/>
              <w:rPr>
                <w:rFonts w:ascii="Arial" w:hAnsi="Arial" w:cs="Arial"/>
                <w:color w:val="000000"/>
                <w:sz w:val="20"/>
                <w:szCs w:val="20"/>
              </w:rPr>
            </w:pPr>
            <w:r w:rsidRPr="00331F47">
              <w:rPr>
                <w:rFonts w:ascii="Arial" w:hAnsi="Arial" w:cs="Arial"/>
                <w:color w:val="000000"/>
                <w:sz w:val="20"/>
                <w:szCs w:val="20"/>
              </w:rPr>
              <w:t xml:space="preserve">S predlogom Uredbe o </w:t>
            </w:r>
            <w:r>
              <w:rPr>
                <w:rFonts w:ascii="Arial" w:hAnsi="Arial" w:cs="Arial"/>
                <w:color w:val="000000"/>
                <w:sz w:val="20"/>
                <w:szCs w:val="20"/>
              </w:rPr>
              <w:t xml:space="preserve">spremembah in </w:t>
            </w:r>
            <w:r w:rsidRPr="00331F47">
              <w:rPr>
                <w:rFonts w:ascii="Arial" w:hAnsi="Arial" w:cs="Arial"/>
                <w:color w:val="000000"/>
                <w:sz w:val="20"/>
                <w:szCs w:val="20"/>
              </w:rPr>
              <w:t xml:space="preserve">dopolnitvah </w:t>
            </w:r>
            <w:r w:rsidRPr="00560F9E">
              <w:rPr>
                <w:rFonts w:ascii="Arial" w:hAnsi="Arial" w:cs="Arial"/>
                <w:color w:val="000000"/>
                <w:sz w:val="20"/>
                <w:szCs w:val="20"/>
              </w:rPr>
              <w:t>Uredb</w:t>
            </w:r>
            <w:r>
              <w:rPr>
                <w:rFonts w:ascii="Arial" w:hAnsi="Arial" w:cs="Arial"/>
                <w:color w:val="000000"/>
                <w:sz w:val="20"/>
                <w:szCs w:val="20"/>
              </w:rPr>
              <w:t>e</w:t>
            </w:r>
            <w:r w:rsidRPr="00560F9E">
              <w:rPr>
                <w:rFonts w:ascii="Arial" w:hAnsi="Arial" w:cs="Arial"/>
                <w:color w:val="000000"/>
                <w:sz w:val="20"/>
                <w:szCs w:val="20"/>
              </w:rPr>
              <w:t xml:space="preserve"> o organizaciji in delovanju sistema opazovanja, obveščanja in alarmiranja </w:t>
            </w:r>
            <w:r w:rsidRPr="00331F47">
              <w:rPr>
                <w:rFonts w:ascii="Arial" w:hAnsi="Arial" w:cs="Arial"/>
                <w:color w:val="000000"/>
                <w:sz w:val="20"/>
                <w:szCs w:val="20"/>
              </w:rPr>
              <w:t xml:space="preserve">(v </w:t>
            </w:r>
            <w:r w:rsidRPr="00312E3E">
              <w:rPr>
                <w:rFonts w:ascii="Arial" w:hAnsi="Arial" w:cs="Arial"/>
                <w:color w:val="000000"/>
                <w:sz w:val="20"/>
                <w:szCs w:val="20"/>
              </w:rPr>
              <w:t>nadaljnjem besedilu</w:t>
            </w:r>
            <w:r w:rsidRPr="00331F47">
              <w:rPr>
                <w:rFonts w:ascii="Arial" w:hAnsi="Arial" w:cs="Arial"/>
                <w:color w:val="000000"/>
                <w:sz w:val="20"/>
                <w:szCs w:val="20"/>
              </w:rPr>
              <w:t>: predlog uredbe) se opredeljujejo stopnje kritičnosti dogodka, za katere mora s</w:t>
            </w:r>
            <w:r>
              <w:rPr>
                <w:rFonts w:ascii="Arial" w:hAnsi="Arial" w:cs="Arial"/>
                <w:color w:val="000000"/>
                <w:sz w:val="20"/>
                <w:szCs w:val="20"/>
              </w:rPr>
              <w:t>i</w:t>
            </w:r>
            <w:r w:rsidRPr="00331F47">
              <w:rPr>
                <w:rFonts w:ascii="Arial" w:hAnsi="Arial" w:cs="Arial"/>
                <w:color w:val="000000"/>
                <w:sz w:val="20"/>
                <w:szCs w:val="20"/>
              </w:rPr>
              <w:t>stem javnega obveščanj</w:t>
            </w:r>
            <w:r>
              <w:rPr>
                <w:rFonts w:ascii="Arial" w:hAnsi="Arial" w:cs="Arial"/>
                <w:color w:val="000000"/>
                <w:sz w:val="20"/>
                <w:szCs w:val="20"/>
              </w:rPr>
              <w:t>a in alarmiranja s posredovanjem opozorilnih obvestil, omogočati</w:t>
            </w:r>
            <w:r w:rsidRPr="00560F9E">
              <w:rPr>
                <w:rFonts w:ascii="Arial" w:hAnsi="Arial" w:cs="Arial"/>
                <w:color w:val="000000"/>
                <w:sz w:val="20"/>
                <w:szCs w:val="20"/>
              </w:rPr>
              <w:t xml:space="preserve"> </w:t>
            </w:r>
            <w:r>
              <w:rPr>
                <w:rFonts w:ascii="Arial" w:hAnsi="Arial" w:cs="Arial"/>
                <w:color w:val="000000"/>
                <w:sz w:val="20"/>
                <w:szCs w:val="20"/>
              </w:rPr>
              <w:t xml:space="preserve">različne vrste alarmiranja. Predlog uredbe tako usklajuje Uredbo o organizaciji in delovanju sistema opazovanja, obveščanja in alarmiranja </w:t>
            </w:r>
            <w:r w:rsidRPr="00560F9E">
              <w:rPr>
                <w:rFonts w:ascii="Arial" w:hAnsi="Arial" w:cs="Arial"/>
                <w:color w:val="000000"/>
                <w:sz w:val="20"/>
                <w:szCs w:val="20"/>
              </w:rPr>
              <w:t>(Uradni list RS, št. 105/07, 39/23 in 89/23 – popr.; v nadalj</w:t>
            </w:r>
            <w:r>
              <w:rPr>
                <w:rFonts w:ascii="Arial" w:hAnsi="Arial" w:cs="Arial"/>
                <w:color w:val="000000"/>
                <w:sz w:val="20"/>
                <w:szCs w:val="20"/>
              </w:rPr>
              <w:t>njem besedilu</w:t>
            </w:r>
            <w:r w:rsidRPr="00560F9E">
              <w:rPr>
                <w:rFonts w:ascii="Arial" w:hAnsi="Arial" w:cs="Arial"/>
                <w:color w:val="000000"/>
                <w:sz w:val="20"/>
                <w:szCs w:val="20"/>
              </w:rPr>
              <w:t>: uredba) z določbo tretjega odstavka 3. člena</w:t>
            </w:r>
            <w:r>
              <w:rPr>
                <w:rFonts w:ascii="Arial" w:hAnsi="Arial" w:cs="Arial"/>
                <w:color w:val="000000"/>
                <w:sz w:val="20"/>
                <w:szCs w:val="20"/>
              </w:rPr>
              <w:t xml:space="preserve"> </w:t>
            </w:r>
            <w:r w:rsidRPr="00560F9E">
              <w:rPr>
                <w:rFonts w:ascii="Arial" w:hAnsi="Arial" w:cs="Arial"/>
                <w:color w:val="000000"/>
                <w:sz w:val="20"/>
                <w:szCs w:val="20"/>
              </w:rPr>
              <w:t>Uredbe o vzpostavitvi in zagotavljanju sistema javnega obveščanja in alarmiranja prek javnih mobilnih omrežij (Uradni list RS, št. 127/23</w:t>
            </w:r>
            <w:r w:rsidRPr="00331F47">
              <w:rPr>
                <w:rFonts w:ascii="Arial" w:hAnsi="Arial" w:cs="Arial"/>
                <w:color w:val="000000"/>
                <w:sz w:val="20"/>
                <w:szCs w:val="20"/>
              </w:rPr>
              <w:t xml:space="preserve">; v </w:t>
            </w:r>
            <w:r w:rsidRPr="00312E3E">
              <w:rPr>
                <w:rFonts w:ascii="Arial" w:hAnsi="Arial" w:cs="Arial"/>
                <w:color w:val="000000"/>
                <w:sz w:val="20"/>
                <w:szCs w:val="20"/>
              </w:rPr>
              <w:t>nadaljnjem besedilu</w:t>
            </w:r>
            <w:r w:rsidRPr="00331F47">
              <w:rPr>
                <w:rFonts w:ascii="Arial" w:hAnsi="Arial" w:cs="Arial"/>
                <w:color w:val="000000"/>
                <w:sz w:val="20"/>
                <w:szCs w:val="20"/>
              </w:rPr>
              <w:t>: uredba o zagotavljanju sistema alarmiranja prek javnih mobilnih omrežij</w:t>
            </w:r>
            <w:r w:rsidRPr="00560F9E">
              <w:rPr>
                <w:rFonts w:ascii="Arial" w:hAnsi="Arial" w:cs="Arial"/>
                <w:color w:val="000000"/>
                <w:sz w:val="20"/>
                <w:szCs w:val="20"/>
              </w:rPr>
              <w:t>)</w:t>
            </w:r>
            <w:r>
              <w:rPr>
                <w:rFonts w:ascii="Arial" w:hAnsi="Arial" w:cs="Arial"/>
                <w:color w:val="000000"/>
                <w:sz w:val="20"/>
                <w:szCs w:val="20"/>
              </w:rPr>
              <w:t>.</w:t>
            </w:r>
          </w:p>
        </w:tc>
      </w:tr>
      <w:tr w14:paraId="138FA119" w14:textId="77777777" w:rsidTr="0077375B">
        <w:tblPrEx>
          <w:tblW w:w="9276" w:type="dxa"/>
          <w:tblInd w:w="-5" w:type="dxa"/>
          <w:tblLook w:val="04A0"/>
        </w:tblPrEx>
        <w:tc>
          <w:tcPr>
            <w:tcW w:w="9276" w:type="dxa"/>
            <w:gridSpan w:val="4"/>
          </w:tcPr>
          <w:p w:rsidR="0077375B" w:rsidRPr="00560F9E" w:rsidP="00753808" w14:paraId="008F467C" w14:textId="77777777">
            <w:pPr>
              <w:pStyle w:val="Oddelek"/>
              <w:numPr>
                <w:ilvl w:val="0"/>
                <w:numId w:val="0"/>
              </w:numPr>
              <w:spacing w:before="0" w:after="0" w:line="276" w:lineRule="auto"/>
              <w:jc w:val="left"/>
              <w:rPr>
                <w:sz w:val="20"/>
                <w:szCs w:val="20"/>
              </w:rPr>
            </w:pPr>
            <w:r w:rsidRPr="00560F9E">
              <w:rPr>
                <w:sz w:val="20"/>
                <w:szCs w:val="20"/>
              </w:rPr>
              <w:t>6. Presoja posledic za:</w:t>
            </w:r>
          </w:p>
        </w:tc>
      </w:tr>
      <w:tr w14:paraId="46601EBE" w14:textId="77777777" w:rsidTr="0077375B">
        <w:tblPrEx>
          <w:tblW w:w="9276" w:type="dxa"/>
          <w:tblInd w:w="-5" w:type="dxa"/>
          <w:tblLook w:val="04A0"/>
        </w:tblPrEx>
        <w:tc>
          <w:tcPr>
            <w:tcW w:w="1561" w:type="dxa"/>
          </w:tcPr>
          <w:p w:rsidR="0077375B" w:rsidRPr="00560F9E" w:rsidP="00753808" w14:paraId="0823E958" w14:textId="77777777">
            <w:pPr>
              <w:pStyle w:val="Neotevilenodstavek"/>
              <w:spacing w:before="0" w:after="0" w:line="276" w:lineRule="auto"/>
              <w:ind w:left="360"/>
              <w:rPr>
                <w:iCs/>
                <w:sz w:val="20"/>
                <w:szCs w:val="20"/>
              </w:rPr>
            </w:pPr>
            <w:r w:rsidRPr="00560F9E">
              <w:rPr>
                <w:iCs/>
                <w:sz w:val="20"/>
                <w:szCs w:val="20"/>
              </w:rPr>
              <w:t>a)</w:t>
            </w:r>
          </w:p>
        </w:tc>
        <w:tc>
          <w:tcPr>
            <w:tcW w:w="5444" w:type="dxa"/>
            <w:gridSpan w:val="2"/>
          </w:tcPr>
          <w:p w:rsidR="0077375B" w:rsidRPr="00560F9E" w:rsidP="00753808" w14:paraId="64BB88DB" w14:textId="77777777">
            <w:pPr>
              <w:pStyle w:val="Neotevilenodstavek"/>
              <w:spacing w:before="0" w:after="0" w:line="276" w:lineRule="auto"/>
              <w:rPr>
                <w:sz w:val="20"/>
                <w:szCs w:val="20"/>
              </w:rPr>
            </w:pPr>
            <w:r w:rsidRPr="00560F9E">
              <w:rPr>
                <w:sz w:val="20"/>
                <w:szCs w:val="20"/>
              </w:rPr>
              <w:t>javnofinančna sredstva nad 40.000 EUR v tekočem in naslednjih treh letih</w:t>
            </w:r>
          </w:p>
        </w:tc>
        <w:tc>
          <w:tcPr>
            <w:tcW w:w="2271" w:type="dxa"/>
            <w:vAlign w:val="center"/>
          </w:tcPr>
          <w:p w:rsidR="0077375B" w:rsidRPr="00560F9E" w:rsidP="00753808" w14:paraId="097E1E61" w14:textId="77777777">
            <w:pPr>
              <w:pStyle w:val="Neotevilenodstavek"/>
              <w:spacing w:before="0" w:after="0" w:line="276" w:lineRule="auto"/>
              <w:jc w:val="center"/>
              <w:rPr>
                <w:iCs/>
                <w:sz w:val="20"/>
                <w:szCs w:val="20"/>
              </w:rPr>
            </w:pPr>
            <w:r w:rsidRPr="00560F9E">
              <w:rPr>
                <w:sz w:val="20"/>
                <w:szCs w:val="20"/>
              </w:rPr>
              <w:t>NE</w:t>
            </w:r>
          </w:p>
        </w:tc>
      </w:tr>
      <w:tr w14:paraId="3DDBB08B" w14:textId="77777777" w:rsidTr="0077375B">
        <w:tblPrEx>
          <w:tblW w:w="9276" w:type="dxa"/>
          <w:tblInd w:w="-5" w:type="dxa"/>
          <w:tblLook w:val="04A0"/>
        </w:tblPrEx>
        <w:tc>
          <w:tcPr>
            <w:tcW w:w="1561" w:type="dxa"/>
          </w:tcPr>
          <w:p w:rsidR="0077375B" w:rsidRPr="00560F9E" w:rsidP="00753808" w14:paraId="70883F01" w14:textId="77777777">
            <w:pPr>
              <w:pStyle w:val="Neotevilenodstavek"/>
              <w:spacing w:before="0" w:after="0" w:line="276" w:lineRule="auto"/>
              <w:ind w:left="360"/>
              <w:rPr>
                <w:iCs/>
                <w:sz w:val="20"/>
                <w:szCs w:val="20"/>
              </w:rPr>
            </w:pPr>
            <w:r w:rsidRPr="00560F9E">
              <w:rPr>
                <w:iCs/>
                <w:sz w:val="20"/>
                <w:szCs w:val="20"/>
              </w:rPr>
              <w:t>b)</w:t>
            </w:r>
          </w:p>
        </w:tc>
        <w:tc>
          <w:tcPr>
            <w:tcW w:w="5444" w:type="dxa"/>
            <w:gridSpan w:val="2"/>
          </w:tcPr>
          <w:p w:rsidR="0077375B" w:rsidRPr="00560F9E" w:rsidP="00753808" w14:paraId="35E5FD5A" w14:textId="77777777">
            <w:pPr>
              <w:pStyle w:val="Neotevilenodstavek"/>
              <w:spacing w:before="0" w:after="0" w:line="276" w:lineRule="auto"/>
              <w:rPr>
                <w:iCs/>
                <w:sz w:val="20"/>
                <w:szCs w:val="20"/>
              </w:rPr>
            </w:pPr>
            <w:r w:rsidRPr="00560F9E">
              <w:rPr>
                <w:bCs/>
                <w:sz w:val="20"/>
                <w:szCs w:val="20"/>
              </w:rPr>
              <w:t>usklajenost slovenskega pravnega reda s pravnim redom Evropske unije</w:t>
            </w:r>
          </w:p>
        </w:tc>
        <w:tc>
          <w:tcPr>
            <w:tcW w:w="2271" w:type="dxa"/>
            <w:vAlign w:val="center"/>
          </w:tcPr>
          <w:p w:rsidR="0077375B" w:rsidRPr="00560F9E" w:rsidP="00753808" w14:paraId="5335466D" w14:textId="59A655BD">
            <w:pPr>
              <w:pStyle w:val="Neotevilenodstavek"/>
              <w:spacing w:before="0" w:after="0" w:line="276" w:lineRule="auto"/>
              <w:rPr>
                <w:iCs/>
                <w:sz w:val="20"/>
                <w:szCs w:val="20"/>
              </w:rPr>
            </w:pPr>
            <w:r w:rsidRPr="00560F9E">
              <w:rPr>
                <w:sz w:val="20"/>
                <w:szCs w:val="20"/>
              </w:rPr>
              <w:t xml:space="preserve">              </w:t>
            </w:r>
            <w:r w:rsidR="0038211D">
              <w:rPr>
                <w:sz w:val="20"/>
                <w:szCs w:val="20"/>
              </w:rPr>
              <w:t xml:space="preserve">  </w:t>
            </w:r>
            <w:r w:rsidRPr="00560F9E">
              <w:rPr>
                <w:sz w:val="20"/>
                <w:szCs w:val="20"/>
              </w:rPr>
              <w:t>NE</w:t>
            </w:r>
          </w:p>
        </w:tc>
      </w:tr>
      <w:tr w14:paraId="7D2E6E3A" w14:textId="77777777" w:rsidTr="0077375B">
        <w:tblPrEx>
          <w:tblW w:w="9276" w:type="dxa"/>
          <w:tblInd w:w="-5" w:type="dxa"/>
          <w:tblLook w:val="04A0"/>
        </w:tblPrEx>
        <w:tc>
          <w:tcPr>
            <w:tcW w:w="1561" w:type="dxa"/>
          </w:tcPr>
          <w:p w:rsidR="0077375B" w:rsidRPr="00560F9E" w:rsidP="00753808" w14:paraId="3010A262" w14:textId="77777777">
            <w:pPr>
              <w:pStyle w:val="Neotevilenodstavek"/>
              <w:spacing w:before="0" w:after="0" w:line="276" w:lineRule="auto"/>
              <w:ind w:left="360"/>
              <w:rPr>
                <w:iCs/>
                <w:sz w:val="20"/>
                <w:szCs w:val="20"/>
              </w:rPr>
            </w:pPr>
            <w:r w:rsidRPr="00560F9E">
              <w:rPr>
                <w:iCs/>
                <w:sz w:val="20"/>
                <w:szCs w:val="20"/>
              </w:rPr>
              <w:t>c)</w:t>
            </w:r>
          </w:p>
        </w:tc>
        <w:tc>
          <w:tcPr>
            <w:tcW w:w="5444" w:type="dxa"/>
            <w:gridSpan w:val="2"/>
          </w:tcPr>
          <w:p w:rsidR="0077375B" w:rsidRPr="00560F9E" w:rsidP="00753808" w14:paraId="093253EF" w14:textId="77777777">
            <w:pPr>
              <w:pStyle w:val="Neotevilenodstavek"/>
              <w:spacing w:before="0" w:after="0" w:line="276" w:lineRule="auto"/>
              <w:rPr>
                <w:iCs/>
                <w:sz w:val="20"/>
                <w:szCs w:val="20"/>
              </w:rPr>
            </w:pPr>
            <w:r w:rsidRPr="00560F9E">
              <w:rPr>
                <w:sz w:val="20"/>
                <w:szCs w:val="20"/>
              </w:rPr>
              <w:t>administrativne posledice</w:t>
            </w:r>
          </w:p>
        </w:tc>
        <w:tc>
          <w:tcPr>
            <w:tcW w:w="2271" w:type="dxa"/>
            <w:vAlign w:val="center"/>
          </w:tcPr>
          <w:p w:rsidR="0077375B" w:rsidRPr="00560F9E" w:rsidP="00753808" w14:paraId="6ACAB27E" w14:textId="77777777">
            <w:pPr>
              <w:pStyle w:val="Neotevilenodstavek"/>
              <w:spacing w:before="0" w:after="0" w:line="276" w:lineRule="auto"/>
              <w:jc w:val="center"/>
              <w:rPr>
                <w:sz w:val="20"/>
                <w:szCs w:val="20"/>
              </w:rPr>
            </w:pPr>
            <w:r w:rsidRPr="00560F9E">
              <w:rPr>
                <w:sz w:val="20"/>
                <w:szCs w:val="20"/>
              </w:rPr>
              <w:t>NE</w:t>
            </w:r>
          </w:p>
        </w:tc>
      </w:tr>
      <w:tr w14:paraId="275A187A" w14:textId="77777777" w:rsidTr="0077375B">
        <w:tblPrEx>
          <w:tblW w:w="9276" w:type="dxa"/>
          <w:tblInd w:w="-5" w:type="dxa"/>
          <w:tblLook w:val="04A0"/>
        </w:tblPrEx>
        <w:tc>
          <w:tcPr>
            <w:tcW w:w="1561" w:type="dxa"/>
          </w:tcPr>
          <w:p w:rsidR="0077375B" w:rsidRPr="00560F9E" w:rsidP="00753808" w14:paraId="79479AFB" w14:textId="77777777">
            <w:pPr>
              <w:pStyle w:val="Neotevilenodstavek"/>
              <w:spacing w:before="0" w:after="0" w:line="276" w:lineRule="auto"/>
              <w:ind w:left="360"/>
              <w:rPr>
                <w:iCs/>
                <w:sz w:val="20"/>
                <w:szCs w:val="20"/>
              </w:rPr>
            </w:pPr>
            <w:r w:rsidRPr="00560F9E">
              <w:rPr>
                <w:iCs/>
                <w:sz w:val="20"/>
                <w:szCs w:val="20"/>
              </w:rPr>
              <w:t>č)</w:t>
            </w:r>
          </w:p>
        </w:tc>
        <w:tc>
          <w:tcPr>
            <w:tcW w:w="5444" w:type="dxa"/>
            <w:gridSpan w:val="2"/>
          </w:tcPr>
          <w:p w:rsidR="0077375B" w:rsidRPr="00560F9E" w:rsidP="00753808" w14:paraId="4B118F63" w14:textId="77777777">
            <w:pPr>
              <w:pStyle w:val="Neotevilenodstavek"/>
              <w:spacing w:before="0" w:after="0" w:line="276" w:lineRule="auto"/>
              <w:rPr>
                <w:bCs/>
                <w:sz w:val="20"/>
                <w:szCs w:val="20"/>
              </w:rPr>
            </w:pPr>
            <w:r w:rsidRPr="00560F9E">
              <w:rPr>
                <w:sz w:val="20"/>
                <w:szCs w:val="20"/>
              </w:rPr>
              <w:t>gospodarstvo, zlasti</w:t>
            </w:r>
            <w:r w:rsidRPr="00560F9E">
              <w:rPr>
                <w:bCs/>
                <w:sz w:val="20"/>
                <w:szCs w:val="20"/>
              </w:rPr>
              <w:t xml:space="preserve"> mala in srednja podjetja ter konkurenčnost podjetij</w:t>
            </w:r>
          </w:p>
        </w:tc>
        <w:tc>
          <w:tcPr>
            <w:tcW w:w="2271" w:type="dxa"/>
            <w:vAlign w:val="center"/>
          </w:tcPr>
          <w:p w:rsidR="0077375B" w:rsidRPr="00560F9E" w:rsidP="00753808" w14:paraId="7BB69AB5" w14:textId="77777777">
            <w:pPr>
              <w:pStyle w:val="Neotevilenodstavek"/>
              <w:spacing w:before="0" w:after="0" w:line="276" w:lineRule="auto"/>
              <w:jc w:val="center"/>
              <w:rPr>
                <w:iCs/>
                <w:sz w:val="20"/>
                <w:szCs w:val="20"/>
              </w:rPr>
            </w:pPr>
            <w:r w:rsidRPr="00560F9E">
              <w:rPr>
                <w:sz w:val="20"/>
                <w:szCs w:val="20"/>
              </w:rPr>
              <w:t>NE</w:t>
            </w:r>
          </w:p>
        </w:tc>
      </w:tr>
      <w:tr w14:paraId="76785C39" w14:textId="77777777" w:rsidTr="0077375B">
        <w:tblPrEx>
          <w:tblW w:w="9276" w:type="dxa"/>
          <w:tblInd w:w="-5" w:type="dxa"/>
          <w:tblLook w:val="04A0"/>
        </w:tblPrEx>
        <w:tc>
          <w:tcPr>
            <w:tcW w:w="1561" w:type="dxa"/>
          </w:tcPr>
          <w:p w:rsidR="0077375B" w:rsidRPr="00560F9E" w:rsidP="00753808" w14:paraId="4669CA93" w14:textId="77777777">
            <w:pPr>
              <w:pStyle w:val="Neotevilenodstavek"/>
              <w:spacing w:before="0" w:after="0" w:line="276" w:lineRule="auto"/>
              <w:ind w:left="360"/>
              <w:rPr>
                <w:iCs/>
                <w:sz w:val="20"/>
                <w:szCs w:val="20"/>
              </w:rPr>
            </w:pPr>
            <w:r w:rsidRPr="00560F9E">
              <w:rPr>
                <w:iCs/>
                <w:sz w:val="20"/>
                <w:szCs w:val="20"/>
              </w:rPr>
              <w:t>d)</w:t>
            </w:r>
          </w:p>
        </w:tc>
        <w:tc>
          <w:tcPr>
            <w:tcW w:w="5444" w:type="dxa"/>
            <w:gridSpan w:val="2"/>
          </w:tcPr>
          <w:p w:rsidR="0077375B" w:rsidRPr="00560F9E" w:rsidP="00753808" w14:paraId="638D4377" w14:textId="77777777">
            <w:pPr>
              <w:pStyle w:val="Neotevilenodstavek"/>
              <w:spacing w:before="0" w:after="0" w:line="276" w:lineRule="auto"/>
              <w:rPr>
                <w:bCs/>
                <w:sz w:val="20"/>
                <w:szCs w:val="20"/>
              </w:rPr>
            </w:pPr>
            <w:r w:rsidRPr="00560F9E">
              <w:rPr>
                <w:bCs/>
                <w:sz w:val="20"/>
                <w:szCs w:val="20"/>
              </w:rPr>
              <w:t>okolje, vključno s prostorskimi in varstvenimi vidiki</w:t>
            </w:r>
          </w:p>
        </w:tc>
        <w:tc>
          <w:tcPr>
            <w:tcW w:w="2271" w:type="dxa"/>
            <w:vAlign w:val="center"/>
          </w:tcPr>
          <w:p w:rsidR="0077375B" w:rsidRPr="00560F9E" w:rsidP="00753808" w14:paraId="3D6212CF" w14:textId="77777777">
            <w:pPr>
              <w:pStyle w:val="Neotevilenodstavek"/>
              <w:spacing w:before="0" w:after="0" w:line="276" w:lineRule="auto"/>
              <w:jc w:val="center"/>
              <w:rPr>
                <w:iCs/>
                <w:sz w:val="20"/>
                <w:szCs w:val="20"/>
              </w:rPr>
            </w:pPr>
            <w:r w:rsidRPr="00560F9E">
              <w:rPr>
                <w:sz w:val="20"/>
                <w:szCs w:val="20"/>
              </w:rPr>
              <w:t>NE</w:t>
            </w:r>
          </w:p>
        </w:tc>
      </w:tr>
      <w:tr w14:paraId="61FBBAA8" w14:textId="77777777" w:rsidTr="0077375B">
        <w:tblPrEx>
          <w:tblW w:w="9276" w:type="dxa"/>
          <w:tblInd w:w="-5" w:type="dxa"/>
          <w:tblLook w:val="04A0"/>
        </w:tblPrEx>
        <w:tc>
          <w:tcPr>
            <w:tcW w:w="1561" w:type="dxa"/>
          </w:tcPr>
          <w:p w:rsidR="0077375B" w:rsidRPr="00560F9E" w:rsidP="00753808" w14:paraId="0276EC6C" w14:textId="77777777">
            <w:pPr>
              <w:pStyle w:val="Neotevilenodstavek"/>
              <w:spacing w:before="0" w:after="0" w:line="276" w:lineRule="auto"/>
              <w:ind w:left="360"/>
              <w:rPr>
                <w:iCs/>
                <w:sz w:val="20"/>
                <w:szCs w:val="20"/>
              </w:rPr>
            </w:pPr>
            <w:r w:rsidRPr="00560F9E">
              <w:rPr>
                <w:iCs/>
                <w:sz w:val="20"/>
                <w:szCs w:val="20"/>
              </w:rPr>
              <w:t>e)</w:t>
            </w:r>
          </w:p>
        </w:tc>
        <w:tc>
          <w:tcPr>
            <w:tcW w:w="5444" w:type="dxa"/>
            <w:gridSpan w:val="2"/>
          </w:tcPr>
          <w:p w:rsidR="0077375B" w:rsidRPr="00560F9E" w:rsidP="00753808" w14:paraId="2758AC80" w14:textId="77777777">
            <w:pPr>
              <w:pStyle w:val="Neotevilenodstavek"/>
              <w:spacing w:before="0" w:after="0" w:line="276" w:lineRule="auto"/>
              <w:rPr>
                <w:bCs/>
                <w:sz w:val="20"/>
                <w:szCs w:val="20"/>
              </w:rPr>
            </w:pPr>
            <w:r w:rsidRPr="00560F9E">
              <w:rPr>
                <w:bCs/>
                <w:sz w:val="20"/>
                <w:szCs w:val="20"/>
              </w:rPr>
              <w:t>socialno področje</w:t>
            </w:r>
          </w:p>
        </w:tc>
        <w:tc>
          <w:tcPr>
            <w:tcW w:w="2271" w:type="dxa"/>
            <w:vAlign w:val="center"/>
          </w:tcPr>
          <w:p w:rsidR="0077375B" w:rsidRPr="00560F9E" w:rsidP="00753808" w14:paraId="0FDE6600" w14:textId="77777777">
            <w:pPr>
              <w:pStyle w:val="Neotevilenodstavek"/>
              <w:spacing w:before="0" w:after="0" w:line="276" w:lineRule="auto"/>
              <w:jc w:val="center"/>
              <w:rPr>
                <w:iCs/>
                <w:sz w:val="20"/>
                <w:szCs w:val="20"/>
              </w:rPr>
            </w:pPr>
            <w:r w:rsidRPr="00560F9E">
              <w:rPr>
                <w:sz w:val="20"/>
                <w:szCs w:val="20"/>
              </w:rPr>
              <w:t>NE</w:t>
            </w:r>
          </w:p>
        </w:tc>
      </w:tr>
      <w:tr w14:paraId="2CBC1A49" w14:textId="77777777" w:rsidTr="0077375B">
        <w:tblPrEx>
          <w:tblW w:w="9276" w:type="dxa"/>
          <w:tblInd w:w="-5" w:type="dxa"/>
          <w:tblLook w:val="04A0"/>
        </w:tblPrEx>
        <w:tc>
          <w:tcPr>
            <w:tcW w:w="1561" w:type="dxa"/>
            <w:tcBorders>
              <w:bottom w:val="single" w:sz="4" w:space="0" w:color="auto"/>
            </w:tcBorders>
          </w:tcPr>
          <w:p w:rsidR="0077375B" w:rsidRPr="00560F9E" w:rsidP="00753808" w14:paraId="1134A2C4" w14:textId="77777777">
            <w:pPr>
              <w:pStyle w:val="Neotevilenodstavek"/>
              <w:spacing w:before="0" w:after="0" w:line="276" w:lineRule="auto"/>
              <w:ind w:left="360"/>
              <w:rPr>
                <w:iCs/>
                <w:sz w:val="20"/>
                <w:szCs w:val="20"/>
              </w:rPr>
            </w:pPr>
            <w:r w:rsidRPr="00560F9E">
              <w:rPr>
                <w:iCs/>
                <w:sz w:val="20"/>
                <w:szCs w:val="20"/>
              </w:rPr>
              <w:t>f)</w:t>
            </w:r>
          </w:p>
        </w:tc>
        <w:tc>
          <w:tcPr>
            <w:tcW w:w="5444" w:type="dxa"/>
            <w:gridSpan w:val="2"/>
            <w:tcBorders>
              <w:bottom w:val="single" w:sz="4" w:space="0" w:color="auto"/>
            </w:tcBorders>
          </w:tcPr>
          <w:p w:rsidR="0077375B" w:rsidRPr="00560F9E" w:rsidP="00753808" w14:paraId="2B54E39D" w14:textId="77777777">
            <w:pPr>
              <w:pStyle w:val="Neotevilenodstavek"/>
              <w:spacing w:before="0" w:after="0" w:line="276" w:lineRule="auto"/>
              <w:rPr>
                <w:bCs/>
                <w:sz w:val="20"/>
                <w:szCs w:val="20"/>
              </w:rPr>
            </w:pPr>
            <w:r w:rsidRPr="00560F9E">
              <w:rPr>
                <w:bCs/>
                <w:sz w:val="20"/>
                <w:szCs w:val="20"/>
              </w:rPr>
              <w:t>dokumente razvojnega načrtovanja:</w:t>
            </w:r>
          </w:p>
          <w:p w:rsidR="0077375B" w:rsidRPr="00560F9E" w:rsidP="00753808" w14:paraId="72ACD087" w14:textId="77777777">
            <w:pPr>
              <w:pStyle w:val="Neotevilenodstavek"/>
              <w:numPr>
                <w:ilvl w:val="0"/>
                <w:numId w:val="17"/>
              </w:numPr>
              <w:spacing w:before="0" w:after="0" w:line="276" w:lineRule="auto"/>
              <w:rPr>
                <w:bCs/>
                <w:sz w:val="20"/>
                <w:szCs w:val="20"/>
              </w:rPr>
            </w:pPr>
            <w:r w:rsidRPr="00560F9E">
              <w:rPr>
                <w:bCs/>
                <w:sz w:val="20"/>
                <w:szCs w:val="20"/>
              </w:rPr>
              <w:t>nacionalne dokumente razvojnega načrtovanja</w:t>
            </w:r>
          </w:p>
          <w:p w:rsidR="0077375B" w:rsidRPr="00560F9E" w:rsidP="00753808" w14:paraId="6AC8CAB8" w14:textId="77777777">
            <w:pPr>
              <w:pStyle w:val="Neotevilenodstavek"/>
              <w:numPr>
                <w:ilvl w:val="0"/>
                <w:numId w:val="17"/>
              </w:numPr>
              <w:spacing w:before="0" w:after="0" w:line="276" w:lineRule="auto"/>
              <w:rPr>
                <w:bCs/>
                <w:sz w:val="20"/>
                <w:szCs w:val="20"/>
              </w:rPr>
            </w:pPr>
            <w:r w:rsidRPr="00560F9E">
              <w:rPr>
                <w:bCs/>
                <w:sz w:val="20"/>
                <w:szCs w:val="20"/>
              </w:rPr>
              <w:t>razvojne politike na ravni programov po strukturi razvojne klasifikacije programskega proračuna</w:t>
            </w:r>
          </w:p>
          <w:p w:rsidR="0077375B" w:rsidRPr="00560F9E" w:rsidP="00753808" w14:paraId="3415E277" w14:textId="77777777">
            <w:pPr>
              <w:pStyle w:val="Neotevilenodstavek"/>
              <w:numPr>
                <w:ilvl w:val="0"/>
                <w:numId w:val="17"/>
              </w:numPr>
              <w:spacing w:before="0" w:after="0" w:line="276" w:lineRule="auto"/>
              <w:rPr>
                <w:bCs/>
                <w:sz w:val="20"/>
                <w:szCs w:val="20"/>
              </w:rPr>
            </w:pPr>
            <w:r w:rsidRPr="00560F9E">
              <w:rPr>
                <w:bCs/>
                <w:sz w:val="20"/>
                <w:szCs w:val="20"/>
              </w:rPr>
              <w:t>razvojne dokumente Evropske unije in mednarodnih organizacij</w:t>
            </w:r>
          </w:p>
        </w:tc>
        <w:tc>
          <w:tcPr>
            <w:tcW w:w="2271" w:type="dxa"/>
            <w:tcBorders>
              <w:bottom w:val="single" w:sz="4" w:space="0" w:color="auto"/>
            </w:tcBorders>
            <w:vAlign w:val="center"/>
          </w:tcPr>
          <w:p w:rsidR="0077375B" w:rsidRPr="00560F9E" w:rsidP="00753808" w14:paraId="469DBF2E" w14:textId="77777777">
            <w:pPr>
              <w:pStyle w:val="Neotevilenodstavek"/>
              <w:spacing w:before="0" w:after="0" w:line="276" w:lineRule="auto"/>
              <w:jc w:val="center"/>
              <w:rPr>
                <w:iCs/>
                <w:sz w:val="20"/>
                <w:szCs w:val="20"/>
              </w:rPr>
            </w:pPr>
            <w:r w:rsidRPr="00560F9E">
              <w:rPr>
                <w:sz w:val="20"/>
                <w:szCs w:val="20"/>
              </w:rPr>
              <w:t>NE</w:t>
            </w:r>
          </w:p>
        </w:tc>
      </w:tr>
      <w:tr w14:paraId="335CA7B0" w14:textId="77777777" w:rsidTr="0077375B">
        <w:tblPrEx>
          <w:tblW w:w="9276" w:type="dxa"/>
          <w:tblInd w:w="-5" w:type="dxa"/>
          <w:tblLook w:val="04A0"/>
        </w:tblPrEx>
        <w:tc>
          <w:tcPr>
            <w:tcW w:w="9276" w:type="dxa"/>
            <w:gridSpan w:val="4"/>
            <w:tcBorders>
              <w:top w:val="single" w:sz="4" w:space="0" w:color="auto"/>
              <w:left w:val="single" w:sz="4" w:space="0" w:color="auto"/>
              <w:bottom w:val="single" w:sz="4" w:space="0" w:color="auto"/>
              <w:right w:val="single" w:sz="4" w:space="0" w:color="auto"/>
            </w:tcBorders>
          </w:tcPr>
          <w:p w:rsidR="0077375B" w:rsidRPr="00560F9E" w:rsidP="00753808" w14:paraId="47491C70" w14:textId="77777777">
            <w:pPr>
              <w:pStyle w:val="Oddelek"/>
              <w:widowControl w:val="0"/>
              <w:numPr>
                <w:ilvl w:val="0"/>
                <w:numId w:val="0"/>
              </w:numPr>
              <w:spacing w:before="0" w:after="0" w:line="276" w:lineRule="auto"/>
              <w:jc w:val="left"/>
              <w:rPr>
                <w:sz w:val="20"/>
                <w:szCs w:val="20"/>
              </w:rPr>
            </w:pPr>
            <w:r w:rsidRPr="00560F9E">
              <w:rPr>
                <w:sz w:val="20"/>
                <w:szCs w:val="20"/>
              </w:rPr>
              <w:t>7.a Predstavitev ocene finančnih posledic nad 40.000 EUR:</w:t>
            </w:r>
          </w:p>
          <w:p w:rsidR="0077375B" w:rsidRPr="00560F9E" w:rsidP="00753808" w14:paraId="5AD4DE2F" w14:textId="77777777">
            <w:pPr>
              <w:pStyle w:val="Oddelek"/>
              <w:widowControl w:val="0"/>
              <w:numPr>
                <w:ilvl w:val="0"/>
                <w:numId w:val="0"/>
              </w:numPr>
              <w:spacing w:before="0" w:after="0" w:line="276" w:lineRule="auto"/>
              <w:jc w:val="left"/>
              <w:rPr>
                <w:b w:val="0"/>
                <w:sz w:val="20"/>
                <w:szCs w:val="20"/>
              </w:rPr>
            </w:pPr>
            <w:r>
              <w:rPr>
                <w:b w:val="0"/>
                <w:sz w:val="20"/>
                <w:szCs w:val="20"/>
              </w:rPr>
              <w:t>/</w:t>
            </w:r>
          </w:p>
        </w:tc>
      </w:tr>
    </w:tbl>
    <w:p w:rsidR="0077375B" w:rsidRPr="00560F9E" w:rsidP="0077375B" w14:paraId="0499D306" w14:textId="77777777">
      <w:pPr>
        <w:rPr>
          <w:rFonts w:ascii="Arial" w:hAnsi="Arial" w:cs="Arial"/>
          <w:vanish/>
          <w:sz w:val="20"/>
          <w:szCs w:val="20"/>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gridCol w:w="868"/>
        <w:gridCol w:w="1400"/>
        <w:gridCol w:w="436"/>
        <w:gridCol w:w="991"/>
        <w:gridCol w:w="679"/>
        <w:gridCol w:w="379"/>
        <w:gridCol w:w="300"/>
        <w:gridCol w:w="2094"/>
      </w:tblGrid>
      <w:tr w14:paraId="0CD91009" w14:textId="77777777" w:rsidTr="00753808">
        <w:tblPrEx>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1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77375B" w:rsidRPr="00560F9E" w:rsidP="00753808" w14:paraId="1C41369E" w14:textId="77777777">
            <w:pPr>
              <w:pStyle w:val="Heading1"/>
              <w:keepNext w:val="0"/>
              <w:pageBreakBefore/>
              <w:widowControl w:val="0"/>
              <w:tabs>
                <w:tab w:val="left" w:pos="2340"/>
              </w:tabs>
              <w:spacing w:before="0" w:after="0" w:line="276" w:lineRule="auto"/>
              <w:ind w:left="142" w:hanging="142"/>
              <w:rPr>
                <w:rFonts w:cs="Arial"/>
                <w:sz w:val="20"/>
                <w:szCs w:val="20"/>
              </w:rPr>
            </w:pPr>
            <w:r w:rsidRPr="00560F9E">
              <w:rPr>
                <w:rFonts w:cs="Arial"/>
                <w:sz w:val="20"/>
                <w:szCs w:val="20"/>
              </w:rPr>
              <w:t>I. Ocena finančnih posledic, ki niso načrtovane v sprejetem proračunu</w:t>
            </w:r>
          </w:p>
        </w:tc>
      </w:tr>
      <w:tr w14:paraId="46A26FE6" w14:textId="77777777" w:rsidTr="00753808">
        <w:tblPrEx>
          <w:tblW w:w="9100" w:type="dxa"/>
          <w:tblInd w:w="108" w:type="dxa"/>
          <w:tblLook w:val="0000"/>
        </w:tblPrEx>
        <w:trPr>
          <w:cantSplit/>
          <w:trHeight w:val="276"/>
        </w:trPr>
        <w:tc>
          <w:tcPr>
            <w:tcW w:w="2821"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7E48EB6E" w14:textId="77777777">
            <w:pPr>
              <w:widowControl w:val="0"/>
              <w:ind w:left="-122" w:right="-112"/>
              <w:jc w:val="center"/>
              <w:rPr>
                <w:rFonts w:ascii="Arial" w:hAnsi="Arial" w:cs="Arial"/>
                <w:sz w:val="20"/>
                <w:szCs w:val="20"/>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4E7CC3B6" w14:textId="77777777">
            <w:pPr>
              <w:widowControl w:val="0"/>
              <w:jc w:val="center"/>
              <w:rPr>
                <w:rFonts w:ascii="Arial" w:hAnsi="Arial" w:cs="Arial"/>
                <w:sz w:val="20"/>
                <w:szCs w:val="20"/>
              </w:rPr>
            </w:pPr>
            <w:r w:rsidRPr="00560F9E">
              <w:rPr>
                <w:rFonts w:ascii="Arial" w:hAnsi="Arial" w:cs="Arial"/>
                <w:sz w:val="20"/>
                <w:szCs w:val="20"/>
              </w:rPr>
              <w:t>Tekoče leto (t)</w:t>
            </w:r>
          </w:p>
        </w:tc>
        <w:tc>
          <w:tcPr>
            <w:tcW w:w="991"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236CF490" w14:textId="77777777">
            <w:pPr>
              <w:widowControl w:val="0"/>
              <w:jc w:val="center"/>
              <w:rPr>
                <w:rFonts w:ascii="Arial" w:hAnsi="Arial" w:cs="Arial"/>
                <w:sz w:val="20"/>
                <w:szCs w:val="20"/>
              </w:rPr>
            </w:pPr>
            <w:r w:rsidRPr="00560F9E">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25EEEAD1" w14:textId="77777777">
            <w:pPr>
              <w:widowControl w:val="0"/>
              <w:jc w:val="center"/>
              <w:rPr>
                <w:rFonts w:ascii="Arial" w:hAnsi="Arial" w:cs="Arial"/>
                <w:sz w:val="20"/>
                <w:szCs w:val="20"/>
              </w:rPr>
            </w:pPr>
            <w:r w:rsidRPr="00560F9E">
              <w:rPr>
                <w:rFonts w:ascii="Arial" w:hAnsi="Arial" w:cs="Arial"/>
                <w:sz w:val="20"/>
                <w:szCs w:val="20"/>
              </w:rPr>
              <w:t>t + 2</w:t>
            </w: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59B317BC" w14:textId="77777777">
            <w:pPr>
              <w:widowControl w:val="0"/>
              <w:jc w:val="center"/>
              <w:rPr>
                <w:rFonts w:ascii="Arial" w:hAnsi="Arial" w:cs="Arial"/>
                <w:sz w:val="20"/>
                <w:szCs w:val="20"/>
              </w:rPr>
            </w:pPr>
            <w:r w:rsidRPr="00560F9E">
              <w:rPr>
                <w:rFonts w:ascii="Arial" w:hAnsi="Arial" w:cs="Arial"/>
                <w:sz w:val="20"/>
                <w:szCs w:val="20"/>
              </w:rPr>
              <w:t>t + 3</w:t>
            </w:r>
          </w:p>
        </w:tc>
      </w:tr>
      <w:tr w14:paraId="12C1D318" w14:textId="77777777" w:rsidTr="00753808">
        <w:tblPrEx>
          <w:tblW w:w="9100" w:type="dxa"/>
          <w:tblInd w:w="108" w:type="dxa"/>
          <w:tblLook w:val="0000"/>
        </w:tblPrEx>
        <w:trPr>
          <w:cantSplit/>
          <w:trHeight w:val="423"/>
        </w:trPr>
        <w:tc>
          <w:tcPr>
            <w:tcW w:w="2821"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60AB93E8" w14:textId="77777777">
            <w:pPr>
              <w:widowControl w:val="0"/>
              <w:rPr>
                <w:rFonts w:ascii="Arial" w:hAnsi="Arial" w:cs="Arial"/>
                <w:bCs/>
                <w:sz w:val="20"/>
                <w:szCs w:val="20"/>
              </w:rPr>
            </w:pPr>
            <w:r w:rsidRPr="00560F9E">
              <w:rPr>
                <w:rFonts w:ascii="Arial" w:hAnsi="Arial" w:cs="Arial"/>
                <w:bCs/>
                <w:sz w:val="20"/>
                <w:szCs w:val="20"/>
              </w:rPr>
              <w:t>Predvideno povečanje (+) ali zmanjšanje (</w:t>
            </w:r>
            <w:r w:rsidRPr="00560F9E">
              <w:rPr>
                <w:rFonts w:ascii="Arial" w:hAnsi="Arial" w:cs="Arial"/>
                <w:b/>
                <w:sz w:val="20"/>
                <w:szCs w:val="20"/>
              </w:rPr>
              <w:t>–</w:t>
            </w:r>
            <w:r w:rsidRPr="00560F9E">
              <w:rPr>
                <w:rFonts w:ascii="Arial" w:hAnsi="Arial" w:cs="Arial"/>
                <w:bCs/>
                <w:sz w:val="20"/>
                <w:szCs w:val="20"/>
              </w:rPr>
              <w:t xml:space="preserve">) prihodkov državnega proračuna </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315624D1" w14:textId="77777777">
            <w:pPr>
              <w:pStyle w:val="Heading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50CF313A" w14:textId="77777777">
            <w:pPr>
              <w:pStyle w:val="Heading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37A06CF7" w14:textId="77777777">
            <w:pPr>
              <w:pStyle w:val="Heading1"/>
              <w:keepNext w:val="0"/>
              <w:widowControl w:val="0"/>
              <w:tabs>
                <w:tab w:val="left" w:pos="360"/>
              </w:tabs>
              <w:spacing w:before="0" w:after="0" w:line="276" w:lineRule="auto"/>
              <w:jc w:val="center"/>
              <w:rPr>
                <w:rFonts w:cs="Arial"/>
                <w:b w:val="0"/>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208112FA" w14:textId="77777777">
            <w:pPr>
              <w:pStyle w:val="Heading1"/>
              <w:keepNext w:val="0"/>
              <w:widowControl w:val="0"/>
              <w:tabs>
                <w:tab w:val="left" w:pos="360"/>
              </w:tabs>
              <w:spacing w:before="0" w:after="0" w:line="276" w:lineRule="auto"/>
              <w:jc w:val="center"/>
              <w:rPr>
                <w:rFonts w:cs="Arial"/>
                <w:b w:val="0"/>
                <w:sz w:val="20"/>
                <w:szCs w:val="20"/>
              </w:rPr>
            </w:pPr>
          </w:p>
        </w:tc>
      </w:tr>
      <w:tr w14:paraId="390DA2E4" w14:textId="77777777" w:rsidTr="00753808">
        <w:tblPrEx>
          <w:tblW w:w="9100" w:type="dxa"/>
          <w:tblInd w:w="108" w:type="dxa"/>
          <w:tblLook w:val="0000"/>
        </w:tblPrEx>
        <w:trPr>
          <w:cantSplit/>
          <w:trHeight w:val="423"/>
        </w:trPr>
        <w:tc>
          <w:tcPr>
            <w:tcW w:w="2821"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30CC0421" w14:textId="77777777">
            <w:pPr>
              <w:widowControl w:val="0"/>
              <w:rPr>
                <w:rFonts w:ascii="Arial" w:hAnsi="Arial" w:cs="Arial"/>
                <w:bCs/>
                <w:sz w:val="20"/>
                <w:szCs w:val="20"/>
              </w:rPr>
            </w:pPr>
            <w:r w:rsidRPr="00560F9E">
              <w:rPr>
                <w:rFonts w:ascii="Arial" w:hAnsi="Arial" w:cs="Arial"/>
                <w:bCs/>
                <w:sz w:val="20"/>
                <w:szCs w:val="20"/>
              </w:rPr>
              <w:t>Predvideno povečanje (+) ali zmanjšanje (</w:t>
            </w:r>
            <w:r w:rsidRPr="00560F9E">
              <w:rPr>
                <w:rFonts w:ascii="Arial" w:hAnsi="Arial" w:cs="Arial"/>
                <w:b/>
                <w:sz w:val="20"/>
                <w:szCs w:val="20"/>
              </w:rPr>
              <w:t>–</w:t>
            </w:r>
            <w:r w:rsidRPr="00560F9E">
              <w:rPr>
                <w:rFonts w:ascii="Arial" w:hAnsi="Arial" w:cs="Arial"/>
                <w:bCs/>
                <w:sz w:val="20"/>
                <w:szCs w:val="20"/>
              </w:rPr>
              <w:t xml:space="preserve">) prihodkov občinskih proračunov </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1DC7399C" w14:textId="77777777">
            <w:pPr>
              <w:pStyle w:val="Heading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7EF9E46B" w14:textId="77777777">
            <w:pPr>
              <w:pStyle w:val="Heading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53BCD967" w14:textId="77777777">
            <w:pPr>
              <w:pStyle w:val="Heading1"/>
              <w:keepNext w:val="0"/>
              <w:widowControl w:val="0"/>
              <w:tabs>
                <w:tab w:val="left" w:pos="360"/>
              </w:tabs>
              <w:spacing w:before="0" w:after="0" w:line="276" w:lineRule="auto"/>
              <w:jc w:val="center"/>
              <w:rPr>
                <w:rFonts w:cs="Arial"/>
                <w:b w:val="0"/>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0EED1A10" w14:textId="77777777">
            <w:pPr>
              <w:pStyle w:val="Heading1"/>
              <w:keepNext w:val="0"/>
              <w:widowControl w:val="0"/>
              <w:tabs>
                <w:tab w:val="left" w:pos="360"/>
              </w:tabs>
              <w:spacing w:before="0" w:after="0" w:line="276" w:lineRule="auto"/>
              <w:jc w:val="center"/>
              <w:rPr>
                <w:rFonts w:cs="Arial"/>
                <w:b w:val="0"/>
                <w:sz w:val="20"/>
                <w:szCs w:val="20"/>
              </w:rPr>
            </w:pPr>
          </w:p>
        </w:tc>
      </w:tr>
      <w:tr w14:paraId="074C3321" w14:textId="77777777" w:rsidTr="00753808">
        <w:tblPrEx>
          <w:tblW w:w="9100" w:type="dxa"/>
          <w:tblInd w:w="108" w:type="dxa"/>
          <w:tblLook w:val="0000"/>
        </w:tblPrEx>
        <w:trPr>
          <w:cantSplit/>
          <w:trHeight w:val="423"/>
        </w:trPr>
        <w:tc>
          <w:tcPr>
            <w:tcW w:w="2821"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5B2EDED1" w14:textId="77777777">
            <w:pPr>
              <w:widowControl w:val="0"/>
              <w:rPr>
                <w:rFonts w:ascii="Arial" w:hAnsi="Arial" w:cs="Arial"/>
                <w:bCs/>
                <w:sz w:val="20"/>
                <w:szCs w:val="20"/>
              </w:rPr>
            </w:pPr>
            <w:r w:rsidRPr="00560F9E">
              <w:rPr>
                <w:rFonts w:ascii="Arial" w:hAnsi="Arial" w:cs="Arial"/>
                <w:bCs/>
                <w:sz w:val="20"/>
                <w:szCs w:val="20"/>
              </w:rPr>
              <w:t>Predvideno povečanje (+) ali zmanjšanje (</w:t>
            </w:r>
            <w:r w:rsidRPr="00560F9E">
              <w:rPr>
                <w:rFonts w:ascii="Arial" w:hAnsi="Arial" w:cs="Arial"/>
                <w:b/>
                <w:sz w:val="20"/>
                <w:szCs w:val="20"/>
              </w:rPr>
              <w:t>–</w:t>
            </w:r>
            <w:r w:rsidRPr="00560F9E">
              <w:rPr>
                <w:rFonts w:ascii="Arial" w:hAnsi="Arial" w:cs="Arial"/>
                <w:bCs/>
                <w:sz w:val="20"/>
                <w:szCs w:val="20"/>
              </w:rPr>
              <w:t xml:space="preserve">) odhodkov državnega proračuna </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3026D789" w14:textId="77777777">
            <w:pPr>
              <w:widowControl w:val="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5D2773EA" w14:textId="77777777">
            <w:pPr>
              <w:widowControl w:val="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4D96CD58" w14:textId="77777777">
            <w:pPr>
              <w:widowControl w:val="0"/>
              <w:jc w:val="center"/>
              <w:rPr>
                <w:rFonts w:ascii="Arial" w:hAnsi="Arial" w:cs="Arial"/>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2D50940B" w14:textId="77777777">
            <w:pPr>
              <w:widowControl w:val="0"/>
              <w:jc w:val="center"/>
              <w:rPr>
                <w:rFonts w:ascii="Arial" w:hAnsi="Arial" w:cs="Arial"/>
                <w:sz w:val="20"/>
                <w:szCs w:val="20"/>
              </w:rPr>
            </w:pPr>
          </w:p>
        </w:tc>
      </w:tr>
      <w:tr w14:paraId="687E25C6" w14:textId="77777777" w:rsidTr="00753808">
        <w:tblPrEx>
          <w:tblW w:w="9100" w:type="dxa"/>
          <w:tblInd w:w="108" w:type="dxa"/>
          <w:tblLook w:val="0000"/>
        </w:tblPrEx>
        <w:trPr>
          <w:cantSplit/>
          <w:trHeight w:val="623"/>
        </w:trPr>
        <w:tc>
          <w:tcPr>
            <w:tcW w:w="2821"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11523742" w14:textId="77777777">
            <w:pPr>
              <w:widowControl w:val="0"/>
              <w:rPr>
                <w:rFonts w:ascii="Arial" w:hAnsi="Arial" w:cs="Arial"/>
                <w:bCs/>
                <w:sz w:val="20"/>
                <w:szCs w:val="20"/>
              </w:rPr>
            </w:pPr>
            <w:r w:rsidRPr="00560F9E">
              <w:rPr>
                <w:rFonts w:ascii="Arial" w:hAnsi="Arial" w:cs="Arial"/>
                <w:bCs/>
                <w:sz w:val="20"/>
                <w:szCs w:val="20"/>
              </w:rPr>
              <w:t>Predvideno povečanje (+) ali zmanjšanje (</w:t>
            </w:r>
            <w:r w:rsidRPr="00560F9E">
              <w:rPr>
                <w:rFonts w:ascii="Arial" w:hAnsi="Arial" w:cs="Arial"/>
                <w:b/>
                <w:sz w:val="20"/>
                <w:szCs w:val="20"/>
              </w:rPr>
              <w:t>–</w:t>
            </w:r>
            <w:r w:rsidRPr="00560F9E">
              <w:rPr>
                <w:rFonts w:ascii="Arial" w:hAnsi="Arial" w:cs="Arial"/>
                <w:bCs/>
                <w:sz w:val="20"/>
                <w:szCs w:val="20"/>
              </w:rPr>
              <w:t>) odhodkov občinskih proračunov</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1A1E9048" w14:textId="77777777">
            <w:pPr>
              <w:widowControl w:val="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2191E191" w14:textId="77777777">
            <w:pPr>
              <w:widowControl w:val="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74872F1F" w14:textId="77777777">
            <w:pPr>
              <w:widowControl w:val="0"/>
              <w:jc w:val="center"/>
              <w:rPr>
                <w:rFonts w:ascii="Arial" w:hAnsi="Arial" w:cs="Arial"/>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0127A1FD" w14:textId="77777777">
            <w:pPr>
              <w:widowControl w:val="0"/>
              <w:jc w:val="center"/>
              <w:rPr>
                <w:rFonts w:ascii="Arial" w:hAnsi="Arial" w:cs="Arial"/>
                <w:sz w:val="20"/>
                <w:szCs w:val="20"/>
              </w:rPr>
            </w:pPr>
          </w:p>
        </w:tc>
      </w:tr>
      <w:tr w14:paraId="7975DAD8" w14:textId="77777777" w:rsidTr="00753808">
        <w:tblPrEx>
          <w:tblW w:w="9100" w:type="dxa"/>
          <w:tblInd w:w="108" w:type="dxa"/>
          <w:tblLook w:val="0000"/>
        </w:tblPrEx>
        <w:trPr>
          <w:cantSplit/>
          <w:trHeight w:val="423"/>
        </w:trPr>
        <w:tc>
          <w:tcPr>
            <w:tcW w:w="2821"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4A7C05FB" w14:textId="77777777">
            <w:pPr>
              <w:widowControl w:val="0"/>
              <w:rPr>
                <w:rFonts w:ascii="Arial" w:hAnsi="Arial" w:cs="Arial"/>
                <w:bCs/>
                <w:sz w:val="20"/>
                <w:szCs w:val="20"/>
              </w:rPr>
            </w:pPr>
            <w:r w:rsidRPr="00560F9E">
              <w:rPr>
                <w:rFonts w:ascii="Arial" w:hAnsi="Arial" w:cs="Arial"/>
                <w:bCs/>
                <w:sz w:val="20"/>
                <w:szCs w:val="20"/>
              </w:rPr>
              <w:t>Predvideno povečanje (+) ali zmanjšanje (</w:t>
            </w:r>
            <w:r w:rsidRPr="00560F9E">
              <w:rPr>
                <w:rFonts w:ascii="Arial" w:hAnsi="Arial" w:cs="Arial"/>
                <w:b/>
                <w:sz w:val="20"/>
                <w:szCs w:val="20"/>
              </w:rPr>
              <w:t>–</w:t>
            </w:r>
            <w:r w:rsidRPr="00560F9E">
              <w:rPr>
                <w:rFonts w:ascii="Arial" w:hAnsi="Arial" w:cs="Arial"/>
                <w:bCs/>
                <w:sz w:val="20"/>
                <w:szCs w:val="20"/>
              </w:rPr>
              <w:t>) obveznosti za druga javnofinančna sredstva</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12FE4674" w14:textId="77777777">
            <w:pPr>
              <w:pStyle w:val="Heading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3FE18291" w14:textId="77777777">
            <w:pPr>
              <w:pStyle w:val="Heading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495AD7E1" w14:textId="77777777">
            <w:pPr>
              <w:pStyle w:val="Heading1"/>
              <w:keepNext w:val="0"/>
              <w:widowControl w:val="0"/>
              <w:tabs>
                <w:tab w:val="left" w:pos="360"/>
              </w:tabs>
              <w:spacing w:before="0" w:after="0" w:line="276" w:lineRule="auto"/>
              <w:jc w:val="center"/>
              <w:rPr>
                <w:rFonts w:cs="Arial"/>
                <w:b w:val="0"/>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3D18BF76" w14:textId="77777777">
            <w:pPr>
              <w:pStyle w:val="Heading1"/>
              <w:keepNext w:val="0"/>
              <w:widowControl w:val="0"/>
              <w:tabs>
                <w:tab w:val="left" w:pos="360"/>
              </w:tabs>
              <w:spacing w:before="0" w:after="0" w:line="276" w:lineRule="auto"/>
              <w:jc w:val="center"/>
              <w:rPr>
                <w:rFonts w:cs="Arial"/>
                <w:b w:val="0"/>
                <w:sz w:val="20"/>
                <w:szCs w:val="20"/>
              </w:rPr>
            </w:pPr>
          </w:p>
        </w:tc>
      </w:tr>
      <w:tr w14:paraId="3B972DAA" w14:textId="77777777" w:rsidTr="00753808">
        <w:tblPrEx>
          <w:tblW w:w="9100" w:type="dxa"/>
          <w:tblInd w:w="108" w:type="dxa"/>
          <w:tblLook w:val="0000"/>
        </w:tblPrEx>
        <w:trPr>
          <w:cantSplit/>
          <w:trHeight w:val="257"/>
        </w:trPr>
        <w:tc>
          <w:tcPr>
            <w:tcW w:w="91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7375B" w:rsidRPr="00560F9E" w:rsidP="00753808" w14:paraId="39598D86" w14:textId="77777777">
            <w:pPr>
              <w:pStyle w:val="Heading1"/>
              <w:keepNext w:val="0"/>
              <w:widowControl w:val="0"/>
              <w:tabs>
                <w:tab w:val="left" w:pos="2340"/>
              </w:tabs>
              <w:spacing w:before="0" w:after="0" w:line="276" w:lineRule="auto"/>
              <w:ind w:left="142" w:hanging="142"/>
              <w:rPr>
                <w:rFonts w:cs="Arial"/>
                <w:sz w:val="20"/>
                <w:szCs w:val="20"/>
              </w:rPr>
            </w:pPr>
            <w:r w:rsidRPr="00560F9E">
              <w:rPr>
                <w:rFonts w:cs="Arial"/>
                <w:sz w:val="20"/>
                <w:szCs w:val="20"/>
              </w:rPr>
              <w:t>II. Finančne posledice za državni proračun</w:t>
            </w:r>
          </w:p>
        </w:tc>
      </w:tr>
      <w:tr w14:paraId="1F78B056" w14:textId="77777777" w:rsidTr="00753808">
        <w:tblPrEx>
          <w:tblW w:w="9100" w:type="dxa"/>
          <w:tblInd w:w="108" w:type="dxa"/>
          <w:tblLook w:val="0000"/>
        </w:tblPrEx>
        <w:trPr>
          <w:cantSplit/>
          <w:trHeight w:val="257"/>
        </w:trPr>
        <w:tc>
          <w:tcPr>
            <w:tcW w:w="91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7375B" w:rsidRPr="00560F9E" w:rsidP="00753808" w14:paraId="31BFA062" w14:textId="77777777">
            <w:pPr>
              <w:pStyle w:val="Heading1"/>
              <w:keepNext w:val="0"/>
              <w:widowControl w:val="0"/>
              <w:tabs>
                <w:tab w:val="left" w:pos="2340"/>
              </w:tabs>
              <w:spacing w:before="0" w:after="0" w:line="276" w:lineRule="auto"/>
              <w:ind w:left="142" w:hanging="142"/>
              <w:rPr>
                <w:rFonts w:cs="Arial"/>
                <w:sz w:val="20"/>
                <w:szCs w:val="20"/>
              </w:rPr>
            </w:pPr>
            <w:r w:rsidRPr="00560F9E">
              <w:rPr>
                <w:rFonts w:cs="Arial"/>
                <w:sz w:val="20"/>
                <w:szCs w:val="20"/>
              </w:rPr>
              <w:t>II.a</w:t>
            </w:r>
            <w:r w:rsidRPr="00560F9E">
              <w:rPr>
                <w:rFonts w:cs="Arial"/>
                <w:sz w:val="20"/>
                <w:szCs w:val="20"/>
              </w:rPr>
              <w:t xml:space="preserve"> Pravice porabe za izvedbo predlaganih rešitev so zagotovljene:</w:t>
            </w:r>
          </w:p>
        </w:tc>
      </w:tr>
      <w:tr w14:paraId="1ABDC2B2" w14:textId="77777777" w:rsidTr="00753808">
        <w:tblPrEx>
          <w:tblW w:w="9100" w:type="dxa"/>
          <w:tblInd w:w="108" w:type="dxa"/>
          <w:tblLook w:val="0000"/>
        </w:tblPrEx>
        <w:trPr>
          <w:cantSplit/>
          <w:trHeight w:val="100"/>
        </w:trPr>
        <w:tc>
          <w:tcPr>
            <w:tcW w:w="1953"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741199D2" w14:textId="77777777">
            <w:pPr>
              <w:widowControl w:val="0"/>
              <w:jc w:val="center"/>
              <w:rPr>
                <w:rFonts w:ascii="Arial" w:hAnsi="Arial" w:cs="Arial"/>
                <w:sz w:val="20"/>
                <w:szCs w:val="20"/>
              </w:rPr>
            </w:pPr>
            <w:r w:rsidRPr="00560F9E">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62471189" w14:textId="77777777">
            <w:pPr>
              <w:widowControl w:val="0"/>
              <w:jc w:val="center"/>
              <w:rPr>
                <w:rFonts w:ascii="Arial" w:hAnsi="Arial" w:cs="Arial"/>
                <w:sz w:val="20"/>
                <w:szCs w:val="20"/>
              </w:rPr>
            </w:pPr>
            <w:r w:rsidRPr="00560F9E">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5B78A589" w14:textId="77777777">
            <w:pPr>
              <w:widowControl w:val="0"/>
              <w:jc w:val="center"/>
              <w:rPr>
                <w:rFonts w:ascii="Arial" w:hAnsi="Arial" w:cs="Arial"/>
                <w:sz w:val="20"/>
                <w:szCs w:val="20"/>
              </w:rPr>
            </w:pPr>
            <w:r w:rsidRPr="00560F9E">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3E7360C5" w14:textId="77777777">
            <w:pPr>
              <w:widowControl w:val="0"/>
              <w:jc w:val="center"/>
              <w:rPr>
                <w:rFonts w:ascii="Arial" w:hAnsi="Arial" w:cs="Arial"/>
                <w:sz w:val="20"/>
                <w:szCs w:val="20"/>
              </w:rPr>
            </w:pPr>
            <w:r w:rsidRPr="00560F9E">
              <w:rPr>
                <w:rFonts w:ascii="Arial" w:hAnsi="Arial" w:cs="Arial"/>
                <w:sz w:val="20"/>
                <w:szCs w:val="20"/>
              </w:rPr>
              <w:t>Znesek za tekoče leto (t)</w:t>
            </w: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6B5443E6" w14:textId="77777777">
            <w:pPr>
              <w:widowControl w:val="0"/>
              <w:jc w:val="center"/>
              <w:rPr>
                <w:rFonts w:ascii="Arial" w:hAnsi="Arial" w:cs="Arial"/>
                <w:sz w:val="20"/>
                <w:szCs w:val="20"/>
              </w:rPr>
            </w:pPr>
            <w:r w:rsidRPr="00560F9E">
              <w:rPr>
                <w:rFonts w:ascii="Arial" w:hAnsi="Arial" w:cs="Arial"/>
                <w:sz w:val="20"/>
                <w:szCs w:val="20"/>
              </w:rPr>
              <w:t>Znesek za t + 1</w:t>
            </w:r>
          </w:p>
        </w:tc>
      </w:tr>
      <w:tr w14:paraId="3281E649" w14:textId="77777777" w:rsidTr="00753808">
        <w:tblPrEx>
          <w:tblW w:w="9100" w:type="dxa"/>
          <w:tblInd w:w="108" w:type="dxa"/>
          <w:tblLook w:val="0000"/>
        </w:tblPrEx>
        <w:trPr>
          <w:cantSplit/>
          <w:trHeight w:val="328"/>
        </w:trPr>
        <w:tc>
          <w:tcPr>
            <w:tcW w:w="1953"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7CE2EF1E" w14:textId="77777777">
            <w:pPr>
              <w:pStyle w:val="Heading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28FC448A" w14:textId="77777777">
            <w:pPr>
              <w:pStyle w:val="Heading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70DE38AC" w14:textId="77777777">
            <w:pPr>
              <w:pStyle w:val="Heading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183116D2" w14:textId="77777777">
            <w:pPr>
              <w:pStyle w:val="Heading1"/>
              <w:keepNext w:val="0"/>
              <w:widowControl w:val="0"/>
              <w:tabs>
                <w:tab w:val="left" w:pos="360"/>
              </w:tabs>
              <w:spacing w:before="0" w:after="0" w:line="276" w:lineRule="auto"/>
              <w:rPr>
                <w:rFonts w:cs="Arial"/>
                <w:b w:val="0"/>
                <w:bCs/>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2E454557" w14:textId="77777777">
            <w:pPr>
              <w:pStyle w:val="Heading1"/>
              <w:keepNext w:val="0"/>
              <w:widowControl w:val="0"/>
              <w:tabs>
                <w:tab w:val="left" w:pos="360"/>
              </w:tabs>
              <w:spacing w:before="0" w:after="0" w:line="276" w:lineRule="auto"/>
              <w:rPr>
                <w:rFonts w:cs="Arial"/>
                <w:b w:val="0"/>
                <w:bCs/>
                <w:sz w:val="20"/>
                <w:szCs w:val="20"/>
              </w:rPr>
            </w:pPr>
          </w:p>
        </w:tc>
      </w:tr>
      <w:tr w14:paraId="2A08AA30" w14:textId="77777777" w:rsidTr="00753808">
        <w:tblPrEx>
          <w:tblW w:w="9100" w:type="dxa"/>
          <w:tblInd w:w="108" w:type="dxa"/>
          <w:tblLook w:val="0000"/>
        </w:tblPrEx>
        <w:trPr>
          <w:cantSplit/>
          <w:trHeight w:val="95"/>
        </w:trPr>
        <w:tc>
          <w:tcPr>
            <w:tcW w:w="1953"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3C6C4387" w14:textId="77777777">
            <w:pPr>
              <w:pStyle w:val="Heading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2067770C" w14:textId="77777777">
            <w:pPr>
              <w:pStyle w:val="Heading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3C4EDB81" w14:textId="77777777">
            <w:pPr>
              <w:pStyle w:val="Heading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3847BD07" w14:textId="77777777">
            <w:pPr>
              <w:pStyle w:val="Heading1"/>
              <w:keepNext w:val="0"/>
              <w:widowControl w:val="0"/>
              <w:tabs>
                <w:tab w:val="left" w:pos="360"/>
              </w:tabs>
              <w:spacing w:before="0" w:after="0" w:line="276" w:lineRule="auto"/>
              <w:rPr>
                <w:rFonts w:cs="Arial"/>
                <w:b w:val="0"/>
                <w:bCs/>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332B953A" w14:textId="77777777">
            <w:pPr>
              <w:pStyle w:val="Heading1"/>
              <w:keepNext w:val="0"/>
              <w:widowControl w:val="0"/>
              <w:tabs>
                <w:tab w:val="left" w:pos="360"/>
              </w:tabs>
              <w:spacing w:before="0" w:after="0" w:line="276" w:lineRule="auto"/>
              <w:rPr>
                <w:rFonts w:cs="Arial"/>
                <w:b w:val="0"/>
                <w:bCs/>
                <w:sz w:val="20"/>
                <w:szCs w:val="20"/>
              </w:rPr>
            </w:pPr>
          </w:p>
        </w:tc>
      </w:tr>
      <w:tr w14:paraId="1FC00D70" w14:textId="77777777" w:rsidTr="00753808">
        <w:tblPrEx>
          <w:tblW w:w="9100" w:type="dxa"/>
          <w:tblInd w:w="108" w:type="dxa"/>
          <w:tblLook w:val="0000"/>
        </w:tblPrEx>
        <w:trPr>
          <w:cantSplit/>
          <w:trHeight w:val="95"/>
        </w:trPr>
        <w:tc>
          <w:tcPr>
            <w:tcW w:w="5648" w:type="dxa"/>
            <w:gridSpan w:val="5"/>
            <w:tcBorders>
              <w:top w:val="single" w:sz="4" w:space="0" w:color="auto"/>
              <w:left w:val="single" w:sz="4" w:space="0" w:color="auto"/>
              <w:bottom w:val="single" w:sz="4" w:space="0" w:color="auto"/>
              <w:right w:val="single" w:sz="4" w:space="0" w:color="auto"/>
            </w:tcBorders>
            <w:vAlign w:val="center"/>
          </w:tcPr>
          <w:p w:rsidR="0077375B" w:rsidRPr="00560F9E" w:rsidP="00753808" w14:paraId="2975BE4B" w14:textId="77777777">
            <w:pPr>
              <w:pStyle w:val="Heading1"/>
              <w:keepNext w:val="0"/>
              <w:widowControl w:val="0"/>
              <w:tabs>
                <w:tab w:val="left" w:pos="360"/>
              </w:tabs>
              <w:spacing w:before="0" w:after="0" w:line="276" w:lineRule="auto"/>
              <w:rPr>
                <w:rFonts w:cs="Arial"/>
                <w:sz w:val="20"/>
                <w:szCs w:val="20"/>
              </w:rPr>
            </w:pPr>
            <w:r w:rsidRPr="00560F9E">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25120855" w14:textId="77777777">
            <w:pPr>
              <w:widowControl w:val="0"/>
              <w:jc w:val="center"/>
              <w:rPr>
                <w:rFonts w:ascii="Arial" w:hAnsi="Arial" w:cs="Arial"/>
                <w:b/>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3FD66A7D" w14:textId="77777777">
            <w:pPr>
              <w:pStyle w:val="Heading1"/>
              <w:keepNext w:val="0"/>
              <w:widowControl w:val="0"/>
              <w:tabs>
                <w:tab w:val="left" w:pos="360"/>
              </w:tabs>
              <w:spacing w:before="0" w:after="0" w:line="276" w:lineRule="auto"/>
              <w:rPr>
                <w:rFonts w:cs="Arial"/>
                <w:sz w:val="20"/>
                <w:szCs w:val="20"/>
              </w:rPr>
            </w:pPr>
          </w:p>
        </w:tc>
      </w:tr>
      <w:tr w14:paraId="3F88DE73" w14:textId="77777777" w:rsidTr="00753808">
        <w:tblPrEx>
          <w:tblW w:w="9100" w:type="dxa"/>
          <w:tblInd w:w="108" w:type="dxa"/>
          <w:tblLook w:val="0000"/>
        </w:tblPrEx>
        <w:trPr>
          <w:cantSplit/>
          <w:trHeight w:val="294"/>
        </w:trPr>
        <w:tc>
          <w:tcPr>
            <w:tcW w:w="91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7375B" w:rsidRPr="00560F9E" w:rsidP="00753808" w14:paraId="25D034DE" w14:textId="77777777">
            <w:pPr>
              <w:pStyle w:val="Heading1"/>
              <w:keepNext w:val="0"/>
              <w:widowControl w:val="0"/>
              <w:tabs>
                <w:tab w:val="left" w:pos="2340"/>
              </w:tabs>
              <w:spacing w:before="0" w:after="0" w:line="276" w:lineRule="auto"/>
              <w:rPr>
                <w:rFonts w:cs="Arial"/>
                <w:sz w:val="20"/>
                <w:szCs w:val="20"/>
              </w:rPr>
            </w:pPr>
            <w:r w:rsidRPr="00560F9E">
              <w:rPr>
                <w:rFonts w:cs="Arial"/>
                <w:sz w:val="20"/>
                <w:szCs w:val="20"/>
              </w:rPr>
              <w:t>II.b</w:t>
            </w:r>
            <w:r w:rsidRPr="00560F9E">
              <w:rPr>
                <w:rFonts w:cs="Arial"/>
                <w:sz w:val="20"/>
                <w:szCs w:val="20"/>
              </w:rPr>
              <w:t xml:space="preserve"> Manjkajoče pravice porabe bodo zagotovljene s prerazporeditvijo:</w:t>
            </w:r>
          </w:p>
        </w:tc>
      </w:tr>
      <w:tr w14:paraId="1BCFE937" w14:textId="77777777" w:rsidTr="00753808">
        <w:tblPrEx>
          <w:tblW w:w="9100" w:type="dxa"/>
          <w:tblInd w:w="108" w:type="dxa"/>
          <w:tblLook w:val="0000"/>
        </w:tblPrEx>
        <w:trPr>
          <w:cantSplit/>
          <w:trHeight w:val="100"/>
        </w:trPr>
        <w:tc>
          <w:tcPr>
            <w:tcW w:w="1953"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00CAA54B" w14:textId="77777777">
            <w:pPr>
              <w:widowControl w:val="0"/>
              <w:jc w:val="center"/>
              <w:rPr>
                <w:rFonts w:ascii="Arial" w:hAnsi="Arial" w:cs="Arial"/>
                <w:sz w:val="20"/>
                <w:szCs w:val="20"/>
              </w:rPr>
            </w:pPr>
            <w:r w:rsidRPr="00560F9E">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7933D49B" w14:textId="77777777">
            <w:pPr>
              <w:widowControl w:val="0"/>
              <w:jc w:val="center"/>
              <w:rPr>
                <w:rFonts w:ascii="Arial" w:hAnsi="Arial" w:cs="Arial"/>
                <w:sz w:val="20"/>
                <w:szCs w:val="20"/>
              </w:rPr>
            </w:pPr>
            <w:r w:rsidRPr="00560F9E">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54703E83" w14:textId="77777777">
            <w:pPr>
              <w:widowControl w:val="0"/>
              <w:jc w:val="center"/>
              <w:rPr>
                <w:rFonts w:ascii="Arial" w:hAnsi="Arial" w:cs="Arial"/>
                <w:sz w:val="20"/>
                <w:szCs w:val="20"/>
              </w:rPr>
            </w:pPr>
            <w:r w:rsidRPr="00560F9E">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711B04DF" w14:textId="77777777">
            <w:pPr>
              <w:widowControl w:val="0"/>
              <w:jc w:val="center"/>
              <w:rPr>
                <w:rFonts w:ascii="Arial" w:hAnsi="Arial" w:cs="Arial"/>
                <w:sz w:val="20"/>
                <w:szCs w:val="20"/>
              </w:rPr>
            </w:pPr>
            <w:r w:rsidRPr="00560F9E">
              <w:rPr>
                <w:rFonts w:ascii="Arial" w:hAnsi="Arial" w:cs="Arial"/>
                <w:sz w:val="20"/>
                <w:szCs w:val="20"/>
              </w:rPr>
              <w:t>Znesek za tekoče leto (t)</w:t>
            </w: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3496E4AF" w14:textId="77777777">
            <w:pPr>
              <w:widowControl w:val="0"/>
              <w:jc w:val="center"/>
              <w:rPr>
                <w:rFonts w:ascii="Arial" w:hAnsi="Arial" w:cs="Arial"/>
                <w:sz w:val="20"/>
                <w:szCs w:val="20"/>
              </w:rPr>
            </w:pPr>
            <w:r w:rsidRPr="00560F9E">
              <w:rPr>
                <w:rFonts w:ascii="Arial" w:hAnsi="Arial" w:cs="Arial"/>
                <w:sz w:val="20"/>
                <w:szCs w:val="20"/>
              </w:rPr>
              <w:t xml:space="preserve">Znesek za t + 1 </w:t>
            </w:r>
          </w:p>
        </w:tc>
      </w:tr>
      <w:tr w14:paraId="0B2AC54F" w14:textId="77777777" w:rsidTr="00753808">
        <w:tblPrEx>
          <w:tblW w:w="9100" w:type="dxa"/>
          <w:tblInd w:w="108" w:type="dxa"/>
          <w:tblLook w:val="0000"/>
        </w:tblPrEx>
        <w:trPr>
          <w:cantSplit/>
          <w:trHeight w:val="95"/>
        </w:trPr>
        <w:tc>
          <w:tcPr>
            <w:tcW w:w="1953"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12329C14" w14:textId="77777777">
            <w:pPr>
              <w:pStyle w:val="Heading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3A9A6E7A" w14:textId="77777777">
            <w:pPr>
              <w:pStyle w:val="Heading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518D1589" w14:textId="77777777">
            <w:pPr>
              <w:pStyle w:val="Heading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2C801318" w14:textId="77777777">
            <w:pPr>
              <w:pStyle w:val="Heading1"/>
              <w:keepNext w:val="0"/>
              <w:widowControl w:val="0"/>
              <w:tabs>
                <w:tab w:val="left" w:pos="360"/>
              </w:tabs>
              <w:spacing w:before="0" w:after="0" w:line="276" w:lineRule="auto"/>
              <w:rPr>
                <w:rFonts w:cs="Arial"/>
                <w:b w:val="0"/>
                <w:bCs/>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48694FE4" w14:textId="77777777">
            <w:pPr>
              <w:pStyle w:val="Heading1"/>
              <w:keepNext w:val="0"/>
              <w:widowControl w:val="0"/>
              <w:tabs>
                <w:tab w:val="left" w:pos="360"/>
              </w:tabs>
              <w:spacing w:before="0" w:after="0" w:line="276" w:lineRule="auto"/>
              <w:rPr>
                <w:rFonts w:cs="Arial"/>
                <w:b w:val="0"/>
                <w:bCs/>
                <w:sz w:val="20"/>
                <w:szCs w:val="20"/>
              </w:rPr>
            </w:pPr>
          </w:p>
        </w:tc>
      </w:tr>
      <w:tr w14:paraId="67428090" w14:textId="77777777" w:rsidTr="00753808">
        <w:tblPrEx>
          <w:tblW w:w="9100" w:type="dxa"/>
          <w:tblInd w:w="108" w:type="dxa"/>
          <w:tblLook w:val="0000"/>
        </w:tblPrEx>
        <w:trPr>
          <w:cantSplit/>
          <w:trHeight w:val="95"/>
        </w:trPr>
        <w:tc>
          <w:tcPr>
            <w:tcW w:w="1953"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02E01542" w14:textId="77777777">
            <w:pPr>
              <w:pStyle w:val="Heading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699C493C" w14:textId="77777777">
            <w:pPr>
              <w:pStyle w:val="Heading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7375B" w:rsidRPr="00560F9E" w:rsidP="00753808" w14:paraId="2BB26ED9" w14:textId="77777777">
            <w:pPr>
              <w:pStyle w:val="Heading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77534276" w14:textId="77777777">
            <w:pPr>
              <w:pStyle w:val="Heading1"/>
              <w:keepNext w:val="0"/>
              <w:widowControl w:val="0"/>
              <w:tabs>
                <w:tab w:val="left" w:pos="360"/>
              </w:tabs>
              <w:spacing w:before="0" w:after="0" w:line="276" w:lineRule="auto"/>
              <w:rPr>
                <w:rFonts w:cs="Arial"/>
                <w:b w:val="0"/>
                <w:bCs/>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50299B95" w14:textId="77777777">
            <w:pPr>
              <w:pStyle w:val="Heading1"/>
              <w:keepNext w:val="0"/>
              <w:widowControl w:val="0"/>
              <w:tabs>
                <w:tab w:val="left" w:pos="360"/>
              </w:tabs>
              <w:spacing w:before="0" w:after="0" w:line="276" w:lineRule="auto"/>
              <w:rPr>
                <w:rFonts w:cs="Arial"/>
                <w:b w:val="0"/>
                <w:bCs/>
                <w:sz w:val="20"/>
                <w:szCs w:val="20"/>
              </w:rPr>
            </w:pPr>
          </w:p>
        </w:tc>
      </w:tr>
      <w:tr w14:paraId="470F5EC0" w14:textId="77777777" w:rsidTr="00753808">
        <w:tblPrEx>
          <w:tblW w:w="9100" w:type="dxa"/>
          <w:tblInd w:w="108" w:type="dxa"/>
          <w:tblLook w:val="0000"/>
        </w:tblPrEx>
        <w:trPr>
          <w:cantSplit/>
          <w:trHeight w:val="95"/>
        </w:trPr>
        <w:tc>
          <w:tcPr>
            <w:tcW w:w="5648" w:type="dxa"/>
            <w:gridSpan w:val="5"/>
            <w:tcBorders>
              <w:top w:val="single" w:sz="4" w:space="0" w:color="auto"/>
              <w:left w:val="single" w:sz="4" w:space="0" w:color="auto"/>
              <w:bottom w:val="single" w:sz="4" w:space="0" w:color="auto"/>
              <w:right w:val="single" w:sz="4" w:space="0" w:color="auto"/>
            </w:tcBorders>
            <w:vAlign w:val="center"/>
          </w:tcPr>
          <w:p w:rsidR="0077375B" w:rsidRPr="00560F9E" w:rsidP="00753808" w14:paraId="7D4B018E" w14:textId="77777777">
            <w:pPr>
              <w:pStyle w:val="Heading1"/>
              <w:keepNext w:val="0"/>
              <w:widowControl w:val="0"/>
              <w:tabs>
                <w:tab w:val="left" w:pos="360"/>
              </w:tabs>
              <w:spacing w:before="0" w:after="0" w:line="276" w:lineRule="auto"/>
              <w:rPr>
                <w:rFonts w:cs="Arial"/>
                <w:sz w:val="20"/>
                <w:szCs w:val="20"/>
              </w:rPr>
            </w:pPr>
            <w:r w:rsidRPr="00560F9E">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41879E58" w14:textId="77777777">
            <w:pPr>
              <w:pStyle w:val="Heading1"/>
              <w:keepNext w:val="0"/>
              <w:widowControl w:val="0"/>
              <w:tabs>
                <w:tab w:val="left" w:pos="360"/>
              </w:tabs>
              <w:spacing w:before="0" w:after="0" w:line="276" w:lineRule="auto"/>
              <w:rPr>
                <w:rFonts w:cs="Arial"/>
                <w:sz w:val="20"/>
                <w:szCs w:val="20"/>
              </w:rPr>
            </w:pPr>
          </w:p>
        </w:tc>
        <w:tc>
          <w:tcPr>
            <w:tcW w:w="2094" w:type="dxa"/>
            <w:tcBorders>
              <w:top w:val="single" w:sz="4" w:space="0" w:color="auto"/>
              <w:left w:val="single" w:sz="4" w:space="0" w:color="auto"/>
              <w:bottom w:val="single" w:sz="4" w:space="0" w:color="auto"/>
              <w:right w:val="single" w:sz="4" w:space="0" w:color="auto"/>
            </w:tcBorders>
            <w:vAlign w:val="center"/>
          </w:tcPr>
          <w:p w:rsidR="0077375B" w:rsidRPr="00560F9E" w:rsidP="00753808" w14:paraId="0AD27641" w14:textId="77777777">
            <w:pPr>
              <w:pStyle w:val="Heading1"/>
              <w:keepNext w:val="0"/>
              <w:widowControl w:val="0"/>
              <w:tabs>
                <w:tab w:val="left" w:pos="360"/>
              </w:tabs>
              <w:spacing w:before="0" w:after="0" w:line="276" w:lineRule="auto"/>
              <w:rPr>
                <w:rFonts w:cs="Arial"/>
                <w:sz w:val="20"/>
                <w:szCs w:val="20"/>
              </w:rPr>
            </w:pPr>
          </w:p>
        </w:tc>
      </w:tr>
      <w:tr w14:paraId="6AE31414" w14:textId="77777777" w:rsidTr="00753808">
        <w:tblPrEx>
          <w:tblW w:w="9100" w:type="dxa"/>
          <w:tblInd w:w="108" w:type="dxa"/>
          <w:tblLook w:val="0000"/>
        </w:tblPrEx>
        <w:trPr>
          <w:cantSplit/>
          <w:trHeight w:val="207"/>
        </w:trPr>
        <w:tc>
          <w:tcPr>
            <w:tcW w:w="91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77375B" w:rsidRPr="00560F9E" w:rsidP="00753808" w14:paraId="33B2BC00" w14:textId="77777777">
            <w:pPr>
              <w:pStyle w:val="Heading1"/>
              <w:keepNext w:val="0"/>
              <w:widowControl w:val="0"/>
              <w:tabs>
                <w:tab w:val="left" w:pos="2340"/>
              </w:tabs>
              <w:spacing w:before="0" w:after="0" w:line="276" w:lineRule="auto"/>
              <w:rPr>
                <w:rFonts w:cs="Arial"/>
                <w:sz w:val="20"/>
                <w:szCs w:val="20"/>
              </w:rPr>
            </w:pPr>
            <w:r w:rsidRPr="00560F9E">
              <w:rPr>
                <w:rFonts w:cs="Arial"/>
                <w:sz w:val="20"/>
                <w:szCs w:val="20"/>
              </w:rPr>
              <w:t>II.c</w:t>
            </w:r>
            <w:r w:rsidRPr="00560F9E">
              <w:rPr>
                <w:rFonts w:cs="Arial"/>
                <w:sz w:val="20"/>
                <w:szCs w:val="20"/>
              </w:rPr>
              <w:t xml:space="preserve"> Načrtovana nadomestitev zmanjšanih prihodkov in povečanih odhodkov proračuna:</w:t>
            </w:r>
          </w:p>
        </w:tc>
      </w:tr>
      <w:tr w14:paraId="61BEBBAA" w14:textId="77777777" w:rsidTr="00753808">
        <w:tblPrEx>
          <w:tblW w:w="9100" w:type="dxa"/>
          <w:tblInd w:w="108" w:type="dxa"/>
          <w:tblLook w:val="0000"/>
        </w:tblPrEx>
        <w:trPr>
          <w:cantSplit/>
          <w:trHeight w:val="100"/>
        </w:trPr>
        <w:tc>
          <w:tcPr>
            <w:tcW w:w="4221"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2486396E" w14:textId="77777777">
            <w:pPr>
              <w:widowControl w:val="0"/>
              <w:ind w:left="-122" w:right="-112"/>
              <w:jc w:val="center"/>
              <w:rPr>
                <w:rFonts w:ascii="Arial" w:hAnsi="Arial" w:cs="Arial"/>
                <w:sz w:val="20"/>
                <w:szCs w:val="20"/>
              </w:rPr>
            </w:pPr>
            <w:r w:rsidRPr="00560F9E">
              <w:rPr>
                <w:rFonts w:ascii="Arial" w:hAnsi="Arial" w:cs="Arial"/>
                <w:sz w:val="20"/>
                <w:szCs w:val="20"/>
              </w:rPr>
              <w:t>Novi prihodki</w:t>
            </w: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4C55F5AB" w14:textId="77777777">
            <w:pPr>
              <w:widowControl w:val="0"/>
              <w:ind w:left="-122" w:right="-112"/>
              <w:jc w:val="center"/>
              <w:rPr>
                <w:rFonts w:ascii="Arial" w:hAnsi="Arial" w:cs="Arial"/>
                <w:sz w:val="20"/>
                <w:szCs w:val="20"/>
              </w:rPr>
            </w:pPr>
            <w:r w:rsidRPr="00560F9E">
              <w:rPr>
                <w:rFonts w:ascii="Arial" w:hAnsi="Arial" w:cs="Arial"/>
                <w:sz w:val="20"/>
                <w:szCs w:val="20"/>
              </w:rPr>
              <w:t>Znesek za tekoče leto (t)</w:t>
            </w: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18BE909E" w14:textId="77777777">
            <w:pPr>
              <w:widowControl w:val="0"/>
              <w:ind w:left="-122" w:right="-112"/>
              <w:jc w:val="center"/>
              <w:rPr>
                <w:rFonts w:ascii="Arial" w:hAnsi="Arial" w:cs="Arial"/>
                <w:sz w:val="20"/>
                <w:szCs w:val="20"/>
              </w:rPr>
            </w:pPr>
            <w:r w:rsidRPr="00560F9E">
              <w:rPr>
                <w:rFonts w:ascii="Arial" w:hAnsi="Arial" w:cs="Arial"/>
                <w:sz w:val="20"/>
                <w:szCs w:val="20"/>
              </w:rPr>
              <w:t>Znesek za t + 1</w:t>
            </w:r>
          </w:p>
        </w:tc>
      </w:tr>
      <w:tr w14:paraId="6CA8DA94" w14:textId="77777777" w:rsidTr="00753808">
        <w:tblPrEx>
          <w:tblW w:w="9100" w:type="dxa"/>
          <w:tblInd w:w="108" w:type="dxa"/>
          <w:tblLook w:val="0000"/>
        </w:tblPrEx>
        <w:trPr>
          <w:cantSplit/>
          <w:trHeight w:val="95"/>
        </w:trPr>
        <w:tc>
          <w:tcPr>
            <w:tcW w:w="4221"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6D32406C" w14:textId="77777777">
            <w:pPr>
              <w:pStyle w:val="Heading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3BDE5D01" w14:textId="77777777">
            <w:pPr>
              <w:pStyle w:val="Heading1"/>
              <w:keepNext w:val="0"/>
              <w:widowControl w:val="0"/>
              <w:tabs>
                <w:tab w:val="left" w:pos="360"/>
              </w:tabs>
              <w:spacing w:before="0" w:after="0" w:line="276" w:lineRule="auto"/>
              <w:rPr>
                <w:rFonts w:cs="Arial"/>
                <w:b w:val="0"/>
                <w:bCs/>
                <w:sz w:val="20"/>
                <w:szCs w:val="20"/>
              </w:rPr>
            </w:pP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5CA2CD3F" w14:textId="77777777">
            <w:pPr>
              <w:pStyle w:val="Heading1"/>
              <w:keepNext w:val="0"/>
              <w:widowControl w:val="0"/>
              <w:tabs>
                <w:tab w:val="left" w:pos="360"/>
              </w:tabs>
              <w:spacing w:before="0" w:after="0" w:line="276" w:lineRule="auto"/>
              <w:rPr>
                <w:rFonts w:cs="Arial"/>
                <w:b w:val="0"/>
                <w:bCs/>
                <w:sz w:val="20"/>
                <w:szCs w:val="20"/>
              </w:rPr>
            </w:pPr>
          </w:p>
        </w:tc>
      </w:tr>
      <w:tr w14:paraId="5502F0FC" w14:textId="77777777" w:rsidTr="00753808">
        <w:tblPrEx>
          <w:tblW w:w="9100" w:type="dxa"/>
          <w:tblInd w:w="108" w:type="dxa"/>
          <w:tblLook w:val="0000"/>
        </w:tblPrEx>
        <w:trPr>
          <w:cantSplit/>
          <w:trHeight w:val="95"/>
        </w:trPr>
        <w:tc>
          <w:tcPr>
            <w:tcW w:w="4221"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24D640CD" w14:textId="77777777">
            <w:pPr>
              <w:pStyle w:val="Heading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4A80B4A4" w14:textId="77777777">
            <w:pPr>
              <w:pStyle w:val="Heading1"/>
              <w:keepNext w:val="0"/>
              <w:widowControl w:val="0"/>
              <w:tabs>
                <w:tab w:val="left" w:pos="360"/>
              </w:tabs>
              <w:spacing w:before="0" w:after="0" w:line="276" w:lineRule="auto"/>
              <w:rPr>
                <w:rFonts w:cs="Arial"/>
                <w:b w:val="0"/>
                <w:bCs/>
                <w:sz w:val="20"/>
                <w:szCs w:val="20"/>
              </w:rPr>
            </w:pP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469ECBF3" w14:textId="77777777">
            <w:pPr>
              <w:pStyle w:val="Heading1"/>
              <w:keepNext w:val="0"/>
              <w:widowControl w:val="0"/>
              <w:tabs>
                <w:tab w:val="left" w:pos="360"/>
              </w:tabs>
              <w:spacing w:before="0" w:after="0" w:line="276" w:lineRule="auto"/>
              <w:rPr>
                <w:rFonts w:cs="Arial"/>
                <w:b w:val="0"/>
                <w:bCs/>
                <w:sz w:val="20"/>
                <w:szCs w:val="20"/>
              </w:rPr>
            </w:pPr>
          </w:p>
        </w:tc>
      </w:tr>
      <w:tr w14:paraId="3CC234D7" w14:textId="77777777" w:rsidTr="00753808">
        <w:tblPrEx>
          <w:tblW w:w="9100" w:type="dxa"/>
          <w:tblInd w:w="108" w:type="dxa"/>
          <w:tblLook w:val="0000"/>
        </w:tblPrEx>
        <w:trPr>
          <w:cantSplit/>
          <w:trHeight w:val="95"/>
        </w:trPr>
        <w:tc>
          <w:tcPr>
            <w:tcW w:w="4221"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6CE3C6DD" w14:textId="77777777">
            <w:pPr>
              <w:pStyle w:val="Heading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79510BE3" w14:textId="77777777">
            <w:pPr>
              <w:pStyle w:val="Heading1"/>
              <w:keepNext w:val="0"/>
              <w:widowControl w:val="0"/>
              <w:tabs>
                <w:tab w:val="left" w:pos="360"/>
              </w:tabs>
              <w:spacing w:before="0" w:after="0" w:line="276" w:lineRule="auto"/>
              <w:rPr>
                <w:rFonts w:cs="Arial"/>
                <w:b w:val="0"/>
                <w:bCs/>
                <w:sz w:val="20"/>
                <w:szCs w:val="20"/>
              </w:rPr>
            </w:pP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3541EA31" w14:textId="77777777">
            <w:pPr>
              <w:pStyle w:val="Heading1"/>
              <w:keepNext w:val="0"/>
              <w:widowControl w:val="0"/>
              <w:tabs>
                <w:tab w:val="left" w:pos="360"/>
              </w:tabs>
              <w:spacing w:before="0" w:after="0" w:line="276" w:lineRule="auto"/>
              <w:rPr>
                <w:rFonts w:cs="Arial"/>
                <w:b w:val="0"/>
                <w:bCs/>
                <w:sz w:val="20"/>
                <w:szCs w:val="20"/>
              </w:rPr>
            </w:pPr>
          </w:p>
        </w:tc>
      </w:tr>
      <w:tr w14:paraId="6E34F4FE" w14:textId="77777777" w:rsidTr="00753808">
        <w:tblPrEx>
          <w:tblW w:w="9100" w:type="dxa"/>
          <w:tblInd w:w="108" w:type="dxa"/>
          <w:tblLook w:val="0000"/>
        </w:tblPrEx>
        <w:trPr>
          <w:cantSplit/>
          <w:trHeight w:val="95"/>
        </w:trPr>
        <w:tc>
          <w:tcPr>
            <w:tcW w:w="4221"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0171EA2F" w14:textId="77777777">
            <w:pPr>
              <w:pStyle w:val="Heading1"/>
              <w:keepNext w:val="0"/>
              <w:widowControl w:val="0"/>
              <w:tabs>
                <w:tab w:val="left" w:pos="360"/>
              </w:tabs>
              <w:spacing w:before="0" w:after="0" w:line="276" w:lineRule="auto"/>
              <w:rPr>
                <w:rFonts w:cs="Arial"/>
                <w:sz w:val="20"/>
                <w:szCs w:val="20"/>
              </w:rPr>
            </w:pPr>
            <w:r w:rsidRPr="00560F9E">
              <w:rPr>
                <w:rFonts w:cs="Arial"/>
                <w:sz w:val="20"/>
                <w:szCs w:val="20"/>
              </w:rPr>
              <w:t>SKUPAJ</w:t>
            </w: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0A31CAE5" w14:textId="77777777">
            <w:pPr>
              <w:pStyle w:val="Heading1"/>
              <w:keepNext w:val="0"/>
              <w:widowControl w:val="0"/>
              <w:tabs>
                <w:tab w:val="left" w:pos="360"/>
              </w:tabs>
              <w:spacing w:before="0" w:after="0" w:line="276" w:lineRule="auto"/>
              <w:rPr>
                <w:rFonts w:cs="Arial"/>
                <w:sz w:val="20"/>
                <w:szCs w:val="20"/>
              </w:rPr>
            </w:pPr>
          </w:p>
        </w:tc>
        <w:tc>
          <w:tcPr>
            <w:tcW w:w="2773" w:type="dxa"/>
            <w:gridSpan w:val="3"/>
            <w:tcBorders>
              <w:top w:val="single" w:sz="4" w:space="0" w:color="auto"/>
              <w:left w:val="single" w:sz="4" w:space="0" w:color="auto"/>
              <w:bottom w:val="single" w:sz="4" w:space="0" w:color="auto"/>
              <w:right w:val="single" w:sz="4" w:space="0" w:color="auto"/>
            </w:tcBorders>
            <w:vAlign w:val="center"/>
          </w:tcPr>
          <w:p w:rsidR="0077375B" w:rsidRPr="00560F9E" w:rsidP="00753808" w14:paraId="3341610D" w14:textId="77777777">
            <w:pPr>
              <w:pStyle w:val="Heading1"/>
              <w:keepNext w:val="0"/>
              <w:widowControl w:val="0"/>
              <w:tabs>
                <w:tab w:val="left" w:pos="360"/>
              </w:tabs>
              <w:spacing w:before="0" w:after="0" w:line="276" w:lineRule="auto"/>
              <w:rPr>
                <w:rFonts w:cs="Arial"/>
                <w:sz w:val="20"/>
                <w:szCs w:val="20"/>
              </w:rPr>
            </w:pPr>
          </w:p>
        </w:tc>
      </w:tr>
      <w:tr w14:paraId="3977D3FD"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0"/>
        </w:trPr>
        <w:tc>
          <w:tcPr>
            <w:tcW w:w="9100" w:type="dxa"/>
            <w:gridSpan w:val="9"/>
          </w:tcPr>
          <w:p w:rsidR="0077375B" w:rsidRPr="00560F9E" w:rsidP="00753808" w14:paraId="00A79E7D" w14:textId="77777777">
            <w:pPr>
              <w:pStyle w:val="Vrstapredpisa"/>
              <w:widowControl w:val="0"/>
              <w:spacing w:before="0" w:line="276" w:lineRule="auto"/>
              <w:jc w:val="both"/>
              <w:rPr>
                <w:color w:val="auto"/>
                <w:sz w:val="20"/>
                <w:szCs w:val="20"/>
              </w:rPr>
            </w:pPr>
          </w:p>
        </w:tc>
      </w:tr>
      <w:tr w14:paraId="0912C5D1"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100" w:type="dxa"/>
            <w:gridSpan w:val="9"/>
          </w:tcPr>
          <w:p w:rsidR="0077375B" w:rsidRPr="00560F9E" w:rsidP="00753808" w14:paraId="450C5BB1" w14:textId="77777777">
            <w:pPr>
              <w:pStyle w:val="Oddelek"/>
              <w:widowControl w:val="0"/>
              <w:numPr>
                <w:ilvl w:val="0"/>
                <w:numId w:val="0"/>
              </w:numPr>
              <w:spacing w:before="0" w:after="0" w:line="276" w:lineRule="auto"/>
              <w:jc w:val="left"/>
              <w:rPr>
                <w:sz w:val="20"/>
                <w:szCs w:val="20"/>
              </w:rPr>
            </w:pPr>
            <w:r w:rsidRPr="00560F9E">
              <w:rPr>
                <w:sz w:val="20"/>
                <w:szCs w:val="20"/>
              </w:rPr>
              <w:t>7.b Predstavitev ocene finančnih posledic pod 40.000 EUR:</w:t>
            </w:r>
          </w:p>
          <w:p w:rsidR="0077375B" w:rsidRPr="00560F9E" w:rsidP="00753808" w14:paraId="06265EE2" w14:textId="77777777">
            <w:pPr>
              <w:pStyle w:val="Oddelek"/>
              <w:widowControl w:val="0"/>
              <w:numPr>
                <w:ilvl w:val="0"/>
                <w:numId w:val="0"/>
              </w:numPr>
              <w:spacing w:before="0" w:after="0" w:line="276" w:lineRule="auto"/>
              <w:jc w:val="both"/>
              <w:rPr>
                <w:b w:val="0"/>
                <w:sz w:val="20"/>
                <w:szCs w:val="20"/>
              </w:rPr>
            </w:pPr>
            <w:r w:rsidRPr="00560F9E">
              <w:rPr>
                <w:sz w:val="20"/>
                <w:szCs w:val="20"/>
              </w:rPr>
              <w:t>/</w:t>
            </w:r>
          </w:p>
        </w:tc>
      </w:tr>
      <w:tr w14:paraId="7ABD8B4D"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100" w:type="dxa"/>
            <w:gridSpan w:val="9"/>
          </w:tcPr>
          <w:p w:rsidR="0077375B" w:rsidRPr="00560F9E" w:rsidP="00753808" w14:paraId="303BA1DE" w14:textId="77777777">
            <w:pPr>
              <w:rPr>
                <w:rFonts w:ascii="Arial" w:hAnsi="Arial" w:cs="Arial"/>
                <w:b/>
                <w:sz w:val="20"/>
                <w:szCs w:val="20"/>
                <w:lang w:eastAsia="sl-SI"/>
              </w:rPr>
            </w:pPr>
            <w:r w:rsidRPr="00560F9E">
              <w:rPr>
                <w:rFonts w:ascii="Arial" w:hAnsi="Arial" w:cs="Arial"/>
                <w:b/>
                <w:sz w:val="20"/>
                <w:szCs w:val="20"/>
                <w:lang w:eastAsia="sl-SI"/>
              </w:rPr>
              <w:t>8. Predstavitev sodelovanja z združenji občin:</w:t>
            </w:r>
          </w:p>
        </w:tc>
      </w:tr>
      <w:tr w14:paraId="4E5D54D4"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327" w:type="dxa"/>
            <w:gridSpan w:val="6"/>
          </w:tcPr>
          <w:p w:rsidR="0077375B" w:rsidRPr="00560F9E" w:rsidP="00753808" w14:paraId="5495F804" w14:textId="77777777">
            <w:pPr>
              <w:pStyle w:val="Neotevilenodstavek"/>
              <w:widowControl w:val="0"/>
              <w:spacing w:before="0" w:after="0" w:line="276" w:lineRule="auto"/>
              <w:rPr>
                <w:iCs/>
                <w:sz w:val="20"/>
                <w:szCs w:val="20"/>
              </w:rPr>
            </w:pPr>
            <w:r w:rsidRPr="00560F9E">
              <w:rPr>
                <w:iCs/>
                <w:sz w:val="20"/>
                <w:szCs w:val="20"/>
              </w:rPr>
              <w:t>Vsebina predloženega gradiva (predpisa) vpliva na:</w:t>
            </w:r>
          </w:p>
          <w:p w:rsidR="0077375B" w:rsidRPr="00560F9E" w:rsidP="00753808" w14:paraId="185892CA" w14:textId="77777777">
            <w:pPr>
              <w:pStyle w:val="Neotevilenodstavek"/>
              <w:widowControl w:val="0"/>
              <w:numPr>
                <w:ilvl w:val="1"/>
                <w:numId w:val="18"/>
              </w:numPr>
              <w:spacing w:before="0" w:after="0" w:line="276" w:lineRule="auto"/>
              <w:rPr>
                <w:iCs/>
                <w:sz w:val="20"/>
                <w:szCs w:val="20"/>
              </w:rPr>
            </w:pPr>
            <w:r w:rsidRPr="00560F9E">
              <w:rPr>
                <w:iCs/>
                <w:sz w:val="20"/>
                <w:szCs w:val="20"/>
              </w:rPr>
              <w:t>pristojnosti občin,</w:t>
            </w:r>
          </w:p>
          <w:p w:rsidR="0077375B" w:rsidRPr="00560F9E" w:rsidP="00753808" w14:paraId="190400FD" w14:textId="77777777">
            <w:pPr>
              <w:pStyle w:val="Neotevilenodstavek"/>
              <w:widowControl w:val="0"/>
              <w:numPr>
                <w:ilvl w:val="1"/>
                <w:numId w:val="18"/>
              </w:numPr>
              <w:spacing w:before="0" w:after="0" w:line="276" w:lineRule="auto"/>
              <w:rPr>
                <w:iCs/>
                <w:sz w:val="20"/>
                <w:szCs w:val="20"/>
              </w:rPr>
            </w:pPr>
            <w:r w:rsidRPr="00560F9E">
              <w:rPr>
                <w:iCs/>
                <w:sz w:val="20"/>
                <w:szCs w:val="20"/>
              </w:rPr>
              <w:t>delovanje občin,</w:t>
            </w:r>
          </w:p>
          <w:p w:rsidR="0077375B" w:rsidRPr="00560F9E" w:rsidP="00753808" w14:paraId="49A6A6D4" w14:textId="77777777">
            <w:pPr>
              <w:pStyle w:val="Neotevilenodstavek"/>
              <w:widowControl w:val="0"/>
              <w:numPr>
                <w:ilvl w:val="1"/>
                <w:numId w:val="18"/>
              </w:numPr>
              <w:spacing w:before="0" w:after="0" w:line="276" w:lineRule="auto"/>
              <w:rPr>
                <w:iCs/>
                <w:sz w:val="20"/>
                <w:szCs w:val="20"/>
              </w:rPr>
            </w:pPr>
            <w:r w:rsidRPr="00560F9E">
              <w:rPr>
                <w:iCs/>
                <w:sz w:val="20"/>
                <w:szCs w:val="20"/>
              </w:rPr>
              <w:t>financiranje občin.</w:t>
            </w:r>
          </w:p>
        </w:tc>
        <w:tc>
          <w:tcPr>
            <w:tcW w:w="2773" w:type="dxa"/>
            <w:gridSpan w:val="3"/>
          </w:tcPr>
          <w:p w:rsidR="0077375B" w:rsidRPr="00560F9E" w:rsidP="00753808" w14:paraId="195AE058" w14:textId="77777777">
            <w:pPr>
              <w:pStyle w:val="Neotevilenodstavek"/>
              <w:widowControl w:val="0"/>
              <w:spacing w:before="0" w:after="0" w:line="276" w:lineRule="auto"/>
              <w:jc w:val="center"/>
              <w:rPr>
                <w:sz w:val="20"/>
                <w:szCs w:val="20"/>
              </w:rPr>
            </w:pPr>
            <w:r w:rsidRPr="00560F9E">
              <w:rPr>
                <w:sz w:val="20"/>
                <w:szCs w:val="20"/>
              </w:rPr>
              <w:t>NE</w:t>
            </w:r>
          </w:p>
        </w:tc>
      </w:tr>
      <w:tr w14:paraId="173F5129"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100" w:type="dxa"/>
            <w:gridSpan w:val="9"/>
          </w:tcPr>
          <w:p w:rsidR="0077375B" w:rsidRPr="00560F9E" w:rsidP="00753808" w14:paraId="6D8C2014" w14:textId="77777777">
            <w:pPr>
              <w:pStyle w:val="Neotevilenodstavek"/>
              <w:widowControl w:val="0"/>
              <w:spacing w:before="0" w:after="0" w:line="276" w:lineRule="auto"/>
              <w:rPr>
                <w:iCs/>
                <w:sz w:val="20"/>
                <w:szCs w:val="20"/>
              </w:rPr>
            </w:pPr>
            <w:r w:rsidRPr="00560F9E">
              <w:rPr>
                <w:iCs/>
                <w:sz w:val="20"/>
                <w:szCs w:val="20"/>
              </w:rPr>
              <w:t xml:space="preserve">Gradivo (predpis) je bilo poslano v mnenje: </w:t>
            </w:r>
          </w:p>
          <w:p w:rsidR="0077375B" w:rsidRPr="00560F9E" w:rsidP="00753808" w14:paraId="33B7A204" w14:textId="77777777">
            <w:pPr>
              <w:pStyle w:val="Neotevilenodstavek"/>
              <w:widowControl w:val="0"/>
              <w:numPr>
                <w:ilvl w:val="0"/>
                <w:numId w:val="20"/>
              </w:numPr>
              <w:spacing w:before="0" w:after="0" w:line="276" w:lineRule="auto"/>
              <w:rPr>
                <w:iCs/>
                <w:sz w:val="20"/>
                <w:szCs w:val="20"/>
              </w:rPr>
            </w:pPr>
            <w:r w:rsidRPr="00560F9E">
              <w:rPr>
                <w:iCs/>
                <w:sz w:val="20"/>
                <w:szCs w:val="20"/>
              </w:rPr>
              <w:t>Skupnosti občin Slovenije SOS: NE.</w:t>
            </w:r>
          </w:p>
          <w:p w:rsidR="0077375B" w:rsidRPr="00560F9E" w:rsidP="00753808" w14:paraId="26CF4BF2" w14:textId="77777777">
            <w:pPr>
              <w:pStyle w:val="Neotevilenodstavek"/>
              <w:widowControl w:val="0"/>
              <w:numPr>
                <w:ilvl w:val="0"/>
                <w:numId w:val="20"/>
              </w:numPr>
              <w:spacing w:before="0" w:after="0" w:line="276" w:lineRule="auto"/>
              <w:rPr>
                <w:iCs/>
                <w:sz w:val="20"/>
                <w:szCs w:val="20"/>
              </w:rPr>
            </w:pPr>
            <w:r w:rsidRPr="00560F9E">
              <w:rPr>
                <w:iCs/>
                <w:sz w:val="20"/>
                <w:szCs w:val="20"/>
              </w:rPr>
              <w:t>Združenju občin Slovenije ZOS: NE.</w:t>
            </w:r>
          </w:p>
          <w:p w:rsidR="0077375B" w:rsidRPr="00560F9E" w:rsidP="00753808" w14:paraId="79A14A3E" w14:textId="77777777">
            <w:pPr>
              <w:pStyle w:val="Neotevilenodstavek"/>
              <w:widowControl w:val="0"/>
              <w:numPr>
                <w:ilvl w:val="0"/>
                <w:numId w:val="20"/>
              </w:numPr>
              <w:spacing w:before="0" w:after="0" w:line="276" w:lineRule="auto"/>
              <w:rPr>
                <w:iCs/>
                <w:sz w:val="20"/>
                <w:szCs w:val="20"/>
              </w:rPr>
            </w:pPr>
            <w:r w:rsidRPr="00560F9E">
              <w:rPr>
                <w:iCs/>
                <w:sz w:val="20"/>
                <w:szCs w:val="20"/>
              </w:rPr>
              <w:t>Združenju mestnih občin Slovenije ZMOS: NE.</w:t>
            </w:r>
          </w:p>
          <w:p w:rsidR="0077375B" w:rsidRPr="00560F9E" w:rsidP="00753808" w14:paraId="3BAA29BB" w14:textId="77777777">
            <w:pPr>
              <w:pStyle w:val="Neotevilenodstavek"/>
              <w:widowControl w:val="0"/>
              <w:spacing w:before="0" w:after="0" w:line="276" w:lineRule="auto"/>
              <w:rPr>
                <w:iCs/>
                <w:sz w:val="20"/>
                <w:szCs w:val="20"/>
              </w:rPr>
            </w:pPr>
          </w:p>
          <w:p w:rsidR="0077375B" w:rsidRPr="00560F9E" w:rsidP="00753808" w14:paraId="0A0FB27E" w14:textId="77777777">
            <w:pPr>
              <w:pStyle w:val="Neotevilenodstavek"/>
              <w:widowControl w:val="0"/>
              <w:spacing w:before="0" w:after="0" w:line="276" w:lineRule="auto"/>
              <w:rPr>
                <w:sz w:val="20"/>
                <w:szCs w:val="20"/>
                <w:highlight w:val="yellow"/>
              </w:rPr>
            </w:pPr>
          </w:p>
        </w:tc>
      </w:tr>
      <w:tr w14:paraId="2CAC51FE"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100" w:type="dxa"/>
            <w:gridSpan w:val="9"/>
          </w:tcPr>
          <w:p w:rsidR="0077375B" w:rsidP="00753808" w14:paraId="2C8709E9" w14:textId="77777777">
            <w:pPr>
              <w:pStyle w:val="Oddelek"/>
              <w:widowControl w:val="0"/>
              <w:numPr>
                <w:ilvl w:val="0"/>
                <w:numId w:val="0"/>
              </w:numPr>
              <w:spacing w:before="0" w:after="0" w:line="276" w:lineRule="auto"/>
              <w:jc w:val="left"/>
              <w:rPr>
                <w:sz w:val="20"/>
                <w:szCs w:val="20"/>
              </w:rPr>
            </w:pPr>
            <w:r w:rsidRPr="00560F9E">
              <w:rPr>
                <w:sz w:val="20"/>
                <w:szCs w:val="20"/>
              </w:rPr>
              <w:t>9. Predstavitev sodelovanja javnosti:</w:t>
            </w:r>
          </w:p>
          <w:p w:rsidR="00FC64BD" w:rsidRPr="004B34AC" w:rsidP="00155AC7" w14:paraId="73194D03" w14:textId="66A1E13A">
            <w:pPr>
              <w:pStyle w:val="Oddelek"/>
              <w:widowControl w:val="0"/>
              <w:numPr>
                <w:ilvl w:val="0"/>
                <w:numId w:val="0"/>
              </w:numPr>
              <w:spacing w:before="0" w:after="0" w:line="276" w:lineRule="auto"/>
              <w:jc w:val="left"/>
              <w:rPr>
                <w:b w:val="0"/>
                <w:sz w:val="20"/>
                <w:szCs w:val="20"/>
              </w:rPr>
            </w:pPr>
            <w:r w:rsidRPr="004B34AC">
              <w:rPr>
                <w:b w:val="0"/>
                <w:sz w:val="20"/>
                <w:szCs w:val="20"/>
              </w:rPr>
              <w:t xml:space="preserve">Predlog uredbe je bil </w:t>
            </w:r>
            <w:r w:rsidR="00155AC7">
              <w:rPr>
                <w:b w:val="0"/>
                <w:sz w:val="20"/>
                <w:szCs w:val="20"/>
              </w:rPr>
              <w:t xml:space="preserve">10. 10. 2024 </w:t>
            </w:r>
            <w:r w:rsidRPr="004B34AC">
              <w:rPr>
                <w:b w:val="0"/>
                <w:sz w:val="20"/>
                <w:szCs w:val="20"/>
              </w:rPr>
              <w:t>objavljen na portalu e-demokracija</w:t>
            </w:r>
            <w:bookmarkStart w:id="2" w:name="_GoBack"/>
            <w:bookmarkEnd w:id="2"/>
            <w:r w:rsidR="004B34AC">
              <w:rPr>
                <w:b w:val="0"/>
                <w:sz w:val="20"/>
                <w:szCs w:val="20"/>
              </w:rPr>
              <w:t>. Prejeli smo pripombe enega državljana, na katere smo tudi ustrezno odgovorili.</w:t>
            </w:r>
          </w:p>
        </w:tc>
      </w:tr>
      <w:tr w14:paraId="2A54F9E5"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06" w:type="dxa"/>
            <w:gridSpan w:val="7"/>
          </w:tcPr>
          <w:p w:rsidR="0077375B" w:rsidRPr="00560F9E" w:rsidP="00753808" w14:paraId="69D2584F" w14:textId="77777777">
            <w:pPr>
              <w:pStyle w:val="Neotevilenodstavek"/>
              <w:widowControl w:val="0"/>
              <w:spacing w:before="0" w:after="0" w:line="276" w:lineRule="auto"/>
              <w:rPr>
                <w:sz w:val="20"/>
                <w:szCs w:val="20"/>
              </w:rPr>
            </w:pPr>
            <w:r w:rsidRPr="00560F9E">
              <w:rPr>
                <w:iCs/>
                <w:sz w:val="20"/>
                <w:szCs w:val="20"/>
              </w:rPr>
              <w:t>Gradivo je bilo predhodno objavljeno na spletni strani predlagatelja:</w:t>
            </w:r>
          </w:p>
        </w:tc>
        <w:tc>
          <w:tcPr>
            <w:tcW w:w="2394" w:type="dxa"/>
            <w:gridSpan w:val="2"/>
          </w:tcPr>
          <w:p w:rsidR="0077375B" w:rsidRPr="00560F9E" w:rsidP="00753808" w14:paraId="4592C323" w14:textId="77777777">
            <w:pPr>
              <w:pStyle w:val="Neotevilenodstavek"/>
              <w:widowControl w:val="0"/>
              <w:spacing w:before="0" w:after="0" w:line="276" w:lineRule="auto"/>
              <w:jc w:val="center"/>
              <w:rPr>
                <w:iCs/>
                <w:sz w:val="20"/>
                <w:szCs w:val="20"/>
              </w:rPr>
            </w:pPr>
            <w:r w:rsidRPr="00560F9E">
              <w:rPr>
                <w:sz w:val="20"/>
                <w:szCs w:val="20"/>
              </w:rPr>
              <w:t>NE</w:t>
            </w:r>
          </w:p>
        </w:tc>
      </w:tr>
      <w:tr w14:paraId="662A155A"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06" w:type="dxa"/>
            <w:gridSpan w:val="7"/>
            <w:vAlign w:val="center"/>
          </w:tcPr>
          <w:p w:rsidR="0077375B" w:rsidRPr="00560F9E" w:rsidP="00753808" w14:paraId="19039A6A" w14:textId="77777777">
            <w:pPr>
              <w:pStyle w:val="Neotevilenodstavek"/>
              <w:widowControl w:val="0"/>
              <w:spacing w:before="0" w:after="0" w:line="276" w:lineRule="auto"/>
              <w:jc w:val="left"/>
              <w:rPr>
                <w:sz w:val="20"/>
                <w:szCs w:val="20"/>
              </w:rPr>
            </w:pPr>
            <w:r w:rsidRPr="00560F9E">
              <w:rPr>
                <w:b/>
                <w:sz w:val="20"/>
                <w:szCs w:val="20"/>
              </w:rPr>
              <w:t>10. Pri pripravi gradiva so bile upoštevane zahteve iz Resolucije o normativni dejavnosti:</w:t>
            </w:r>
          </w:p>
        </w:tc>
        <w:tc>
          <w:tcPr>
            <w:tcW w:w="2394" w:type="dxa"/>
            <w:gridSpan w:val="2"/>
            <w:vAlign w:val="center"/>
          </w:tcPr>
          <w:p w:rsidR="0077375B" w:rsidRPr="00560F9E" w:rsidP="00753808" w14:paraId="3A478E47" w14:textId="77777777">
            <w:pPr>
              <w:pStyle w:val="Neotevilenodstavek"/>
              <w:widowControl w:val="0"/>
              <w:spacing w:before="0" w:after="0" w:line="276" w:lineRule="auto"/>
              <w:jc w:val="center"/>
              <w:rPr>
                <w:iCs/>
                <w:strike/>
                <w:sz w:val="20"/>
                <w:szCs w:val="20"/>
              </w:rPr>
            </w:pPr>
            <w:r w:rsidRPr="00560F9E">
              <w:rPr>
                <w:sz w:val="20"/>
                <w:szCs w:val="20"/>
              </w:rPr>
              <w:t>DA</w:t>
            </w:r>
          </w:p>
        </w:tc>
      </w:tr>
      <w:tr w14:paraId="46B7626E"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06" w:type="dxa"/>
            <w:gridSpan w:val="7"/>
            <w:vAlign w:val="center"/>
          </w:tcPr>
          <w:p w:rsidR="0077375B" w:rsidRPr="00560F9E" w:rsidP="00753808" w14:paraId="77821C8C" w14:textId="77777777">
            <w:pPr>
              <w:pStyle w:val="Neotevilenodstavek"/>
              <w:widowControl w:val="0"/>
              <w:spacing w:before="0" w:after="0" w:line="276" w:lineRule="auto"/>
              <w:jc w:val="left"/>
              <w:rPr>
                <w:b/>
                <w:sz w:val="20"/>
                <w:szCs w:val="20"/>
              </w:rPr>
            </w:pPr>
            <w:r w:rsidRPr="00560F9E">
              <w:rPr>
                <w:b/>
                <w:sz w:val="20"/>
                <w:szCs w:val="20"/>
              </w:rPr>
              <w:t>11. Gradivo je uvrščeno v delovni program vlade:</w:t>
            </w:r>
          </w:p>
        </w:tc>
        <w:tc>
          <w:tcPr>
            <w:tcW w:w="2394" w:type="dxa"/>
            <w:gridSpan w:val="2"/>
            <w:vAlign w:val="center"/>
          </w:tcPr>
          <w:p w:rsidR="0077375B" w:rsidRPr="00560F9E" w:rsidP="00753808" w14:paraId="558E148E" w14:textId="77777777">
            <w:pPr>
              <w:pStyle w:val="Neotevilenodstavek"/>
              <w:widowControl w:val="0"/>
              <w:spacing w:before="0" w:after="0" w:line="276" w:lineRule="auto"/>
              <w:jc w:val="center"/>
              <w:rPr>
                <w:sz w:val="20"/>
                <w:szCs w:val="20"/>
              </w:rPr>
            </w:pPr>
            <w:r w:rsidRPr="00560F9E">
              <w:rPr>
                <w:sz w:val="20"/>
                <w:szCs w:val="20"/>
              </w:rPr>
              <w:t>NE</w:t>
            </w:r>
          </w:p>
        </w:tc>
      </w:tr>
      <w:tr w14:paraId="688779B6" w14:textId="77777777" w:rsidTr="00753808">
        <w:tblPrEx>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100" w:type="dxa"/>
            <w:gridSpan w:val="9"/>
            <w:tcBorders>
              <w:top w:val="single" w:sz="4" w:space="0" w:color="000000"/>
              <w:left w:val="single" w:sz="4" w:space="0" w:color="000000"/>
              <w:bottom w:val="single" w:sz="4" w:space="0" w:color="000000"/>
              <w:right w:val="single" w:sz="4" w:space="0" w:color="000000"/>
            </w:tcBorders>
          </w:tcPr>
          <w:p w:rsidR="001D1F11" w:rsidP="0031206B" w14:paraId="760CC505" w14:textId="77777777">
            <w:pPr>
              <w:spacing w:after="0"/>
              <w:jc w:val="center"/>
              <w:rPr>
                <w:rFonts w:ascii="Arial" w:hAnsi="Arial" w:cs="Arial"/>
                <w:sz w:val="20"/>
                <w:szCs w:val="20"/>
              </w:rPr>
            </w:pPr>
          </w:p>
          <w:p w:rsidR="001D1F11" w:rsidRPr="001D1F11" w:rsidP="0031206B" w14:paraId="4CE953EC" w14:textId="52BA4902">
            <w:pPr>
              <w:spacing w:after="0"/>
              <w:jc w:val="center"/>
              <w:rPr>
                <w:rFonts w:ascii="Arial" w:hAnsi="Arial" w:cs="Arial"/>
                <w:b/>
                <w:sz w:val="20"/>
                <w:szCs w:val="20"/>
              </w:rPr>
            </w:pPr>
            <w:r>
              <w:rPr>
                <w:rFonts w:ascii="Arial" w:hAnsi="Arial" w:cs="Arial"/>
                <w:sz w:val="20"/>
                <w:szCs w:val="20"/>
              </w:rPr>
              <w:t xml:space="preserve">                                                                       </w:t>
            </w:r>
            <w:r w:rsidRPr="001D1F11">
              <w:rPr>
                <w:rFonts w:ascii="Arial" w:hAnsi="Arial" w:cs="Arial"/>
                <w:b/>
                <w:sz w:val="20"/>
                <w:szCs w:val="20"/>
              </w:rPr>
              <w:t>Mag. Borut Sajovic</w:t>
            </w:r>
          </w:p>
          <w:p w:rsidR="0077375B" w:rsidRPr="001D1F11" w:rsidP="0031206B" w14:paraId="2FE9D69F" w14:textId="78E094ED">
            <w:pPr>
              <w:spacing w:after="0"/>
              <w:jc w:val="center"/>
              <w:rPr>
                <w:rFonts w:ascii="Arial" w:hAnsi="Arial" w:cs="Arial"/>
                <w:b/>
                <w:sz w:val="20"/>
                <w:szCs w:val="20"/>
              </w:rPr>
            </w:pPr>
            <w:r w:rsidRPr="001D1F11">
              <w:rPr>
                <w:rFonts w:ascii="Arial" w:hAnsi="Arial" w:cs="Arial"/>
                <w:b/>
                <w:sz w:val="20"/>
                <w:szCs w:val="20"/>
              </w:rPr>
              <w:t xml:space="preserve">                                                                             MINISTER</w:t>
            </w:r>
            <w:r w:rsidRPr="001D1F11">
              <w:rPr>
                <w:rFonts w:ascii="Arial" w:hAnsi="Arial" w:cs="Arial"/>
                <w:b/>
                <w:sz w:val="20"/>
                <w:szCs w:val="20"/>
              </w:rPr>
              <w:t xml:space="preserve"> </w:t>
            </w:r>
          </w:p>
          <w:p w:rsidR="0077375B" w:rsidRPr="0031206B" w:rsidP="0031206B" w14:paraId="50BC72A8" w14:textId="3ED920DD">
            <w:pPr>
              <w:ind w:firstLine="708"/>
              <w:jc w:val="right"/>
              <w:rPr>
                <w:rFonts w:ascii="Arial" w:hAnsi="Arial" w:cs="Arial"/>
                <w:sz w:val="20"/>
                <w:szCs w:val="20"/>
              </w:rPr>
            </w:pPr>
            <w:r>
              <w:rPr>
                <w:rFonts w:ascii="Arial" w:hAnsi="Arial" w:cs="Arial"/>
                <w:sz w:val="20"/>
                <w:szCs w:val="20"/>
              </w:rPr>
              <w:t xml:space="preserve">                                                              </w:t>
            </w:r>
          </w:p>
        </w:tc>
      </w:tr>
    </w:tbl>
    <w:p w:rsidR="009A6AA3" w:rsidP="0077375B" w14:paraId="07D5233F" w14:textId="77777777">
      <w:pPr>
        <w:pStyle w:val="podpisi"/>
        <w:tabs>
          <w:tab w:val="clear" w:pos="3402"/>
        </w:tabs>
        <w:spacing w:line="276" w:lineRule="auto"/>
        <w:rPr>
          <w:rFonts w:cs="Arial"/>
          <w:szCs w:val="20"/>
          <w:lang w:val="sl-SI"/>
        </w:rPr>
      </w:pPr>
    </w:p>
    <w:p w:rsidR="0077375B" w:rsidRPr="00560F9E" w:rsidP="0077375B" w14:paraId="76D4734B" w14:textId="17252A51">
      <w:pPr>
        <w:pStyle w:val="podpisi"/>
        <w:tabs>
          <w:tab w:val="clear" w:pos="3402"/>
        </w:tabs>
        <w:spacing w:line="276" w:lineRule="auto"/>
        <w:rPr>
          <w:rFonts w:cs="Arial"/>
          <w:szCs w:val="20"/>
          <w:lang w:val="sl-SI"/>
        </w:rPr>
      </w:pPr>
      <w:r w:rsidRPr="00560F9E">
        <w:rPr>
          <w:rFonts w:cs="Arial"/>
          <w:szCs w:val="20"/>
          <w:lang w:val="sl-SI"/>
        </w:rPr>
        <w:t>Poslano:</w:t>
      </w:r>
    </w:p>
    <w:p w:rsidR="0077375B" w:rsidRPr="00560F9E" w:rsidP="00FC64BD" w14:paraId="4F580E6A" w14:textId="77777777">
      <w:pPr>
        <w:pStyle w:val="podpisi"/>
        <w:numPr>
          <w:ilvl w:val="0"/>
          <w:numId w:val="38"/>
        </w:numPr>
        <w:tabs>
          <w:tab w:val="clear" w:pos="3402"/>
        </w:tabs>
        <w:spacing w:line="276" w:lineRule="auto"/>
        <w:rPr>
          <w:rFonts w:cs="Arial"/>
          <w:szCs w:val="20"/>
          <w:lang w:val="sl-SI"/>
        </w:rPr>
      </w:pPr>
      <w:r>
        <w:rPr>
          <w:rFonts w:cs="Arial"/>
          <w:szCs w:val="20"/>
          <w:lang w:val="sl-SI"/>
        </w:rPr>
        <w:t>n</w:t>
      </w:r>
      <w:r w:rsidRPr="00560F9E">
        <w:rPr>
          <w:rFonts w:cs="Arial"/>
          <w:szCs w:val="20"/>
          <w:lang w:val="sl-SI"/>
        </w:rPr>
        <w:t>aslovnik</w:t>
      </w:r>
      <w:r>
        <w:rPr>
          <w:rFonts w:cs="Arial"/>
          <w:szCs w:val="20"/>
          <w:lang w:val="sl-SI"/>
        </w:rPr>
        <w:t>,</w:t>
      </w:r>
    </w:p>
    <w:p w:rsidR="0077375B" w:rsidRPr="00560F9E" w:rsidP="00FC64BD" w14:paraId="002DD041" w14:textId="77777777">
      <w:pPr>
        <w:pStyle w:val="podpisi"/>
        <w:numPr>
          <w:ilvl w:val="0"/>
          <w:numId w:val="38"/>
        </w:numPr>
        <w:tabs>
          <w:tab w:val="clear" w:pos="3402"/>
        </w:tabs>
        <w:spacing w:line="276" w:lineRule="auto"/>
        <w:rPr>
          <w:rFonts w:cs="Arial"/>
          <w:szCs w:val="20"/>
          <w:lang w:val="sl-SI"/>
        </w:rPr>
      </w:pPr>
      <w:r w:rsidRPr="00560F9E">
        <w:rPr>
          <w:rFonts w:cs="Arial"/>
          <w:szCs w:val="20"/>
          <w:lang w:val="sl-SI"/>
        </w:rPr>
        <w:t>URSZR</w:t>
      </w:r>
      <w:r>
        <w:rPr>
          <w:rFonts w:cs="Arial"/>
          <w:szCs w:val="20"/>
          <w:lang w:val="sl-SI"/>
        </w:rPr>
        <w:t>,</w:t>
      </w:r>
    </w:p>
    <w:p w:rsidR="0077375B" w:rsidRPr="00560F9E" w:rsidP="00FC64BD" w14:paraId="789AF59F" w14:textId="77777777">
      <w:pPr>
        <w:pStyle w:val="podpisi"/>
        <w:numPr>
          <w:ilvl w:val="0"/>
          <w:numId w:val="38"/>
        </w:numPr>
        <w:tabs>
          <w:tab w:val="clear" w:pos="3402"/>
        </w:tabs>
        <w:spacing w:line="276" w:lineRule="auto"/>
        <w:rPr>
          <w:rFonts w:cs="Arial"/>
          <w:szCs w:val="20"/>
          <w:lang w:val="sl-SI"/>
        </w:rPr>
      </w:pPr>
      <w:r w:rsidRPr="00560F9E">
        <w:rPr>
          <w:rFonts w:cs="Arial"/>
          <w:szCs w:val="20"/>
          <w:lang w:val="sl-SI"/>
        </w:rPr>
        <w:t>SGS</w:t>
      </w:r>
      <w:r>
        <w:rPr>
          <w:rFonts w:cs="Arial"/>
          <w:szCs w:val="20"/>
          <w:lang w:val="sl-SI"/>
        </w:rPr>
        <w:t>.</w:t>
      </w:r>
    </w:p>
    <w:p w:rsidR="0077375B" w:rsidRPr="00560F9E" w:rsidP="0077375B" w14:paraId="6BCDD4D0" w14:textId="77777777">
      <w:pPr>
        <w:rPr>
          <w:rFonts w:ascii="Arial" w:hAnsi="Arial" w:cs="Arial"/>
          <w:sz w:val="20"/>
          <w:szCs w:val="20"/>
        </w:rPr>
      </w:pPr>
    </w:p>
    <w:p w:rsidR="0077375B" w:rsidRPr="00560F9E" w:rsidP="0077375B" w14:paraId="526A281F" w14:textId="77777777">
      <w:pPr>
        <w:rPr>
          <w:rFonts w:ascii="Arial" w:hAnsi="Arial" w:cs="Arial"/>
          <w:sz w:val="20"/>
          <w:szCs w:val="20"/>
        </w:rPr>
      </w:pPr>
    </w:p>
    <w:p w:rsidR="0077375B" w:rsidP="0077375B" w14:paraId="4D921124" w14:textId="77777777">
      <w:pPr>
        <w:rPr>
          <w:rFonts w:ascii="Arial" w:hAnsi="Arial" w:cs="Arial"/>
          <w:sz w:val="20"/>
          <w:szCs w:val="20"/>
        </w:rPr>
      </w:pPr>
    </w:p>
    <w:p w:rsidR="0077375B" w:rsidP="0077375B" w14:paraId="77A870C9" w14:textId="77777777">
      <w:pPr>
        <w:rPr>
          <w:rFonts w:ascii="Arial" w:hAnsi="Arial" w:cs="Arial"/>
          <w:sz w:val="20"/>
          <w:szCs w:val="20"/>
        </w:rPr>
      </w:pPr>
    </w:p>
    <w:p w:rsidR="0077375B" w:rsidP="0077375B" w14:paraId="13FBBFA4" w14:textId="77777777">
      <w:pPr>
        <w:rPr>
          <w:rFonts w:ascii="Arial" w:hAnsi="Arial" w:cs="Arial"/>
          <w:sz w:val="20"/>
          <w:szCs w:val="20"/>
        </w:rPr>
      </w:pPr>
    </w:p>
    <w:p w:rsidR="0077375B" w:rsidP="0077375B" w14:paraId="3BF3AA5B" w14:textId="77777777">
      <w:pPr>
        <w:rPr>
          <w:rFonts w:ascii="Arial" w:hAnsi="Arial" w:cs="Arial"/>
          <w:sz w:val="20"/>
          <w:szCs w:val="20"/>
        </w:rPr>
      </w:pPr>
    </w:p>
    <w:p w:rsidR="0077375B" w:rsidP="0077375B" w14:paraId="0DDB2C3E" w14:textId="77777777">
      <w:pPr>
        <w:rPr>
          <w:rFonts w:ascii="Arial" w:hAnsi="Arial" w:cs="Arial"/>
          <w:sz w:val="20"/>
          <w:szCs w:val="20"/>
        </w:rPr>
      </w:pPr>
    </w:p>
    <w:p w:rsidR="0077375B" w:rsidP="0077375B" w14:paraId="2C3D0F6E" w14:textId="77777777">
      <w:pPr>
        <w:rPr>
          <w:rFonts w:ascii="Arial" w:hAnsi="Arial" w:cs="Arial"/>
          <w:sz w:val="20"/>
          <w:szCs w:val="20"/>
        </w:rPr>
      </w:pPr>
    </w:p>
    <w:p w:rsidR="0077375B" w:rsidP="0077375B" w14:paraId="3D85BEAF" w14:textId="77777777">
      <w:pPr>
        <w:rPr>
          <w:rFonts w:ascii="Arial" w:hAnsi="Arial" w:cs="Arial"/>
          <w:sz w:val="20"/>
          <w:szCs w:val="20"/>
        </w:rPr>
      </w:pPr>
    </w:p>
    <w:p w:rsidR="0077375B" w:rsidP="0077375B" w14:paraId="4EF1239A" w14:textId="77777777">
      <w:pPr>
        <w:rPr>
          <w:rFonts w:ascii="Arial" w:hAnsi="Arial" w:cs="Arial"/>
          <w:sz w:val="20"/>
          <w:szCs w:val="20"/>
        </w:rPr>
      </w:pPr>
    </w:p>
    <w:p w:rsidR="0077375B" w:rsidP="0077375B" w14:paraId="13EFB798" w14:textId="77777777">
      <w:pPr>
        <w:rPr>
          <w:rFonts w:ascii="Arial" w:hAnsi="Arial" w:cs="Arial"/>
          <w:sz w:val="20"/>
          <w:szCs w:val="20"/>
        </w:rPr>
      </w:pPr>
    </w:p>
    <w:p w:rsidR="009A6AA3" w:rsidP="0077375B" w14:paraId="31EEB607" w14:textId="6966BB5E">
      <w:pPr>
        <w:suppressAutoHyphens/>
        <w:overflowPunct w:val="0"/>
        <w:autoSpaceDE w:val="0"/>
        <w:autoSpaceDN w:val="0"/>
        <w:adjustRightInd w:val="0"/>
        <w:spacing w:line="260" w:lineRule="exact"/>
        <w:jc w:val="both"/>
        <w:textAlignment w:val="baseline"/>
        <w:rPr>
          <w:rFonts w:ascii="Arial" w:hAnsi="Arial" w:cs="Arial"/>
          <w:sz w:val="20"/>
          <w:szCs w:val="20"/>
        </w:rPr>
      </w:pPr>
    </w:p>
    <w:p w:rsidR="00E30215" w:rsidRPr="00A742E4" w:rsidP="00E30215" w14:paraId="787455D1" w14:textId="77777777">
      <w:pPr>
        <w:suppressAutoHyphens/>
        <w:overflowPunct w:val="0"/>
        <w:autoSpaceDE w:val="0"/>
        <w:autoSpaceDN w:val="0"/>
        <w:adjustRightInd w:val="0"/>
        <w:spacing w:line="260" w:lineRule="exact"/>
        <w:jc w:val="both"/>
        <w:textAlignment w:val="baseline"/>
        <w:rPr>
          <w:rFonts w:ascii="Arial" w:hAnsi="Arial" w:cs="Arial"/>
          <w:b/>
          <w:lang w:eastAsia="sl-SI"/>
        </w:rPr>
      </w:pPr>
      <w:r w:rsidRPr="00A742E4">
        <w:rPr>
          <w:rFonts w:ascii="Arial" w:hAnsi="Arial" w:cs="Arial"/>
          <w:b/>
          <w:lang w:eastAsia="sl-SI"/>
        </w:rPr>
        <w:t>PRILOGA 3 (jedro gradiva):</w:t>
      </w:r>
    </w:p>
    <w:p w:rsidR="00E30215" w:rsidRPr="00A742E4" w:rsidP="001D1F11" w14:paraId="6D476390" w14:textId="4EBF32B4">
      <w:pPr>
        <w:spacing w:after="0"/>
        <w:jc w:val="right"/>
        <w:rPr>
          <w:rFonts w:ascii="Arial" w:hAnsi="Arial" w:cs="Arial"/>
          <w:b/>
          <w:sz w:val="20"/>
          <w:szCs w:val="20"/>
        </w:rPr>
      </w:pPr>
      <w:r w:rsidRPr="00A742E4">
        <w:rPr>
          <w:rFonts w:ascii="Arial" w:hAnsi="Arial" w:cs="Arial"/>
          <w:b/>
          <w:sz w:val="20"/>
          <w:szCs w:val="20"/>
        </w:rPr>
        <w:t>PREDLOG</w:t>
      </w:r>
    </w:p>
    <w:p w:rsidR="00E30215" w:rsidRPr="001D1F11" w:rsidP="001D1F11" w14:paraId="759E465A" w14:textId="40B1A343">
      <w:pPr>
        <w:jc w:val="right"/>
        <w:rPr>
          <w:rFonts w:ascii="Arial" w:hAnsi="Arial" w:cs="Arial"/>
          <w:b/>
          <w:sz w:val="20"/>
          <w:szCs w:val="20"/>
        </w:rPr>
      </w:pPr>
      <w:r w:rsidRPr="00A742E4">
        <w:rPr>
          <w:rFonts w:ascii="Arial" w:hAnsi="Arial" w:cs="Arial"/>
          <w:b/>
          <w:sz w:val="20"/>
          <w:szCs w:val="20"/>
        </w:rPr>
        <w:t>EVA 2024-1911-0022</w:t>
      </w:r>
    </w:p>
    <w:p w:rsidR="00E30215" w:rsidRPr="00A742E4" w:rsidP="002E64A4" w14:paraId="53FDDCBC" w14:textId="77777777">
      <w:pPr>
        <w:spacing w:after="0"/>
        <w:ind w:firstLine="1021"/>
        <w:jc w:val="both"/>
        <w:rPr>
          <w:rFonts w:ascii="Arial" w:hAnsi="Arial" w:cs="Arial"/>
          <w:iCs/>
          <w:sz w:val="20"/>
          <w:szCs w:val="20"/>
        </w:rPr>
      </w:pPr>
      <w:r w:rsidRPr="00A742E4">
        <w:rPr>
          <w:rFonts w:ascii="Arial" w:hAnsi="Arial" w:cs="Arial"/>
          <w:iCs/>
          <w:sz w:val="20"/>
          <w:szCs w:val="20"/>
        </w:rPr>
        <w:t xml:space="preserve">Na podlagi drugega odstavka </w:t>
      </w:r>
      <w:smartTag w:uri="urn:schemas-microsoft-com:office:smarttags" w:element="metricconverter">
        <w:smartTagPr>
          <w:attr w:name="ProductID" w:val="49. in"/>
        </w:smartTagPr>
        <w:r w:rsidRPr="00A742E4">
          <w:rPr>
            <w:rFonts w:ascii="Arial" w:hAnsi="Arial" w:cs="Arial"/>
            <w:iCs/>
            <w:sz w:val="20"/>
            <w:szCs w:val="20"/>
          </w:rPr>
          <w:t>49. in</w:t>
        </w:r>
      </w:smartTag>
      <w:r w:rsidRPr="00A742E4">
        <w:rPr>
          <w:rFonts w:ascii="Arial" w:hAnsi="Arial" w:cs="Arial"/>
          <w:iCs/>
          <w:sz w:val="20"/>
          <w:szCs w:val="20"/>
        </w:rPr>
        <w:t xml:space="preserve"> tretjega odstavka 56. člena Zakona o varstvu pred naravnimi in drugimi nesrečami (Uradni list RS, št. 51/06 – uradno prečiščeno besedilo, 97/10, 21/18 – </w:t>
      </w:r>
      <w:r w:rsidRPr="00A742E4">
        <w:rPr>
          <w:rFonts w:ascii="Arial" w:hAnsi="Arial" w:cs="Arial"/>
          <w:iCs/>
          <w:sz w:val="20"/>
          <w:szCs w:val="20"/>
        </w:rPr>
        <w:t>ZNOrg</w:t>
      </w:r>
      <w:r w:rsidRPr="00A742E4">
        <w:rPr>
          <w:rFonts w:ascii="Arial" w:hAnsi="Arial" w:cs="Arial"/>
          <w:iCs/>
          <w:sz w:val="20"/>
          <w:szCs w:val="20"/>
        </w:rPr>
        <w:t xml:space="preserve"> in 117/22) Vlada Republike Slovenije izdaja</w:t>
      </w:r>
    </w:p>
    <w:p w:rsidR="00E30215" w:rsidRPr="00A742E4" w:rsidP="002E64A4" w14:paraId="14415BDE" w14:textId="30D31E19">
      <w:pPr>
        <w:spacing w:after="0"/>
        <w:rPr>
          <w:rFonts w:ascii="Arial" w:hAnsi="Arial" w:cs="Arial"/>
          <w:sz w:val="20"/>
          <w:szCs w:val="20"/>
        </w:rPr>
      </w:pPr>
    </w:p>
    <w:p w:rsidR="00E30215" w:rsidRPr="00A742E4" w:rsidP="002E64A4" w14:paraId="2A6E1F8D" w14:textId="77777777">
      <w:pPr>
        <w:spacing w:after="0"/>
        <w:jc w:val="center"/>
        <w:rPr>
          <w:rFonts w:ascii="Arial" w:hAnsi="Arial" w:cs="Arial"/>
          <w:b/>
          <w:iCs/>
          <w:sz w:val="20"/>
          <w:szCs w:val="20"/>
        </w:rPr>
      </w:pPr>
      <w:r w:rsidRPr="00A742E4">
        <w:rPr>
          <w:rFonts w:ascii="Arial" w:hAnsi="Arial" w:cs="Arial"/>
          <w:b/>
          <w:iCs/>
          <w:sz w:val="20"/>
          <w:szCs w:val="20"/>
        </w:rPr>
        <w:t>U R E D B O</w:t>
      </w:r>
    </w:p>
    <w:p w:rsidR="00E30215" w:rsidRPr="001D1F11" w:rsidP="001D1F11" w14:paraId="40059D5B" w14:textId="2868F320">
      <w:pPr>
        <w:jc w:val="center"/>
        <w:rPr>
          <w:rFonts w:ascii="Arial" w:hAnsi="Arial" w:cs="Arial"/>
          <w:b/>
          <w:iCs/>
          <w:sz w:val="20"/>
          <w:szCs w:val="20"/>
        </w:rPr>
      </w:pPr>
      <w:r w:rsidRPr="00A742E4">
        <w:rPr>
          <w:rFonts w:ascii="Arial" w:hAnsi="Arial" w:cs="Arial"/>
          <w:b/>
          <w:iCs/>
          <w:sz w:val="20"/>
          <w:szCs w:val="20"/>
        </w:rPr>
        <w:t xml:space="preserve">o spremembah in dopolnitvah </w:t>
      </w:r>
      <w:bookmarkStart w:id="3" w:name="_Hlk165303555"/>
      <w:r w:rsidRPr="00A742E4">
        <w:rPr>
          <w:rFonts w:ascii="Arial" w:hAnsi="Arial" w:cs="Arial"/>
          <w:b/>
          <w:iCs/>
          <w:sz w:val="20"/>
          <w:szCs w:val="20"/>
        </w:rPr>
        <w:t>Uredbe o organizaciji in delovanju sistema opazovanja, obveščanja in alarmiranja</w:t>
      </w:r>
      <w:bookmarkEnd w:id="3"/>
    </w:p>
    <w:p w:rsidR="00E30215" w:rsidRPr="00A742E4" w:rsidP="00E30215" w14:paraId="32728154" w14:textId="77777777">
      <w:pPr>
        <w:jc w:val="center"/>
        <w:rPr>
          <w:rFonts w:ascii="Arial" w:hAnsi="Arial" w:cs="Arial"/>
          <w:b/>
          <w:iCs/>
          <w:sz w:val="20"/>
          <w:szCs w:val="20"/>
        </w:rPr>
      </w:pPr>
    </w:p>
    <w:p w:rsidR="00E30215" w:rsidRPr="00A742E4" w:rsidP="001D1F11" w14:paraId="6DD8421D" w14:textId="77777777">
      <w:pPr>
        <w:spacing w:after="0"/>
        <w:jc w:val="center"/>
        <w:rPr>
          <w:rFonts w:ascii="Arial" w:hAnsi="Arial" w:cs="Arial"/>
          <w:b/>
          <w:bCs/>
          <w:iCs/>
          <w:sz w:val="20"/>
          <w:szCs w:val="20"/>
        </w:rPr>
      </w:pPr>
      <w:r w:rsidRPr="00A742E4">
        <w:rPr>
          <w:rFonts w:ascii="Arial" w:hAnsi="Arial" w:cs="Arial"/>
          <w:b/>
          <w:bCs/>
          <w:iCs/>
          <w:sz w:val="20"/>
          <w:szCs w:val="20"/>
        </w:rPr>
        <w:t>1. člen</w:t>
      </w:r>
    </w:p>
    <w:p w:rsidR="00E30215" w:rsidRPr="00A742E4" w:rsidP="001D1F11" w14:paraId="1C6D4122" w14:textId="77777777">
      <w:pPr>
        <w:spacing w:after="0"/>
        <w:jc w:val="center"/>
        <w:rPr>
          <w:rFonts w:ascii="Arial" w:hAnsi="Arial" w:cs="Arial"/>
          <w:b/>
          <w:iCs/>
          <w:sz w:val="20"/>
          <w:szCs w:val="20"/>
        </w:rPr>
      </w:pPr>
    </w:p>
    <w:p w:rsidR="00E30215" w:rsidRPr="00A742E4" w:rsidP="001D1F11" w14:paraId="26686CBA" w14:textId="77777777">
      <w:pPr>
        <w:spacing w:after="0"/>
        <w:ind w:firstLine="1021"/>
        <w:jc w:val="both"/>
        <w:rPr>
          <w:rFonts w:ascii="Arial" w:hAnsi="Arial" w:cs="Arial"/>
          <w:iCs/>
          <w:sz w:val="20"/>
          <w:szCs w:val="20"/>
        </w:rPr>
      </w:pPr>
      <w:r w:rsidRPr="00A742E4">
        <w:rPr>
          <w:rFonts w:ascii="Arial" w:hAnsi="Arial" w:cs="Arial"/>
          <w:iCs/>
          <w:sz w:val="20"/>
          <w:szCs w:val="20"/>
        </w:rPr>
        <w:t>V Uredbi o organizaciji in delovanju sistema opazovanja, obveščanja in alarmiranja (Uradni list RS, št. 105/07, 39/23 in 89/23 – popr.) se v 1. členu v prvem odstavku vejica za besedo »državnega« nadomesti z besedo »in«, besedilo »in območnih« pa se črta.</w:t>
      </w:r>
    </w:p>
    <w:p w:rsidR="00E30215" w:rsidRPr="00A742E4" w:rsidP="001D1F11" w14:paraId="0F1FD7F7" w14:textId="77777777">
      <w:pPr>
        <w:spacing w:after="0"/>
        <w:jc w:val="both"/>
        <w:rPr>
          <w:rFonts w:ascii="Arial" w:hAnsi="Arial" w:cs="Arial"/>
          <w:iCs/>
          <w:sz w:val="20"/>
          <w:szCs w:val="20"/>
        </w:rPr>
      </w:pPr>
    </w:p>
    <w:p w:rsidR="00E30215" w:rsidRPr="00A742E4" w:rsidP="001D1F11" w14:paraId="53ACE1A4" w14:textId="77777777">
      <w:pPr>
        <w:spacing w:after="0"/>
        <w:jc w:val="center"/>
        <w:rPr>
          <w:rFonts w:ascii="Arial" w:hAnsi="Arial" w:cs="Arial"/>
          <w:b/>
          <w:iCs/>
          <w:sz w:val="20"/>
          <w:szCs w:val="20"/>
        </w:rPr>
      </w:pPr>
      <w:r w:rsidRPr="00A742E4">
        <w:rPr>
          <w:rFonts w:ascii="Arial" w:hAnsi="Arial" w:cs="Arial"/>
          <w:b/>
          <w:iCs/>
          <w:sz w:val="20"/>
          <w:szCs w:val="20"/>
        </w:rPr>
        <w:t>2. člen</w:t>
      </w:r>
    </w:p>
    <w:p w:rsidR="00E30215" w:rsidRPr="00A742E4" w:rsidP="001D1F11" w14:paraId="2A593249" w14:textId="77777777">
      <w:pPr>
        <w:spacing w:after="0"/>
        <w:ind w:firstLine="1021"/>
        <w:jc w:val="both"/>
        <w:rPr>
          <w:rFonts w:ascii="Arial" w:hAnsi="Arial" w:cs="Arial"/>
          <w:iCs/>
          <w:sz w:val="20"/>
          <w:szCs w:val="20"/>
        </w:rPr>
      </w:pPr>
    </w:p>
    <w:p w:rsidR="00E30215" w:rsidRPr="00A742E4" w:rsidP="00E30215" w14:paraId="3AEAEEF7" w14:textId="77777777">
      <w:pPr>
        <w:ind w:firstLine="1021"/>
        <w:jc w:val="both"/>
        <w:rPr>
          <w:rFonts w:ascii="Arial" w:hAnsi="Arial" w:cs="Arial"/>
          <w:sz w:val="20"/>
          <w:szCs w:val="20"/>
        </w:rPr>
      </w:pPr>
      <w:r w:rsidRPr="00A742E4">
        <w:rPr>
          <w:rFonts w:ascii="Arial" w:hAnsi="Arial" w:cs="Arial"/>
          <w:iCs/>
          <w:sz w:val="20"/>
          <w:szCs w:val="20"/>
        </w:rPr>
        <w:t xml:space="preserve">V 2. členu se v napovednem besedilu v prvem stavku črta besedilo »telefaksu,«. </w:t>
      </w:r>
    </w:p>
    <w:p w:rsidR="00E30215" w:rsidRPr="00A742E4" w:rsidP="00E30215" w14:paraId="61DE4867" w14:textId="77777777">
      <w:pPr>
        <w:jc w:val="both"/>
        <w:rPr>
          <w:rFonts w:ascii="Arial" w:hAnsi="Arial" w:cs="Arial"/>
          <w:sz w:val="20"/>
          <w:szCs w:val="20"/>
        </w:rPr>
      </w:pPr>
    </w:p>
    <w:p w:rsidR="00E30215" w:rsidRPr="00A742E4" w:rsidP="001D1F11" w14:paraId="278C8CFB" w14:textId="77777777">
      <w:pPr>
        <w:spacing w:after="0"/>
        <w:jc w:val="center"/>
        <w:rPr>
          <w:rFonts w:ascii="Arial" w:hAnsi="Arial" w:cs="Arial"/>
          <w:b/>
          <w:bCs/>
          <w:iCs/>
          <w:sz w:val="20"/>
          <w:szCs w:val="20"/>
        </w:rPr>
      </w:pPr>
      <w:r w:rsidRPr="00A742E4">
        <w:rPr>
          <w:rFonts w:ascii="Arial" w:hAnsi="Arial" w:cs="Arial"/>
          <w:b/>
          <w:bCs/>
          <w:iCs/>
          <w:sz w:val="20"/>
          <w:szCs w:val="20"/>
        </w:rPr>
        <w:t>3. člen</w:t>
      </w:r>
    </w:p>
    <w:p w:rsidR="00E30215" w:rsidRPr="00A742E4" w:rsidP="001D1F11" w14:paraId="560952CC" w14:textId="77777777">
      <w:pPr>
        <w:spacing w:after="0"/>
        <w:jc w:val="center"/>
        <w:rPr>
          <w:rFonts w:ascii="Arial" w:hAnsi="Arial" w:cs="Arial"/>
          <w:sz w:val="20"/>
          <w:szCs w:val="20"/>
        </w:rPr>
      </w:pPr>
    </w:p>
    <w:p w:rsidR="00E30215" w:rsidRPr="00A742E4" w:rsidP="00E30215" w14:paraId="3EBA3F3D" w14:textId="77777777">
      <w:pPr>
        <w:ind w:firstLine="1021"/>
        <w:jc w:val="both"/>
        <w:rPr>
          <w:rFonts w:ascii="Arial" w:hAnsi="Arial" w:cs="Arial"/>
          <w:b/>
          <w:iCs/>
          <w:sz w:val="20"/>
          <w:szCs w:val="20"/>
        </w:rPr>
      </w:pPr>
      <w:r w:rsidRPr="00A742E4">
        <w:rPr>
          <w:rFonts w:ascii="Arial" w:hAnsi="Arial" w:cs="Arial"/>
          <w:iCs/>
          <w:sz w:val="20"/>
          <w:szCs w:val="20"/>
        </w:rPr>
        <w:t xml:space="preserve">V 3. členu se v prvem odstavku za besedo »navesti« doda besedilo »stopnjo kritičnosti dogodka iz 3.a člena,«, za besedilom »nadaljnjih možnih posledicah« pa se dodata vejica in besedilo »območjih, ki jih lahko možne posledice prizadenejo«. </w:t>
      </w:r>
    </w:p>
    <w:p w:rsidR="00E30215" w:rsidRPr="00A742E4" w:rsidP="00E30215" w14:paraId="0A18ECEB" w14:textId="77777777">
      <w:pPr>
        <w:jc w:val="center"/>
        <w:rPr>
          <w:rFonts w:ascii="Arial" w:hAnsi="Arial" w:cs="Arial"/>
          <w:b/>
          <w:iCs/>
          <w:sz w:val="20"/>
          <w:szCs w:val="20"/>
        </w:rPr>
      </w:pPr>
    </w:p>
    <w:p w:rsidR="00E30215" w:rsidRPr="00A742E4" w:rsidP="001D1F11" w14:paraId="79459A1B" w14:textId="77777777">
      <w:pPr>
        <w:spacing w:after="0"/>
        <w:jc w:val="center"/>
        <w:rPr>
          <w:rFonts w:ascii="Arial" w:hAnsi="Arial" w:cs="Arial"/>
          <w:b/>
          <w:iCs/>
          <w:sz w:val="20"/>
          <w:szCs w:val="20"/>
        </w:rPr>
      </w:pPr>
      <w:r w:rsidRPr="00A742E4">
        <w:rPr>
          <w:rFonts w:ascii="Arial" w:hAnsi="Arial" w:cs="Arial"/>
          <w:b/>
          <w:iCs/>
          <w:sz w:val="20"/>
          <w:szCs w:val="20"/>
        </w:rPr>
        <w:t>4. člen</w:t>
      </w:r>
    </w:p>
    <w:p w:rsidR="00E30215" w:rsidRPr="00A742E4" w:rsidP="001D1F11" w14:paraId="7E35FA7C" w14:textId="77777777">
      <w:pPr>
        <w:spacing w:after="0"/>
        <w:ind w:firstLine="1021"/>
        <w:jc w:val="both"/>
        <w:rPr>
          <w:rFonts w:ascii="Arial" w:hAnsi="Arial" w:cs="Arial"/>
          <w:iCs/>
          <w:sz w:val="20"/>
          <w:szCs w:val="20"/>
        </w:rPr>
      </w:pPr>
    </w:p>
    <w:p w:rsidR="00E30215" w:rsidRPr="00A742E4" w:rsidP="001D1F11" w14:paraId="77D770D6" w14:textId="77777777">
      <w:pPr>
        <w:spacing w:after="0"/>
        <w:ind w:firstLine="1021"/>
        <w:jc w:val="both"/>
        <w:rPr>
          <w:rFonts w:ascii="Arial" w:hAnsi="Arial" w:cs="Arial"/>
          <w:iCs/>
          <w:sz w:val="20"/>
          <w:szCs w:val="20"/>
        </w:rPr>
      </w:pPr>
      <w:r w:rsidRPr="00A742E4">
        <w:rPr>
          <w:rFonts w:ascii="Arial" w:hAnsi="Arial" w:cs="Arial"/>
          <w:iCs/>
          <w:sz w:val="20"/>
          <w:szCs w:val="20"/>
        </w:rPr>
        <w:t xml:space="preserve">Za 3. členom se doda nov, 3.a člen, ki se glasi: </w:t>
      </w:r>
    </w:p>
    <w:p w:rsidR="00E30215" w:rsidRPr="00A742E4" w:rsidP="001D1F11" w14:paraId="1F10C372" w14:textId="77777777">
      <w:pPr>
        <w:spacing w:after="0"/>
        <w:ind w:firstLine="1021"/>
        <w:jc w:val="both"/>
        <w:rPr>
          <w:rFonts w:ascii="Arial" w:hAnsi="Arial" w:cs="Arial"/>
          <w:iCs/>
          <w:sz w:val="20"/>
          <w:szCs w:val="20"/>
        </w:rPr>
      </w:pPr>
    </w:p>
    <w:p w:rsidR="00E30215" w:rsidRPr="00A742E4" w:rsidP="001D1F11" w14:paraId="6126B013" w14:textId="77777777">
      <w:pPr>
        <w:spacing w:after="0"/>
        <w:jc w:val="center"/>
        <w:rPr>
          <w:rFonts w:ascii="Arial" w:hAnsi="Arial" w:cs="Arial"/>
          <w:b/>
          <w:iCs/>
          <w:sz w:val="20"/>
          <w:szCs w:val="20"/>
        </w:rPr>
      </w:pPr>
      <w:r w:rsidRPr="00A742E4">
        <w:rPr>
          <w:rFonts w:ascii="Arial" w:hAnsi="Arial" w:cs="Arial"/>
          <w:b/>
          <w:iCs/>
          <w:sz w:val="20"/>
          <w:szCs w:val="20"/>
        </w:rPr>
        <w:t>»3.a člen</w:t>
      </w:r>
    </w:p>
    <w:p w:rsidR="00E30215" w:rsidRPr="00A742E4" w:rsidP="001D1F11" w14:paraId="243DA391" w14:textId="77777777">
      <w:pPr>
        <w:spacing w:after="0"/>
        <w:jc w:val="center"/>
        <w:rPr>
          <w:rFonts w:ascii="Arial" w:hAnsi="Arial" w:cs="Arial"/>
          <w:b/>
          <w:iCs/>
          <w:sz w:val="20"/>
          <w:szCs w:val="20"/>
        </w:rPr>
      </w:pPr>
      <w:r w:rsidRPr="00A742E4">
        <w:rPr>
          <w:rFonts w:ascii="Arial" w:hAnsi="Arial" w:cs="Arial"/>
          <w:b/>
          <w:iCs/>
          <w:sz w:val="20"/>
          <w:szCs w:val="20"/>
        </w:rPr>
        <w:t>(stopnji kritičnosti dogodka)</w:t>
      </w:r>
    </w:p>
    <w:p w:rsidR="00E30215" w:rsidRPr="00A742E4" w:rsidP="001D1F11" w14:paraId="6BB8C345" w14:textId="77777777">
      <w:pPr>
        <w:spacing w:after="0"/>
        <w:ind w:firstLine="1021"/>
        <w:jc w:val="both"/>
        <w:rPr>
          <w:rFonts w:ascii="Arial" w:hAnsi="Arial" w:cs="Arial"/>
          <w:iCs/>
          <w:sz w:val="20"/>
          <w:szCs w:val="20"/>
        </w:rPr>
      </w:pPr>
    </w:p>
    <w:p w:rsidR="00E30215" w:rsidRPr="00A742E4" w:rsidP="00E30215" w14:paraId="2A2826DA" w14:textId="77777777">
      <w:pPr>
        <w:ind w:firstLine="1021"/>
        <w:jc w:val="both"/>
        <w:rPr>
          <w:rFonts w:ascii="Arial" w:hAnsi="Arial" w:cs="Arial"/>
          <w:iCs/>
          <w:sz w:val="20"/>
          <w:szCs w:val="20"/>
        </w:rPr>
      </w:pPr>
      <w:r w:rsidRPr="00A742E4">
        <w:rPr>
          <w:rFonts w:ascii="Arial" w:hAnsi="Arial" w:cs="Arial"/>
          <w:iCs/>
          <w:sz w:val="20"/>
          <w:szCs w:val="20"/>
        </w:rPr>
        <w:t xml:space="preserve">Stopnji kritičnosti dogodka sta:  </w:t>
      </w:r>
    </w:p>
    <w:p w:rsidR="00E30215" w:rsidRPr="00A742E4" w:rsidP="00E30215" w14:paraId="61674B8A" w14:textId="77777777">
      <w:pPr>
        <w:pStyle w:val="ListParagraph"/>
        <w:numPr>
          <w:ilvl w:val="0"/>
          <w:numId w:val="37"/>
        </w:numPr>
        <w:jc w:val="both"/>
        <w:rPr>
          <w:rFonts w:ascii="Arial" w:hAnsi="Arial" w:cs="Arial"/>
          <w:sz w:val="20"/>
          <w:szCs w:val="20"/>
        </w:rPr>
      </w:pPr>
      <w:r w:rsidRPr="00A742E4">
        <w:rPr>
          <w:rFonts w:ascii="Arial" w:hAnsi="Arial" w:cs="Arial"/>
          <w:iCs/>
          <w:sz w:val="20"/>
          <w:szCs w:val="20"/>
        </w:rPr>
        <w:t>stopnja bližajoče se nevarnosti, ki je podana v primeru bližajoče se nevarnosti naravne in druge nesreče;</w:t>
      </w:r>
    </w:p>
    <w:p w:rsidR="00E30215" w:rsidRPr="002E64A4" w:rsidP="00E30215" w14:paraId="257806E0" w14:textId="3850A694">
      <w:pPr>
        <w:pStyle w:val="ListParagraph"/>
        <w:numPr>
          <w:ilvl w:val="0"/>
          <w:numId w:val="37"/>
        </w:numPr>
        <w:jc w:val="both"/>
        <w:rPr>
          <w:rFonts w:ascii="Arial" w:hAnsi="Arial" w:cs="Arial"/>
          <w:iCs/>
          <w:sz w:val="20"/>
          <w:szCs w:val="20"/>
        </w:rPr>
      </w:pPr>
      <w:r w:rsidRPr="00A742E4">
        <w:rPr>
          <w:rFonts w:ascii="Arial" w:hAnsi="Arial" w:cs="Arial"/>
          <w:iCs/>
          <w:sz w:val="20"/>
          <w:szCs w:val="20"/>
        </w:rPr>
        <w:t>stopnja neposredne nevarnosti, ki je podana ob nevarnosti poplave, radiološki in kemični nevarnosti, večjem požaru, nevarnosti vojaškega napada ter ob drugi nevarnosti, ki neposredno ogroža življenje ali zdravje ljudi, živali, premoženje in kulturno dediščino v posameznem naselju ali na širšem poseljenem območju.«.</w:t>
      </w:r>
    </w:p>
    <w:p w:rsidR="00E30215" w:rsidRPr="00A742E4" w:rsidP="001D1F11" w14:paraId="08AC8E81" w14:textId="77777777">
      <w:pPr>
        <w:spacing w:after="0"/>
        <w:jc w:val="center"/>
        <w:rPr>
          <w:rFonts w:ascii="Arial" w:hAnsi="Arial" w:cs="Arial"/>
          <w:b/>
          <w:bCs/>
          <w:iCs/>
          <w:sz w:val="20"/>
          <w:szCs w:val="20"/>
        </w:rPr>
      </w:pPr>
      <w:r w:rsidRPr="00A742E4">
        <w:rPr>
          <w:rFonts w:ascii="Arial" w:hAnsi="Arial" w:cs="Arial"/>
          <w:b/>
          <w:bCs/>
          <w:iCs/>
          <w:sz w:val="20"/>
          <w:szCs w:val="20"/>
        </w:rPr>
        <w:t>5. člen</w:t>
      </w:r>
    </w:p>
    <w:p w:rsidR="00E30215" w:rsidRPr="00A742E4" w:rsidP="001D1F11" w14:paraId="5EE39725" w14:textId="77777777">
      <w:pPr>
        <w:spacing w:after="0"/>
        <w:ind w:firstLine="1021"/>
        <w:jc w:val="both"/>
        <w:rPr>
          <w:rFonts w:ascii="Arial" w:hAnsi="Arial" w:cs="Arial"/>
          <w:iCs/>
          <w:sz w:val="20"/>
          <w:szCs w:val="20"/>
        </w:rPr>
      </w:pPr>
    </w:p>
    <w:p w:rsidR="00E30215" w:rsidP="001D1F11" w14:paraId="5C2A4DB1" w14:textId="464A3F48">
      <w:pPr>
        <w:spacing w:after="0"/>
        <w:ind w:firstLine="1021"/>
        <w:jc w:val="both"/>
        <w:rPr>
          <w:rFonts w:ascii="Arial" w:hAnsi="Arial" w:cs="Arial"/>
          <w:iCs/>
          <w:sz w:val="20"/>
          <w:szCs w:val="20"/>
        </w:rPr>
      </w:pPr>
      <w:r w:rsidRPr="00A742E4">
        <w:rPr>
          <w:rFonts w:ascii="Arial" w:hAnsi="Arial" w:cs="Arial"/>
          <w:iCs/>
          <w:sz w:val="20"/>
          <w:szCs w:val="20"/>
        </w:rPr>
        <w:t xml:space="preserve">V 5. členu se četrti odstavek črta. </w:t>
      </w:r>
    </w:p>
    <w:p w:rsidR="002E64A4" w:rsidRPr="00A742E4" w:rsidP="001D1F11" w14:paraId="296A79FF" w14:textId="77777777">
      <w:pPr>
        <w:spacing w:after="0"/>
        <w:ind w:firstLine="1021"/>
        <w:jc w:val="both"/>
        <w:rPr>
          <w:rFonts w:ascii="Arial" w:hAnsi="Arial" w:cs="Arial"/>
          <w:sz w:val="20"/>
          <w:szCs w:val="20"/>
        </w:rPr>
      </w:pPr>
    </w:p>
    <w:p w:rsidR="00E30215" w:rsidRPr="00A742E4" w:rsidP="001D1F11" w14:paraId="5DF364AD" w14:textId="77777777">
      <w:pPr>
        <w:spacing w:after="0"/>
        <w:jc w:val="both"/>
        <w:rPr>
          <w:rFonts w:ascii="Arial" w:hAnsi="Arial" w:cs="Arial"/>
          <w:sz w:val="20"/>
          <w:szCs w:val="20"/>
        </w:rPr>
      </w:pPr>
    </w:p>
    <w:p w:rsidR="00E30215" w:rsidRPr="00A742E4" w:rsidP="001D1F11" w14:paraId="5D6A37D5" w14:textId="77777777">
      <w:pPr>
        <w:spacing w:after="0"/>
        <w:jc w:val="center"/>
        <w:rPr>
          <w:rFonts w:ascii="Arial" w:hAnsi="Arial" w:cs="Arial"/>
          <w:b/>
          <w:bCs/>
          <w:iCs/>
          <w:sz w:val="20"/>
          <w:szCs w:val="20"/>
        </w:rPr>
      </w:pPr>
      <w:r w:rsidRPr="00A742E4">
        <w:rPr>
          <w:rFonts w:ascii="Arial" w:hAnsi="Arial" w:cs="Arial"/>
          <w:b/>
          <w:bCs/>
          <w:iCs/>
          <w:sz w:val="20"/>
          <w:szCs w:val="20"/>
        </w:rPr>
        <w:t>6. člen</w:t>
      </w:r>
    </w:p>
    <w:p w:rsidR="00E30215" w:rsidRPr="00A742E4" w:rsidP="001D1F11" w14:paraId="4EECD14D" w14:textId="77777777">
      <w:pPr>
        <w:spacing w:after="0"/>
        <w:jc w:val="center"/>
        <w:rPr>
          <w:rFonts w:ascii="Arial" w:hAnsi="Arial" w:cs="Arial"/>
          <w:b/>
          <w:bCs/>
          <w:iCs/>
          <w:sz w:val="20"/>
          <w:szCs w:val="20"/>
        </w:rPr>
      </w:pPr>
    </w:p>
    <w:p w:rsidR="00E30215" w:rsidRPr="00A742E4" w:rsidP="001D1F11" w14:paraId="6E265887" w14:textId="77777777">
      <w:pPr>
        <w:spacing w:after="0"/>
        <w:ind w:firstLine="1021"/>
        <w:jc w:val="both"/>
        <w:rPr>
          <w:rFonts w:ascii="Arial" w:hAnsi="Arial" w:cs="Arial"/>
          <w:iCs/>
          <w:sz w:val="20"/>
          <w:szCs w:val="20"/>
        </w:rPr>
      </w:pPr>
      <w:r w:rsidRPr="00A742E4">
        <w:rPr>
          <w:rFonts w:ascii="Arial" w:hAnsi="Arial" w:cs="Arial"/>
          <w:iCs/>
          <w:sz w:val="20"/>
          <w:szCs w:val="20"/>
        </w:rPr>
        <w:t xml:space="preserve">V 6. členu se v prvem odstavku za besedilom »Republike Slovenije« vejica nadomesti z besedo »in«, za besedilom »v regijskih« pa se črta besedilo »in območnih«. </w:t>
      </w:r>
    </w:p>
    <w:p w:rsidR="00E30215" w:rsidRPr="00A742E4" w:rsidP="001D1F11" w14:paraId="501F1FEA" w14:textId="77777777">
      <w:pPr>
        <w:spacing w:after="0"/>
        <w:ind w:firstLine="1021"/>
        <w:jc w:val="both"/>
        <w:rPr>
          <w:rFonts w:ascii="Arial" w:hAnsi="Arial" w:cs="Arial"/>
          <w:iCs/>
          <w:sz w:val="20"/>
          <w:szCs w:val="20"/>
        </w:rPr>
      </w:pPr>
    </w:p>
    <w:p w:rsidR="00E30215" w:rsidRPr="00A742E4" w:rsidP="001D1F11" w14:paraId="55182B00" w14:textId="77777777">
      <w:pPr>
        <w:spacing w:after="0"/>
        <w:jc w:val="center"/>
        <w:rPr>
          <w:rFonts w:ascii="Arial" w:hAnsi="Arial" w:cs="Arial"/>
          <w:b/>
          <w:bCs/>
          <w:iCs/>
          <w:sz w:val="20"/>
          <w:szCs w:val="20"/>
        </w:rPr>
      </w:pPr>
      <w:r w:rsidRPr="00A742E4">
        <w:rPr>
          <w:rFonts w:ascii="Arial" w:hAnsi="Arial" w:cs="Arial"/>
          <w:b/>
          <w:bCs/>
          <w:iCs/>
          <w:sz w:val="20"/>
          <w:szCs w:val="20"/>
        </w:rPr>
        <w:t xml:space="preserve">7. člen </w:t>
      </w:r>
    </w:p>
    <w:p w:rsidR="00E30215" w:rsidRPr="00A742E4" w:rsidP="001D1F11" w14:paraId="1B36746C" w14:textId="77777777">
      <w:pPr>
        <w:spacing w:after="0"/>
        <w:jc w:val="center"/>
        <w:rPr>
          <w:rFonts w:ascii="Arial" w:hAnsi="Arial" w:cs="Arial"/>
          <w:b/>
          <w:bCs/>
          <w:iCs/>
          <w:sz w:val="20"/>
          <w:szCs w:val="20"/>
        </w:rPr>
      </w:pPr>
    </w:p>
    <w:p w:rsidR="00E30215" w:rsidRPr="00A742E4" w:rsidP="001D1F11" w14:paraId="131D0969" w14:textId="77777777">
      <w:pPr>
        <w:spacing w:after="0"/>
        <w:ind w:firstLine="1021"/>
        <w:jc w:val="both"/>
        <w:rPr>
          <w:rFonts w:ascii="Arial" w:hAnsi="Arial" w:cs="Arial"/>
          <w:sz w:val="20"/>
          <w:szCs w:val="20"/>
        </w:rPr>
      </w:pPr>
      <w:r w:rsidRPr="00A742E4">
        <w:rPr>
          <w:rFonts w:ascii="Arial" w:hAnsi="Arial" w:cs="Arial"/>
          <w:iCs/>
          <w:sz w:val="20"/>
          <w:szCs w:val="20"/>
        </w:rPr>
        <w:t>V 7. členu se v prvem odstavku v dvanajsti alineji za besedo »dnevne« vejica nadomesti z besedo »in«, za besedo »izredne« pa se črtata vejica in besedilo »obdobne in letne«.</w:t>
      </w:r>
    </w:p>
    <w:p w:rsidR="00E30215" w:rsidRPr="00A742E4" w:rsidP="001D1F11" w14:paraId="5BFEC122" w14:textId="77777777">
      <w:pPr>
        <w:spacing w:after="0"/>
        <w:rPr>
          <w:rFonts w:ascii="Arial" w:hAnsi="Arial" w:cs="Arial"/>
          <w:sz w:val="20"/>
          <w:szCs w:val="20"/>
        </w:rPr>
      </w:pPr>
    </w:p>
    <w:p w:rsidR="00E30215" w:rsidRPr="00A742E4" w:rsidP="001D1F11" w14:paraId="574413D6" w14:textId="77777777">
      <w:pPr>
        <w:spacing w:after="0"/>
        <w:jc w:val="center"/>
        <w:rPr>
          <w:rFonts w:ascii="Arial" w:hAnsi="Arial" w:cs="Arial"/>
          <w:b/>
          <w:bCs/>
          <w:iCs/>
          <w:sz w:val="20"/>
          <w:szCs w:val="20"/>
        </w:rPr>
      </w:pPr>
      <w:r w:rsidRPr="00A742E4">
        <w:rPr>
          <w:rFonts w:ascii="Arial" w:hAnsi="Arial" w:cs="Arial"/>
          <w:b/>
          <w:bCs/>
          <w:iCs/>
          <w:sz w:val="20"/>
          <w:szCs w:val="20"/>
        </w:rPr>
        <w:t xml:space="preserve">8. člen </w:t>
      </w:r>
    </w:p>
    <w:p w:rsidR="00E30215" w:rsidRPr="00A742E4" w:rsidP="001D1F11" w14:paraId="69B9D474" w14:textId="77777777">
      <w:pPr>
        <w:spacing w:after="0"/>
        <w:jc w:val="center"/>
        <w:rPr>
          <w:rFonts w:ascii="Arial" w:hAnsi="Arial" w:cs="Arial"/>
          <w:sz w:val="20"/>
          <w:szCs w:val="20"/>
        </w:rPr>
      </w:pPr>
    </w:p>
    <w:p w:rsidR="00E30215" w:rsidRPr="00A742E4" w:rsidP="001D1F11" w14:paraId="19184C92" w14:textId="77777777">
      <w:pPr>
        <w:spacing w:after="0"/>
        <w:ind w:firstLine="1021"/>
        <w:jc w:val="both"/>
        <w:rPr>
          <w:rFonts w:ascii="Arial" w:hAnsi="Arial" w:cs="Arial"/>
          <w:iCs/>
          <w:sz w:val="20"/>
          <w:szCs w:val="20"/>
        </w:rPr>
      </w:pPr>
      <w:r w:rsidRPr="00A742E4">
        <w:rPr>
          <w:rFonts w:ascii="Arial" w:hAnsi="Arial" w:cs="Arial"/>
          <w:iCs/>
          <w:sz w:val="20"/>
          <w:szCs w:val="20"/>
        </w:rPr>
        <w:t>V 8. členu se v prvem odstavku:</w:t>
      </w:r>
    </w:p>
    <w:p w:rsidR="00E30215" w:rsidRPr="00A742E4" w:rsidP="001D1F11" w14:paraId="543E3C21" w14:textId="77777777">
      <w:pPr>
        <w:numPr>
          <w:ilvl w:val="1"/>
          <w:numId w:val="36"/>
        </w:numPr>
        <w:spacing w:after="0"/>
        <w:jc w:val="both"/>
        <w:rPr>
          <w:rFonts w:ascii="Arial" w:hAnsi="Arial" w:cs="Arial"/>
          <w:iCs/>
          <w:sz w:val="20"/>
          <w:szCs w:val="20"/>
        </w:rPr>
      </w:pPr>
      <w:r w:rsidRPr="00A742E4">
        <w:rPr>
          <w:rFonts w:ascii="Arial" w:hAnsi="Arial" w:cs="Arial"/>
          <w:iCs/>
          <w:sz w:val="20"/>
          <w:szCs w:val="20"/>
        </w:rPr>
        <w:t xml:space="preserve">črta deseta alineja; </w:t>
      </w:r>
    </w:p>
    <w:p w:rsidR="00E30215" w:rsidRPr="00A742E4" w:rsidP="001D1F11" w14:paraId="72959594" w14:textId="77777777">
      <w:pPr>
        <w:numPr>
          <w:ilvl w:val="1"/>
          <w:numId w:val="36"/>
        </w:numPr>
        <w:spacing w:after="0"/>
        <w:jc w:val="both"/>
        <w:rPr>
          <w:rFonts w:ascii="Arial" w:hAnsi="Arial" w:cs="Arial"/>
          <w:iCs/>
          <w:sz w:val="20"/>
          <w:szCs w:val="20"/>
        </w:rPr>
      </w:pPr>
      <w:r w:rsidRPr="00A742E4">
        <w:rPr>
          <w:rFonts w:ascii="Arial" w:hAnsi="Arial" w:cs="Arial"/>
          <w:iCs/>
          <w:sz w:val="20"/>
          <w:szCs w:val="20"/>
        </w:rPr>
        <w:t>v devetnajsti alineji črta besedilo »pripravljajo in«;</w:t>
      </w:r>
    </w:p>
    <w:p w:rsidR="00E30215" w:rsidRPr="00A742E4" w:rsidP="001D1F11" w14:paraId="6F983591" w14:textId="77777777">
      <w:pPr>
        <w:numPr>
          <w:ilvl w:val="1"/>
          <w:numId w:val="36"/>
        </w:numPr>
        <w:spacing w:after="0"/>
        <w:jc w:val="both"/>
        <w:rPr>
          <w:rFonts w:ascii="Arial" w:hAnsi="Arial" w:cs="Arial"/>
          <w:iCs/>
          <w:sz w:val="20"/>
          <w:szCs w:val="20"/>
        </w:rPr>
      </w:pPr>
      <w:r w:rsidRPr="00A742E4">
        <w:rPr>
          <w:rFonts w:ascii="Arial" w:hAnsi="Arial" w:cs="Arial"/>
          <w:iCs/>
          <w:sz w:val="20"/>
          <w:szCs w:val="20"/>
        </w:rPr>
        <w:t xml:space="preserve">v enaindvajseti alineji beseda »zagotavljajo« nadomesti z besedo »omogočajo«. </w:t>
      </w:r>
    </w:p>
    <w:p w:rsidR="00E30215" w:rsidRPr="00A742E4" w:rsidP="001D1F11" w14:paraId="3D4BDD9C" w14:textId="77777777">
      <w:pPr>
        <w:spacing w:after="0"/>
        <w:jc w:val="both"/>
        <w:rPr>
          <w:rFonts w:ascii="Arial" w:hAnsi="Arial" w:cs="Arial"/>
          <w:sz w:val="20"/>
          <w:szCs w:val="20"/>
        </w:rPr>
      </w:pPr>
    </w:p>
    <w:p w:rsidR="00E30215" w:rsidRPr="00A742E4" w:rsidP="001D1F11" w14:paraId="22816CBC" w14:textId="77777777">
      <w:pPr>
        <w:spacing w:after="0"/>
        <w:jc w:val="center"/>
        <w:rPr>
          <w:rFonts w:ascii="Arial" w:hAnsi="Arial" w:cs="Arial"/>
          <w:b/>
          <w:bCs/>
          <w:iCs/>
          <w:sz w:val="20"/>
          <w:szCs w:val="20"/>
        </w:rPr>
      </w:pPr>
      <w:r w:rsidRPr="00A742E4">
        <w:rPr>
          <w:rFonts w:ascii="Arial" w:hAnsi="Arial" w:cs="Arial"/>
          <w:b/>
          <w:bCs/>
          <w:iCs/>
          <w:sz w:val="20"/>
          <w:szCs w:val="20"/>
        </w:rPr>
        <w:t>9. člen</w:t>
      </w:r>
    </w:p>
    <w:p w:rsidR="00E30215" w:rsidRPr="00A742E4" w:rsidP="001D1F11" w14:paraId="5A353193" w14:textId="77777777">
      <w:pPr>
        <w:spacing w:after="0"/>
        <w:jc w:val="center"/>
        <w:rPr>
          <w:rFonts w:ascii="Arial" w:hAnsi="Arial" w:cs="Arial"/>
          <w:b/>
          <w:bCs/>
          <w:iCs/>
          <w:sz w:val="20"/>
          <w:szCs w:val="20"/>
        </w:rPr>
      </w:pPr>
    </w:p>
    <w:p w:rsidR="00E30215" w:rsidRPr="00A742E4" w:rsidP="001D1F11" w14:paraId="45BBC6F8" w14:textId="77777777">
      <w:pPr>
        <w:spacing w:after="0"/>
        <w:ind w:firstLine="1021"/>
        <w:jc w:val="both"/>
        <w:rPr>
          <w:rFonts w:ascii="Arial" w:hAnsi="Arial" w:cs="Arial"/>
          <w:iCs/>
          <w:sz w:val="20"/>
          <w:szCs w:val="20"/>
        </w:rPr>
      </w:pPr>
      <w:r w:rsidRPr="00A742E4">
        <w:rPr>
          <w:rFonts w:ascii="Arial" w:hAnsi="Arial" w:cs="Arial"/>
          <w:iCs/>
          <w:sz w:val="20"/>
          <w:szCs w:val="20"/>
        </w:rPr>
        <w:t>9. člen se črta.</w:t>
      </w:r>
    </w:p>
    <w:p w:rsidR="00E30215" w:rsidRPr="00A742E4" w:rsidP="001D1F11" w14:paraId="4FCCE784" w14:textId="77777777">
      <w:pPr>
        <w:spacing w:after="0"/>
        <w:ind w:firstLine="1021"/>
        <w:jc w:val="both"/>
        <w:rPr>
          <w:rFonts w:ascii="Arial" w:hAnsi="Arial" w:cs="Arial"/>
          <w:iCs/>
          <w:sz w:val="20"/>
          <w:szCs w:val="20"/>
        </w:rPr>
      </w:pPr>
    </w:p>
    <w:p w:rsidR="00E30215" w:rsidRPr="00A742E4" w:rsidP="001D1F11" w14:paraId="02DAA17A" w14:textId="77777777">
      <w:pPr>
        <w:spacing w:after="0"/>
        <w:ind w:left="-709" w:firstLine="709"/>
        <w:jc w:val="center"/>
        <w:rPr>
          <w:rFonts w:ascii="Arial" w:hAnsi="Arial" w:cs="Arial"/>
          <w:b/>
          <w:iCs/>
          <w:sz w:val="20"/>
          <w:szCs w:val="20"/>
        </w:rPr>
      </w:pPr>
      <w:r w:rsidRPr="00A742E4">
        <w:rPr>
          <w:rFonts w:ascii="Arial" w:hAnsi="Arial" w:cs="Arial"/>
          <w:b/>
          <w:iCs/>
          <w:sz w:val="20"/>
          <w:szCs w:val="20"/>
        </w:rPr>
        <w:t>10. člen</w:t>
      </w:r>
    </w:p>
    <w:p w:rsidR="00E30215" w:rsidRPr="00A742E4" w:rsidP="001D1F11" w14:paraId="187175BA" w14:textId="77777777">
      <w:pPr>
        <w:spacing w:after="0"/>
        <w:ind w:left="-709" w:firstLine="709"/>
        <w:jc w:val="center"/>
        <w:rPr>
          <w:rFonts w:ascii="Arial" w:hAnsi="Arial" w:cs="Arial"/>
          <w:b/>
          <w:iCs/>
          <w:sz w:val="20"/>
          <w:szCs w:val="20"/>
        </w:rPr>
      </w:pPr>
    </w:p>
    <w:p w:rsidR="00E30215" w:rsidRPr="00A742E4" w:rsidP="001D1F11" w14:paraId="53BE2116" w14:textId="77777777">
      <w:pPr>
        <w:spacing w:after="0"/>
        <w:ind w:left="-709" w:firstLine="1702"/>
        <w:jc w:val="both"/>
        <w:rPr>
          <w:rFonts w:ascii="Arial" w:hAnsi="Arial" w:cs="Arial"/>
          <w:iCs/>
          <w:sz w:val="20"/>
          <w:szCs w:val="20"/>
        </w:rPr>
      </w:pPr>
      <w:r w:rsidRPr="00A742E4">
        <w:rPr>
          <w:rFonts w:ascii="Arial" w:hAnsi="Arial" w:cs="Arial"/>
          <w:iCs/>
          <w:sz w:val="20"/>
          <w:szCs w:val="20"/>
        </w:rPr>
        <w:t xml:space="preserve">Naslov IV. poglavja se spremeni tako, da se glasi: »IV. ALARMIRANJE IN OBVEŠČANJE«.  </w:t>
      </w:r>
    </w:p>
    <w:p w:rsidR="00E30215" w:rsidRPr="00A742E4" w:rsidP="001D1F11" w14:paraId="40082288" w14:textId="77777777">
      <w:pPr>
        <w:spacing w:after="0"/>
        <w:ind w:left="-709" w:firstLine="1702"/>
        <w:rPr>
          <w:rFonts w:ascii="Arial" w:hAnsi="Arial" w:cs="Arial"/>
          <w:iCs/>
          <w:sz w:val="20"/>
          <w:szCs w:val="20"/>
        </w:rPr>
      </w:pPr>
    </w:p>
    <w:p w:rsidR="00E30215" w:rsidRPr="00A742E4" w:rsidP="001D1F11" w14:paraId="13219792" w14:textId="77777777">
      <w:pPr>
        <w:spacing w:after="0"/>
        <w:ind w:left="-709" w:firstLine="709"/>
        <w:jc w:val="center"/>
        <w:rPr>
          <w:rFonts w:ascii="Arial" w:hAnsi="Arial" w:cs="Arial"/>
          <w:b/>
          <w:iCs/>
          <w:sz w:val="20"/>
          <w:szCs w:val="20"/>
        </w:rPr>
      </w:pPr>
      <w:r w:rsidRPr="00A742E4">
        <w:rPr>
          <w:rFonts w:ascii="Arial" w:hAnsi="Arial" w:cs="Arial"/>
          <w:b/>
          <w:iCs/>
          <w:sz w:val="20"/>
          <w:szCs w:val="20"/>
        </w:rPr>
        <w:t>11. člen</w:t>
      </w:r>
    </w:p>
    <w:p w:rsidR="00E30215" w:rsidRPr="00A742E4" w:rsidP="001D1F11" w14:paraId="0AC07F8E" w14:textId="77777777">
      <w:pPr>
        <w:spacing w:after="0"/>
        <w:rPr>
          <w:rFonts w:ascii="Arial" w:hAnsi="Arial" w:cs="Arial"/>
          <w:b/>
          <w:bCs/>
          <w:iCs/>
          <w:sz w:val="20"/>
          <w:szCs w:val="20"/>
        </w:rPr>
      </w:pPr>
    </w:p>
    <w:p w:rsidR="00E30215" w:rsidRPr="00A742E4" w:rsidP="001D1F11" w14:paraId="15EA10F4" w14:textId="77777777">
      <w:pPr>
        <w:spacing w:after="0"/>
        <w:ind w:firstLine="1021"/>
        <w:jc w:val="both"/>
        <w:rPr>
          <w:rFonts w:ascii="Arial" w:hAnsi="Arial" w:cs="Arial"/>
          <w:iCs/>
          <w:sz w:val="20"/>
          <w:szCs w:val="20"/>
        </w:rPr>
      </w:pPr>
      <w:r w:rsidRPr="00A742E4">
        <w:rPr>
          <w:rFonts w:ascii="Arial" w:hAnsi="Arial" w:cs="Arial"/>
          <w:iCs/>
          <w:sz w:val="20"/>
          <w:szCs w:val="20"/>
        </w:rPr>
        <w:t>V 10. členu se v prvem odstavku v prvem stavku za besedilom »in pomoči« doda besedilo</w:t>
      </w:r>
      <w:r w:rsidRPr="00A742E4">
        <w:t xml:space="preserve"> </w:t>
      </w:r>
      <w:r w:rsidRPr="00A742E4">
        <w:rPr>
          <w:rFonts w:ascii="Arial" w:hAnsi="Arial" w:cs="Arial"/>
          <w:iCs/>
          <w:sz w:val="20"/>
          <w:szCs w:val="20"/>
        </w:rPr>
        <w:t xml:space="preserve">»s proženjem siren«.  </w:t>
      </w:r>
    </w:p>
    <w:p w:rsidR="00E30215" w:rsidRPr="00A742E4" w:rsidP="001D1F11" w14:paraId="4F99141E" w14:textId="77777777">
      <w:pPr>
        <w:spacing w:after="0"/>
        <w:ind w:left="-709" w:firstLine="709"/>
        <w:jc w:val="center"/>
        <w:rPr>
          <w:rFonts w:ascii="Arial" w:hAnsi="Arial" w:cs="Arial"/>
          <w:b/>
          <w:iCs/>
          <w:sz w:val="20"/>
          <w:szCs w:val="20"/>
        </w:rPr>
      </w:pPr>
    </w:p>
    <w:p w:rsidR="00E30215" w:rsidRPr="00A742E4" w:rsidP="001D1F11" w14:paraId="3EA59492" w14:textId="77777777">
      <w:pPr>
        <w:spacing w:after="0"/>
        <w:jc w:val="center"/>
        <w:rPr>
          <w:rFonts w:ascii="Arial" w:hAnsi="Arial" w:cs="Arial"/>
          <w:b/>
          <w:bCs/>
          <w:iCs/>
          <w:sz w:val="20"/>
          <w:szCs w:val="20"/>
        </w:rPr>
      </w:pPr>
      <w:r w:rsidRPr="00A742E4">
        <w:rPr>
          <w:rFonts w:ascii="Arial" w:hAnsi="Arial" w:cs="Arial"/>
          <w:b/>
          <w:bCs/>
          <w:iCs/>
          <w:sz w:val="20"/>
          <w:szCs w:val="20"/>
        </w:rPr>
        <w:t>12. člen</w:t>
      </w:r>
    </w:p>
    <w:p w:rsidR="00E30215" w:rsidRPr="00A742E4" w:rsidP="001D1F11" w14:paraId="71417E6D" w14:textId="77777777">
      <w:pPr>
        <w:spacing w:after="0"/>
        <w:ind w:left="-709" w:firstLine="709"/>
        <w:jc w:val="center"/>
        <w:rPr>
          <w:rFonts w:ascii="Arial" w:hAnsi="Arial" w:cs="Arial"/>
          <w:b/>
          <w:iCs/>
          <w:sz w:val="20"/>
          <w:szCs w:val="20"/>
        </w:rPr>
      </w:pPr>
    </w:p>
    <w:p w:rsidR="00E30215" w:rsidRPr="00A742E4" w:rsidP="001D1F11" w14:paraId="789C102F" w14:textId="77777777">
      <w:pPr>
        <w:spacing w:after="0"/>
        <w:ind w:firstLine="993"/>
        <w:rPr>
          <w:rFonts w:ascii="Arial" w:hAnsi="Arial" w:cs="Arial"/>
          <w:sz w:val="20"/>
          <w:szCs w:val="20"/>
        </w:rPr>
      </w:pPr>
      <w:r w:rsidRPr="00A742E4">
        <w:rPr>
          <w:rFonts w:ascii="Arial" w:hAnsi="Arial" w:cs="Arial"/>
          <w:sz w:val="20"/>
          <w:szCs w:val="20"/>
        </w:rPr>
        <w:t>Za 10. členom se doda nov, 10.a člen, ki se glasi:</w:t>
      </w:r>
    </w:p>
    <w:p w:rsidR="00E30215" w:rsidRPr="00A742E4" w:rsidP="001D1F11" w14:paraId="1625CD31" w14:textId="77777777">
      <w:pPr>
        <w:spacing w:after="0"/>
        <w:ind w:firstLine="993"/>
        <w:rPr>
          <w:rFonts w:ascii="Arial" w:hAnsi="Arial" w:cs="Arial"/>
          <w:sz w:val="20"/>
          <w:szCs w:val="20"/>
        </w:rPr>
      </w:pPr>
    </w:p>
    <w:p w:rsidR="00E30215" w:rsidRPr="00A742E4" w:rsidP="001D1F11" w14:paraId="433D9CDA" w14:textId="77777777">
      <w:pPr>
        <w:spacing w:after="0"/>
        <w:ind w:firstLine="142"/>
        <w:jc w:val="center"/>
        <w:rPr>
          <w:rFonts w:ascii="Arial" w:hAnsi="Arial" w:cs="Arial"/>
          <w:b/>
          <w:sz w:val="20"/>
          <w:szCs w:val="20"/>
        </w:rPr>
      </w:pPr>
      <w:r w:rsidRPr="00A742E4">
        <w:rPr>
          <w:rFonts w:ascii="Arial" w:hAnsi="Arial" w:cs="Arial"/>
          <w:bCs/>
          <w:sz w:val="20"/>
          <w:szCs w:val="20"/>
        </w:rPr>
        <w:t>»</w:t>
      </w:r>
      <w:r w:rsidRPr="00A742E4">
        <w:rPr>
          <w:rFonts w:ascii="Arial" w:hAnsi="Arial" w:cs="Arial"/>
          <w:b/>
          <w:sz w:val="20"/>
          <w:szCs w:val="20"/>
        </w:rPr>
        <w:t>10.a člen</w:t>
      </w:r>
    </w:p>
    <w:p w:rsidR="00E30215" w:rsidRPr="00A742E4" w:rsidP="001D1F11" w14:paraId="2DB73F0C" w14:textId="77777777">
      <w:pPr>
        <w:spacing w:after="0"/>
        <w:jc w:val="center"/>
        <w:rPr>
          <w:rFonts w:ascii="Arial" w:hAnsi="Arial" w:cs="Arial"/>
          <w:b/>
          <w:sz w:val="20"/>
          <w:szCs w:val="20"/>
        </w:rPr>
      </w:pPr>
      <w:r w:rsidRPr="00A742E4">
        <w:rPr>
          <w:rFonts w:ascii="Arial" w:hAnsi="Arial" w:cs="Arial"/>
          <w:b/>
          <w:sz w:val="20"/>
          <w:szCs w:val="20"/>
        </w:rPr>
        <w:t>(obveščanje s pošiljanjem opozorilnih obvestil)</w:t>
      </w:r>
    </w:p>
    <w:p w:rsidR="00E30215" w:rsidRPr="00A742E4" w:rsidP="001D1F11" w14:paraId="69FA7FC1" w14:textId="77777777">
      <w:pPr>
        <w:spacing w:after="0"/>
        <w:jc w:val="center"/>
        <w:rPr>
          <w:rFonts w:ascii="Arial" w:hAnsi="Arial" w:cs="Arial"/>
          <w:sz w:val="20"/>
          <w:szCs w:val="20"/>
        </w:rPr>
      </w:pPr>
    </w:p>
    <w:p w:rsidR="00E30215" w:rsidRPr="00A742E4" w:rsidP="001D1F11" w14:paraId="4A040B7E" w14:textId="77777777">
      <w:pPr>
        <w:spacing w:after="0"/>
        <w:ind w:firstLine="993"/>
        <w:jc w:val="both"/>
        <w:rPr>
          <w:rFonts w:ascii="Arial" w:hAnsi="Arial" w:cs="Arial"/>
          <w:sz w:val="20"/>
          <w:szCs w:val="20"/>
        </w:rPr>
      </w:pPr>
      <w:r w:rsidRPr="00A742E4">
        <w:rPr>
          <w:rFonts w:ascii="Arial" w:hAnsi="Arial" w:cs="Arial"/>
          <w:sz w:val="20"/>
          <w:szCs w:val="20"/>
        </w:rPr>
        <w:t xml:space="preserve">(1) Obveščanje prebivalstva s pošiljanjem opozorilnih obvestil prek mobilnih in drugih komunikacijskih omrežij se izvaja kot enoten sistem obveščanja in alarmiranja v okviru avtonomnega informacijsko-komunikacijskega sistema za vodenje in izvajanje zaščite, reševanja in pomoči. Organizira ga Uprava Republike Slovenije za zaščito in reševanje tako, da ga je mogoče upravljati in prebivalstvo obveščati na lokalni, regijski ali državni ravni. </w:t>
      </w:r>
    </w:p>
    <w:p w:rsidR="00E30215" w:rsidRPr="00A742E4" w:rsidP="001D1F11" w14:paraId="1839CEB2" w14:textId="77777777">
      <w:pPr>
        <w:spacing w:after="0"/>
        <w:ind w:firstLine="993"/>
        <w:jc w:val="both"/>
        <w:rPr>
          <w:rFonts w:ascii="Arial" w:hAnsi="Arial" w:cs="Arial"/>
          <w:sz w:val="20"/>
          <w:szCs w:val="20"/>
        </w:rPr>
      </w:pPr>
    </w:p>
    <w:p w:rsidR="00E30215" w:rsidRPr="002E64A4" w:rsidP="002E64A4" w14:paraId="37C7D5D8" w14:textId="75B178A1">
      <w:pPr>
        <w:spacing w:after="0"/>
        <w:ind w:firstLine="993"/>
        <w:jc w:val="both"/>
        <w:rPr>
          <w:rFonts w:ascii="Arial" w:hAnsi="Arial" w:cs="Arial"/>
          <w:sz w:val="20"/>
          <w:szCs w:val="20"/>
        </w:rPr>
      </w:pPr>
      <w:r w:rsidRPr="00A742E4">
        <w:rPr>
          <w:rFonts w:ascii="Arial" w:hAnsi="Arial" w:cs="Arial"/>
          <w:sz w:val="20"/>
          <w:szCs w:val="20"/>
        </w:rPr>
        <w:t xml:space="preserve">(2) Obveščanje prebivalstva s pošiljanjem opozorilnih obvestil prek mobilnih in drugih komunikacijskih omrežij izvajajo Center za obveščanje Republike Slovenije in regijski centri za obveščanje.«. </w:t>
      </w:r>
    </w:p>
    <w:p w:rsidR="001D1F11" w:rsidP="001D1F11" w14:paraId="548294DD" w14:textId="77777777">
      <w:pPr>
        <w:spacing w:after="0"/>
        <w:jc w:val="center"/>
        <w:rPr>
          <w:rFonts w:ascii="Arial" w:hAnsi="Arial" w:cs="Arial"/>
          <w:b/>
          <w:bCs/>
          <w:iCs/>
          <w:sz w:val="20"/>
          <w:szCs w:val="20"/>
        </w:rPr>
      </w:pPr>
    </w:p>
    <w:p w:rsidR="00E30215" w:rsidRPr="00A742E4" w:rsidP="001D1F11" w14:paraId="08637F16" w14:textId="2A71381E">
      <w:pPr>
        <w:spacing w:after="0"/>
        <w:jc w:val="center"/>
        <w:rPr>
          <w:rFonts w:ascii="Arial" w:hAnsi="Arial" w:cs="Arial"/>
          <w:b/>
          <w:bCs/>
          <w:iCs/>
          <w:sz w:val="20"/>
          <w:szCs w:val="20"/>
        </w:rPr>
      </w:pPr>
      <w:r w:rsidRPr="00A742E4">
        <w:rPr>
          <w:rFonts w:ascii="Arial" w:hAnsi="Arial" w:cs="Arial"/>
          <w:b/>
          <w:bCs/>
          <w:iCs/>
          <w:sz w:val="20"/>
          <w:szCs w:val="20"/>
        </w:rPr>
        <w:t>13. člen</w:t>
      </w:r>
    </w:p>
    <w:p w:rsidR="00E30215" w:rsidRPr="00A742E4" w:rsidP="001D1F11" w14:paraId="6C0F2AA2" w14:textId="77777777">
      <w:pPr>
        <w:spacing w:after="0"/>
        <w:jc w:val="center"/>
        <w:rPr>
          <w:rFonts w:ascii="Arial" w:hAnsi="Arial" w:cs="Arial"/>
          <w:sz w:val="20"/>
          <w:szCs w:val="20"/>
        </w:rPr>
      </w:pPr>
    </w:p>
    <w:p w:rsidR="00E30215" w:rsidP="001D1F11" w14:paraId="1CE3792C" w14:textId="4C32B0A5">
      <w:pPr>
        <w:spacing w:after="0"/>
        <w:ind w:firstLine="1021"/>
        <w:jc w:val="both"/>
        <w:rPr>
          <w:rFonts w:ascii="Arial" w:hAnsi="Arial" w:cs="Arial"/>
          <w:iCs/>
          <w:sz w:val="20"/>
          <w:szCs w:val="20"/>
        </w:rPr>
      </w:pPr>
      <w:r w:rsidRPr="00A742E4">
        <w:rPr>
          <w:rFonts w:ascii="Arial" w:hAnsi="Arial" w:cs="Arial"/>
          <w:iCs/>
          <w:sz w:val="20"/>
          <w:szCs w:val="20"/>
        </w:rPr>
        <w:t xml:space="preserve">12. člen se spremeni tako, da se glasi: </w:t>
      </w:r>
    </w:p>
    <w:p w:rsidR="002E64A4" w:rsidRPr="00A742E4" w:rsidP="001D1F11" w14:paraId="4FAF8CB2" w14:textId="77777777">
      <w:pPr>
        <w:spacing w:after="0"/>
        <w:ind w:firstLine="1021"/>
        <w:jc w:val="both"/>
        <w:rPr>
          <w:rFonts w:ascii="Arial" w:hAnsi="Arial" w:cs="Arial"/>
          <w:iCs/>
          <w:sz w:val="20"/>
          <w:szCs w:val="20"/>
        </w:rPr>
      </w:pPr>
    </w:p>
    <w:p w:rsidR="00E30215" w:rsidRPr="00A742E4" w:rsidP="001D1F11" w14:paraId="5DAC4B40" w14:textId="77777777">
      <w:pPr>
        <w:spacing w:after="0"/>
        <w:ind w:firstLine="1021"/>
        <w:jc w:val="both"/>
        <w:rPr>
          <w:rFonts w:ascii="Arial" w:hAnsi="Arial" w:cs="Arial"/>
          <w:iCs/>
          <w:sz w:val="20"/>
          <w:szCs w:val="20"/>
        </w:rPr>
      </w:pPr>
    </w:p>
    <w:p w:rsidR="00E30215" w:rsidRPr="00A742E4" w:rsidP="001D1F11" w14:paraId="35CFADEB" w14:textId="77777777">
      <w:pPr>
        <w:spacing w:after="0"/>
        <w:jc w:val="center"/>
        <w:rPr>
          <w:rFonts w:ascii="Arial" w:hAnsi="Arial" w:cs="Arial"/>
          <w:b/>
          <w:iCs/>
          <w:sz w:val="20"/>
          <w:szCs w:val="20"/>
        </w:rPr>
      </w:pPr>
      <w:r w:rsidRPr="00A742E4">
        <w:rPr>
          <w:rFonts w:ascii="Arial" w:hAnsi="Arial" w:cs="Arial"/>
          <w:iCs/>
          <w:sz w:val="20"/>
          <w:szCs w:val="20"/>
        </w:rPr>
        <w:t>»</w:t>
      </w:r>
      <w:r w:rsidRPr="00A742E4">
        <w:rPr>
          <w:rFonts w:ascii="Arial" w:hAnsi="Arial" w:cs="Arial"/>
          <w:b/>
          <w:iCs/>
          <w:sz w:val="20"/>
          <w:szCs w:val="20"/>
        </w:rPr>
        <w:t>12. člen</w:t>
      </w:r>
    </w:p>
    <w:p w:rsidR="00E30215" w:rsidRPr="00A742E4" w:rsidP="001D1F11" w14:paraId="7B4FD7C6" w14:textId="77777777">
      <w:pPr>
        <w:spacing w:after="0"/>
        <w:jc w:val="center"/>
        <w:rPr>
          <w:rFonts w:ascii="Arial" w:hAnsi="Arial" w:cs="Arial"/>
          <w:b/>
          <w:iCs/>
          <w:sz w:val="20"/>
          <w:szCs w:val="20"/>
        </w:rPr>
      </w:pPr>
      <w:r w:rsidRPr="00A742E4">
        <w:rPr>
          <w:rFonts w:ascii="Arial" w:hAnsi="Arial" w:cs="Arial"/>
          <w:b/>
          <w:iCs/>
          <w:sz w:val="20"/>
          <w:szCs w:val="20"/>
        </w:rPr>
        <w:t>(uporaba in pomen alarmnih znakov ter pošiljanje opozorilnih obvestil)</w:t>
      </w:r>
    </w:p>
    <w:p w:rsidR="00E30215" w:rsidRPr="00A742E4" w:rsidP="001D1F11" w14:paraId="4115CB1A" w14:textId="77777777">
      <w:pPr>
        <w:spacing w:after="0"/>
        <w:ind w:firstLine="1021"/>
        <w:jc w:val="both"/>
        <w:rPr>
          <w:rFonts w:ascii="Arial" w:hAnsi="Arial" w:cs="Arial"/>
          <w:iCs/>
          <w:sz w:val="20"/>
          <w:szCs w:val="20"/>
        </w:rPr>
      </w:pPr>
    </w:p>
    <w:p w:rsidR="00E30215" w:rsidRPr="00A742E4" w:rsidP="001D1F11" w14:paraId="7C1D8E2A" w14:textId="77777777">
      <w:pPr>
        <w:spacing w:after="0"/>
        <w:ind w:firstLine="1021"/>
        <w:jc w:val="both"/>
        <w:rPr>
          <w:rFonts w:ascii="Arial" w:hAnsi="Arial" w:cs="Arial"/>
          <w:iCs/>
          <w:sz w:val="20"/>
          <w:szCs w:val="20"/>
        </w:rPr>
      </w:pPr>
      <w:r w:rsidRPr="00A742E4">
        <w:rPr>
          <w:rFonts w:ascii="Arial" w:hAnsi="Arial" w:cs="Arial"/>
          <w:iCs/>
          <w:sz w:val="20"/>
          <w:szCs w:val="20"/>
        </w:rPr>
        <w:t>(1) O alarmiranju oziroma uporabi znakov za alarmiranje iz prve, druge in tretje alineje prvega odstavka prejšnjega člena ter o pošiljanju opozorilnih obvestil odločajo Vlada Republike Slovenije, minister, pristojen za varstvo pred naravnimi in drugimi nesrečami, župan, državni, regijski ali občinski poveljniki Civilne zaščite ali njihovi namestniki, generalni direktor Uprave Republike Slovenije za zaščito in reševanje ali njegov namestnik, predstojniki izpostav Uprave Republike Slovenije za zaščito in reševanje ali predstojnik občinske službe, pristojne za varstvo pred naravnimi in drugimi nesrečami, vodje intervencij ter pooblaščene osebe gospodarskih družb, zavodov in drugih organizacij iz tretjega odstavka 10. člena te uredbe. O alarmiranju in pošiljanju opozorilnih obvestil lahko odločajo tudi druge osebe, če jih pooblasti Vlada Republike Slovenije ali župan.</w:t>
      </w:r>
    </w:p>
    <w:p w:rsidR="00E30215" w:rsidRPr="00A742E4" w:rsidP="001D1F11" w14:paraId="14E3ECC7" w14:textId="77777777">
      <w:pPr>
        <w:spacing w:after="0"/>
        <w:ind w:firstLine="1021"/>
        <w:jc w:val="both"/>
        <w:rPr>
          <w:rFonts w:ascii="Arial" w:hAnsi="Arial" w:cs="Arial"/>
          <w:iCs/>
          <w:sz w:val="20"/>
          <w:szCs w:val="20"/>
        </w:rPr>
      </w:pPr>
    </w:p>
    <w:p w:rsidR="00E30215" w:rsidRPr="00A742E4" w:rsidP="001D1F11" w14:paraId="06FF4A2A" w14:textId="77777777">
      <w:pPr>
        <w:spacing w:after="0"/>
        <w:ind w:firstLine="1021"/>
        <w:jc w:val="both"/>
        <w:rPr>
          <w:rFonts w:ascii="Arial" w:hAnsi="Arial" w:cs="Arial"/>
          <w:iCs/>
          <w:sz w:val="20"/>
          <w:szCs w:val="20"/>
        </w:rPr>
      </w:pPr>
      <w:r w:rsidRPr="00A742E4">
        <w:rPr>
          <w:rFonts w:ascii="Arial" w:hAnsi="Arial" w:cs="Arial"/>
          <w:iCs/>
          <w:sz w:val="20"/>
          <w:szCs w:val="20"/>
        </w:rPr>
        <w:t>(2) Za alarmiranje prebivalstva zaradi bližajoče se nevarnosti se uporabi znak za opozorilo na nevarnost. Center za obveščanje Republike Slovenije oziroma pristojni regijski center za obveščanje mora takoj po tem znaku po radiu, televiziji in na druge predvidene načine prebivalce na ogroženem območju obvestiti o nevarnosti ter jim posredovati opozorilna obvestila in napotke za ravnanje oziroma osebno in vzajemno zaščito v skladu z načrti zaščite in reševanja ter odločitvami Vlade Republike Slovenije, župana, pristojnih poveljnikov Civilne zaščite ali njihovih namestnikov, Uprave Republike Slovenije za zaščito in reševanje oziroma občinske službe, pristojne za varstvo pred naravnimi in drugimi nesrečami, ter vodje intervencij.</w:t>
      </w:r>
    </w:p>
    <w:p w:rsidR="00E30215" w:rsidRPr="00A742E4" w:rsidP="001D1F11" w14:paraId="0ACCE5C2" w14:textId="77777777">
      <w:pPr>
        <w:spacing w:after="0"/>
        <w:ind w:firstLine="1021"/>
        <w:jc w:val="both"/>
        <w:rPr>
          <w:rFonts w:ascii="Arial" w:hAnsi="Arial" w:cs="Arial"/>
          <w:iCs/>
          <w:sz w:val="20"/>
          <w:szCs w:val="20"/>
        </w:rPr>
      </w:pPr>
    </w:p>
    <w:p w:rsidR="00E30215" w:rsidRPr="00A742E4" w:rsidP="001D1F11" w14:paraId="7196F54D" w14:textId="77777777">
      <w:pPr>
        <w:spacing w:after="0"/>
        <w:ind w:firstLine="1021"/>
        <w:jc w:val="both"/>
        <w:rPr>
          <w:rFonts w:ascii="Arial" w:hAnsi="Arial" w:cs="Arial"/>
          <w:iCs/>
          <w:sz w:val="20"/>
          <w:szCs w:val="20"/>
        </w:rPr>
      </w:pPr>
      <w:r w:rsidRPr="00A742E4">
        <w:rPr>
          <w:rFonts w:ascii="Arial" w:hAnsi="Arial" w:cs="Arial"/>
          <w:iCs/>
          <w:sz w:val="20"/>
          <w:szCs w:val="20"/>
        </w:rPr>
        <w:t>(3) Za alarmiranje prebivalstva zaradi neposredne nevarnosti se uporabi znak za neposredno nevarnost. Znak za neposredno nevarnost se uporabi kot gasilski znak pod pogoji in na način, določen s to uredbo, tudi za aktiviranje gasilcev na določenih območjih države. Center za obveščanje Republike Slovenije oziroma pristojni regijski center za obveščanje mora takoj po tem znaku po radiu, televiziji in na druge predvidene načine prebivalce na ogroženem območju obvestiti o nevarnosti ter jim posredovati opozorilna obvestila in napotke za osebno in vzajemno zaščito v skladu z načrti zaščite in reševanja ter odločitvami Vlade Republike Slovenije, župana, pristojnih poveljnikov Civilne zaščite ali njihovih namestnikov, Uprave Republike Slovenije za zaščito in reševanje ter njenih izpostav ali občinske službe, pristojne za varstvo pred naravnimi in drugimi nesrečami, ter vodje intervencij.</w:t>
      </w:r>
    </w:p>
    <w:p w:rsidR="00E30215" w:rsidRPr="00A742E4" w:rsidP="001D1F11" w14:paraId="474D8328" w14:textId="77777777">
      <w:pPr>
        <w:spacing w:after="0"/>
        <w:ind w:firstLine="1021"/>
        <w:jc w:val="both"/>
        <w:rPr>
          <w:rFonts w:ascii="Arial" w:hAnsi="Arial" w:cs="Arial"/>
          <w:iCs/>
          <w:sz w:val="20"/>
          <w:szCs w:val="20"/>
        </w:rPr>
      </w:pPr>
    </w:p>
    <w:p w:rsidR="00E30215" w:rsidRPr="00A742E4" w:rsidP="001D1F11" w14:paraId="03AD7CDD" w14:textId="77777777">
      <w:pPr>
        <w:spacing w:after="0"/>
        <w:ind w:firstLine="1021"/>
        <w:jc w:val="both"/>
        <w:rPr>
          <w:rFonts w:ascii="Arial" w:hAnsi="Arial" w:cs="Arial"/>
          <w:iCs/>
          <w:sz w:val="20"/>
          <w:szCs w:val="20"/>
        </w:rPr>
      </w:pPr>
      <w:r w:rsidRPr="00A742E4">
        <w:rPr>
          <w:rFonts w:ascii="Arial" w:hAnsi="Arial" w:cs="Arial"/>
          <w:iCs/>
          <w:sz w:val="20"/>
          <w:szCs w:val="20"/>
        </w:rPr>
        <w:t>(4) Opozorilna obvestila in obvestila o nevarnosti oziroma neposredni nevarnosti iz drugega in tretjega odstavka tega člena ter konkretne napotke za ravnanje oziroma osebno in vzajemno zaščito v zvezi s konkretno nevarnostjo ali nesrečo pripravijo in pristojnemu centru za obveščanje posredujejo Vlada Republike Slovenije, župan, pristojni poveljniki Civilne zaščite ali njihovi namestniki, Uprava Republike Slovenije za zaščito in reševanje ali njene izpostave oziroma občinske službe, pristojne za varstvo pred naravnimi in drugimi nesrečami, ter vodje intervencij.</w:t>
      </w:r>
    </w:p>
    <w:p w:rsidR="00E30215" w:rsidRPr="00A742E4" w:rsidP="001D1F11" w14:paraId="319BC9E8" w14:textId="77777777">
      <w:pPr>
        <w:spacing w:after="0"/>
        <w:ind w:firstLine="1021"/>
        <w:jc w:val="both"/>
        <w:rPr>
          <w:rFonts w:ascii="Arial" w:hAnsi="Arial" w:cs="Arial"/>
          <w:iCs/>
          <w:sz w:val="20"/>
          <w:szCs w:val="20"/>
        </w:rPr>
      </w:pPr>
    </w:p>
    <w:p w:rsidR="00E30215" w:rsidRPr="00A742E4" w:rsidP="001D1F11" w14:paraId="409D95C9" w14:textId="77777777">
      <w:pPr>
        <w:spacing w:after="0"/>
        <w:ind w:firstLine="1021"/>
        <w:jc w:val="both"/>
        <w:rPr>
          <w:rFonts w:ascii="Arial" w:hAnsi="Arial" w:cs="Arial"/>
          <w:iCs/>
          <w:sz w:val="20"/>
          <w:szCs w:val="20"/>
        </w:rPr>
      </w:pPr>
      <w:r w:rsidRPr="00A742E4">
        <w:rPr>
          <w:rFonts w:ascii="Arial" w:hAnsi="Arial" w:cs="Arial"/>
          <w:iCs/>
          <w:sz w:val="20"/>
          <w:szCs w:val="20"/>
        </w:rPr>
        <w:t>(5) Znak za konec nevarnosti se po odločitvi pristojnih oseb in organov iz prvega odstavka tega člena obvezno uporabi po koncu nevarnosti, zaradi katere je bil dan znak za neposredno nevarnost.</w:t>
      </w:r>
    </w:p>
    <w:p w:rsidR="00E30215" w:rsidRPr="00A742E4" w:rsidP="001D1F11" w14:paraId="788804F3" w14:textId="77777777">
      <w:pPr>
        <w:spacing w:after="0"/>
        <w:ind w:firstLine="1021"/>
        <w:jc w:val="both"/>
        <w:rPr>
          <w:rFonts w:ascii="Arial" w:hAnsi="Arial" w:cs="Arial"/>
          <w:iCs/>
          <w:sz w:val="20"/>
          <w:szCs w:val="20"/>
        </w:rPr>
      </w:pPr>
    </w:p>
    <w:p w:rsidR="00E30215" w:rsidRPr="00A742E4" w:rsidP="001D1F11" w14:paraId="1532E2AE" w14:textId="77777777">
      <w:pPr>
        <w:spacing w:after="0"/>
        <w:ind w:firstLine="1021"/>
        <w:jc w:val="both"/>
        <w:rPr>
          <w:rFonts w:ascii="Arial" w:eastAsia="Arial" w:hAnsi="Arial" w:cs="Arial"/>
          <w:sz w:val="20"/>
          <w:szCs w:val="20"/>
        </w:rPr>
      </w:pPr>
      <w:r w:rsidRPr="00A742E4">
        <w:rPr>
          <w:rFonts w:ascii="Arial" w:hAnsi="Arial" w:cs="Arial"/>
          <w:iCs/>
          <w:sz w:val="20"/>
          <w:szCs w:val="20"/>
        </w:rPr>
        <w:t xml:space="preserve">(6) Znak za preizkus siren se uporabi vsako prvo soboto v mesecu ob 12. uri. </w:t>
      </w:r>
      <w:r w:rsidRPr="00A742E4">
        <w:rPr>
          <w:rFonts w:ascii="Arial" w:hAnsi="Arial" w:cs="Arial"/>
          <w:sz w:val="20"/>
          <w:szCs w:val="20"/>
        </w:rPr>
        <w:t xml:space="preserve">Preizkus </w:t>
      </w:r>
      <w:r w:rsidRPr="00A742E4">
        <w:rPr>
          <w:rFonts w:ascii="Arial" w:eastAsia="Arial" w:hAnsi="Arial" w:cs="Arial"/>
          <w:sz w:val="20"/>
          <w:szCs w:val="20"/>
        </w:rPr>
        <w:t>sistema javnega obveščanja in alarmiranja s posredovanjem opozorilnih obvestil</w:t>
      </w:r>
      <w:r w:rsidRPr="00A742E4">
        <w:rPr>
          <w:rFonts w:ascii="Arial" w:hAnsi="Arial" w:cs="Arial"/>
          <w:bCs/>
          <w:iCs/>
          <w:sz w:val="20"/>
          <w:szCs w:val="20"/>
        </w:rPr>
        <w:t xml:space="preserve"> prek javnih mobilnih ali drugih komunikacijskih omrežij</w:t>
      </w:r>
      <w:r w:rsidRPr="00A742E4">
        <w:rPr>
          <w:rFonts w:ascii="Arial" w:eastAsia="Arial" w:hAnsi="Arial" w:cs="Arial"/>
          <w:sz w:val="20"/>
          <w:szCs w:val="20"/>
        </w:rPr>
        <w:t xml:space="preserve"> se izvede najmanj enkrat letno. Izvedejo ga centri za obveščanje kot redni preizkus sistema javnega alarmiranja, za katerega ni potrebna odločitev ali soglasje pristojnih ali pooblaščenih oseb.</w:t>
      </w:r>
    </w:p>
    <w:p w:rsidR="00E30215" w:rsidRPr="00A742E4" w:rsidP="001D1F11" w14:paraId="5C2EDF30" w14:textId="77777777">
      <w:pPr>
        <w:spacing w:after="0"/>
        <w:jc w:val="both"/>
        <w:rPr>
          <w:rFonts w:ascii="Arial" w:hAnsi="Arial" w:cs="Arial"/>
          <w:sz w:val="20"/>
          <w:szCs w:val="20"/>
        </w:rPr>
      </w:pPr>
    </w:p>
    <w:p w:rsidR="00E30215" w:rsidRPr="00A742E4" w:rsidP="001D1F11" w14:paraId="0D351433" w14:textId="77777777">
      <w:pPr>
        <w:spacing w:after="0"/>
        <w:ind w:firstLine="993"/>
        <w:jc w:val="both"/>
        <w:rPr>
          <w:rFonts w:ascii="Arial" w:hAnsi="Arial" w:cs="Arial"/>
          <w:sz w:val="20"/>
          <w:szCs w:val="20"/>
        </w:rPr>
      </w:pPr>
      <w:r w:rsidRPr="00A742E4">
        <w:rPr>
          <w:rFonts w:ascii="Arial" w:hAnsi="Arial" w:cs="Arial"/>
          <w:sz w:val="20"/>
          <w:szCs w:val="20"/>
        </w:rPr>
        <w:t>(7) Zahteva za alarmiranje, ki jo prejmejo centri za obveščanje, mora vedno, po možnosti v pisni obliki, vsebovati tudi besedilo, ki ga center za obveščanje po alarmiranju posreduje javnosti preko sredstev javnega obveščanja.«.</w:t>
      </w:r>
    </w:p>
    <w:p w:rsidR="00E30215" w:rsidRPr="00A742E4" w:rsidP="001D1F11" w14:paraId="4854A13F" w14:textId="77777777">
      <w:pPr>
        <w:spacing w:after="0"/>
        <w:jc w:val="both"/>
        <w:rPr>
          <w:rFonts w:ascii="Arial" w:hAnsi="Arial" w:cs="Arial"/>
          <w:sz w:val="20"/>
          <w:szCs w:val="20"/>
        </w:rPr>
      </w:pPr>
    </w:p>
    <w:p w:rsidR="00E30215" w:rsidRPr="00A742E4" w:rsidP="001D1F11" w14:paraId="71BADAFB" w14:textId="77777777">
      <w:pPr>
        <w:spacing w:after="0"/>
        <w:jc w:val="center"/>
        <w:rPr>
          <w:rFonts w:ascii="Arial" w:hAnsi="Arial" w:cs="Arial"/>
          <w:b/>
          <w:bCs/>
          <w:iCs/>
          <w:sz w:val="20"/>
          <w:szCs w:val="20"/>
        </w:rPr>
      </w:pPr>
      <w:r w:rsidRPr="00A742E4">
        <w:rPr>
          <w:rFonts w:ascii="Arial" w:hAnsi="Arial" w:cs="Arial"/>
          <w:b/>
          <w:bCs/>
          <w:iCs/>
          <w:sz w:val="20"/>
          <w:szCs w:val="20"/>
        </w:rPr>
        <w:t>14. člen</w:t>
      </w:r>
    </w:p>
    <w:p w:rsidR="00E30215" w:rsidRPr="00A742E4" w:rsidP="001D1F11" w14:paraId="286FBB02" w14:textId="77777777">
      <w:pPr>
        <w:spacing w:after="0"/>
        <w:jc w:val="center"/>
        <w:rPr>
          <w:rFonts w:ascii="Arial" w:hAnsi="Arial" w:cs="Arial"/>
          <w:b/>
          <w:bCs/>
          <w:iCs/>
          <w:sz w:val="20"/>
          <w:szCs w:val="20"/>
        </w:rPr>
      </w:pPr>
    </w:p>
    <w:p w:rsidR="00E30215" w:rsidRPr="00A742E4" w:rsidP="001D1F11" w14:paraId="6165FDE3" w14:textId="77777777">
      <w:pPr>
        <w:spacing w:after="0"/>
        <w:ind w:firstLine="993"/>
        <w:jc w:val="both"/>
        <w:rPr>
          <w:rFonts w:ascii="Arial" w:hAnsi="Arial" w:cs="Arial"/>
          <w:bCs/>
          <w:iCs/>
          <w:sz w:val="20"/>
          <w:szCs w:val="20"/>
        </w:rPr>
      </w:pPr>
      <w:r w:rsidRPr="00A742E4">
        <w:rPr>
          <w:rFonts w:ascii="Arial" w:hAnsi="Arial" w:cs="Arial"/>
          <w:bCs/>
          <w:iCs/>
          <w:sz w:val="20"/>
          <w:szCs w:val="20"/>
        </w:rPr>
        <w:t>V 16. členu se v prvem odstavku v prvem stavku za besedilom »Proženje siren« doda besedilo »ali pošiljanje opozorilnih obvestil«, v drugem stavku pa se za besedilom »proženje siren«  doda besedilo »ali pošiljanje opozorilnih obvestil«.</w:t>
      </w:r>
    </w:p>
    <w:p w:rsidR="00E30215" w:rsidRPr="00A742E4" w:rsidP="001D1F11" w14:paraId="20C9D638" w14:textId="77777777">
      <w:pPr>
        <w:spacing w:after="0"/>
        <w:ind w:firstLine="993"/>
        <w:rPr>
          <w:rFonts w:ascii="Arial" w:hAnsi="Arial" w:cs="Arial"/>
          <w:bCs/>
          <w:iCs/>
          <w:sz w:val="20"/>
          <w:szCs w:val="20"/>
        </w:rPr>
      </w:pPr>
    </w:p>
    <w:p w:rsidR="00E30215" w:rsidRPr="00A742E4" w:rsidP="001D1F11" w14:paraId="7A2BD345" w14:textId="77777777">
      <w:pPr>
        <w:spacing w:after="0"/>
        <w:jc w:val="center"/>
        <w:rPr>
          <w:rFonts w:ascii="Arial" w:hAnsi="Arial" w:cs="Arial"/>
          <w:b/>
          <w:bCs/>
          <w:iCs/>
          <w:sz w:val="20"/>
          <w:szCs w:val="20"/>
        </w:rPr>
      </w:pPr>
      <w:r w:rsidRPr="00A742E4">
        <w:rPr>
          <w:rFonts w:ascii="Arial" w:hAnsi="Arial" w:cs="Arial"/>
          <w:b/>
          <w:bCs/>
          <w:iCs/>
          <w:sz w:val="20"/>
          <w:szCs w:val="20"/>
        </w:rPr>
        <w:t>15. člen</w:t>
      </w:r>
    </w:p>
    <w:p w:rsidR="00E30215" w:rsidRPr="00A742E4" w:rsidP="001D1F11" w14:paraId="7E54EF5B" w14:textId="77777777">
      <w:pPr>
        <w:spacing w:after="0"/>
        <w:jc w:val="center"/>
        <w:rPr>
          <w:rFonts w:ascii="Arial" w:hAnsi="Arial" w:cs="Arial"/>
          <w:sz w:val="20"/>
          <w:szCs w:val="20"/>
        </w:rPr>
      </w:pPr>
    </w:p>
    <w:p w:rsidR="00E30215" w:rsidRPr="00A742E4" w:rsidP="001D1F11" w14:paraId="1B6F687A" w14:textId="77777777">
      <w:pPr>
        <w:spacing w:after="0"/>
        <w:ind w:firstLine="1021"/>
        <w:jc w:val="both"/>
        <w:rPr>
          <w:rFonts w:ascii="Arial" w:hAnsi="Arial" w:cs="Arial"/>
          <w:iCs/>
          <w:sz w:val="20"/>
          <w:szCs w:val="20"/>
        </w:rPr>
      </w:pPr>
      <w:r w:rsidRPr="00A742E4">
        <w:rPr>
          <w:rFonts w:ascii="Arial" w:hAnsi="Arial" w:cs="Arial"/>
          <w:iCs/>
          <w:sz w:val="20"/>
          <w:szCs w:val="20"/>
        </w:rPr>
        <w:t xml:space="preserve">Besedilo 17. člena se spremeni tako, da se glasi: </w:t>
      </w:r>
    </w:p>
    <w:p w:rsidR="00E30215" w:rsidRPr="00A742E4" w:rsidP="001D1F11" w14:paraId="1C07D1E3" w14:textId="77777777">
      <w:pPr>
        <w:pStyle w:val="zamik"/>
        <w:spacing w:before="210" w:line="276" w:lineRule="auto"/>
        <w:jc w:val="both"/>
        <w:rPr>
          <w:rFonts w:ascii="Arial" w:hAnsi="Arial" w:cs="Arial"/>
          <w:sz w:val="20"/>
          <w:szCs w:val="20"/>
          <w:lang w:val="sl-SI"/>
        </w:rPr>
      </w:pPr>
      <w:r w:rsidRPr="00A742E4">
        <w:rPr>
          <w:rFonts w:ascii="Arial" w:hAnsi="Arial" w:cs="Arial"/>
          <w:sz w:val="20"/>
          <w:szCs w:val="20"/>
          <w:lang w:val="sl-SI"/>
        </w:rPr>
        <w:t>»(1) Regijski centri za obveščanje lahko prožijo sirene za javno alarmiranje</w:t>
      </w:r>
      <w:r w:rsidRPr="00A742E4">
        <w:rPr>
          <w:rFonts w:ascii="Arial" w:hAnsi="Arial" w:cs="Arial"/>
          <w:iCs/>
          <w:sz w:val="20"/>
          <w:szCs w:val="20"/>
          <w:lang w:val="sl-SI"/>
        </w:rPr>
        <w:t xml:space="preserve"> ali pošiljajo opozorilna obvestila </w:t>
      </w:r>
      <w:r w:rsidRPr="00A742E4">
        <w:rPr>
          <w:rFonts w:ascii="Arial" w:hAnsi="Arial" w:cs="Arial"/>
          <w:sz w:val="20"/>
          <w:szCs w:val="20"/>
          <w:lang w:val="sl-SI"/>
        </w:rPr>
        <w:t>na podlagi odločitev ali zahteve pristojnih oseb iz prvega odstavka 12. člena te uredbe. Če je z načrti zaščite in reševanja ali z načrti za alarmiranje za določeno nevarnost ali nesrečo določeno, da ni potrebna predhodna odločitev pristojne osebe, pristojni javni uslužbenci v regijskem centru za obveščanje prožijo sirene javnega alarmiranja</w:t>
      </w:r>
      <w:r w:rsidRPr="00A742E4">
        <w:rPr>
          <w:rFonts w:ascii="Arial" w:hAnsi="Arial" w:cs="Arial"/>
          <w:iCs/>
          <w:sz w:val="20"/>
          <w:szCs w:val="20"/>
          <w:lang w:val="sl-SI"/>
        </w:rPr>
        <w:t xml:space="preserve"> ali pošiljajo opozorilna obvestila</w:t>
      </w:r>
      <w:r w:rsidRPr="00A742E4">
        <w:rPr>
          <w:rFonts w:ascii="Arial" w:hAnsi="Arial" w:cs="Arial"/>
          <w:sz w:val="20"/>
          <w:szCs w:val="20"/>
          <w:lang w:val="sl-SI"/>
        </w:rPr>
        <w:t xml:space="preserve"> samostojno, brez odlašanja pa o izvršenem alarmiranju obvestijo pristojne osebe iz prvega odstavka 12. člena te uredbe ali njihove namestnike. Pred proženjem siren javnega alarmiranja </w:t>
      </w:r>
      <w:r w:rsidRPr="00A742E4">
        <w:rPr>
          <w:rFonts w:ascii="Arial" w:hAnsi="Arial" w:cs="Arial"/>
          <w:iCs/>
          <w:sz w:val="20"/>
          <w:szCs w:val="20"/>
          <w:lang w:val="sl-SI"/>
        </w:rPr>
        <w:t>ali pošiljanjem opozorilnih obvestil</w:t>
      </w:r>
      <w:r w:rsidRPr="00A742E4">
        <w:rPr>
          <w:rFonts w:ascii="Arial" w:hAnsi="Arial" w:cs="Arial"/>
          <w:sz w:val="20"/>
          <w:szCs w:val="20"/>
          <w:lang w:val="sl-SI"/>
        </w:rPr>
        <w:t xml:space="preserve"> pristojni javni uslužbenci preverijo resničnost podatkov, na podlagi katerih izvedejo alarmiranje.</w:t>
      </w:r>
    </w:p>
    <w:p w:rsidR="00E30215" w:rsidRPr="00A742E4" w:rsidP="001D1F11" w14:paraId="730BA277" w14:textId="77777777">
      <w:pPr>
        <w:pStyle w:val="zamik"/>
        <w:spacing w:before="210" w:line="276" w:lineRule="auto"/>
        <w:jc w:val="both"/>
        <w:rPr>
          <w:rFonts w:ascii="Arial" w:hAnsi="Arial" w:cs="Arial"/>
          <w:sz w:val="20"/>
          <w:szCs w:val="20"/>
          <w:lang w:val="sl-SI"/>
        </w:rPr>
      </w:pPr>
      <w:r w:rsidRPr="00A742E4">
        <w:rPr>
          <w:rFonts w:ascii="Arial" w:hAnsi="Arial" w:cs="Arial"/>
          <w:sz w:val="20"/>
          <w:szCs w:val="20"/>
          <w:lang w:val="sl-SI"/>
        </w:rPr>
        <w:t>(2) Pristojni javni uslužbenci v regijskih centrih za obveščanje lahko izjemoma na podlagi odločitve vodje centra za obveščanje ali njegovega namestnika, ne glede na prejšnji odstavek, prožijo sirene za javno alarmiranje</w:t>
      </w:r>
      <w:r w:rsidRPr="00A742E4">
        <w:rPr>
          <w:rFonts w:ascii="Arial" w:hAnsi="Arial" w:cs="Arial"/>
          <w:iCs/>
          <w:sz w:val="20"/>
          <w:szCs w:val="20"/>
          <w:lang w:val="sl-SI"/>
        </w:rPr>
        <w:t xml:space="preserve"> ali pošiljajo opozorilna obvestila</w:t>
      </w:r>
      <w:r w:rsidRPr="00A742E4">
        <w:rPr>
          <w:rFonts w:ascii="Arial" w:hAnsi="Arial" w:cs="Arial"/>
          <w:sz w:val="20"/>
          <w:szCs w:val="20"/>
          <w:lang w:val="sl-SI"/>
        </w:rPr>
        <w:t xml:space="preserve">, če prejmejo zanesljive podatke o neposredni ogroženosti ljudi in premoženja zaradi določene nevarnosti ali nesreče, zanjo pa ne obstaja načrt za alarmiranje. Pred proženjem siren </w:t>
      </w:r>
      <w:r w:rsidRPr="00A742E4">
        <w:rPr>
          <w:rFonts w:ascii="Arial" w:hAnsi="Arial" w:cs="Arial"/>
          <w:iCs/>
          <w:sz w:val="20"/>
          <w:szCs w:val="20"/>
          <w:lang w:val="sl-SI"/>
        </w:rPr>
        <w:t>ali pošiljanjem opozorilnih obvestil v skladu s tem odstavkom</w:t>
      </w:r>
      <w:r w:rsidRPr="00A742E4">
        <w:rPr>
          <w:rFonts w:ascii="Arial" w:hAnsi="Arial" w:cs="Arial"/>
          <w:sz w:val="20"/>
          <w:szCs w:val="20"/>
          <w:lang w:val="sl-SI"/>
        </w:rPr>
        <w:t xml:space="preserve"> pristojni javni uslužbenci v regijskih centrih za obveščanje pridobijo mnenje osebe, pristojne za odločanje o uporabi znakov za alarmiranje in pošiljanju opozorilnih obvestil, če je to mogoče, ter preverijo podatke o neposredni ogroženosti v obsegu, ki ga dopuščajo nastale razmere. O izvršenem javnem alarmiranju in pošiljanju opozorilnih obvestil brez odlašanja obvestijo osebe, pristojne za alarmiranje iz prvega odstavka 12. člena te uredbe.</w:t>
      </w:r>
    </w:p>
    <w:p w:rsidR="00E30215" w:rsidRPr="00A742E4" w:rsidP="001D1F11" w14:paraId="2064A77E" w14:textId="77777777">
      <w:pPr>
        <w:pStyle w:val="zamik"/>
        <w:spacing w:before="210" w:line="276" w:lineRule="auto"/>
        <w:jc w:val="both"/>
        <w:rPr>
          <w:rFonts w:ascii="Arial" w:hAnsi="Arial" w:cs="Arial"/>
          <w:sz w:val="20"/>
          <w:szCs w:val="20"/>
          <w:lang w:val="sl-SI"/>
        </w:rPr>
      </w:pPr>
      <w:r w:rsidRPr="00A742E4">
        <w:rPr>
          <w:rFonts w:ascii="Arial" w:hAnsi="Arial" w:cs="Arial"/>
          <w:sz w:val="20"/>
          <w:szCs w:val="20"/>
          <w:lang w:val="sl-SI"/>
        </w:rPr>
        <w:t xml:space="preserve">(3) Regijski centri za obveščanje poročajo v vseh primerih uporabe znakov za alarmiranje in pošiljanja opozorilnih obvestil oziroma javnega alarmiranja, razen rednega preizkusa siren in preizkusa </w:t>
      </w:r>
      <w:r w:rsidRPr="00A742E4">
        <w:rPr>
          <w:rFonts w:ascii="Arial" w:eastAsia="Arial" w:hAnsi="Arial" w:cs="Arial"/>
          <w:sz w:val="20"/>
          <w:szCs w:val="20"/>
          <w:lang w:val="sl-SI"/>
        </w:rPr>
        <w:t>sistema javnega obveščanja in alarmiranja s posredovanjem opozorilnih obvestil prek javnih mobilnih ali drugih komunikacijskih omrežij</w:t>
      </w:r>
      <w:r w:rsidRPr="00A742E4">
        <w:rPr>
          <w:rFonts w:ascii="Arial" w:hAnsi="Arial" w:cs="Arial"/>
          <w:sz w:val="20"/>
          <w:szCs w:val="20"/>
          <w:lang w:val="sl-SI"/>
        </w:rPr>
        <w:t xml:space="preserve">, Centru za obveščanje Republike Slovenije na predpisan način.«. </w:t>
      </w:r>
    </w:p>
    <w:p w:rsidR="00E30215" w:rsidRPr="00A742E4" w:rsidP="001D1F11" w14:paraId="507A54C7" w14:textId="77777777">
      <w:pPr>
        <w:spacing w:after="0"/>
        <w:jc w:val="center"/>
        <w:rPr>
          <w:rFonts w:ascii="Arial" w:hAnsi="Arial" w:cs="Arial"/>
          <w:sz w:val="20"/>
          <w:szCs w:val="20"/>
        </w:rPr>
      </w:pPr>
    </w:p>
    <w:p w:rsidR="00E30215" w:rsidRPr="00A742E4" w:rsidP="001D1F11" w14:paraId="0013457E" w14:textId="77777777">
      <w:pPr>
        <w:spacing w:after="0"/>
        <w:jc w:val="center"/>
        <w:rPr>
          <w:rFonts w:ascii="Arial" w:hAnsi="Arial" w:cs="Arial"/>
          <w:sz w:val="20"/>
          <w:szCs w:val="20"/>
        </w:rPr>
      </w:pPr>
    </w:p>
    <w:p w:rsidR="00E30215" w:rsidRPr="00A742E4" w:rsidP="001D1F11" w14:paraId="7E5D9529" w14:textId="77777777">
      <w:pPr>
        <w:spacing w:after="0"/>
        <w:jc w:val="center"/>
        <w:rPr>
          <w:rFonts w:ascii="Arial" w:hAnsi="Arial" w:cs="Arial"/>
          <w:b/>
          <w:bCs/>
          <w:iCs/>
          <w:sz w:val="20"/>
          <w:szCs w:val="20"/>
        </w:rPr>
      </w:pPr>
      <w:r w:rsidRPr="00A742E4">
        <w:rPr>
          <w:rFonts w:ascii="Arial" w:hAnsi="Arial" w:cs="Arial"/>
          <w:b/>
          <w:bCs/>
          <w:iCs/>
          <w:sz w:val="20"/>
          <w:szCs w:val="20"/>
        </w:rPr>
        <w:t>KONČNA DOLOČBA</w:t>
      </w:r>
    </w:p>
    <w:p w:rsidR="00E30215" w:rsidRPr="00A742E4" w:rsidP="001D1F11" w14:paraId="67305468" w14:textId="77777777">
      <w:pPr>
        <w:spacing w:after="0"/>
        <w:jc w:val="both"/>
        <w:rPr>
          <w:rFonts w:ascii="Arial" w:hAnsi="Arial" w:cs="Arial"/>
          <w:sz w:val="20"/>
          <w:szCs w:val="20"/>
        </w:rPr>
      </w:pPr>
    </w:p>
    <w:p w:rsidR="00E30215" w:rsidRPr="00A742E4" w:rsidP="001D1F11" w14:paraId="442313D7" w14:textId="77777777">
      <w:pPr>
        <w:spacing w:after="0"/>
        <w:jc w:val="center"/>
        <w:rPr>
          <w:rFonts w:ascii="Arial" w:hAnsi="Arial" w:cs="Arial"/>
          <w:b/>
          <w:bCs/>
          <w:iCs/>
          <w:sz w:val="20"/>
          <w:szCs w:val="20"/>
        </w:rPr>
      </w:pPr>
      <w:r w:rsidRPr="00A742E4">
        <w:rPr>
          <w:rFonts w:ascii="Arial" w:hAnsi="Arial" w:cs="Arial"/>
          <w:b/>
          <w:bCs/>
          <w:iCs/>
          <w:sz w:val="20"/>
          <w:szCs w:val="20"/>
        </w:rPr>
        <w:t>16. člen</w:t>
      </w:r>
    </w:p>
    <w:p w:rsidR="00E30215" w:rsidRPr="00A742E4" w:rsidP="001D1F11" w14:paraId="10BCF4D4" w14:textId="77777777">
      <w:pPr>
        <w:spacing w:after="0"/>
        <w:jc w:val="center"/>
        <w:rPr>
          <w:rFonts w:ascii="Arial" w:hAnsi="Arial" w:cs="Arial"/>
          <w:b/>
          <w:bCs/>
          <w:iCs/>
          <w:sz w:val="20"/>
          <w:szCs w:val="20"/>
        </w:rPr>
      </w:pPr>
      <w:r w:rsidRPr="00A742E4">
        <w:rPr>
          <w:rFonts w:ascii="Arial" w:hAnsi="Arial" w:cs="Arial"/>
          <w:b/>
          <w:bCs/>
          <w:iCs/>
          <w:sz w:val="20"/>
          <w:szCs w:val="20"/>
        </w:rPr>
        <w:t>(začetek veljavnosti)</w:t>
      </w:r>
    </w:p>
    <w:p w:rsidR="00E30215" w:rsidRPr="00A742E4" w:rsidP="001D1F11" w14:paraId="3C0914B3" w14:textId="77777777">
      <w:pPr>
        <w:spacing w:after="0"/>
        <w:jc w:val="center"/>
        <w:rPr>
          <w:rFonts w:ascii="Arial" w:hAnsi="Arial" w:cs="Arial"/>
          <w:sz w:val="20"/>
          <w:szCs w:val="20"/>
        </w:rPr>
      </w:pPr>
    </w:p>
    <w:p w:rsidR="00E30215" w:rsidRPr="00A742E4" w:rsidP="001D1F11" w14:paraId="436BECE5" w14:textId="77777777">
      <w:pPr>
        <w:spacing w:after="0"/>
        <w:ind w:firstLine="1021"/>
        <w:jc w:val="both"/>
        <w:rPr>
          <w:rFonts w:ascii="Arial" w:hAnsi="Arial" w:cs="Arial"/>
          <w:iCs/>
          <w:sz w:val="20"/>
          <w:szCs w:val="20"/>
        </w:rPr>
      </w:pPr>
      <w:r w:rsidRPr="00A742E4">
        <w:rPr>
          <w:rFonts w:ascii="Arial" w:hAnsi="Arial" w:cs="Arial"/>
          <w:iCs/>
          <w:sz w:val="20"/>
          <w:szCs w:val="20"/>
        </w:rPr>
        <w:t>Ta uredba začne veljati petnajsti dan po objavi v Uradnem listu Republike Slovenije.</w:t>
      </w:r>
    </w:p>
    <w:p w:rsidR="00E30215" w:rsidRPr="00A742E4" w:rsidP="001D1F11" w14:paraId="1E6BED2D" w14:textId="77777777">
      <w:pPr>
        <w:spacing w:after="0"/>
        <w:jc w:val="both"/>
        <w:rPr>
          <w:rFonts w:ascii="Arial" w:hAnsi="Arial" w:cs="Arial"/>
          <w:sz w:val="20"/>
          <w:szCs w:val="20"/>
        </w:rPr>
      </w:pPr>
    </w:p>
    <w:p w:rsidR="00E30215" w:rsidRPr="00A742E4" w:rsidP="001D1F11" w14:paraId="2D76A4FA" w14:textId="77777777">
      <w:pPr>
        <w:spacing w:after="0"/>
        <w:jc w:val="both"/>
        <w:rPr>
          <w:rFonts w:ascii="Arial" w:hAnsi="Arial" w:cs="Arial"/>
          <w:sz w:val="20"/>
          <w:szCs w:val="20"/>
        </w:rPr>
      </w:pPr>
    </w:p>
    <w:p w:rsidR="00E30215" w:rsidRPr="00A742E4" w:rsidP="001D1F11" w14:paraId="3BA3C531" w14:textId="77777777">
      <w:pPr>
        <w:spacing w:after="0"/>
        <w:jc w:val="both"/>
        <w:rPr>
          <w:rFonts w:ascii="Arial" w:hAnsi="Arial" w:cs="Arial"/>
          <w:sz w:val="20"/>
          <w:szCs w:val="20"/>
        </w:rPr>
      </w:pPr>
      <w:r w:rsidRPr="00A742E4">
        <w:rPr>
          <w:rFonts w:ascii="Arial" w:hAnsi="Arial" w:cs="Arial"/>
          <w:sz w:val="20"/>
          <w:szCs w:val="20"/>
        </w:rPr>
        <w:t>Št.</w:t>
      </w:r>
    </w:p>
    <w:p w:rsidR="00E30215" w:rsidRPr="00A742E4" w:rsidP="001D1F11" w14:paraId="14D0AF63" w14:textId="77777777">
      <w:pPr>
        <w:spacing w:after="0"/>
        <w:jc w:val="both"/>
        <w:rPr>
          <w:rFonts w:ascii="Arial" w:hAnsi="Arial" w:cs="Arial"/>
          <w:sz w:val="20"/>
          <w:szCs w:val="20"/>
        </w:rPr>
      </w:pPr>
      <w:r w:rsidRPr="00A742E4">
        <w:rPr>
          <w:rFonts w:ascii="Arial" w:hAnsi="Arial" w:cs="Arial"/>
          <w:sz w:val="20"/>
          <w:szCs w:val="20"/>
        </w:rPr>
        <w:t>Ljubljana, dne</w:t>
      </w:r>
    </w:p>
    <w:p w:rsidR="00E30215" w:rsidRPr="00A742E4" w:rsidP="00E30215" w14:paraId="24E5207D" w14:textId="126110D0">
      <w:pPr>
        <w:jc w:val="both"/>
        <w:rPr>
          <w:rFonts w:ascii="Arial" w:hAnsi="Arial" w:cs="Arial"/>
          <w:sz w:val="20"/>
          <w:szCs w:val="20"/>
        </w:rPr>
      </w:pPr>
      <w:r>
        <w:rPr>
          <w:rFonts w:ascii="Arial" w:hAnsi="Arial" w:cs="Arial"/>
          <w:sz w:val="20"/>
          <w:szCs w:val="20"/>
        </w:rPr>
        <w:t xml:space="preserve">EVA </w:t>
      </w:r>
      <w:r w:rsidRPr="00A742E4">
        <w:rPr>
          <w:rFonts w:ascii="Arial" w:hAnsi="Arial" w:cs="Arial"/>
          <w:sz w:val="20"/>
          <w:szCs w:val="20"/>
        </w:rPr>
        <w:t>2024-1911-0022</w:t>
      </w:r>
    </w:p>
    <w:p w:rsidR="00E30215" w:rsidRPr="00A742E4" w:rsidP="00E30215" w14:paraId="051C25BE" w14:textId="77777777">
      <w:pPr>
        <w:jc w:val="both"/>
        <w:rPr>
          <w:rFonts w:ascii="Arial" w:hAnsi="Arial" w:cs="Arial"/>
          <w:sz w:val="20"/>
          <w:szCs w:val="20"/>
        </w:rPr>
      </w:pPr>
    </w:p>
    <w:p w:rsidR="00E30215" w:rsidRPr="00A742E4" w:rsidP="002E64A4" w14:paraId="23E0A4B2" w14:textId="77777777">
      <w:pPr>
        <w:spacing w:after="0"/>
        <w:ind w:left="5664" w:firstLine="708"/>
        <w:jc w:val="center"/>
        <w:rPr>
          <w:rFonts w:ascii="Arial" w:hAnsi="Arial" w:cs="Arial"/>
          <w:sz w:val="20"/>
          <w:szCs w:val="20"/>
        </w:rPr>
      </w:pPr>
      <w:r w:rsidRPr="00A742E4">
        <w:rPr>
          <w:rFonts w:ascii="Arial" w:hAnsi="Arial" w:cs="Arial"/>
          <w:sz w:val="20"/>
          <w:szCs w:val="20"/>
        </w:rPr>
        <w:t xml:space="preserve">Vlada Republike Slovenije           </w:t>
      </w:r>
    </w:p>
    <w:p w:rsidR="00E30215" w:rsidRPr="00A742E4" w:rsidP="002E64A4" w14:paraId="7C1AFCC1" w14:textId="77777777">
      <w:pPr>
        <w:spacing w:after="0"/>
        <w:ind w:left="5664" w:firstLine="708"/>
        <w:jc w:val="center"/>
        <w:rPr>
          <w:rFonts w:ascii="Arial" w:hAnsi="Arial" w:cs="Arial"/>
          <w:sz w:val="20"/>
          <w:szCs w:val="20"/>
        </w:rPr>
      </w:pPr>
      <w:r w:rsidRPr="00A742E4">
        <w:rPr>
          <w:rFonts w:ascii="Arial" w:hAnsi="Arial" w:cs="Arial"/>
          <w:sz w:val="20"/>
          <w:szCs w:val="20"/>
        </w:rPr>
        <w:t>dr. Robert Golob</w:t>
      </w:r>
    </w:p>
    <w:p w:rsidR="00E30215" w:rsidRPr="00A742E4" w:rsidP="002E64A4" w14:paraId="11BA62A5" w14:textId="760D006D">
      <w:pPr>
        <w:ind w:left="6372"/>
        <w:jc w:val="center"/>
        <w:rPr>
          <w:rFonts w:ascii="Arial" w:hAnsi="Arial" w:cs="Arial"/>
          <w:sz w:val="20"/>
          <w:szCs w:val="20"/>
        </w:rPr>
      </w:pPr>
      <w:r w:rsidRPr="00A742E4">
        <w:rPr>
          <w:rFonts w:ascii="Arial" w:hAnsi="Arial" w:cs="Arial"/>
          <w:sz w:val="20"/>
          <w:szCs w:val="20"/>
        </w:rPr>
        <w:t xml:space="preserve">    predsednik</w:t>
      </w:r>
    </w:p>
    <w:p w:rsidR="00E30215" w:rsidRPr="00A742E4" w:rsidP="00E30215" w14:paraId="3667077E" w14:textId="77777777">
      <w:pPr>
        <w:rPr>
          <w:rFonts w:ascii="Arial" w:hAnsi="Arial" w:cs="Arial"/>
          <w:b/>
          <w:sz w:val="20"/>
          <w:szCs w:val="20"/>
        </w:rPr>
      </w:pPr>
      <w:r w:rsidRPr="00A742E4">
        <w:rPr>
          <w:rFonts w:ascii="Arial" w:hAnsi="Arial" w:cs="Arial"/>
          <w:sz w:val="20"/>
          <w:szCs w:val="20"/>
        </w:rPr>
        <w:br w:type="page"/>
      </w:r>
      <w:r w:rsidRPr="00A742E4">
        <w:rPr>
          <w:rFonts w:ascii="Arial" w:hAnsi="Arial" w:cs="Arial"/>
          <w:b/>
          <w:sz w:val="20"/>
          <w:szCs w:val="20"/>
        </w:rPr>
        <w:t>OBRAZLOŽITEV</w:t>
      </w:r>
    </w:p>
    <w:p w:rsidR="00E30215" w:rsidRPr="00A742E4" w:rsidP="001D1F11" w14:paraId="2997456A" w14:textId="77777777">
      <w:pPr>
        <w:spacing w:after="0"/>
        <w:jc w:val="both"/>
        <w:rPr>
          <w:rFonts w:ascii="Arial" w:hAnsi="Arial" w:cs="Arial"/>
          <w:b/>
          <w:sz w:val="20"/>
          <w:szCs w:val="20"/>
        </w:rPr>
      </w:pPr>
    </w:p>
    <w:p w:rsidR="00E30215" w:rsidRPr="00A742E4" w:rsidP="001D1F11" w14:paraId="2B4EC8C7" w14:textId="77777777">
      <w:pPr>
        <w:spacing w:after="0"/>
        <w:jc w:val="both"/>
        <w:rPr>
          <w:rFonts w:ascii="Arial" w:hAnsi="Arial" w:cs="Arial"/>
          <w:sz w:val="20"/>
          <w:szCs w:val="20"/>
        </w:rPr>
      </w:pPr>
      <w:r w:rsidRPr="00A742E4">
        <w:rPr>
          <w:rFonts w:ascii="Arial" w:hAnsi="Arial" w:cs="Arial"/>
          <w:sz w:val="20"/>
          <w:szCs w:val="20"/>
        </w:rPr>
        <w:t>I. UVOD</w:t>
      </w:r>
    </w:p>
    <w:p w:rsidR="00E30215" w:rsidRPr="00A742E4" w:rsidP="001D1F11" w14:paraId="087948E5" w14:textId="77777777">
      <w:pPr>
        <w:spacing w:after="0"/>
        <w:jc w:val="both"/>
        <w:rPr>
          <w:rFonts w:ascii="Arial" w:hAnsi="Arial" w:cs="Arial"/>
          <w:sz w:val="20"/>
          <w:szCs w:val="20"/>
        </w:rPr>
      </w:pPr>
    </w:p>
    <w:p w:rsidR="00E30215" w:rsidRPr="00A742E4" w:rsidP="001D1F11" w14:paraId="2FEE416C" w14:textId="77777777">
      <w:pPr>
        <w:spacing w:after="0"/>
        <w:jc w:val="both"/>
        <w:rPr>
          <w:rFonts w:ascii="Arial" w:hAnsi="Arial" w:cs="Arial"/>
          <w:sz w:val="20"/>
          <w:szCs w:val="20"/>
        </w:rPr>
      </w:pPr>
      <w:r w:rsidRPr="00A742E4">
        <w:rPr>
          <w:rFonts w:ascii="Arial" w:hAnsi="Arial" w:cs="Arial"/>
          <w:sz w:val="20"/>
          <w:szCs w:val="20"/>
        </w:rPr>
        <w:t>1. Pravna podlaga</w:t>
      </w:r>
    </w:p>
    <w:p w:rsidR="00E30215" w:rsidRPr="00A742E4" w:rsidP="001D1F11" w14:paraId="6250A9F8" w14:textId="77777777">
      <w:pPr>
        <w:spacing w:after="0"/>
        <w:jc w:val="both"/>
        <w:rPr>
          <w:rFonts w:ascii="Arial" w:hAnsi="Arial" w:cs="Arial"/>
          <w:sz w:val="20"/>
          <w:szCs w:val="20"/>
        </w:rPr>
      </w:pPr>
    </w:p>
    <w:p w:rsidR="00E30215" w:rsidRPr="00A742E4" w:rsidP="00E30215" w14:paraId="4B9571D9" w14:textId="77777777">
      <w:pPr>
        <w:pStyle w:val="Naslovpredpisa"/>
        <w:spacing w:before="0" w:after="0" w:line="276" w:lineRule="auto"/>
        <w:jc w:val="both"/>
        <w:rPr>
          <w:b w:val="0"/>
          <w:sz w:val="20"/>
          <w:szCs w:val="20"/>
        </w:rPr>
      </w:pPr>
      <w:r w:rsidRPr="00A742E4">
        <w:rPr>
          <w:b w:val="0"/>
          <w:sz w:val="20"/>
          <w:szCs w:val="20"/>
        </w:rPr>
        <w:t xml:space="preserve">Pravno podlago za predlagano uredbo določa drugi odstavek </w:t>
      </w:r>
      <w:smartTag w:uri="urn:schemas-microsoft-com:office:smarttags" w:element="metricconverter">
        <w:smartTagPr>
          <w:attr w:name="ProductID" w:val="49. in"/>
        </w:smartTagPr>
        <w:r w:rsidRPr="00A742E4">
          <w:rPr>
            <w:b w:val="0"/>
            <w:sz w:val="20"/>
            <w:szCs w:val="20"/>
          </w:rPr>
          <w:t>49. in</w:t>
        </w:r>
      </w:smartTag>
      <w:r w:rsidRPr="00A742E4">
        <w:rPr>
          <w:b w:val="0"/>
          <w:sz w:val="20"/>
          <w:szCs w:val="20"/>
        </w:rPr>
        <w:t xml:space="preserve"> tretji odstavek 56. člena Zakona o varstvu pred naravnimi in drugimi nesrečami (Uradni list RS, št. 51/06 – uradno prečiščeno besedilo, 97/10, 21/18 – </w:t>
      </w:r>
      <w:r w:rsidRPr="00A742E4">
        <w:rPr>
          <w:b w:val="0"/>
          <w:sz w:val="20"/>
          <w:szCs w:val="20"/>
        </w:rPr>
        <w:t>ZNOrg</w:t>
      </w:r>
      <w:r w:rsidRPr="00A742E4">
        <w:rPr>
          <w:b w:val="0"/>
          <w:sz w:val="20"/>
          <w:szCs w:val="20"/>
        </w:rPr>
        <w:t xml:space="preserve"> in 117/22), ki Vlado Republike Slovenije pooblašča, da podrobneje uredi organizacijo in delovanje sistema </w:t>
      </w:r>
      <w:r w:rsidRPr="00A742E4">
        <w:rPr>
          <w:b w:val="0"/>
          <w:color w:val="000000"/>
          <w:sz w:val="20"/>
          <w:szCs w:val="20"/>
          <w:shd w:val="clear" w:color="auto" w:fill="FFFFFF"/>
        </w:rPr>
        <w:t>opazovanja, obveščanja in</w:t>
      </w:r>
      <w:r w:rsidRPr="00A742E4">
        <w:rPr>
          <w:b w:val="0"/>
          <w:color w:val="555555"/>
          <w:sz w:val="20"/>
          <w:szCs w:val="20"/>
          <w:shd w:val="clear" w:color="auto" w:fill="FFFFFF"/>
        </w:rPr>
        <w:t xml:space="preserve"> alarmiranja.</w:t>
      </w:r>
      <w:r w:rsidRPr="00A742E4">
        <w:rPr>
          <w:b w:val="0"/>
          <w:sz w:val="20"/>
          <w:szCs w:val="20"/>
          <w:u w:val="single"/>
        </w:rPr>
        <w:t xml:space="preserve"> </w:t>
      </w:r>
    </w:p>
    <w:p w:rsidR="00E30215" w:rsidRPr="00A742E4" w:rsidP="00E30215" w14:paraId="3F3D7B1B" w14:textId="77777777">
      <w:pPr>
        <w:pStyle w:val="Naslovpredpisa"/>
        <w:spacing w:before="0" w:after="0" w:line="276" w:lineRule="auto"/>
        <w:jc w:val="both"/>
        <w:rPr>
          <w:b w:val="0"/>
          <w:color w:val="000000"/>
          <w:sz w:val="20"/>
          <w:szCs w:val="20"/>
          <w:shd w:val="clear" w:color="auto" w:fill="FFFFFF"/>
        </w:rPr>
      </w:pPr>
    </w:p>
    <w:p w:rsidR="00E30215" w:rsidRPr="00A742E4" w:rsidP="00E30215" w14:paraId="34A89C84" w14:textId="77777777">
      <w:pPr>
        <w:pStyle w:val="Naslovpredpisa"/>
        <w:spacing w:before="0" w:after="200" w:line="276" w:lineRule="auto"/>
        <w:jc w:val="both"/>
        <w:rPr>
          <w:b w:val="0"/>
          <w:sz w:val="20"/>
          <w:szCs w:val="20"/>
        </w:rPr>
      </w:pPr>
      <w:r w:rsidRPr="00A742E4">
        <w:rPr>
          <w:b w:val="0"/>
          <w:color w:val="000000"/>
          <w:sz w:val="20"/>
          <w:szCs w:val="20"/>
          <w:shd w:val="clear" w:color="auto" w:fill="FFFFFF"/>
        </w:rPr>
        <w:t xml:space="preserve">2. </w:t>
      </w:r>
      <w:r w:rsidRPr="00A742E4">
        <w:rPr>
          <w:b w:val="0"/>
          <w:sz w:val="20"/>
          <w:szCs w:val="20"/>
        </w:rPr>
        <w:t>Rok za izdajo uredbe ni zakonsko določen.</w:t>
      </w:r>
      <w:r w:rsidRPr="00A742E4">
        <w:rPr>
          <w:sz w:val="20"/>
          <w:szCs w:val="20"/>
        </w:rPr>
        <w:t xml:space="preserve"> </w:t>
      </w:r>
    </w:p>
    <w:p w:rsidR="00E30215" w:rsidRPr="00A742E4" w:rsidP="00E30215" w14:paraId="43894866" w14:textId="77777777">
      <w:pPr>
        <w:pStyle w:val="Naslovpredpisa"/>
        <w:spacing w:before="0" w:after="200" w:line="276" w:lineRule="auto"/>
        <w:jc w:val="both"/>
        <w:rPr>
          <w:b w:val="0"/>
          <w:sz w:val="20"/>
          <w:szCs w:val="20"/>
        </w:rPr>
      </w:pPr>
      <w:r w:rsidRPr="00A742E4">
        <w:rPr>
          <w:b w:val="0"/>
          <w:sz w:val="20"/>
          <w:szCs w:val="20"/>
        </w:rPr>
        <w:t>3. Splošna obrazložitev predloga uredbe</w:t>
      </w:r>
    </w:p>
    <w:p w:rsidR="00E30215" w:rsidRPr="00A742E4" w:rsidP="00E30215" w14:paraId="04AB3FBC" w14:textId="77777777">
      <w:pPr>
        <w:pStyle w:val="Naslovpredpisa"/>
        <w:spacing w:before="0" w:after="200" w:line="276" w:lineRule="auto"/>
        <w:jc w:val="both"/>
        <w:rPr>
          <w:b w:val="0"/>
          <w:color w:val="000000"/>
          <w:sz w:val="20"/>
          <w:szCs w:val="20"/>
        </w:rPr>
      </w:pPr>
      <w:r w:rsidRPr="00A742E4">
        <w:rPr>
          <w:b w:val="0"/>
          <w:sz w:val="20"/>
          <w:szCs w:val="20"/>
        </w:rPr>
        <w:t>S predlogom uredbe se opredelita stopnji kritičnosti dogodka, za kateri mora sistem javnega obveščanja in alarmiranja s posredovanjem opozorilnih obvestil omogočati različne vrste alarmiranja. Predlog uredbe tako usklajuje Uredbo o organizaciji in delovanju sistema opazovanja, obveščanja in alarmiranja (Uradni list RS, št. 105/07, 39/23 in 89/23 – popr.; v nadaljnjem besedilu: uredba) z določbo tretjega odstavka 3. člena Uredbe o vzpostavitvi in zagotavljanju sistema javnega obveščanja in alarmiranja prek javnih mobilnih omrežij (Uradni list RS, št. 127/23; v nadaljnjem besedilu: uredba o zagotavljanju sistema alarmiranja preko javnih mobilnih omrežij). Uskladitev tako omogoči možnost pošiljanja opozorilnih obvestil preko javnih mobilnih omrežij ter določi pristojnost in način obveščanja in alarmiranja prebivalcev preko javnih mobilnih omrežij. Vsebinske zahteve iz desetega odstavka 5. člena uredbe o zagotavljanju sistema alarmiranja preko javnih mobilnih omrežij pa sta organ in operater uskladila ter jih uredila z internim aktom (dokument št. 382-1/2024-27 – DGZR z dne 3. 4. 2024).</w:t>
      </w:r>
    </w:p>
    <w:p w:rsidR="00E30215" w:rsidRPr="00A742E4" w:rsidP="001D1F11" w14:paraId="38B8B822" w14:textId="77777777">
      <w:pPr>
        <w:spacing w:after="0"/>
        <w:rPr>
          <w:rFonts w:ascii="Arial" w:hAnsi="Arial" w:cs="Arial"/>
          <w:sz w:val="20"/>
          <w:szCs w:val="20"/>
          <w:lang w:eastAsia="sl-SI"/>
        </w:rPr>
      </w:pPr>
    </w:p>
    <w:p w:rsidR="00E30215" w:rsidRPr="00A742E4" w:rsidP="001D1F11" w14:paraId="217CC9F8" w14:textId="77777777">
      <w:pPr>
        <w:spacing w:after="0"/>
        <w:rPr>
          <w:rFonts w:ascii="Arial" w:hAnsi="Arial" w:cs="Arial"/>
          <w:sz w:val="20"/>
          <w:szCs w:val="20"/>
          <w:lang w:eastAsia="sl-SI"/>
        </w:rPr>
      </w:pPr>
      <w:r w:rsidRPr="00A742E4">
        <w:rPr>
          <w:rFonts w:ascii="Arial" w:hAnsi="Arial" w:cs="Arial"/>
          <w:sz w:val="20"/>
          <w:szCs w:val="20"/>
          <w:lang w:eastAsia="sl-SI"/>
        </w:rPr>
        <w:t>II. VSEBINSKA OBRAZLOŽITEV PREDLAGANIH REŠITEV</w:t>
      </w:r>
    </w:p>
    <w:p w:rsidR="00E30215" w:rsidRPr="00A742E4" w:rsidP="001D1F11" w14:paraId="4B5CEBDC" w14:textId="77777777">
      <w:pPr>
        <w:spacing w:after="0"/>
        <w:rPr>
          <w:rFonts w:ascii="Arial" w:hAnsi="Arial" w:cs="Arial"/>
          <w:sz w:val="20"/>
          <w:szCs w:val="20"/>
          <w:lang w:eastAsia="sl-SI"/>
        </w:rPr>
      </w:pPr>
    </w:p>
    <w:p w:rsidR="00E30215" w:rsidRPr="00A742E4" w:rsidP="001D1F11" w14:paraId="46D13CAD" w14:textId="77777777">
      <w:pPr>
        <w:spacing w:after="0"/>
        <w:rPr>
          <w:rFonts w:ascii="Arial" w:hAnsi="Arial" w:cs="Arial"/>
          <w:b/>
          <w:sz w:val="20"/>
          <w:szCs w:val="20"/>
          <w:lang w:eastAsia="sl-SI"/>
        </w:rPr>
      </w:pPr>
      <w:r w:rsidRPr="00A742E4">
        <w:rPr>
          <w:rFonts w:ascii="Arial" w:hAnsi="Arial" w:cs="Arial"/>
          <w:b/>
          <w:sz w:val="20"/>
          <w:szCs w:val="20"/>
          <w:lang w:eastAsia="sl-SI"/>
        </w:rPr>
        <w:t>K 1. členu</w:t>
      </w:r>
    </w:p>
    <w:p w:rsidR="00E30215" w:rsidRPr="00A742E4" w:rsidP="001D1F11" w14:paraId="641185F2"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1. členu se črta besedilo »območni«, saj območni centri za obveščanje v praksi ne delujejo.  </w:t>
      </w:r>
    </w:p>
    <w:p w:rsidR="00E30215" w:rsidRPr="00A742E4" w:rsidP="001D1F11" w14:paraId="0F4C9199" w14:textId="77777777">
      <w:pPr>
        <w:spacing w:after="0"/>
        <w:rPr>
          <w:rFonts w:ascii="Arial" w:hAnsi="Arial" w:cs="Arial"/>
          <w:sz w:val="20"/>
          <w:szCs w:val="20"/>
          <w:lang w:eastAsia="sl-SI"/>
        </w:rPr>
      </w:pPr>
    </w:p>
    <w:p w:rsidR="00E30215" w:rsidRPr="00A742E4" w:rsidP="001D1F11" w14:paraId="077A57A7" w14:textId="77777777">
      <w:pPr>
        <w:spacing w:after="0"/>
        <w:rPr>
          <w:rFonts w:ascii="Arial" w:hAnsi="Arial" w:cs="Arial"/>
          <w:b/>
          <w:sz w:val="20"/>
          <w:szCs w:val="20"/>
          <w:lang w:eastAsia="sl-SI"/>
        </w:rPr>
      </w:pPr>
      <w:r w:rsidRPr="00A742E4">
        <w:rPr>
          <w:rFonts w:ascii="Arial" w:hAnsi="Arial" w:cs="Arial"/>
          <w:b/>
          <w:sz w:val="20"/>
          <w:szCs w:val="20"/>
          <w:lang w:eastAsia="sl-SI"/>
        </w:rPr>
        <w:t>K 2. členu</w:t>
      </w:r>
    </w:p>
    <w:p w:rsidR="00E30215" w:rsidRPr="00A742E4" w:rsidP="001D1F11" w14:paraId="7B815690"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2. členu se črta besedilo »po telefaksu«, saj se za obveščanje o dogodkih, pomembnih za varstvo pred naravnimi in drugimi nesrečami, telefaksi v praksi ne uporabljajo več. </w:t>
      </w:r>
    </w:p>
    <w:p w:rsidR="00E30215" w:rsidRPr="00A742E4" w:rsidP="001D1F11" w14:paraId="2BE2DBA8" w14:textId="77777777">
      <w:pPr>
        <w:spacing w:after="0"/>
        <w:rPr>
          <w:rFonts w:ascii="Arial" w:hAnsi="Arial" w:cs="Arial"/>
          <w:sz w:val="20"/>
          <w:szCs w:val="20"/>
          <w:lang w:eastAsia="sl-SI"/>
        </w:rPr>
      </w:pPr>
    </w:p>
    <w:p w:rsidR="00E30215" w:rsidRPr="00A742E4" w:rsidP="001D1F11" w14:paraId="391193EC" w14:textId="77777777">
      <w:pPr>
        <w:spacing w:after="0"/>
        <w:rPr>
          <w:rFonts w:ascii="Arial" w:hAnsi="Arial" w:cs="Arial"/>
          <w:b/>
          <w:sz w:val="20"/>
          <w:szCs w:val="20"/>
          <w:lang w:eastAsia="sl-SI"/>
        </w:rPr>
      </w:pPr>
      <w:r w:rsidRPr="00A742E4">
        <w:rPr>
          <w:rFonts w:ascii="Arial" w:hAnsi="Arial" w:cs="Arial"/>
          <w:b/>
          <w:sz w:val="20"/>
          <w:szCs w:val="20"/>
          <w:lang w:eastAsia="sl-SI"/>
        </w:rPr>
        <w:t>K 3. členu</w:t>
      </w:r>
    </w:p>
    <w:p w:rsidR="00E30215" w:rsidRPr="00A742E4" w:rsidP="001D1F11" w14:paraId="7264A10B" w14:textId="77777777">
      <w:pPr>
        <w:spacing w:after="0"/>
        <w:jc w:val="both"/>
        <w:rPr>
          <w:rFonts w:ascii="Arial" w:hAnsi="Arial" w:cs="Arial"/>
          <w:b/>
          <w:sz w:val="20"/>
          <w:szCs w:val="20"/>
          <w:lang w:eastAsia="sl-SI"/>
        </w:rPr>
      </w:pPr>
      <w:r w:rsidRPr="00A742E4">
        <w:rPr>
          <w:rFonts w:ascii="Arial" w:hAnsi="Arial" w:cs="Arial"/>
          <w:sz w:val="20"/>
          <w:szCs w:val="20"/>
          <w:lang w:eastAsia="sl-SI"/>
        </w:rPr>
        <w:t>V 3. členu se doda besedilo »stopnjo kritičnosti dogodka« in besedilo »območjih, ki jih lahko možne posledice prizadenejo«. V obeh primerih gre za vsebino podatka o nevarnosti in nesreči, ki ga mora poročevalec iz 2. člena predlagane uredbe posredovati pristojnemu centru za obveščanje.</w:t>
      </w:r>
    </w:p>
    <w:p w:rsidR="00E30215" w:rsidRPr="00A742E4" w:rsidP="001D1F11" w14:paraId="19831ACF" w14:textId="77777777">
      <w:pPr>
        <w:spacing w:after="0"/>
        <w:rPr>
          <w:rFonts w:ascii="Arial" w:hAnsi="Arial" w:cs="Arial"/>
          <w:b/>
          <w:sz w:val="20"/>
          <w:szCs w:val="20"/>
          <w:lang w:eastAsia="sl-SI"/>
        </w:rPr>
      </w:pPr>
    </w:p>
    <w:p w:rsidR="00E30215" w:rsidRPr="00A742E4" w:rsidP="001D1F11" w14:paraId="55A83BC2" w14:textId="77777777">
      <w:pPr>
        <w:spacing w:after="0"/>
        <w:rPr>
          <w:rFonts w:ascii="Arial" w:hAnsi="Arial" w:cs="Arial"/>
          <w:b/>
          <w:sz w:val="20"/>
          <w:szCs w:val="20"/>
          <w:lang w:eastAsia="sl-SI"/>
        </w:rPr>
      </w:pPr>
      <w:r w:rsidRPr="00A742E4">
        <w:rPr>
          <w:rFonts w:ascii="Arial" w:hAnsi="Arial" w:cs="Arial"/>
          <w:b/>
          <w:sz w:val="20"/>
          <w:szCs w:val="20"/>
          <w:lang w:eastAsia="sl-SI"/>
        </w:rPr>
        <w:t>K 4. členu</w:t>
      </w:r>
    </w:p>
    <w:p w:rsidR="00E30215" w:rsidRPr="00A742E4" w:rsidP="001D1F11" w14:paraId="32096309"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Doda se nov 3.a člen z naslovom »stopnji kritičnosti dogodka«, s katerim se določita in opredelita stopnji kritičnosti dogodka. Stopnji sta bili vsebinsko opredeljeni v 12. členu veljavne uredbe, zaradi načela jasnosti pa je navedena opredelitev zdaj dodana v novi 3.a člen. </w:t>
      </w:r>
    </w:p>
    <w:p w:rsidR="00E30215" w:rsidRPr="00A742E4" w:rsidP="001D1F11" w14:paraId="2D2916C7" w14:textId="77777777">
      <w:pPr>
        <w:spacing w:after="0"/>
        <w:jc w:val="both"/>
        <w:rPr>
          <w:rFonts w:ascii="Arial" w:hAnsi="Arial" w:cs="Arial"/>
          <w:b/>
          <w:sz w:val="20"/>
          <w:szCs w:val="20"/>
          <w:lang w:eastAsia="sl-SI"/>
        </w:rPr>
      </w:pPr>
    </w:p>
    <w:p w:rsidR="00E30215" w:rsidRPr="00A742E4" w:rsidP="001D1F11" w14:paraId="1C5BA736" w14:textId="77777777">
      <w:pPr>
        <w:spacing w:after="0"/>
        <w:jc w:val="both"/>
        <w:rPr>
          <w:rFonts w:ascii="Arial" w:hAnsi="Arial" w:cs="Arial"/>
          <w:b/>
          <w:sz w:val="20"/>
          <w:szCs w:val="20"/>
          <w:lang w:eastAsia="sl-SI"/>
        </w:rPr>
      </w:pPr>
      <w:r w:rsidRPr="00A742E4">
        <w:rPr>
          <w:rFonts w:ascii="Arial" w:hAnsi="Arial" w:cs="Arial"/>
          <w:b/>
          <w:sz w:val="20"/>
          <w:szCs w:val="20"/>
          <w:lang w:eastAsia="sl-SI"/>
        </w:rPr>
        <w:t>K 5. členu</w:t>
      </w:r>
    </w:p>
    <w:p w:rsidR="00E30215" w:rsidRPr="00A742E4" w:rsidP="001D1F11" w14:paraId="032A9112"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5. členu se črta četrti odstavek, saj območni centri za obveščanje v praksi ne delujejo. </w:t>
      </w:r>
    </w:p>
    <w:p w:rsidR="00E30215" w:rsidRPr="00A742E4" w:rsidP="001D1F11" w14:paraId="130C19D6" w14:textId="77777777">
      <w:pPr>
        <w:spacing w:after="0"/>
        <w:jc w:val="both"/>
        <w:rPr>
          <w:rFonts w:ascii="Arial" w:hAnsi="Arial" w:cs="Arial"/>
          <w:b/>
          <w:sz w:val="20"/>
          <w:szCs w:val="20"/>
          <w:lang w:eastAsia="sl-SI"/>
        </w:rPr>
      </w:pPr>
    </w:p>
    <w:p w:rsidR="00E30215" w:rsidRPr="00A742E4" w:rsidP="001D1F11" w14:paraId="5247E65C" w14:textId="77777777">
      <w:pPr>
        <w:spacing w:after="0"/>
        <w:jc w:val="both"/>
        <w:rPr>
          <w:rFonts w:ascii="Arial" w:hAnsi="Arial" w:cs="Arial"/>
          <w:b/>
          <w:sz w:val="20"/>
          <w:szCs w:val="20"/>
          <w:lang w:eastAsia="sl-SI"/>
        </w:rPr>
      </w:pPr>
      <w:r w:rsidRPr="00A742E4">
        <w:rPr>
          <w:rFonts w:ascii="Arial" w:hAnsi="Arial" w:cs="Arial"/>
          <w:b/>
          <w:sz w:val="20"/>
          <w:szCs w:val="20"/>
          <w:lang w:eastAsia="sl-SI"/>
        </w:rPr>
        <w:t>K 6. členu</w:t>
      </w:r>
    </w:p>
    <w:p w:rsidR="00E30215" w:rsidRPr="00A742E4" w:rsidP="001D1F11" w14:paraId="2B5D2A12"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6. členu se iz besedila črta besedilo »in območnih«, saj območni centri za obveščanje v praksi ne delujejo. </w:t>
      </w:r>
    </w:p>
    <w:p w:rsidR="00E30215" w:rsidRPr="00A742E4" w:rsidP="001D1F11" w14:paraId="3023B56E" w14:textId="77777777">
      <w:pPr>
        <w:spacing w:after="0"/>
        <w:jc w:val="both"/>
        <w:rPr>
          <w:rFonts w:ascii="Arial" w:hAnsi="Arial" w:cs="Arial"/>
          <w:sz w:val="20"/>
          <w:szCs w:val="20"/>
          <w:lang w:eastAsia="sl-SI"/>
        </w:rPr>
      </w:pPr>
    </w:p>
    <w:p w:rsidR="00E30215" w:rsidRPr="00A742E4" w:rsidP="001D1F11" w14:paraId="64F3FBF9" w14:textId="77777777">
      <w:pPr>
        <w:spacing w:after="0"/>
        <w:jc w:val="both"/>
        <w:rPr>
          <w:rFonts w:ascii="Arial" w:hAnsi="Arial" w:cs="Arial"/>
          <w:b/>
          <w:sz w:val="20"/>
          <w:szCs w:val="20"/>
          <w:lang w:eastAsia="sl-SI"/>
        </w:rPr>
      </w:pPr>
      <w:r w:rsidRPr="00A742E4">
        <w:rPr>
          <w:rFonts w:ascii="Arial" w:hAnsi="Arial" w:cs="Arial"/>
          <w:b/>
          <w:sz w:val="20"/>
          <w:szCs w:val="20"/>
          <w:lang w:eastAsia="sl-SI"/>
        </w:rPr>
        <w:t>K 7. členu</w:t>
      </w:r>
    </w:p>
    <w:p w:rsidR="00E30215" w:rsidRPr="00A742E4" w:rsidP="001D1F11" w14:paraId="7F167671"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7. členu se iz besedila črta besedilo »obdobne in letne«, saj Center za obveščanje Republike Slovenije pripravlja ter posreduje zgolj dnevne in izredne informativne biltene. </w:t>
      </w:r>
    </w:p>
    <w:p w:rsidR="00E30215" w:rsidRPr="00A742E4" w:rsidP="001D1F11" w14:paraId="1BCAB7FA" w14:textId="77777777">
      <w:pPr>
        <w:spacing w:after="0"/>
        <w:jc w:val="both"/>
        <w:rPr>
          <w:rFonts w:ascii="Arial" w:hAnsi="Arial" w:cs="Arial"/>
          <w:sz w:val="20"/>
          <w:szCs w:val="20"/>
          <w:lang w:eastAsia="sl-SI"/>
        </w:rPr>
      </w:pPr>
    </w:p>
    <w:p w:rsidR="00E30215" w:rsidRPr="00A742E4" w:rsidP="001D1F11" w14:paraId="4B00AD17" w14:textId="77777777">
      <w:pPr>
        <w:spacing w:after="0"/>
        <w:rPr>
          <w:rFonts w:ascii="Arial" w:hAnsi="Arial" w:cs="Arial"/>
          <w:b/>
          <w:sz w:val="20"/>
          <w:szCs w:val="20"/>
          <w:lang w:eastAsia="sl-SI"/>
        </w:rPr>
      </w:pPr>
      <w:r w:rsidRPr="00A742E4">
        <w:rPr>
          <w:rFonts w:ascii="Arial" w:hAnsi="Arial" w:cs="Arial"/>
          <w:b/>
          <w:sz w:val="20"/>
          <w:szCs w:val="20"/>
          <w:lang w:eastAsia="sl-SI"/>
        </w:rPr>
        <w:t>K 8. členu</w:t>
      </w:r>
    </w:p>
    <w:p w:rsidR="00E30215" w:rsidRPr="00A742E4" w:rsidP="001D1F11" w14:paraId="73FD18D4"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prvem odstavku 8. člena se črta deseta alineja, saj območni centri za obveščanje v praksi ne delujejo, v devetnajsti alineji se črta besedilo »pripravljajo in«, saj že od leta 2011 dnevne in izredne informativne biltene pripravlja Center za obveščanje Republike Slovenije, regijski centri za obveščanje pa jih zgolj posredujejo prejemnikom v regiji, v enaindvajseti alineji tega odstavka pa se beseda »zagotavljajo« nadomesti z bolj ustrezno besedo »omogočajo«, saj beseda »zagotavljajo« pomeni, da alarmni sistemi sami zagotavljajo varnost prebivalstva, čemur pa ni tako. </w:t>
      </w:r>
    </w:p>
    <w:p w:rsidR="00E30215" w:rsidRPr="00A742E4" w:rsidP="001D1F11" w14:paraId="4FAE762D" w14:textId="77777777">
      <w:pPr>
        <w:spacing w:after="0"/>
        <w:jc w:val="both"/>
        <w:rPr>
          <w:rFonts w:ascii="Arial" w:hAnsi="Arial" w:cs="Arial"/>
          <w:sz w:val="20"/>
          <w:szCs w:val="20"/>
          <w:lang w:eastAsia="sl-SI"/>
        </w:rPr>
      </w:pPr>
    </w:p>
    <w:p w:rsidR="00E30215" w:rsidRPr="00A742E4" w:rsidP="001D1F11" w14:paraId="72F86B3F" w14:textId="77777777">
      <w:pPr>
        <w:spacing w:after="0"/>
        <w:jc w:val="both"/>
        <w:rPr>
          <w:rFonts w:ascii="Arial" w:hAnsi="Arial" w:cs="Arial"/>
          <w:b/>
          <w:sz w:val="20"/>
          <w:szCs w:val="20"/>
          <w:lang w:eastAsia="sl-SI"/>
        </w:rPr>
      </w:pPr>
      <w:r w:rsidRPr="00A742E4">
        <w:rPr>
          <w:rFonts w:ascii="Arial" w:hAnsi="Arial" w:cs="Arial"/>
          <w:b/>
          <w:sz w:val="20"/>
          <w:szCs w:val="20"/>
          <w:lang w:eastAsia="sl-SI"/>
        </w:rPr>
        <w:t>K 9. členu</w:t>
      </w:r>
    </w:p>
    <w:p w:rsidR="00E30215" w:rsidRPr="00A742E4" w:rsidP="001D1F11" w14:paraId="3F3733FE"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Črta se 9. člen, saj območni centri za obveščanje v praksi ne delujejo. </w:t>
      </w:r>
    </w:p>
    <w:p w:rsidR="00E30215" w:rsidRPr="00A742E4" w:rsidP="001D1F11" w14:paraId="43D26486" w14:textId="77777777">
      <w:pPr>
        <w:spacing w:after="0"/>
        <w:jc w:val="both"/>
        <w:rPr>
          <w:rFonts w:ascii="Arial" w:hAnsi="Arial" w:cs="Arial"/>
          <w:sz w:val="20"/>
          <w:szCs w:val="20"/>
          <w:lang w:eastAsia="sl-SI"/>
        </w:rPr>
      </w:pPr>
    </w:p>
    <w:p w:rsidR="00E30215" w:rsidRPr="00A742E4" w:rsidP="001D1F11" w14:paraId="79674CEE" w14:textId="77777777">
      <w:pPr>
        <w:spacing w:after="0"/>
        <w:jc w:val="both"/>
        <w:rPr>
          <w:rFonts w:ascii="Arial" w:hAnsi="Arial" w:cs="Arial"/>
          <w:b/>
          <w:sz w:val="20"/>
          <w:szCs w:val="20"/>
          <w:lang w:eastAsia="sl-SI"/>
        </w:rPr>
      </w:pPr>
      <w:r w:rsidRPr="00A742E4">
        <w:rPr>
          <w:rFonts w:ascii="Arial" w:hAnsi="Arial" w:cs="Arial"/>
          <w:b/>
          <w:sz w:val="20"/>
          <w:szCs w:val="20"/>
          <w:lang w:eastAsia="sl-SI"/>
        </w:rPr>
        <w:t>K 10. členu</w:t>
      </w:r>
    </w:p>
    <w:p w:rsidR="00E30215" w:rsidRPr="00A742E4" w:rsidP="001D1F11" w14:paraId="0AFF4804"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Spremeni se naslov VI. poglavja, s katerim se postavi ločnico med alarmiranjem in obveščanjem prebivalstva s pošiljanjem opozorilnih obvestil. </w:t>
      </w:r>
    </w:p>
    <w:p w:rsidR="00E30215" w:rsidRPr="00A742E4" w:rsidP="001D1F11" w14:paraId="7E7A772C" w14:textId="77777777">
      <w:pPr>
        <w:spacing w:after="0"/>
        <w:jc w:val="both"/>
        <w:rPr>
          <w:rFonts w:ascii="Arial" w:hAnsi="Arial" w:cs="Arial"/>
          <w:sz w:val="20"/>
          <w:szCs w:val="20"/>
          <w:lang w:eastAsia="sl-SI"/>
        </w:rPr>
      </w:pPr>
    </w:p>
    <w:p w:rsidR="00E30215" w:rsidRPr="00A742E4" w:rsidP="001D1F11" w14:paraId="3B3ADC41" w14:textId="77777777">
      <w:pPr>
        <w:spacing w:after="0"/>
        <w:jc w:val="both"/>
        <w:rPr>
          <w:rFonts w:ascii="Arial" w:hAnsi="Arial" w:cs="Arial"/>
          <w:b/>
          <w:sz w:val="20"/>
          <w:szCs w:val="20"/>
          <w:lang w:eastAsia="sl-SI"/>
        </w:rPr>
      </w:pPr>
      <w:r w:rsidRPr="00A742E4">
        <w:rPr>
          <w:rFonts w:ascii="Arial" w:hAnsi="Arial" w:cs="Arial"/>
          <w:b/>
          <w:sz w:val="20"/>
          <w:szCs w:val="20"/>
          <w:lang w:eastAsia="sl-SI"/>
        </w:rPr>
        <w:t>K 11. členu</w:t>
      </w:r>
    </w:p>
    <w:p w:rsidR="00E30215" w:rsidRPr="00A742E4" w:rsidP="001D1F11" w14:paraId="5C207A76"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prvem odstavku 10. člena se doda besedilo »s proženjem siren«, saj gre pri alarmiranju prebivalstva  za opozarjanje na nevarnost s pomočjo zvočnih signalov. </w:t>
      </w:r>
    </w:p>
    <w:p w:rsidR="00E30215" w:rsidRPr="00A742E4" w:rsidP="001D1F11" w14:paraId="6506DA54" w14:textId="77777777">
      <w:pPr>
        <w:spacing w:after="0"/>
        <w:jc w:val="both"/>
        <w:rPr>
          <w:rFonts w:ascii="Arial" w:hAnsi="Arial" w:cs="Arial"/>
          <w:sz w:val="20"/>
          <w:szCs w:val="20"/>
          <w:lang w:eastAsia="sl-SI"/>
        </w:rPr>
      </w:pPr>
    </w:p>
    <w:p w:rsidR="00E30215" w:rsidRPr="00A742E4" w:rsidP="001D1F11" w14:paraId="52F2C412" w14:textId="77777777">
      <w:pPr>
        <w:spacing w:after="0"/>
        <w:jc w:val="both"/>
        <w:rPr>
          <w:rFonts w:ascii="Arial" w:hAnsi="Arial" w:cs="Arial"/>
          <w:b/>
          <w:sz w:val="20"/>
          <w:szCs w:val="20"/>
          <w:lang w:eastAsia="sl-SI"/>
        </w:rPr>
      </w:pPr>
      <w:r w:rsidRPr="00A742E4">
        <w:rPr>
          <w:rFonts w:ascii="Arial" w:hAnsi="Arial" w:cs="Arial"/>
          <w:b/>
          <w:sz w:val="20"/>
          <w:szCs w:val="20"/>
          <w:lang w:eastAsia="sl-SI"/>
        </w:rPr>
        <w:t xml:space="preserve">K 12. členu </w:t>
      </w:r>
    </w:p>
    <w:p w:rsidR="00E30215" w:rsidRPr="00A742E4" w:rsidP="001D1F11" w14:paraId="4658D489"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Doda se nov 10.a člen z naslovom »obveščanje s pošiljanjem opozorilnih obvestil«, s katerim se opredeli obveščanje s pošiljanjem opozorilnih obvestil prek mobilnih in drugih komunikacijskih omrežij. </w:t>
      </w:r>
    </w:p>
    <w:p w:rsidR="00E30215" w:rsidRPr="00A742E4" w:rsidP="001D1F11" w14:paraId="58DE581F" w14:textId="77777777">
      <w:pPr>
        <w:spacing w:after="0"/>
        <w:jc w:val="both"/>
        <w:rPr>
          <w:rFonts w:ascii="Arial" w:hAnsi="Arial" w:cs="Arial"/>
          <w:sz w:val="20"/>
          <w:szCs w:val="20"/>
          <w:lang w:eastAsia="sl-SI"/>
        </w:rPr>
      </w:pPr>
    </w:p>
    <w:p w:rsidR="00E30215" w:rsidRPr="00A742E4" w:rsidP="001D1F11" w14:paraId="64E77A9F" w14:textId="77777777">
      <w:pPr>
        <w:spacing w:after="0"/>
        <w:jc w:val="both"/>
        <w:rPr>
          <w:rFonts w:ascii="Arial" w:hAnsi="Arial" w:cs="Arial"/>
          <w:b/>
          <w:bCs/>
          <w:sz w:val="20"/>
          <w:szCs w:val="20"/>
          <w:lang w:eastAsia="sl-SI"/>
        </w:rPr>
      </w:pPr>
      <w:r w:rsidRPr="00A742E4">
        <w:rPr>
          <w:rFonts w:ascii="Arial" w:hAnsi="Arial" w:cs="Arial"/>
          <w:b/>
          <w:bCs/>
          <w:sz w:val="20"/>
          <w:szCs w:val="20"/>
          <w:lang w:eastAsia="sl-SI"/>
        </w:rPr>
        <w:t>K 13. členu</w:t>
      </w:r>
    </w:p>
    <w:p w:rsidR="00E30215" w:rsidRPr="00A742E4" w:rsidP="001D1F11" w14:paraId="1F580C0B"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12. členu se v prvem odstavku dopolnijo določbe o subjektih, ki odločajo o alarmiranju oziroma o uporabi znakov za alarmiranje, tudi za pošiljanje opozorilnih sporočil. Vodje intervencij, ki vodijo intervencije ob izrednih dogodkih neposredno na terenu, ter pooblaščene osebe gospodarskih družb zavodov in drugih organizacij, ki uporabljajo ali proizvajajo nevarne snovi, so prav tako lahko odločevalci, ki odločajo o alarmiranju, zato je bilo treba določbo dopolniti. </w:t>
      </w:r>
    </w:p>
    <w:p w:rsidR="00E30215" w:rsidRPr="00A742E4" w:rsidP="001D1F11" w14:paraId="0FD2B327" w14:textId="77777777">
      <w:pPr>
        <w:spacing w:after="0"/>
        <w:jc w:val="both"/>
        <w:rPr>
          <w:rFonts w:ascii="Arial" w:hAnsi="Arial" w:cs="Arial"/>
          <w:sz w:val="20"/>
          <w:szCs w:val="20"/>
          <w:lang w:eastAsia="sl-SI"/>
        </w:rPr>
      </w:pPr>
    </w:p>
    <w:p w:rsidR="00E30215" w:rsidRPr="00A742E4" w:rsidP="001D1F11" w14:paraId="212F98A4" w14:textId="77777777">
      <w:pPr>
        <w:spacing w:after="0"/>
        <w:jc w:val="both"/>
        <w:rPr>
          <w:rFonts w:ascii="Arial" w:hAnsi="Arial" w:cs="Arial"/>
          <w:b/>
          <w:sz w:val="20"/>
          <w:szCs w:val="20"/>
          <w:lang w:eastAsia="sl-SI"/>
        </w:rPr>
      </w:pPr>
      <w:r w:rsidRPr="00A742E4">
        <w:rPr>
          <w:rFonts w:ascii="Arial" w:hAnsi="Arial" w:cs="Arial"/>
          <w:b/>
          <w:sz w:val="20"/>
          <w:szCs w:val="20"/>
          <w:lang w:eastAsia="sl-SI"/>
        </w:rPr>
        <w:t>K 14. člen</w:t>
      </w:r>
    </w:p>
    <w:p w:rsidR="00E30215" w:rsidRPr="00A742E4" w:rsidP="001D1F11" w14:paraId="39FF8B45"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V 16. členu se v prvem </w:t>
      </w:r>
      <w:r w:rsidRPr="00A742E4">
        <w:rPr>
          <w:rFonts w:ascii="Arial" w:hAnsi="Arial" w:cs="Arial"/>
          <w:iCs/>
          <w:sz w:val="20"/>
          <w:szCs w:val="20"/>
        </w:rPr>
        <w:t>odstavku</w:t>
      </w:r>
      <w:r w:rsidRPr="00A742E4">
        <w:rPr>
          <w:rFonts w:ascii="Arial" w:hAnsi="Arial" w:cs="Arial"/>
          <w:sz w:val="20"/>
          <w:szCs w:val="20"/>
          <w:lang w:eastAsia="sl-SI"/>
        </w:rPr>
        <w:t xml:space="preserve"> v prvem in drugem stavku za besedilom »proženje siren« doda besedilo »ali pošiljanje opozorilnih obvestil«. S tem se uredi tudi pošiljanje opozorilnih obvestil kot način alarmiranja na območju države ali dela države. </w:t>
      </w:r>
    </w:p>
    <w:p w:rsidR="00E30215" w:rsidRPr="00A742E4" w:rsidP="001D1F11" w14:paraId="1B8E98AE" w14:textId="77777777">
      <w:pPr>
        <w:pStyle w:val="center"/>
        <w:jc w:val="both"/>
        <w:rPr>
          <w:rFonts w:ascii="Arial" w:hAnsi="Arial" w:cs="Arial"/>
          <w:sz w:val="20"/>
          <w:szCs w:val="20"/>
          <w:lang w:val="sl-SI" w:eastAsia="sl-SI"/>
        </w:rPr>
      </w:pPr>
    </w:p>
    <w:p w:rsidR="00E30215" w:rsidRPr="00A742E4" w:rsidP="001D1F11" w14:paraId="4884110B" w14:textId="77777777">
      <w:pPr>
        <w:spacing w:after="0"/>
        <w:jc w:val="both"/>
        <w:rPr>
          <w:rFonts w:ascii="Arial" w:hAnsi="Arial" w:cs="Arial"/>
          <w:b/>
          <w:iCs/>
          <w:sz w:val="20"/>
          <w:szCs w:val="20"/>
        </w:rPr>
      </w:pPr>
      <w:r w:rsidRPr="00A742E4">
        <w:rPr>
          <w:rFonts w:ascii="Arial" w:hAnsi="Arial" w:cs="Arial"/>
          <w:b/>
          <w:iCs/>
          <w:sz w:val="20"/>
          <w:szCs w:val="20"/>
        </w:rPr>
        <w:t>K 15. členu</w:t>
      </w:r>
    </w:p>
    <w:p w:rsidR="00E30215" w:rsidRPr="00A742E4" w:rsidP="001D1F11" w14:paraId="0D8EB7EE" w14:textId="77777777">
      <w:pPr>
        <w:spacing w:after="0"/>
        <w:jc w:val="both"/>
        <w:rPr>
          <w:rFonts w:ascii="Arial" w:hAnsi="Arial" w:cs="Arial"/>
          <w:sz w:val="20"/>
          <w:szCs w:val="20"/>
          <w:lang w:eastAsia="sl-SI"/>
        </w:rPr>
      </w:pPr>
      <w:r w:rsidRPr="00A742E4">
        <w:rPr>
          <w:rFonts w:ascii="Arial" w:hAnsi="Arial" w:cs="Arial"/>
          <w:iCs/>
          <w:sz w:val="20"/>
          <w:szCs w:val="20"/>
        </w:rPr>
        <w:t xml:space="preserve">V 17. členu se v prvem in drugem odstavku za besedilom »sirene za javno alarmiranje« oziroma »sirene javnega alarmiranja« in za besedilom »proženjem siren« v vseh sklonih doda besedilo »ali pošiljajo opozorilna obvestila« v ustreznem sklonu. S tem se uredi tudi pošiljanje opozorilnih obvestil kot način alarmiranja v regijah in obveznost poročanja o tem. Besedilo navedenega člena je tako zaradi jasnosti zapisano kot spremenjeno. </w:t>
      </w:r>
    </w:p>
    <w:p w:rsidR="00E30215" w:rsidRPr="00A742E4" w:rsidP="001D1F11" w14:paraId="3732CC46" w14:textId="77777777">
      <w:pPr>
        <w:spacing w:after="0"/>
        <w:jc w:val="both"/>
        <w:rPr>
          <w:rFonts w:ascii="Arial" w:hAnsi="Arial" w:cs="Arial"/>
          <w:sz w:val="20"/>
          <w:szCs w:val="20"/>
          <w:lang w:eastAsia="sl-SI"/>
        </w:rPr>
      </w:pPr>
    </w:p>
    <w:p w:rsidR="00E30215" w:rsidRPr="00A742E4" w:rsidP="001D1F11" w14:paraId="32D376B7" w14:textId="77777777">
      <w:pPr>
        <w:spacing w:after="0"/>
        <w:jc w:val="both"/>
        <w:rPr>
          <w:rFonts w:ascii="Arial" w:hAnsi="Arial" w:cs="Arial"/>
          <w:b/>
          <w:sz w:val="20"/>
          <w:szCs w:val="20"/>
          <w:lang w:eastAsia="sl-SI"/>
        </w:rPr>
      </w:pPr>
      <w:r w:rsidRPr="00A742E4">
        <w:rPr>
          <w:rFonts w:ascii="Arial" w:hAnsi="Arial" w:cs="Arial"/>
          <w:b/>
          <w:sz w:val="20"/>
          <w:szCs w:val="20"/>
          <w:lang w:eastAsia="sl-SI"/>
        </w:rPr>
        <w:t>K 16. členu</w:t>
      </w:r>
    </w:p>
    <w:p w:rsidR="00E30215" w:rsidRPr="00A742E4" w:rsidP="001D1F11" w14:paraId="757E29C9" w14:textId="77777777">
      <w:pPr>
        <w:spacing w:after="0"/>
        <w:jc w:val="both"/>
        <w:rPr>
          <w:rFonts w:ascii="Arial" w:hAnsi="Arial" w:cs="Arial"/>
          <w:sz w:val="20"/>
          <w:szCs w:val="20"/>
          <w:lang w:eastAsia="sl-SI"/>
        </w:rPr>
      </w:pPr>
      <w:r w:rsidRPr="00A742E4">
        <w:rPr>
          <w:rFonts w:ascii="Arial" w:hAnsi="Arial" w:cs="Arial"/>
          <w:sz w:val="20"/>
          <w:szCs w:val="20"/>
          <w:lang w:eastAsia="sl-SI"/>
        </w:rPr>
        <w:t xml:space="preserve">Določen je splošni petnajstdnevni rok za uveljavitev uredbe. </w:t>
      </w:r>
    </w:p>
    <w:p w:rsidR="00E30215" w:rsidRPr="00A742E4" w:rsidP="001D1F11" w14:paraId="04160606" w14:textId="77777777">
      <w:pPr>
        <w:spacing w:after="0"/>
        <w:rPr>
          <w:rFonts w:ascii="Arial" w:hAnsi="Arial" w:cs="Arial"/>
          <w:sz w:val="20"/>
          <w:szCs w:val="20"/>
          <w:lang w:eastAsia="sl-SI"/>
        </w:rPr>
      </w:pPr>
    </w:p>
    <w:p w:rsidR="00E30215" w:rsidRPr="00A742E4" w:rsidP="001D1F11" w14:paraId="5BF1CD59" w14:textId="77777777">
      <w:pPr>
        <w:spacing w:after="0"/>
        <w:rPr>
          <w:rFonts w:ascii="Arial" w:hAnsi="Arial" w:cs="Arial"/>
          <w:sz w:val="20"/>
          <w:szCs w:val="20"/>
          <w:lang w:eastAsia="sl-SI"/>
        </w:rPr>
      </w:pPr>
    </w:p>
    <w:p w:rsidR="00723116" w:rsidRPr="00131B28" w:rsidP="001D1F11" w14:paraId="196DF000" w14:textId="1E103006">
      <w:pPr>
        <w:spacing w:after="0"/>
        <w:ind w:left="5664"/>
        <w:rPr>
          <w:rFonts w:ascii="Arial" w:hAnsi="Arial" w:cs="Arial"/>
          <w:sz w:val="20"/>
          <w:szCs w:val="20"/>
          <w:lang w:eastAsia="sl-SI"/>
        </w:rPr>
      </w:pPr>
      <w:r w:rsidRPr="00A742E4">
        <w:rPr>
          <w:rFonts w:ascii="Arial" w:hAnsi="Arial" w:cs="Arial"/>
          <w:sz w:val="20"/>
          <w:szCs w:val="20"/>
        </w:rPr>
        <w:t xml:space="preserve">           MINISTRSTVO ZA OBRAMBO</w:t>
      </w: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03F2202C">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55AC7">
      <w:rPr>
        <w:rFonts w:ascii="Arial" w:hAnsi="Arial" w:cs="Arial"/>
        <w:noProof/>
      </w:rPr>
      <w:t>10</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55AC7">
      <w:rPr>
        <w:rFonts w:ascii="Arial" w:hAnsi="Arial" w:cs="Arial"/>
        <w:noProof/>
      </w:rPr>
      <w:t>10</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686F9656">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46087">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C46087">
      <w:rPr>
        <w:rFonts w:ascii="Arial" w:hAnsi="Arial" w:cs="Arial"/>
        <w:noProof/>
      </w:rPr>
      <w:t>10</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20B8E"/>
    <w:multiLevelType w:val="hybridMultilevel"/>
    <w:tmpl w:val="1B4C98D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92094A"/>
    <w:multiLevelType w:val="hybridMultilevel"/>
    <w:tmpl w:val="A852052C"/>
    <w:lvl w:ilvl="0">
      <w:start w:val="1"/>
      <w:numFmt w:val="bullet"/>
      <w:lvlText w:val=""/>
      <w:lvlJc w:val="left"/>
      <w:pPr>
        <w:ind w:left="954" w:hanging="360"/>
      </w:pPr>
      <w:rPr>
        <w:rFonts w:ascii="Symbol" w:hAnsi="Symbol" w:hint="default"/>
      </w:rPr>
    </w:lvl>
    <w:lvl w:ilvl="1" w:tentative="1">
      <w:start w:val="1"/>
      <w:numFmt w:val="bullet"/>
      <w:lvlText w:val="o"/>
      <w:lvlJc w:val="left"/>
      <w:pPr>
        <w:ind w:left="1674" w:hanging="360"/>
      </w:pPr>
      <w:rPr>
        <w:rFonts w:ascii="Courier New" w:hAnsi="Courier New" w:cs="Courier New" w:hint="default"/>
      </w:rPr>
    </w:lvl>
    <w:lvl w:ilvl="2" w:tentative="1">
      <w:start w:val="1"/>
      <w:numFmt w:val="bullet"/>
      <w:lvlText w:val=""/>
      <w:lvlJc w:val="left"/>
      <w:pPr>
        <w:ind w:left="2394" w:hanging="360"/>
      </w:pPr>
      <w:rPr>
        <w:rFonts w:ascii="Wingdings" w:hAnsi="Wingdings" w:hint="default"/>
      </w:rPr>
    </w:lvl>
    <w:lvl w:ilvl="3" w:tentative="1">
      <w:start w:val="1"/>
      <w:numFmt w:val="bullet"/>
      <w:lvlText w:val=""/>
      <w:lvlJc w:val="left"/>
      <w:pPr>
        <w:ind w:left="3114" w:hanging="360"/>
      </w:pPr>
      <w:rPr>
        <w:rFonts w:ascii="Symbol" w:hAnsi="Symbol" w:hint="default"/>
      </w:rPr>
    </w:lvl>
    <w:lvl w:ilvl="4" w:tentative="1">
      <w:start w:val="1"/>
      <w:numFmt w:val="bullet"/>
      <w:lvlText w:val="o"/>
      <w:lvlJc w:val="left"/>
      <w:pPr>
        <w:ind w:left="3834" w:hanging="360"/>
      </w:pPr>
      <w:rPr>
        <w:rFonts w:ascii="Courier New" w:hAnsi="Courier New" w:cs="Courier New" w:hint="default"/>
      </w:rPr>
    </w:lvl>
    <w:lvl w:ilvl="5" w:tentative="1">
      <w:start w:val="1"/>
      <w:numFmt w:val="bullet"/>
      <w:lvlText w:val=""/>
      <w:lvlJc w:val="left"/>
      <w:pPr>
        <w:ind w:left="4554" w:hanging="360"/>
      </w:pPr>
      <w:rPr>
        <w:rFonts w:ascii="Wingdings" w:hAnsi="Wingdings" w:hint="default"/>
      </w:rPr>
    </w:lvl>
    <w:lvl w:ilvl="6" w:tentative="1">
      <w:start w:val="1"/>
      <w:numFmt w:val="bullet"/>
      <w:lvlText w:val=""/>
      <w:lvlJc w:val="left"/>
      <w:pPr>
        <w:ind w:left="5274" w:hanging="360"/>
      </w:pPr>
      <w:rPr>
        <w:rFonts w:ascii="Symbol" w:hAnsi="Symbol" w:hint="default"/>
      </w:rPr>
    </w:lvl>
    <w:lvl w:ilvl="7" w:tentative="1">
      <w:start w:val="1"/>
      <w:numFmt w:val="bullet"/>
      <w:lvlText w:val="o"/>
      <w:lvlJc w:val="left"/>
      <w:pPr>
        <w:ind w:left="5994" w:hanging="360"/>
      </w:pPr>
      <w:rPr>
        <w:rFonts w:ascii="Courier New" w:hAnsi="Courier New" w:cs="Courier New" w:hint="default"/>
      </w:rPr>
    </w:lvl>
    <w:lvl w:ilvl="8" w:tentative="1">
      <w:start w:val="1"/>
      <w:numFmt w:val="bullet"/>
      <w:lvlText w:val=""/>
      <w:lvlJc w:val="left"/>
      <w:pPr>
        <w:ind w:left="6714" w:hanging="360"/>
      </w:pPr>
      <w:rPr>
        <w:rFonts w:ascii="Wingdings" w:hAnsi="Wingdings" w:hint="default"/>
      </w:rPr>
    </w:lvl>
  </w:abstractNum>
  <w:abstractNum w:abstractNumId="3">
    <w:nsid w:val="08A010CD"/>
    <w:multiLevelType w:val="hybridMultilevel"/>
    <w:tmpl w:val="6678833E"/>
    <w:lvl w:ilvl="0">
      <w:start w:val="49"/>
      <w:numFmt w:val="bullet"/>
      <w:lvlText w:val=""/>
      <w:lvlJc w:val="left"/>
      <w:pPr>
        <w:ind w:left="720" w:hanging="360"/>
      </w:pPr>
      <w:rPr>
        <w:rFonts w:ascii="Symbol" w:eastAsia="Times New Roman" w:hAnsi="Symbol"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2743E1"/>
    <w:multiLevelType w:val="hybridMultilevel"/>
    <w:tmpl w:val="BCEA06B8"/>
    <w:lvl w:ilvl="0">
      <w:start w:val="49"/>
      <w:numFmt w:val="bullet"/>
      <w:lvlText w:val=""/>
      <w:lvlJc w:val="left"/>
      <w:pPr>
        <w:ind w:left="720" w:hanging="360"/>
      </w:pPr>
      <w:rPr>
        <w:rFonts w:ascii="Symbol" w:eastAsia="Times New Roman" w:hAnsi="Symbol"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4">
    <w:nsid w:val="2A037F8F"/>
    <w:multiLevelType w:val="hybridMultilevel"/>
    <w:tmpl w:val="AD6C74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005C36"/>
    <w:multiLevelType w:val="hybridMultilevel"/>
    <w:tmpl w:val="A8C2B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9">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2E750C7"/>
    <w:multiLevelType w:val="hybridMultilevel"/>
    <w:tmpl w:val="37A4E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9">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2A317B"/>
    <w:multiLevelType w:val="hybridMultilevel"/>
    <w:tmpl w:val="956CCA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29"/>
  </w:num>
  <w:num w:numId="5">
    <w:abstractNumId w:val="4"/>
  </w:num>
  <w:num w:numId="6">
    <w:abstractNumId w:val="12"/>
  </w:num>
  <w:num w:numId="7">
    <w:abstractNumId w:val="1"/>
  </w:num>
  <w:num w:numId="8">
    <w:abstractNumId w:val="26"/>
  </w:num>
  <w:num w:numId="9">
    <w:abstractNumId w:val="31"/>
  </w:num>
  <w:num w:numId="10">
    <w:abstractNumId w:val="19"/>
    <w:lvlOverride w:ilvl="0">
      <w:startOverride w:val="1"/>
    </w:lvlOverride>
  </w:num>
  <w:num w:numId="11">
    <w:abstractNumId w:val="20"/>
  </w:num>
  <w:num w:numId="12">
    <w:abstractNumId w:val="13"/>
  </w:num>
  <w:num w:numId="13">
    <w:abstractNumId w:val="27"/>
  </w:num>
  <w:num w:numId="14">
    <w:abstractNumId w:val="8"/>
  </w:num>
  <w:num w:numId="15">
    <w:abstractNumId w:val="22"/>
  </w:num>
  <w:num w:numId="16">
    <w:abstractNumId w:val="33"/>
  </w:num>
  <w:num w:numId="17">
    <w:abstractNumId w:val="30"/>
  </w:num>
  <w:num w:numId="18">
    <w:abstractNumId w:val="35"/>
  </w:num>
  <w:num w:numId="19">
    <w:abstractNumId w:val="36"/>
  </w:num>
  <w:num w:numId="20">
    <w:abstractNumId w:val="21"/>
  </w:num>
  <w:num w:numId="21">
    <w:abstractNumId w:val="15"/>
  </w:num>
  <w:num w:numId="22">
    <w:abstractNumId w:val="25"/>
  </w:num>
  <w:num w:numId="23">
    <w:abstractNumId w:val="10"/>
  </w:num>
  <w:num w:numId="24">
    <w:abstractNumId w:val="32"/>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4"/>
  </w:num>
  <w:num w:numId="33">
    <w:abstractNumId w:val="2"/>
  </w:num>
  <w:num w:numId="34">
    <w:abstractNumId w:val="34"/>
  </w:num>
  <w:num w:numId="35">
    <w:abstractNumId w:val="23"/>
  </w:num>
  <w:num w:numId="36">
    <w:abstractNumId w:val="6"/>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F18DE"/>
    <w:rsid w:val="00131B28"/>
    <w:rsid w:val="00155AC7"/>
    <w:rsid w:val="001B0DBC"/>
    <w:rsid w:val="001D1F11"/>
    <w:rsid w:val="001D4854"/>
    <w:rsid w:val="001F5ACB"/>
    <w:rsid w:val="00220B63"/>
    <w:rsid w:val="002C278B"/>
    <w:rsid w:val="002E081E"/>
    <w:rsid w:val="002E64A4"/>
    <w:rsid w:val="002F78E3"/>
    <w:rsid w:val="00305C84"/>
    <w:rsid w:val="0031206B"/>
    <w:rsid w:val="00312E3E"/>
    <w:rsid w:val="00331F47"/>
    <w:rsid w:val="0038211D"/>
    <w:rsid w:val="003A3B1D"/>
    <w:rsid w:val="003D556F"/>
    <w:rsid w:val="003E035F"/>
    <w:rsid w:val="00464982"/>
    <w:rsid w:val="004B08C2"/>
    <w:rsid w:val="004B0A65"/>
    <w:rsid w:val="004B34AC"/>
    <w:rsid w:val="004E293C"/>
    <w:rsid w:val="004F6962"/>
    <w:rsid w:val="005116FA"/>
    <w:rsid w:val="00560F9E"/>
    <w:rsid w:val="00580548"/>
    <w:rsid w:val="00597C12"/>
    <w:rsid w:val="005E6A88"/>
    <w:rsid w:val="00623F16"/>
    <w:rsid w:val="00695AEF"/>
    <w:rsid w:val="006A47A8"/>
    <w:rsid w:val="006E30C0"/>
    <w:rsid w:val="007123B4"/>
    <w:rsid w:val="00715D72"/>
    <w:rsid w:val="00723116"/>
    <w:rsid w:val="00753808"/>
    <w:rsid w:val="007578AE"/>
    <w:rsid w:val="0077375B"/>
    <w:rsid w:val="007851AF"/>
    <w:rsid w:val="007B1642"/>
    <w:rsid w:val="007B4C47"/>
    <w:rsid w:val="00821419"/>
    <w:rsid w:val="008941CD"/>
    <w:rsid w:val="008B4243"/>
    <w:rsid w:val="008B734D"/>
    <w:rsid w:val="00913E94"/>
    <w:rsid w:val="00950971"/>
    <w:rsid w:val="009A6AA3"/>
    <w:rsid w:val="009E10A8"/>
    <w:rsid w:val="009F1E59"/>
    <w:rsid w:val="009F77C7"/>
    <w:rsid w:val="00A452FF"/>
    <w:rsid w:val="00A64BF9"/>
    <w:rsid w:val="00A701F9"/>
    <w:rsid w:val="00A742E4"/>
    <w:rsid w:val="00AB65D9"/>
    <w:rsid w:val="00AE3A35"/>
    <w:rsid w:val="00B27A2C"/>
    <w:rsid w:val="00B35734"/>
    <w:rsid w:val="00B71455"/>
    <w:rsid w:val="00C10360"/>
    <w:rsid w:val="00C14725"/>
    <w:rsid w:val="00C46087"/>
    <w:rsid w:val="00C57CFB"/>
    <w:rsid w:val="00CB7264"/>
    <w:rsid w:val="00D61DC2"/>
    <w:rsid w:val="00D86976"/>
    <w:rsid w:val="00DF18E9"/>
    <w:rsid w:val="00E30215"/>
    <w:rsid w:val="00E50831"/>
    <w:rsid w:val="00EA539F"/>
    <w:rsid w:val="00EC1D65"/>
    <w:rsid w:val="00FA6654"/>
    <w:rsid w:val="00FB3C81"/>
    <w:rsid w:val="00FB3D8B"/>
    <w:rsid w:val="00FC64BD"/>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character" w:styleId="CommentReference">
    <w:name w:val="annotation reference"/>
    <w:rsid w:val="0077375B"/>
    <w:rPr>
      <w:sz w:val="16"/>
      <w:szCs w:val="16"/>
    </w:rPr>
  </w:style>
  <w:style w:type="paragraph" w:styleId="CommentText">
    <w:name w:val="annotation text"/>
    <w:basedOn w:val="Normal"/>
    <w:link w:val="PripombabesediloZnak"/>
    <w:rsid w:val="0077375B"/>
    <w:pPr>
      <w:spacing w:after="0" w:line="240" w:lineRule="auto"/>
    </w:pPr>
    <w:rPr>
      <w:rFonts w:ascii="Times New Roman" w:eastAsia="Times New Roman" w:hAnsi="Times New Roman"/>
      <w:sz w:val="20"/>
      <w:szCs w:val="20"/>
      <w:lang w:eastAsia="en-GB"/>
    </w:rPr>
  </w:style>
  <w:style w:type="character" w:customStyle="1" w:styleId="PripombabesediloZnak">
    <w:name w:val="Pripomba – besedilo Znak"/>
    <w:basedOn w:val="DefaultParagraphFont"/>
    <w:link w:val="CommentText"/>
    <w:rsid w:val="0077375B"/>
    <w:rPr>
      <w:lang w:val="sl-SI" w:eastAsia="en-GB"/>
    </w:rPr>
  </w:style>
  <w:style w:type="paragraph" w:customStyle="1" w:styleId="zamik">
    <w:name w:val="zamik"/>
    <w:basedOn w:val="Normal"/>
    <w:rsid w:val="0077375B"/>
    <w:pPr>
      <w:spacing w:after="0" w:line="240" w:lineRule="auto"/>
      <w:ind w:firstLine="1021"/>
    </w:pPr>
    <w:rPr>
      <w:rFonts w:ascii="Times New Roman" w:eastAsia="Times New Roman" w:hAnsi="Times New Roman"/>
      <w:sz w:val="24"/>
      <w:szCs w:val="24"/>
      <w:lang w:val="en-US"/>
    </w:rPr>
  </w:style>
  <w:style w:type="paragraph" w:customStyle="1" w:styleId="center">
    <w:name w:val="center"/>
    <w:basedOn w:val="Normal"/>
    <w:rsid w:val="0077375B"/>
    <w:pPr>
      <w:spacing w:after="0" w:line="240" w:lineRule="auto"/>
      <w:jc w:val="center"/>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1CD4-939D-4E2E-928B-58430D55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2953</Words>
  <Characters>18119</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Mors</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Kabinet ministra</cp:lastModifiedBy>
  <cp:revision>14</cp:revision>
  <dcterms:created xsi:type="dcterms:W3CDTF">2024-11-29T10:46:00Z</dcterms:created>
  <dcterms:modified xsi:type="dcterms:W3CDTF">2025-01-09T13:07:00Z</dcterms:modified>
</cp:coreProperties>
</file>