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66BF4" w:rsidRPr="006D6C04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F6F0B">
              <w:rPr>
                <w:sz w:val="20"/>
                <w:szCs w:val="20"/>
              </w:rPr>
              <w:t>Številka:</w:t>
            </w:r>
            <w:r w:rsidR="00483A65" w:rsidRPr="00BF6F0B">
              <w:rPr>
                <w:szCs w:val="20"/>
              </w:rPr>
              <w:t xml:space="preserve"> </w:t>
            </w:r>
            <w:r w:rsidR="007C0233">
              <w:rPr>
                <w:szCs w:val="20"/>
              </w:rPr>
              <w:t>410-54/2023/15</w:t>
            </w:r>
          </w:p>
        </w:tc>
      </w:tr>
      <w:tr w:rsidR="00866BF4" w:rsidRPr="008409E4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8409E4" w:rsidRDefault="007B0780" w:rsidP="009C7F5E">
            <w:pPr>
              <w:pStyle w:val="Neotevilenodstavek"/>
              <w:spacing w:before="0" w:after="0" w:line="260" w:lineRule="exact"/>
              <w:jc w:val="left"/>
            </w:pPr>
            <w:r w:rsidRPr="008409E4">
              <w:t xml:space="preserve">Ljubljana, </w:t>
            </w:r>
            <w:r w:rsidR="00A776BB">
              <w:t>20</w:t>
            </w:r>
            <w:r w:rsidR="009C7F5E">
              <w:t>.</w:t>
            </w:r>
            <w:r w:rsidR="00A776BB">
              <w:t xml:space="preserve"> </w:t>
            </w:r>
            <w:r w:rsidR="009C7F5E">
              <w:t>3</w:t>
            </w:r>
            <w:r w:rsidRPr="008409E4">
              <w:t>.</w:t>
            </w:r>
            <w:r w:rsidR="00A776BB">
              <w:t xml:space="preserve"> </w:t>
            </w:r>
            <w:r w:rsidRPr="008409E4">
              <w:t>20</w:t>
            </w:r>
            <w:r w:rsidR="00F54A4B">
              <w:t>24</w:t>
            </w:r>
          </w:p>
        </w:tc>
      </w:tr>
      <w:tr w:rsidR="00866BF4" w:rsidRPr="00517A2D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866BF4" w:rsidRPr="006D6C04" w:rsidTr="00D26C6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66BF4" w:rsidRPr="006D6C04" w:rsidRDefault="00866BF4" w:rsidP="00D26C61">
            <w:pPr>
              <w:rPr>
                <w:rFonts w:cs="Arial"/>
                <w:szCs w:val="20"/>
                <w:lang w:val="sl-SI"/>
              </w:rPr>
            </w:pPr>
          </w:p>
          <w:p w:rsidR="00866BF4" w:rsidRPr="006D6C04" w:rsidRDefault="00866BF4" w:rsidP="00D26C61">
            <w:pPr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866BF4" w:rsidRPr="00A776BB" w:rsidRDefault="00FD79DA" w:rsidP="00D26C61">
            <w:pPr>
              <w:rPr>
                <w:rFonts w:cs="Arial"/>
                <w:szCs w:val="20"/>
                <w:lang w:val="sl-SI"/>
              </w:rPr>
            </w:pPr>
            <w:hyperlink r:id="rId7" w:history="1">
              <w:r w:rsidR="00A776BB" w:rsidRPr="0015796A">
                <w:rPr>
                  <w:rStyle w:val="Hiperpovezava"/>
                  <w:szCs w:val="20"/>
                  <w:lang w:val="sl-SI"/>
                </w:rPr>
                <w:t>gp.gs@gov.si</w:t>
              </w:r>
            </w:hyperlink>
          </w:p>
          <w:p w:rsidR="00866BF4" w:rsidRPr="006D6C04" w:rsidRDefault="00866BF4" w:rsidP="00D26C61">
            <w:pPr>
              <w:rPr>
                <w:rFonts w:cs="Arial"/>
                <w:szCs w:val="20"/>
                <w:lang w:val="sl-SI"/>
              </w:rPr>
            </w:pP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866BF4" w:rsidRDefault="00866BF4" w:rsidP="000C7ABA">
            <w:pPr>
              <w:pStyle w:val="Naslovpredpisa"/>
              <w:spacing w:before="0" w:after="0" w:line="260" w:lineRule="exact"/>
              <w:jc w:val="both"/>
              <w:rPr>
                <w:color w:val="000000"/>
              </w:rPr>
            </w:pPr>
            <w:r w:rsidRPr="00B10BBA">
              <w:rPr>
                <w:color w:val="000000"/>
              </w:rPr>
              <w:t xml:space="preserve">ZADEVA: </w:t>
            </w:r>
            <w:r w:rsidR="00B10BBA">
              <w:rPr>
                <w:color w:val="000000"/>
              </w:rPr>
              <w:t xml:space="preserve">Sprememba </w:t>
            </w:r>
            <w:r w:rsidR="000C7ABA">
              <w:rPr>
                <w:color w:val="000000"/>
              </w:rPr>
              <w:t xml:space="preserve">izhodiščne </w:t>
            </w:r>
            <w:r w:rsidR="00B10BBA">
              <w:rPr>
                <w:color w:val="000000"/>
              </w:rPr>
              <w:t>vrednosti projekta, ki se financira</w:t>
            </w:r>
            <w:r w:rsidR="00A13AFE" w:rsidRPr="00A13AFE">
              <w:rPr>
                <w:color w:val="000000"/>
              </w:rPr>
              <w:t xml:space="preserve"> iz Sklada za podnebne spremembe</w:t>
            </w:r>
            <w:r w:rsidR="00B10BBA">
              <w:rPr>
                <w:color w:val="000000"/>
              </w:rPr>
              <w:t xml:space="preserve">, </w:t>
            </w:r>
            <w:proofErr w:type="spellStart"/>
            <w:r w:rsidR="00B10BBA">
              <w:rPr>
                <w:color w:val="000000"/>
              </w:rPr>
              <w:t>novelacija</w:t>
            </w:r>
            <w:proofErr w:type="spellEnd"/>
            <w:r w:rsidR="00B10BBA">
              <w:rPr>
                <w:color w:val="000000"/>
              </w:rPr>
              <w:t xml:space="preserve"> projekta št. 2330-22-0012 </w:t>
            </w:r>
            <w:r w:rsidR="00B10BBA" w:rsidRPr="00B10BBA">
              <w:rPr>
                <w:color w:val="000000"/>
              </w:rPr>
              <w:t xml:space="preserve">»Ocena vplivov podnebnih sprememb v kmet. in gozd.« </w:t>
            </w:r>
            <w:r w:rsidR="00E5268A">
              <w:rPr>
                <w:color w:val="000000"/>
              </w:rPr>
              <w:t xml:space="preserve">- </w:t>
            </w:r>
            <w:r w:rsidRPr="00B10BBA">
              <w:rPr>
                <w:color w:val="000000"/>
              </w:rPr>
              <w:t xml:space="preserve">predlog za obravnavo </w:t>
            </w:r>
          </w:p>
          <w:p w:rsidR="00A776BB" w:rsidRPr="00B10BBA" w:rsidRDefault="00A776BB" w:rsidP="000C7ABA">
            <w:pPr>
              <w:pStyle w:val="Naslovpredpisa"/>
              <w:spacing w:before="0" w:after="0" w:line="260" w:lineRule="exact"/>
              <w:jc w:val="both"/>
              <w:rPr>
                <w:color w:val="000000"/>
              </w:rPr>
            </w:pP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1. Predlog sklepov vlade:</w:t>
            </w:r>
          </w:p>
        </w:tc>
      </w:tr>
      <w:tr w:rsidR="00866BF4" w:rsidRPr="00861133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cs="Arial"/>
                <w:sz w:val="22"/>
                <w:lang w:val="sl-SI"/>
              </w:rPr>
            </w:pPr>
          </w:p>
          <w:p w:rsidR="00022EFA" w:rsidRPr="006D6C04" w:rsidRDefault="00022EFA" w:rsidP="00D26C6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cs="Arial"/>
                <w:sz w:val="22"/>
                <w:lang w:val="sl-SI"/>
              </w:rPr>
            </w:pPr>
          </w:p>
          <w:p w:rsidR="00866BF4" w:rsidRPr="006D6C04" w:rsidRDefault="00866BF4" w:rsidP="00A776B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sz w:val="22"/>
                <w:lang w:val="sl-SI"/>
              </w:rPr>
            </w:pPr>
            <w:r w:rsidRPr="006D6C04">
              <w:rPr>
                <w:rFonts w:cs="Arial"/>
                <w:sz w:val="22"/>
                <w:lang w:val="sl-SI"/>
              </w:rPr>
              <w:t>Na podlagi petega odstavka 31. člena Zakona o izvrševanju proračunov Republike Slovenije za leti 20</w:t>
            </w:r>
            <w:r w:rsidR="00243716" w:rsidRPr="006D6C04">
              <w:rPr>
                <w:rFonts w:cs="Arial"/>
                <w:sz w:val="22"/>
                <w:lang w:val="sl-SI"/>
              </w:rPr>
              <w:t>2</w:t>
            </w:r>
            <w:r w:rsidR="00B10BBA">
              <w:rPr>
                <w:rFonts w:cs="Arial"/>
                <w:sz w:val="22"/>
                <w:lang w:val="sl-SI"/>
              </w:rPr>
              <w:t>4</w:t>
            </w:r>
            <w:r w:rsidRPr="006D6C04">
              <w:rPr>
                <w:rFonts w:cs="Arial"/>
                <w:sz w:val="22"/>
                <w:lang w:val="sl-SI"/>
              </w:rPr>
              <w:t xml:space="preserve"> in 20</w:t>
            </w:r>
            <w:r w:rsidR="00643655">
              <w:rPr>
                <w:rFonts w:cs="Arial"/>
                <w:sz w:val="22"/>
                <w:lang w:val="sl-SI"/>
              </w:rPr>
              <w:t>2</w:t>
            </w:r>
            <w:r w:rsidR="00B10BBA">
              <w:rPr>
                <w:rFonts w:cs="Arial"/>
                <w:sz w:val="22"/>
                <w:lang w:val="sl-SI"/>
              </w:rPr>
              <w:t>5</w:t>
            </w:r>
            <w:r w:rsidRPr="006D6C04">
              <w:rPr>
                <w:rFonts w:cs="Arial"/>
                <w:sz w:val="22"/>
                <w:lang w:val="sl-SI"/>
              </w:rPr>
              <w:t xml:space="preserve"> (Uradni list RS, št. </w:t>
            </w:r>
            <w:r w:rsidR="00B10BBA">
              <w:rPr>
                <w:rFonts w:cs="Arial"/>
                <w:sz w:val="22"/>
                <w:lang w:val="sl-SI"/>
              </w:rPr>
              <w:t>123</w:t>
            </w:r>
            <w:r w:rsidRPr="006D6C04">
              <w:rPr>
                <w:rFonts w:cs="Arial"/>
                <w:sz w:val="22"/>
                <w:lang w:val="sl-SI"/>
              </w:rPr>
              <w:t>/</w:t>
            </w:r>
            <w:r w:rsidR="00B10BBA">
              <w:rPr>
                <w:rFonts w:cs="Arial"/>
                <w:sz w:val="22"/>
                <w:lang w:val="sl-SI"/>
              </w:rPr>
              <w:t>23</w:t>
            </w:r>
            <w:r w:rsidRPr="006D6C04">
              <w:rPr>
                <w:rFonts w:cs="Arial"/>
                <w:sz w:val="22"/>
                <w:lang w:val="sl-SI"/>
              </w:rPr>
              <w:t>) je Vlada R</w:t>
            </w:r>
            <w:r w:rsidR="00E5268A">
              <w:rPr>
                <w:rFonts w:cs="Arial"/>
                <w:sz w:val="22"/>
                <w:lang w:val="sl-SI"/>
              </w:rPr>
              <w:t xml:space="preserve">epublike </w:t>
            </w:r>
            <w:r w:rsidRPr="006D6C04">
              <w:rPr>
                <w:rFonts w:cs="Arial"/>
                <w:sz w:val="22"/>
                <w:lang w:val="sl-SI"/>
              </w:rPr>
              <w:t>S</w:t>
            </w:r>
            <w:r w:rsidR="00E5268A">
              <w:rPr>
                <w:rFonts w:cs="Arial"/>
                <w:sz w:val="22"/>
                <w:lang w:val="sl-SI"/>
              </w:rPr>
              <w:t>lovenije</w:t>
            </w:r>
            <w:r w:rsidRPr="006D6C04">
              <w:rPr>
                <w:rFonts w:cs="Arial"/>
                <w:sz w:val="22"/>
                <w:lang w:val="sl-SI"/>
              </w:rPr>
              <w:t xml:space="preserve"> na redni se</w:t>
            </w:r>
            <w:r w:rsidR="007B0780" w:rsidRPr="006D6C04">
              <w:rPr>
                <w:rFonts w:cs="Arial"/>
                <w:sz w:val="22"/>
                <w:lang w:val="sl-SI"/>
              </w:rPr>
              <w:t xml:space="preserve">ji, dne …………, sprejela </w:t>
            </w:r>
            <w:r w:rsidR="00B10BBA">
              <w:rPr>
                <w:rFonts w:cs="Arial"/>
                <w:sz w:val="22"/>
                <w:lang w:val="sl-SI"/>
              </w:rPr>
              <w:t>naslednji</w:t>
            </w:r>
          </w:p>
          <w:p w:rsidR="00DF17D1" w:rsidRPr="006D6C04" w:rsidRDefault="00DF17D1" w:rsidP="00D26C6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cs="Arial"/>
                <w:sz w:val="22"/>
                <w:lang w:val="sl-SI"/>
              </w:rPr>
            </w:pPr>
          </w:p>
          <w:p w:rsidR="00866BF4" w:rsidRPr="006D6C04" w:rsidRDefault="00866BF4" w:rsidP="00D26C61">
            <w:pPr>
              <w:autoSpaceDE w:val="0"/>
              <w:autoSpaceDN w:val="0"/>
              <w:adjustRightInd w:val="0"/>
              <w:spacing w:line="240" w:lineRule="atLeast"/>
              <w:ind w:left="540"/>
              <w:jc w:val="center"/>
              <w:rPr>
                <w:rFonts w:cs="Arial"/>
                <w:sz w:val="22"/>
                <w:szCs w:val="22"/>
                <w:lang w:val="sl-SI"/>
              </w:rPr>
            </w:pPr>
            <w:r w:rsidRPr="006D6C04">
              <w:rPr>
                <w:rFonts w:cs="Arial"/>
                <w:sz w:val="22"/>
                <w:szCs w:val="22"/>
                <w:lang w:val="sl-SI"/>
              </w:rPr>
              <w:t>SKLEP:</w:t>
            </w:r>
          </w:p>
          <w:p w:rsidR="007B0780" w:rsidRPr="006D6C04" w:rsidRDefault="007B0780" w:rsidP="00D26C61">
            <w:pPr>
              <w:autoSpaceDE w:val="0"/>
              <w:autoSpaceDN w:val="0"/>
              <w:adjustRightInd w:val="0"/>
              <w:spacing w:line="240" w:lineRule="atLeast"/>
              <w:ind w:left="360"/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A13AFE" w:rsidRPr="00B10BBA" w:rsidRDefault="00D56DA2" w:rsidP="00B10BBA">
            <w:pPr>
              <w:jc w:val="both"/>
              <w:rPr>
                <w:sz w:val="22"/>
                <w:szCs w:val="22"/>
                <w:lang w:val="sl-SI"/>
              </w:rPr>
            </w:pPr>
            <w:r w:rsidRPr="00B10BBA">
              <w:rPr>
                <w:sz w:val="22"/>
                <w:szCs w:val="22"/>
                <w:lang w:val="sl-SI"/>
              </w:rPr>
              <w:t>V veljav</w:t>
            </w:r>
            <w:r w:rsidR="00243716" w:rsidRPr="00B10BBA">
              <w:rPr>
                <w:sz w:val="22"/>
                <w:szCs w:val="22"/>
                <w:lang w:val="sl-SI"/>
              </w:rPr>
              <w:t>n</w:t>
            </w:r>
            <w:r w:rsidR="00A13AFE" w:rsidRPr="00B10BBA">
              <w:rPr>
                <w:sz w:val="22"/>
                <w:szCs w:val="22"/>
                <w:lang w:val="sl-SI"/>
              </w:rPr>
              <w:t>em</w:t>
            </w:r>
            <w:r w:rsidR="00243716" w:rsidRPr="00B10BBA">
              <w:rPr>
                <w:sz w:val="22"/>
                <w:szCs w:val="22"/>
                <w:lang w:val="sl-SI"/>
              </w:rPr>
              <w:t xml:space="preserve"> Načrt</w:t>
            </w:r>
            <w:r w:rsidR="00A13AFE" w:rsidRPr="00B10BBA">
              <w:rPr>
                <w:sz w:val="22"/>
                <w:szCs w:val="22"/>
                <w:lang w:val="sl-SI"/>
              </w:rPr>
              <w:t>u</w:t>
            </w:r>
            <w:r w:rsidR="00243716" w:rsidRPr="00B10BBA">
              <w:rPr>
                <w:sz w:val="22"/>
                <w:szCs w:val="22"/>
                <w:lang w:val="sl-SI"/>
              </w:rPr>
              <w:t xml:space="preserve"> razvojnih programov 202</w:t>
            </w:r>
            <w:r w:rsidR="00B10BBA">
              <w:rPr>
                <w:sz w:val="22"/>
                <w:szCs w:val="22"/>
                <w:lang w:val="sl-SI"/>
              </w:rPr>
              <w:t>4</w:t>
            </w:r>
            <w:r w:rsidRPr="00B10BBA">
              <w:rPr>
                <w:sz w:val="22"/>
                <w:szCs w:val="22"/>
                <w:lang w:val="sl-SI"/>
              </w:rPr>
              <w:t>-20</w:t>
            </w:r>
            <w:r w:rsidR="00243716" w:rsidRPr="00B10BBA">
              <w:rPr>
                <w:sz w:val="22"/>
                <w:szCs w:val="22"/>
                <w:lang w:val="sl-SI"/>
              </w:rPr>
              <w:t>2</w:t>
            </w:r>
            <w:r w:rsidR="00B10BBA">
              <w:rPr>
                <w:sz w:val="22"/>
                <w:szCs w:val="22"/>
                <w:lang w:val="sl-SI"/>
              </w:rPr>
              <w:t>7</w:t>
            </w:r>
            <w:r w:rsidRPr="00B10BBA">
              <w:rPr>
                <w:sz w:val="22"/>
                <w:szCs w:val="22"/>
                <w:lang w:val="sl-SI"/>
              </w:rPr>
              <w:t xml:space="preserve"> se </w:t>
            </w:r>
            <w:r w:rsidR="00B10BBA">
              <w:rPr>
                <w:sz w:val="22"/>
                <w:szCs w:val="22"/>
                <w:lang w:val="sl-SI"/>
              </w:rPr>
              <w:t>spremeni</w:t>
            </w:r>
            <w:r w:rsidR="00A13AFE" w:rsidRPr="00B10BBA">
              <w:rPr>
                <w:sz w:val="22"/>
                <w:szCs w:val="22"/>
                <w:lang w:val="sl-SI"/>
              </w:rPr>
              <w:t xml:space="preserve"> </w:t>
            </w:r>
            <w:r w:rsidR="00B10BBA">
              <w:rPr>
                <w:sz w:val="22"/>
                <w:szCs w:val="22"/>
                <w:lang w:val="sl-SI"/>
              </w:rPr>
              <w:t>izhodiščna</w:t>
            </w:r>
            <w:r w:rsidR="008409E4" w:rsidRPr="00B10BBA">
              <w:rPr>
                <w:sz w:val="22"/>
                <w:szCs w:val="22"/>
                <w:lang w:val="sl-SI"/>
              </w:rPr>
              <w:t xml:space="preserve"> </w:t>
            </w:r>
            <w:r w:rsidR="00B10BBA">
              <w:rPr>
                <w:sz w:val="22"/>
                <w:szCs w:val="22"/>
                <w:lang w:val="sl-SI"/>
              </w:rPr>
              <w:t>vrednost</w:t>
            </w:r>
            <w:r w:rsidR="00A13AFE" w:rsidRPr="00B10BBA">
              <w:rPr>
                <w:sz w:val="22"/>
                <w:szCs w:val="22"/>
                <w:lang w:val="sl-SI"/>
              </w:rPr>
              <w:t xml:space="preserve"> </w:t>
            </w:r>
            <w:r w:rsidR="00B10BBA">
              <w:rPr>
                <w:sz w:val="22"/>
                <w:szCs w:val="22"/>
                <w:lang w:val="sl-SI"/>
              </w:rPr>
              <w:t xml:space="preserve">projekta </w:t>
            </w:r>
            <w:r w:rsidR="00A13AFE" w:rsidRPr="00B10BBA">
              <w:rPr>
                <w:sz w:val="22"/>
                <w:szCs w:val="22"/>
                <w:lang w:val="sl-SI"/>
              </w:rPr>
              <w:t>2330-22-0012 »Ocena vplivov podnebnih sprememb v kmet. in gozd.«,</w:t>
            </w:r>
          </w:p>
          <w:p w:rsidR="00A13AFE" w:rsidRPr="00A13AFE" w:rsidRDefault="00A13AFE" w:rsidP="00A13AFE">
            <w:pPr>
              <w:jc w:val="both"/>
              <w:rPr>
                <w:sz w:val="22"/>
                <w:szCs w:val="22"/>
                <w:lang w:val="sl-SI"/>
              </w:rPr>
            </w:pPr>
          </w:p>
          <w:p w:rsidR="00DF17D1" w:rsidRPr="006D6C04" w:rsidRDefault="00DF17D1" w:rsidP="00243716">
            <w:pPr>
              <w:jc w:val="both"/>
              <w:rPr>
                <w:sz w:val="22"/>
                <w:szCs w:val="22"/>
                <w:lang w:val="sl-SI"/>
              </w:rPr>
            </w:pPr>
          </w:p>
          <w:p w:rsidR="00866BF4" w:rsidRPr="00086626" w:rsidRDefault="00866BF4" w:rsidP="00D26C61">
            <w:pPr>
              <w:pStyle w:val="Odstavekseznama"/>
              <w:ind w:left="1800"/>
              <w:rPr>
                <w:rFonts w:cs="Arial"/>
                <w:color w:val="FF0000"/>
                <w:sz w:val="22"/>
                <w:szCs w:val="22"/>
                <w:lang w:val="sl-SI"/>
              </w:rPr>
            </w:pPr>
            <w:r w:rsidRPr="00086626">
              <w:rPr>
                <w:sz w:val="22"/>
                <w:szCs w:val="22"/>
                <w:lang w:val="sl-SI"/>
              </w:rPr>
              <w:t xml:space="preserve">                                                           </w:t>
            </w:r>
            <w:r w:rsidR="00086626" w:rsidRPr="00D42874">
              <w:rPr>
                <w:sz w:val="22"/>
                <w:szCs w:val="22"/>
              </w:rPr>
              <w:t xml:space="preserve">Barbara </w:t>
            </w:r>
            <w:proofErr w:type="spellStart"/>
            <w:r w:rsidR="00086626" w:rsidRPr="00D42874">
              <w:rPr>
                <w:sz w:val="22"/>
                <w:szCs w:val="22"/>
              </w:rPr>
              <w:t>Kolenko</w:t>
            </w:r>
            <w:proofErr w:type="spellEnd"/>
            <w:r w:rsidR="00086626" w:rsidRPr="00D42874">
              <w:rPr>
                <w:sz w:val="22"/>
                <w:szCs w:val="22"/>
              </w:rPr>
              <w:t xml:space="preserve"> </w:t>
            </w:r>
            <w:proofErr w:type="spellStart"/>
            <w:r w:rsidR="00086626" w:rsidRPr="00D42874">
              <w:rPr>
                <w:sz w:val="22"/>
                <w:szCs w:val="22"/>
              </w:rPr>
              <w:t>Helbl</w:t>
            </w:r>
            <w:proofErr w:type="spellEnd"/>
          </w:p>
          <w:p w:rsidR="00866BF4" w:rsidRPr="00086626" w:rsidRDefault="00866BF4" w:rsidP="00D26C61">
            <w:pPr>
              <w:pStyle w:val="Odstavekseznama"/>
              <w:ind w:left="1800"/>
              <w:rPr>
                <w:rFonts w:cs="Arial"/>
                <w:sz w:val="22"/>
                <w:szCs w:val="22"/>
                <w:lang w:val="sl-SI"/>
              </w:rPr>
            </w:pPr>
            <w:r w:rsidRPr="00086626">
              <w:rPr>
                <w:rFonts w:cs="Arial"/>
                <w:sz w:val="22"/>
                <w:szCs w:val="22"/>
                <w:lang w:val="sl-SI"/>
              </w:rPr>
              <w:t xml:space="preserve">                                                     </w:t>
            </w:r>
            <w:r w:rsidR="00086626" w:rsidRPr="00086626">
              <w:rPr>
                <w:rFonts w:cs="Arial"/>
                <w:sz w:val="22"/>
                <w:szCs w:val="22"/>
                <w:lang w:val="sl-SI"/>
              </w:rPr>
              <w:t xml:space="preserve">       </w:t>
            </w:r>
            <w:proofErr w:type="spellStart"/>
            <w:r w:rsidR="00643655" w:rsidRPr="00D42874">
              <w:rPr>
                <w:rStyle w:val="roles"/>
                <w:sz w:val="22"/>
                <w:szCs w:val="22"/>
              </w:rPr>
              <w:t>generaln</w:t>
            </w:r>
            <w:r w:rsidR="00086626" w:rsidRPr="00D42874">
              <w:rPr>
                <w:rStyle w:val="roles"/>
                <w:sz w:val="22"/>
                <w:szCs w:val="22"/>
              </w:rPr>
              <w:t>a</w:t>
            </w:r>
            <w:proofErr w:type="spellEnd"/>
            <w:r w:rsidR="00643655" w:rsidRPr="00D42874">
              <w:rPr>
                <w:rStyle w:val="roles"/>
                <w:sz w:val="22"/>
                <w:szCs w:val="22"/>
              </w:rPr>
              <w:t xml:space="preserve"> </w:t>
            </w:r>
            <w:proofErr w:type="spellStart"/>
            <w:r w:rsidR="00643655" w:rsidRPr="00D42874">
              <w:rPr>
                <w:rStyle w:val="roles"/>
                <w:sz w:val="22"/>
                <w:szCs w:val="22"/>
              </w:rPr>
              <w:t>sekretar</w:t>
            </w:r>
            <w:r w:rsidR="00086626" w:rsidRPr="00D42874">
              <w:rPr>
                <w:rStyle w:val="roles"/>
                <w:sz w:val="22"/>
                <w:szCs w:val="22"/>
              </w:rPr>
              <w:t>ka</w:t>
            </w:r>
            <w:proofErr w:type="spellEnd"/>
          </w:p>
          <w:p w:rsidR="00DF17D1" w:rsidRDefault="00DF17D1" w:rsidP="00D26C61">
            <w:pPr>
              <w:pStyle w:val="Odstavekseznama"/>
              <w:ind w:left="1800"/>
              <w:rPr>
                <w:rFonts w:cs="Arial"/>
                <w:color w:val="FF0000"/>
                <w:szCs w:val="22"/>
                <w:lang w:val="sl-SI"/>
              </w:rPr>
            </w:pPr>
          </w:p>
          <w:p w:rsidR="00C12A14" w:rsidRPr="00483A65" w:rsidRDefault="00C12A14" w:rsidP="00D26C61">
            <w:pPr>
              <w:pStyle w:val="Odstavekseznama"/>
              <w:ind w:left="1800"/>
              <w:rPr>
                <w:rFonts w:cs="Arial"/>
                <w:color w:val="FF0000"/>
                <w:szCs w:val="22"/>
                <w:lang w:val="sl-SI"/>
              </w:rPr>
            </w:pPr>
          </w:p>
          <w:p w:rsidR="00866BF4" w:rsidRPr="006D6C04" w:rsidRDefault="00866BF4" w:rsidP="00D26C61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cs="Arial"/>
                <w:iCs/>
                <w:sz w:val="22"/>
                <w:lang w:val="sl-SI"/>
              </w:rPr>
            </w:pPr>
            <w:r w:rsidRPr="006D6C04">
              <w:rPr>
                <w:rFonts w:cs="Arial"/>
                <w:iCs/>
                <w:sz w:val="22"/>
                <w:lang w:val="sl-SI"/>
              </w:rPr>
              <w:t>Priloge:</w:t>
            </w:r>
          </w:p>
          <w:p w:rsidR="00866BF4" w:rsidRPr="006D6C04" w:rsidRDefault="00866BF4" w:rsidP="00E5268A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cs="Arial"/>
                <w:iCs/>
                <w:sz w:val="22"/>
                <w:lang w:val="sl-SI"/>
              </w:rPr>
            </w:pPr>
            <w:r w:rsidRPr="006D6C04">
              <w:rPr>
                <w:rFonts w:cs="Arial"/>
                <w:iCs/>
                <w:sz w:val="22"/>
                <w:lang w:val="sl-SI"/>
              </w:rPr>
              <w:t>mnenje Ministrstva za finance,</w:t>
            </w:r>
          </w:p>
          <w:p w:rsidR="00866BF4" w:rsidRPr="006D6C04" w:rsidRDefault="007B1744" w:rsidP="007B174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sl-SI"/>
              </w:rPr>
            </w:pPr>
            <w:r>
              <w:rPr>
                <w:rFonts w:cs="Arial"/>
                <w:iCs/>
                <w:sz w:val="22"/>
                <w:lang w:val="sl-SI"/>
              </w:rPr>
              <w:t xml:space="preserve">            </w:t>
            </w:r>
            <w:bookmarkStart w:id="0" w:name="_GoBack"/>
            <w:bookmarkEnd w:id="0"/>
            <w:r>
              <w:rPr>
                <w:rFonts w:cs="Arial"/>
                <w:iCs/>
                <w:sz w:val="22"/>
                <w:lang w:val="sl-SI"/>
              </w:rPr>
              <w:t>o</w:t>
            </w:r>
            <w:r w:rsidRPr="007B1744">
              <w:rPr>
                <w:rFonts w:cs="Arial"/>
                <w:iCs/>
                <w:sz w:val="22"/>
                <w:lang w:val="sl-SI"/>
              </w:rPr>
              <w:t>brazložitev s tabelami (Obrazec 3),</w:t>
            </w:r>
          </w:p>
          <w:p w:rsidR="00866BF4" w:rsidRPr="006D6C04" w:rsidRDefault="00866BF4" w:rsidP="00D26C61">
            <w:pPr>
              <w:autoSpaceDE w:val="0"/>
              <w:autoSpaceDN w:val="0"/>
              <w:adjustRightInd w:val="0"/>
              <w:spacing w:line="240" w:lineRule="atLeast"/>
              <w:ind w:firstLine="540"/>
              <w:rPr>
                <w:rFonts w:cs="Arial"/>
                <w:iCs/>
                <w:sz w:val="22"/>
                <w:lang w:val="sl-SI"/>
              </w:rPr>
            </w:pPr>
            <w:r w:rsidRPr="006D6C04">
              <w:rPr>
                <w:rFonts w:cs="Arial"/>
                <w:iCs/>
                <w:sz w:val="22"/>
                <w:lang w:val="sl-SI"/>
              </w:rPr>
              <w:t>Sklep prejmejo:</w:t>
            </w:r>
          </w:p>
          <w:p w:rsidR="00866BF4" w:rsidRPr="006D6C04" w:rsidRDefault="00866BF4" w:rsidP="00E5268A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cs="Arial"/>
                <w:iCs/>
                <w:sz w:val="22"/>
                <w:lang w:val="sl-SI"/>
              </w:rPr>
            </w:pPr>
            <w:r w:rsidRPr="006D6C04">
              <w:rPr>
                <w:rFonts w:cs="Arial"/>
                <w:iCs/>
                <w:sz w:val="22"/>
                <w:lang w:val="sl-SI"/>
              </w:rPr>
              <w:t>Ministrstvo za kmetijstvo, gozdarstvo in prehrano,</w:t>
            </w:r>
          </w:p>
          <w:p w:rsidR="006A3B4A" w:rsidRPr="006A3B4A" w:rsidRDefault="00A776BB" w:rsidP="00E5268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>
              <w:rPr>
                <w:iCs/>
              </w:rPr>
              <w:t>Ministrstvo za finance,</w:t>
            </w:r>
            <w:r w:rsidR="00861133">
              <w:rPr>
                <w:iCs/>
              </w:rPr>
              <w:t xml:space="preserve">   </w:t>
            </w:r>
          </w:p>
          <w:p w:rsidR="00A776BB" w:rsidRDefault="006A3B4A" w:rsidP="00A776BB">
            <w:pPr>
              <w:pStyle w:val="Neotevilenodstavek"/>
              <w:spacing w:before="0" w:after="0" w:line="260" w:lineRule="exact"/>
              <w:ind w:left="720"/>
              <w:rPr>
                <w:iCs/>
              </w:rPr>
            </w:pPr>
            <w:r>
              <w:rPr>
                <w:iCs/>
              </w:rPr>
              <w:t>Ministrstvo za okolje, podnebje in energijo Republike Slovenije</w:t>
            </w:r>
            <w:r w:rsidR="00861133">
              <w:rPr>
                <w:iCs/>
              </w:rPr>
              <w:t xml:space="preserve"> </w:t>
            </w:r>
          </w:p>
          <w:p w:rsidR="00A776BB" w:rsidRDefault="00A776BB" w:rsidP="00A776BB">
            <w:pPr>
              <w:pStyle w:val="Neotevilenodstavek"/>
              <w:spacing w:before="0" w:after="0" w:line="260" w:lineRule="exact"/>
              <w:ind w:left="720"/>
              <w:rPr>
                <w:iCs/>
              </w:rPr>
            </w:pPr>
          </w:p>
          <w:p w:rsidR="00866BF4" w:rsidRPr="006D6C04" w:rsidRDefault="00866BF4" w:rsidP="00A776BB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866BF4" w:rsidRPr="00861133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022EFA" w:rsidRPr="006D6C04" w:rsidRDefault="00022EFA" w:rsidP="000D5EE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66BF4" w:rsidRPr="00D42874" w:rsidTr="00D26C61">
        <w:tc>
          <w:tcPr>
            <w:tcW w:w="9163" w:type="dxa"/>
            <w:gridSpan w:val="4"/>
          </w:tcPr>
          <w:p w:rsidR="0056588A" w:rsidRPr="00A776BB" w:rsidRDefault="00086626" w:rsidP="0008662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Maša Žagar</w:t>
            </w:r>
            <w:r w:rsidR="0056588A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56588A">
              <w:rPr>
                <w:bCs/>
                <w:lang w:val="sl-SI"/>
              </w:rPr>
              <w:t>generaln</w:t>
            </w:r>
            <w:r>
              <w:rPr>
                <w:bCs/>
                <w:lang w:val="sl-SI"/>
              </w:rPr>
              <w:t>a</w:t>
            </w:r>
            <w:r w:rsidR="0056588A">
              <w:rPr>
                <w:bCs/>
                <w:lang w:val="sl-SI"/>
              </w:rPr>
              <w:t xml:space="preserve"> direktor</w:t>
            </w:r>
            <w:r>
              <w:rPr>
                <w:bCs/>
                <w:lang w:val="sl-SI"/>
              </w:rPr>
              <w:t>ica</w:t>
            </w:r>
            <w:r w:rsidR="0056588A">
              <w:rPr>
                <w:bCs/>
                <w:lang w:val="sl-SI"/>
              </w:rPr>
              <w:t xml:space="preserve"> Direktorata za </w:t>
            </w:r>
            <w:r>
              <w:rPr>
                <w:bCs/>
                <w:lang w:val="sl-SI"/>
              </w:rPr>
              <w:t>kmetijstvo</w:t>
            </w:r>
            <w:r w:rsidR="0056588A">
              <w:rPr>
                <w:bCs/>
                <w:lang w:val="sl-SI"/>
              </w:rPr>
              <w:t>.</w:t>
            </w:r>
          </w:p>
          <w:p w:rsidR="00A776BB" w:rsidRPr="00086626" w:rsidRDefault="00A776BB" w:rsidP="00A776BB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90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D6C04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6D6C0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56588A" w:rsidRPr="006D6C04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/</w:t>
            </w: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022EFA" w:rsidRPr="006D6C04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/</w:t>
            </w:r>
          </w:p>
          <w:p w:rsidR="00022EFA" w:rsidRPr="006D6C04" w:rsidRDefault="00022EFA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866BF4" w:rsidRPr="006D6C04" w:rsidRDefault="00866BF4" w:rsidP="00D2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5. Kratek povzetek gradiva:</w:t>
            </w:r>
          </w:p>
        </w:tc>
      </w:tr>
      <w:tr w:rsidR="00866BF4" w:rsidRPr="00D42874" w:rsidTr="00D26C61">
        <w:tc>
          <w:tcPr>
            <w:tcW w:w="9163" w:type="dxa"/>
            <w:gridSpan w:val="4"/>
          </w:tcPr>
          <w:p w:rsidR="00086626" w:rsidRPr="00A776BB" w:rsidRDefault="00F369DB" w:rsidP="00A776BB">
            <w:pPr>
              <w:jc w:val="both"/>
              <w:rPr>
                <w:szCs w:val="20"/>
                <w:lang w:val="sl-SI"/>
              </w:rPr>
            </w:pPr>
            <w:r w:rsidRPr="00A776BB">
              <w:rPr>
                <w:szCs w:val="20"/>
                <w:lang w:val="sl-SI"/>
              </w:rPr>
              <w:lastRenderedPageBreak/>
              <w:t>Na podlagi 31. člena Zakona o izvrševanju proračunov Republike Slovenije za leti 202</w:t>
            </w:r>
            <w:r w:rsidR="00B10BBA" w:rsidRPr="00A776BB">
              <w:rPr>
                <w:szCs w:val="20"/>
                <w:lang w:val="sl-SI"/>
              </w:rPr>
              <w:t>4</w:t>
            </w:r>
            <w:r w:rsidRPr="00A776BB">
              <w:rPr>
                <w:szCs w:val="20"/>
                <w:lang w:val="sl-SI"/>
              </w:rPr>
              <w:t xml:space="preserve"> in 202</w:t>
            </w:r>
            <w:r w:rsidR="00B10BBA" w:rsidRPr="00A776BB">
              <w:rPr>
                <w:szCs w:val="20"/>
                <w:lang w:val="sl-SI"/>
              </w:rPr>
              <w:t>5</w:t>
            </w:r>
            <w:r w:rsidRPr="00A776BB">
              <w:rPr>
                <w:szCs w:val="20"/>
                <w:lang w:val="sl-SI"/>
              </w:rPr>
              <w:t xml:space="preserve"> </w:t>
            </w:r>
            <w:r w:rsidR="009D2613" w:rsidRPr="00A776BB">
              <w:rPr>
                <w:szCs w:val="20"/>
                <w:lang w:val="sl-SI"/>
              </w:rPr>
              <w:t>V</w:t>
            </w:r>
            <w:r w:rsidRPr="00A776BB">
              <w:rPr>
                <w:szCs w:val="20"/>
                <w:lang w:val="sl-SI"/>
              </w:rPr>
              <w:t xml:space="preserve">lada </w:t>
            </w:r>
            <w:r w:rsidR="009D2613" w:rsidRPr="00A776BB">
              <w:rPr>
                <w:szCs w:val="20"/>
                <w:lang w:val="sl-SI"/>
              </w:rPr>
              <w:t xml:space="preserve">Republike Slovenije </w:t>
            </w:r>
            <w:r w:rsidRPr="00A776BB">
              <w:rPr>
                <w:szCs w:val="20"/>
                <w:lang w:val="sl-SI"/>
              </w:rPr>
              <w:t xml:space="preserve">odloča o </w:t>
            </w:r>
            <w:r w:rsidR="00086626" w:rsidRPr="00A776BB">
              <w:rPr>
                <w:szCs w:val="20"/>
                <w:lang w:val="sl-SI"/>
              </w:rPr>
              <w:t>spremembi vrednosti projektov nad 20% izhodiščne vrednosti</w:t>
            </w:r>
            <w:r w:rsidRPr="00A776BB">
              <w:rPr>
                <w:szCs w:val="20"/>
                <w:lang w:val="sl-SI"/>
              </w:rPr>
              <w:t xml:space="preserve">. </w:t>
            </w:r>
          </w:p>
          <w:p w:rsidR="00086626" w:rsidRPr="00A776BB" w:rsidRDefault="00086626" w:rsidP="00A776BB">
            <w:pPr>
              <w:jc w:val="both"/>
              <w:rPr>
                <w:szCs w:val="20"/>
                <w:lang w:val="sl-SI"/>
              </w:rPr>
            </w:pPr>
          </w:p>
          <w:p w:rsidR="00C12A14" w:rsidRPr="00A776BB" w:rsidRDefault="00E5268A" w:rsidP="00A776BB">
            <w:pPr>
              <w:jc w:val="both"/>
              <w:rPr>
                <w:szCs w:val="20"/>
                <w:lang w:val="sl-SI"/>
              </w:rPr>
            </w:pPr>
            <w:r w:rsidRPr="00A776BB">
              <w:rPr>
                <w:szCs w:val="20"/>
                <w:lang w:val="sl-SI"/>
              </w:rPr>
              <w:t>Predlaga se</w:t>
            </w:r>
            <w:r w:rsidR="00B10BBA" w:rsidRPr="00A776BB">
              <w:rPr>
                <w:szCs w:val="20"/>
                <w:lang w:val="sl-SI"/>
              </w:rPr>
              <w:t xml:space="preserve"> </w:t>
            </w:r>
            <w:r w:rsidR="00C12A14" w:rsidRPr="00A776BB">
              <w:rPr>
                <w:szCs w:val="20"/>
                <w:lang w:val="sl-SI"/>
              </w:rPr>
              <w:t>sprememb</w:t>
            </w:r>
            <w:r w:rsidRPr="00A776BB">
              <w:rPr>
                <w:szCs w:val="20"/>
                <w:lang w:val="sl-SI"/>
              </w:rPr>
              <w:t>a</w:t>
            </w:r>
            <w:r w:rsidR="00B10BBA" w:rsidRPr="00A776BB">
              <w:rPr>
                <w:szCs w:val="20"/>
                <w:lang w:val="sl-SI"/>
              </w:rPr>
              <w:t xml:space="preserve"> izhodiščne vrednosti projekta </w:t>
            </w:r>
            <w:r w:rsidR="00C12A14" w:rsidRPr="00A776BB">
              <w:rPr>
                <w:szCs w:val="20"/>
                <w:lang w:val="sl-SI"/>
              </w:rPr>
              <w:t>2330-22-0012 »Ocena vplivov podnebnih sprememb v kmet. in gozd</w:t>
            </w:r>
            <w:r w:rsidR="00B10BBA" w:rsidRPr="00A776BB">
              <w:rPr>
                <w:szCs w:val="20"/>
                <w:lang w:val="sl-SI"/>
              </w:rPr>
              <w:t>.«.</w:t>
            </w:r>
          </w:p>
          <w:p w:rsidR="00961598" w:rsidRPr="00A776BB" w:rsidRDefault="00961598" w:rsidP="00A776BB">
            <w:pPr>
              <w:jc w:val="both"/>
              <w:rPr>
                <w:szCs w:val="20"/>
                <w:lang w:val="sl-SI"/>
              </w:rPr>
            </w:pPr>
          </w:p>
          <w:p w:rsidR="00961598" w:rsidRPr="00A776BB" w:rsidRDefault="00961598" w:rsidP="00A776BB">
            <w:pPr>
              <w:jc w:val="both"/>
              <w:rPr>
                <w:szCs w:val="20"/>
                <w:lang w:val="sl-SI"/>
              </w:rPr>
            </w:pPr>
            <w:r w:rsidRPr="00A776BB">
              <w:rPr>
                <w:szCs w:val="20"/>
                <w:lang w:val="sl-SI"/>
              </w:rPr>
              <w:t xml:space="preserve">Izhodiščna vrednost projekta je 1.300.000,00 EUR. Z </w:t>
            </w:r>
            <w:proofErr w:type="spellStart"/>
            <w:r w:rsidRPr="00A776BB">
              <w:rPr>
                <w:szCs w:val="20"/>
                <w:lang w:val="sl-SI"/>
              </w:rPr>
              <w:t>novelacijo</w:t>
            </w:r>
            <w:proofErr w:type="spellEnd"/>
            <w:r w:rsidRPr="00A776BB">
              <w:rPr>
                <w:szCs w:val="20"/>
                <w:lang w:val="sl-SI"/>
              </w:rPr>
              <w:t xml:space="preserve"> projekta želimo zmanjšati izhodiščno vrednost projekt za 78.9089,05 EUR. </w:t>
            </w:r>
          </w:p>
          <w:p w:rsidR="00961598" w:rsidRPr="00A776BB" w:rsidRDefault="00961598" w:rsidP="00A776BB">
            <w:pPr>
              <w:jc w:val="both"/>
              <w:rPr>
                <w:szCs w:val="20"/>
                <w:lang w:val="sl-SI"/>
              </w:rPr>
            </w:pPr>
            <w:r w:rsidRPr="00A776BB">
              <w:rPr>
                <w:szCs w:val="20"/>
                <w:lang w:val="sl-SI"/>
              </w:rPr>
              <w:t xml:space="preserve">Nova veljavna vrednost </w:t>
            </w:r>
            <w:r w:rsidR="00FA1BEB" w:rsidRPr="00A776BB">
              <w:rPr>
                <w:szCs w:val="20"/>
                <w:lang w:val="sl-SI"/>
              </w:rPr>
              <w:t>je</w:t>
            </w:r>
            <w:r w:rsidRPr="00A776BB">
              <w:rPr>
                <w:szCs w:val="20"/>
                <w:lang w:val="sl-SI"/>
              </w:rPr>
              <w:t xml:space="preserve"> 510.910,95 EUR. </w:t>
            </w:r>
          </w:p>
          <w:p w:rsidR="00173577" w:rsidRPr="00A776BB" w:rsidRDefault="00173577" w:rsidP="00A776BB">
            <w:pPr>
              <w:jc w:val="both"/>
              <w:rPr>
                <w:szCs w:val="20"/>
                <w:lang w:val="sl-SI"/>
              </w:rPr>
            </w:pPr>
          </w:p>
          <w:p w:rsidR="00173577" w:rsidRPr="00A776BB" w:rsidRDefault="00173577" w:rsidP="00A776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0"/>
                <w:lang w:val="sl-SI"/>
              </w:rPr>
            </w:pPr>
            <w:r w:rsidRPr="00A776BB">
              <w:rPr>
                <w:szCs w:val="20"/>
                <w:lang w:val="sl-SI"/>
              </w:rPr>
              <w:t>V okviru projekta »Ocena vplivov podnebnih sprememb v kmetijstvu in gozdarstvu« se bo</w:t>
            </w:r>
          </w:p>
          <w:p w:rsidR="00173577" w:rsidRPr="00A776BB" w:rsidRDefault="00173577" w:rsidP="00A776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0"/>
                <w:lang w:val="sl-SI"/>
              </w:rPr>
            </w:pPr>
            <w:r w:rsidRPr="00A776BB">
              <w:rPr>
                <w:szCs w:val="20"/>
                <w:lang w:val="sl-SI"/>
              </w:rPr>
              <w:t xml:space="preserve">opravil pregled trenutnega stanje vpliva podnebnih sprememb na kmetijstvo in gozdarstvo. Prav tako bodo predstavljeni bodoči trendi vpliva na obe panogi v prihodnjih letih. Podani bodo tudi predlogi za prilagajanje in blaženja na področju kmetijstva in gozdarstva. Prav tako bodo opisani potrebni ukrepi, katere bo </w:t>
            </w:r>
            <w:r w:rsidR="00E5268A" w:rsidRPr="00A776BB">
              <w:rPr>
                <w:szCs w:val="20"/>
                <w:lang w:val="sl-SI"/>
              </w:rPr>
              <w:t>potrebno zasledovati, da bodo</w:t>
            </w:r>
            <w:r w:rsidRPr="00A776BB">
              <w:rPr>
                <w:szCs w:val="20"/>
                <w:lang w:val="sl-SI"/>
              </w:rPr>
              <w:t xml:space="preserve"> čim bolje pripravljeni na vplive podnebnih sprememb v kmetijstvu in gozdarstvu. Sama študija bo tudi osnova za potencialno spremembo strategije prilagajanja na podnebne spremembe v kmetijstvu in gozdarstvu. Prav tako se bo ugotovilo, kako se lahko določena območja kmetijske pridelave prilagodijo na podnebne spremembe.</w:t>
            </w:r>
            <w:r w:rsidR="006A3B4A" w:rsidRPr="00A776BB">
              <w:rPr>
                <w:szCs w:val="20"/>
                <w:lang w:val="sl-SI"/>
              </w:rPr>
              <w:t xml:space="preserve"> </w:t>
            </w:r>
            <w:r w:rsidRPr="00A776BB">
              <w:rPr>
                <w:szCs w:val="20"/>
                <w:lang w:val="sl-SI"/>
              </w:rPr>
              <w:t>S tem</w:t>
            </w:r>
            <w:r w:rsidR="00E5268A" w:rsidRPr="00A776BB">
              <w:rPr>
                <w:szCs w:val="20"/>
                <w:lang w:val="sl-SI"/>
              </w:rPr>
              <w:t xml:space="preserve"> bodo</w:t>
            </w:r>
            <w:r w:rsidRPr="00A776BB">
              <w:rPr>
                <w:szCs w:val="20"/>
                <w:lang w:val="sl-SI"/>
              </w:rPr>
              <w:t xml:space="preserve"> dobili strokovne podlage za posodobitev Strategije prilagajanja in blaženja na področju kmetijstva in gozdarstva.</w:t>
            </w:r>
          </w:p>
          <w:p w:rsidR="00FB25B3" w:rsidRPr="0008734C" w:rsidRDefault="00FB25B3" w:rsidP="00B10BBA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66BF4" w:rsidRPr="006D6C04" w:rsidTr="00D26C61">
        <w:tc>
          <w:tcPr>
            <w:tcW w:w="9163" w:type="dxa"/>
            <w:gridSpan w:val="4"/>
          </w:tcPr>
          <w:p w:rsidR="00022EFA" w:rsidRPr="006D6C04" w:rsidRDefault="00866BF4" w:rsidP="00D26C6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6. Presoja posledic za:</w:t>
            </w:r>
          </w:p>
        </w:tc>
      </w:tr>
      <w:tr w:rsidR="00866BF4" w:rsidRPr="006D6C04" w:rsidTr="00D26C61">
        <w:tc>
          <w:tcPr>
            <w:tcW w:w="1448" w:type="dxa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DA</w:t>
            </w:r>
            <w:r w:rsidRPr="006D6C04">
              <w:rPr>
                <w:sz w:val="20"/>
                <w:szCs w:val="20"/>
              </w:rPr>
              <w:t>/NE</w:t>
            </w:r>
          </w:p>
        </w:tc>
      </w:tr>
      <w:tr w:rsidR="00866BF4" w:rsidRPr="006D6C04" w:rsidTr="00D26C61">
        <w:tc>
          <w:tcPr>
            <w:tcW w:w="1448" w:type="dxa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6D6C04" w:rsidTr="00D26C61">
        <w:tc>
          <w:tcPr>
            <w:tcW w:w="1448" w:type="dxa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6D6C04" w:rsidTr="00D26C61">
        <w:tc>
          <w:tcPr>
            <w:tcW w:w="1448" w:type="dxa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gospodarstvo, zlasti</w:t>
            </w:r>
            <w:r w:rsidRPr="006D6C0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6D6C04" w:rsidTr="00D26C61">
        <w:tc>
          <w:tcPr>
            <w:tcW w:w="1448" w:type="dxa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6D6C04" w:rsidTr="00D26C61">
        <w:tc>
          <w:tcPr>
            <w:tcW w:w="1448" w:type="dxa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6D6C04" w:rsidTr="00D26C61">
        <w:tc>
          <w:tcPr>
            <w:tcW w:w="1448" w:type="dxa"/>
            <w:tcBorders>
              <w:bottom w:val="single" w:sz="4" w:space="0" w:color="auto"/>
            </w:tcBorders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dokumente razvojnega načrtovanja:</w:t>
            </w:r>
          </w:p>
          <w:p w:rsidR="00866BF4" w:rsidRPr="006D6C04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nacionalne dokumente razvojnega načrtovanja</w:t>
            </w:r>
          </w:p>
          <w:p w:rsidR="00866BF4" w:rsidRPr="006D6C04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866BF4" w:rsidRPr="006D6C04" w:rsidRDefault="00866BF4" w:rsidP="00866BF4">
            <w:pPr>
              <w:pStyle w:val="Neotevilenodstavek"/>
              <w:numPr>
                <w:ilvl w:val="0"/>
                <w:numId w:val="11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D6C0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866BF4" w:rsidRPr="006D6C04" w:rsidRDefault="00866BF4" w:rsidP="00D26C6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866BF4" w:rsidRPr="006D6C04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F4" w:rsidRPr="006D6C04" w:rsidRDefault="00866BF4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7.a Predstavitev ocene finančnih posledic nad 40.000 EUR:</w:t>
            </w:r>
          </w:p>
          <w:p w:rsidR="00866BF4" w:rsidRPr="006D6C04" w:rsidRDefault="00866BF4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6D6C04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  <w:tr w:rsidR="006E101C" w:rsidRPr="00D42874" w:rsidTr="00D26C6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1C" w:rsidRDefault="006E101C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F316D" w:rsidRPr="005F316D" w:rsidRDefault="005F316D" w:rsidP="005F316D">
            <w:pPr>
              <w:spacing w:line="240" w:lineRule="auto"/>
              <w:jc w:val="both"/>
              <w:rPr>
                <w:sz w:val="22"/>
                <w:szCs w:val="22"/>
                <w:u w:val="single"/>
                <w:lang w:val="sl-SI"/>
              </w:rPr>
            </w:pPr>
            <w:r w:rsidRPr="005F316D">
              <w:rPr>
                <w:sz w:val="22"/>
                <w:szCs w:val="22"/>
                <w:u w:val="single"/>
                <w:lang w:val="sl-SI"/>
              </w:rPr>
              <w:t>Razlogi za spremembo izhodiščne vrednosti projekta:</w:t>
            </w:r>
          </w:p>
          <w:p w:rsidR="009D2613" w:rsidRPr="005F316D" w:rsidRDefault="005F316D" w:rsidP="005F316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5F316D">
              <w:rPr>
                <w:b w:val="0"/>
              </w:rPr>
              <w:t xml:space="preserve">Vrednost projekta </w:t>
            </w:r>
            <w:r w:rsidR="00E5268A">
              <w:rPr>
                <w:b w:val="0"/>
              </w:rPr>
              <w:t xml:space="preserve">se zmanjšuje ter se pripravlja </w:t>
            </w:r>
            <w:proofErr w:type="spellStart"/>
            <w:r w:rsidR="00E5268A">
              <w:rPr>
                <w:b w:val="0"/>
              </w:rPr>
              <w:t>novelacija</w:t>
            </w:r>
            <w:proofErr w:type="spellEnd"/>
            <w:r w:rsidR="00E5268A">
              <w:rPr>
                <w:b w:val="0"/>
              </w:rPr>
              <w:t xml:space="preserve"> projekta</w:t>
            </w:r>
            <w:r w:rsidRPr="005F316D">
              <w:rPr>
                <w:b w:val="0"/>
              </w:rPr>
              <w:t>. Ponovitev razpisov za Uvajanje sodobnih internetnih tehnologij za potrebe prilagajanja kmetijstva podnebnim spremembam in Potencial uporabe robotike na področju prilagajanja kmetijstva podnebnim spremembam. V letu 2023 javni naročili nista bili uspešno izvedeni, zato se j</w:t>
            </w:r>
            <w:r w:rsidR="00E5268A">
              <w:rPr>
                <w:b w:val="0"/>
              </w:rPr>
              <w:t xml:space="preserve">e vrednost projekta zmanjšala. </w:t>
            </w:r>
            <w:r w:rsidRPr="005F316D">
              <w:rPr>
                <w:b w:val="0"/>
              </w:rPr>
              <w:t>Javni naročili bosta objavljeni v prvi polovici leta 2024 in izvedeni bosta tako, da bodo zaključeni do konca leta 2024</w:t>
            </w:r>
            <w:r>
              <w:rPr>
                <w:b w:val="0"/>
              </w:rPr>
              <w:t>.</w:t>
            </w:r>
          </w:p>
          <w:p w:rsidR="00541E30" w:rsidRDefault="00541E30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9D2613" w:rsidRPr="00541E30" w:rsidRDefault="00541E30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</w:rPr>
            </w:pPr>
            <w:r w:rsidRPr="00541E30">
              <w:rPr>
                <w:b w:val="0"/>
              </w:rPr>
              <w:t>Sredstva so zagotovljena v okviru proračunske postavke 231758 - Sklad za podnebne spremembe na EP 2550-17-0003 - Poraba sredstev Sklada za podnebne spremembe</w:t>
            </w:r>
            <w:r>
              <w:rPr>
                <w:b w:val="0"/>
              </w:rPr>
              <w:t>.</w:t>
            </w:r>
          </w:p>
          <w:p w:rsidR="009D2613" w:rsidRDefault="009D2613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9D2613" w:rsidRDefault="009D2613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85281E" w:rsidRDefault="0085281E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85281E" w:rsidRDefault="0085281E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595056" w:rsidRDefault="00595056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85281E" w:rsidRDefault="0085281E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9D2613" w:rsidRDefault="009D2613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08734C" w:rsidRDefault="0008734C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9D2613" w:rsidRPr="006D6C04" w:rsidRDefault="009D2613" w:rsidP="00D26C6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866BF4" w:rsidRPr="006D6C04" w:rsidRDefault="00866BF4" w:rsidP="00866BF4">
      <w:pPr>
        <w:rPr>
          <w:rFonts w:cs="Arial"/>
          <w:vanish/>
          <w:color w:val="FF0000"/>
          <w:szCs w:val="20"/>
          <w:lang w:val="sl-SI"/>
        </w:rPr>
      </w:pPr>
    </w:p>
    <w:tbl>
      <w:tblPr>
        <w:tblW w:w="92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2"/>
        <w:gridCol w:w="1236"/>
        <w:gridCol w:w="1028"/>
        <w:gridCol w:w="382"/>
        <w:gridCol w:w="411"/>
        <w:gridCol w:w="913"/>
        <w:gridCol w:w="421"/>
        <w:gridCol w:w="260"/>
        <w:gridCol w:w="428"/>
        <w:gridCol w:w="381"/>
        <w:gridCol w:w="915"/>
        <w:gridCol w:w="65"/>
        <w:gridCol w:w="1161"/>
      </w:tblGrid>
      <w:tr w:rsidR="002D7EBA" w:rsidRPr="00D42874" w:rsidTr="002D7EBA">
        <w:trPr>
          <w:cantSplit/>
          <w:trHeight w:val="35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6D6C04" w:rsidRDefault="002D7EBA" w:rsidP="00022EFA">
            <w:pPr>
              <w:pStyle w:val="Naslov1"/>
            </w:pPr>
            <w:r w:rsidRPr="006D6C04">
              <w:t>I. Ocena finančnih posledic, ki niso načrtovane v sprejetem proračunu</w:t>
            </w:r>
          </w:p>
        </w:tc>
      </w:tr>
      <w:tr w:rsidR="002D7EBA" w:rsidRPr="006D6C04" w:rsidTr="002D7EBA">
        <w:trPr>
          <w:cantSplit/>
          <w:trHeight w:val="276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2D7EBA" w:rsidRPr="006D6C04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6D6C0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6D6C04">
              <w:rPr>
                <w:b/>
                <w:szCs w:val="20"/>
                <w:lang w:val="sl-SI"/>
              </w:rPr>
              <w:t>–</w:t>
            </w:r>
            <w:r w:rsidRPr="006D6C04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</w:tr>
      <w:tr w:rsidR="002D7EBA" w:rsidRPr="006D6C04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6D6C0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6D6C04">
              <w:rPr>
                <w:b/>
                <w:szCs w:val="20"/>
                <w:lang w:val="sl-SI"/>
              </w:rPr>
              <w:t>–</w:t>
            </w:r>
            <w:r w:rsidRPr="006D6C04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</w:tr>
      <w:tr w:rsidR="002D7EBA" w:rsidRPr="006D6C04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6D6C0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6D6C04">
              <w:rPr>
                <w:b/>
                <w:szCs w:val="20"/>
                <w:lang w:val="sl-SI"/>
              </w:rPr>
              <w:t>–</w:t>
            </w:r>
            <w:r w:rsidRPr="006D6C04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D7EBA" w:rsidRPr="006D6C04" w:rsidTr="002D7EBA">
        <w:trPr>
          <w:cantSplit/>
          <w:trHeight w:val="6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6D6C0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6D6C04">
              <w:rPr>
                <w:b/>
                <w:szCs w:val="20"/>
                <w:lang w:val="sl-SI"/>
              </w:rPr>
              <w:t>–</w:t>
            </w:r>
            <w:r w:rsidRPr="006D6C04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2D7EBA" w:rsidRPr="006D6C04" w:rsidTr="002D7EBA">
        <w:trPr>
          <w:cantSplit/>
          <w:trHeight w:val="423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6D6C04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6D6C04">
              <w:rPr>
                <w:b/>
                <w:szCs w:val="20"/>
                <w:lang w:val="sl-SI"/>
              </w:rPr>
              <w:t>–</w:t>
            </w:r>
            <w:r w:rsidRPr="006D6C04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</w:tr>
      <w:tr w:rsidR="002D7EBA" w:rsidRPr="006D6C04" w:rsidTr="002D7EBA">
        <w:trPr>
          <w:cantSplit/>
          <w:trHeight w:val="257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Default="002D7EBA" w:rsidP="00022EFA">
            <w:pPr>
              <w:pStyle w:val="Naslov1"/>
            </w:pPr>
            <w:r w:rsidRPr="006D6C04">
              <w:t>II. Finančne posledice za državni proračun</w:t>
            </w:r>
          </w:p>
          <w:p w:rsidR="002D7EBA" w:rsidRPr="00595056" w:rsidRDefault="002D7EBA" w:rsidP="00595056">
            <w:pPr>
              <w:rPr>
                <w:lang w:val="sl-SI" w:eastAsia="sl-SI"/>
              </w:rPr>
            </w:pPr>
          </w:p>
        </w:tc>
      </w:tr>
      <w:tr w:rsidR="002D7EBA" w:rsidRPr="006D6C04" w:rsidTr="002D7EBA">
        <w:trPr>
          <w:cantSplit/>
          <w:trHeight w:val="257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Default="002D7EBA" w:rsidP="00022EFA">
            <w:pPr>
              <w:pStyle w:val="Naslov1"/>
            </w:pPr>
            <w:proofErr w:type="spellStart"/>
            <w:r w:rsidRPr="006D6C04">
              <w:t>II.a</w:t>
            </w:r>
            <w:proofErr w:type="spellEnd"/>
            <w:r w:rsidRPr="006D6C04">
              <w:t xml:space="preserve"> Pravice porabe za izvedbo predlaganih rešitev so zagotovljene:</w:t>
            </w:r>
          </w:p>
          <w:p w:rsidR="002D7EBA" w:rsidRPr="00595056" w:rsidRDefault="002D7EBA" w:rsidP="00595056">
            <w:pPr>
              <w:rPr>
                <w:lang w:val="sl-SI" w:eastAsia="sl-SI"/>
              </w:rPr>
            </w:pPr>
          </w:p>
        </w:tc>
      </w:tr>
      <w:tr w:rsidR="002D7EBA" w:rsidRPr="006D6C04" w:rsidTr="00B35914">
        <w:trPr>
          <w:cantSplit/>
          <w:trHeight w:val="1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D7EBA" w:rsidRPr="002C1E16" w:rsidTr="00B35914">
        <w:trPr>
          <w:cantSplit/>
          <w:trHeight w:val="1088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270789" w:rsidRDefault="002D7EBA" w:rsidP="00FA1BEB">
            <w:pPr>
              <w:widowControl w:val="0"/>
              <w:tabs>
                <w:tab w:val="left" w:pos="360"/>
              </w:tabs>
              <w:outlineLvl w:val="0"/>
              <w:rPr>
                <w:sz w:val="22"/>
                <w:szCs w:val="22"/>
                <w:lang w:val="sl-SI"/>
              </w:rPr>
            </w:pPr>
            <w:r w:rsidRPr="002C1E16">
              <w:rPr>
                <w:rFonts w:cs="Arial"/>
                <w:bCs/>
                <w:kern w:val="32"/>
                <w:sz w:val="22"/>
                <w:szCs w:val="22"/>
                <w:lang w:val="sl-SI" w:eastAsia="sl-SI"/>
              </w:rPr>
              <w:t>PU 2330 MKGP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Default="00B35914" w:rsidP="00FA1BEB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2330-22-0012 »Ocena </w:t>
            </w:r>
            <w:r w:rsidR="002D7EBA" w:rsidRPr="00A13AFE">
              <w:rPr>
                <w:sz w:val="22"/>
                <w:szCs w:val="22"/>
                <w:lang w:val="sl-SI"/>
              </w:rPr>
              <w:t>vplivov podne</w:t>
            </w:r>
            <w:r w:rsidR="002D7EBA">
              <w:rPr>
                <w:sz w:val="22"/>
                <w:szCs w:val="22"/>
                <w:lang w:val="sl-SI"/>
              </w:rPr>
              <w:t>bnih sprememb v kmet. in gozd.«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2C1E16" w:rsidRDefault="00243F62" w:rsidP="00FA1BEB">
            <w:pPr>
              <w:widowControl w:val="0"/>
              <w:tabs>
                <w:tab w:val="left" w:pos="360"/>
              </w:tabs>
              <w:outlineLvl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231758</w:t>
            </w:r>
            <w:r w:rsidR="002D7EBA" w:rsidRPr="002C1E16">
              <w:rPr>
                <w:sz w:val="22"/>
                <w:szCs w:val="22"/>
                <w:lang w:val="sl-SI"/>
              </w:rPr>
              <w:t xml:space="preserve"> </w:t>
            </w:r>
            <w:r w:rsidR="002D7EBA">
              <w:rPr>
                <w:sz w:val="22"/>
                <w:szCs w:val="22"/>
                <w:lang w:val="sl-SI"/>
              </w:rPr>
              <w:t>Sklad za podnebne spremembe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Default="0093420B" w:rsidP="00FA1B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</w:t>
            </w:r>
            <w:r w:rsidR="00B35914">
              <w:rPr>
                <w:rFonts w:cs="Arial"/>
                <w:szCs w:val="20"/>
                <w:lang w:val="sl-SI" w:eastAsia="sl-SI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Default="00B35914" w:rsidP="00FA1B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0,00</w:t>
            </w:r>
          </w:p>
        </w:tc>
      </w:tr>
      <w:tr w:rsidR="002D7EBA" w:rsidRPr="00595056" w:rsidTr="002D7EBA">
        <w:trPr>
          <w:cantSplit/>
          <w:trHeight w:val="239"/>
        </w:trPr>
        <w:tc>
          <w:tcPr>
            <w:tcW w:w="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595056" w:rsidRDefault="002D7EBA" w:rsidP="00D26C61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595056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BA" w:rsidRPr="00595056" w:rsidRDefault="00B35914" w:rsidP="00B35914">
            <w:pPr>
              <w:spacing w:line="240" w:lineRule="auto"/>
              <w:jc w:val="right"/>
              <w:rPr>
                <w:rFonts w:ascii="Calibri" w:hAnsi="Calibri"/>
                <w:b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BA" w:rsidRPr="00595056" w:rsidRDefault="00B35914" w:rsidP="00D26C61">
            <w:pPr>
              <w:spacing w:line="240" w:lineRule="auto"/>
              <w:jc w:val="right"/>
              <w:rPr>
                <w:rFonts w:ascii="Calibri" w:hAnsi="Calibri"/>
                <w:b/>
                <w:sz w:val="22"/>
                <w:szCs w:val="22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0,00</w:t>
            </w:r>
          </w:p>
        </w:tc>
      </w:tr>
      <w:tr w:rsidR="002D7EBA" w:rsidRPr="006D6C04" w:rsidTr="002D7EBA">
        <w:trPr>
          <w:cantSplit/>
          <w:trHeight w:val="294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6D6C04" w:rsidRDefault="002D7EBA" w:rsidP="00595056">
            <w:pPr>
              <w:pStyle w:val="Naslov1"/>
              <w:ind w:left="0" w:firstLine="0"/>
            </w:pPr>
            <w:proofErr w:type="spellStart"/>
            <w:r w:rsidRPr="006D6C04">
              <w:t>II.b</w:t>
            </w:r>
            <w:proofErr w:type="spellEnd"/>
            <w:r w:rsidRPr="006D6C04">
              <w:t xml:space="preserve"> Manjkajoče pravice porabe bodo zagotovljene s prerazporeditvijo:</w:t>
            </w:r>
          </w:p>
        </w:tc>
      </w:tr>
      <w:tr w:rsidR="002D7EBA" w:rsidRPr="006D6C04" w:rsidTr="00B35914">
        <w:trPr>
          <w:cantSplit/>
          <w:trHeight w:val="1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2D7EBA" w:rsidRPr="002C1E16" w:rsidTr="00B35914">
        <w:trPr>
          <w:cantSplit/>
          <w:trHeight w:val="32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2C1E16" w:rsidRDefault="0093420B" w:rsidP="002C1E16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PU 2550 MOPE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4" w:rsidRDefault="0093420B" w:rsidP="0093420B">
            <w:pPr>
              <w:rPr>
                <w:sz w:val="22"/>
                <w:szCs w:val="22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>2550-17-0003</w:t>
            </w:r>
            <w:r w:rsidRPr="00A13AFE">
              <w:rPr>
                <w:sz w:val="22"/>
                <w:szCs w:val="22"/>
                <w:lang w:val="sl-SI"/>
              </w:rPr>
              <w:t>»</w:t>
            </w:r>
          </w:p>
          <w:p w:rsidR="002D7EBA" w:rsidRPr="002C1E16" w:rsidRDefault="0093420B" w:rsidP="0093420B">
            <w:pPr>
              <w:rPr>
                <w:rFonts w:cs="Arial"/>
                <w:szCs w:val="20"/>
                <w:lang w:val="sl-SI" w:eastAsia="sl-SI"/>
              </w:rPr>
            </w:pPr>
            <w:r>
              <w:rPr>
                <w:sz w:val="22"/>
                <w:szCs w:val="22"/>
                <w:lang w:val="sl-SI"/>
              </w:rPr>
              <w:t>Poraba sredstev Sklada za podnebne spremembe«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BA" w:rsidRPr="002C1E16" w:rsidRDefault="0093420B" w:rsidP="00A45D97">
            <w:pPr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231758</w:t>
            </w:r>
            <w:r w:rsidRPr="002C1E16">
              <w:rPr>
                <w:sz w:val="22"/>
                <w:szCs w:val="22"/>
                <w:lang w:val="sl-SI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>Sklad za podnebne spremembe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B007C5" w:rsidRDefault="00B35914" w:rsidP="00B007C5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111.931,5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B007C5" w:rsidRDefault="00B35914" w:rsidP="00B007C5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0,00</w:t>
            </w:r>
          </w:p>
        </w:tc>
      </w:tr>
      <w:tr w:rsidR="002D7EBA" w:rsidRPr="00F56A31" w:rsidTr="00B35914">
        <w:trPr>
          <w:cantSplit/>
          <w:trHeight w:val="95"/>
        </w:trPr>
        <w:tc>
          <w:tcPr>
            <w:tcW w:w="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F56A31" w:rsidRDefault="002D7EBA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F56A31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  <w:p w:rsidR="002D7EBA" w:rsidRDefault="002D7EBA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  <w:p w:rsidR="00541E30" w:rsidRDefault="00541E30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  <w:p w:rsidR="00541E30" w:rsidRDefault="00541E30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  <w:p w:rsidR="00541E30" w:rsidRDefault="00541E30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  <w:p w:rsidR="00541E30" w:rsidRPr="00F56A31" w:rsidRDefault="00541E30" w:rsidP="009A5E8A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F56A31" w:rsidRDefault="00B35914" w:rsidP="00B35914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bCs/>
                <w:kern w:val="32"/>
                <w:szCs w:val="20"/>
                <w:lang w:val="sl-SI" w:eastAsia="sl-SI"/>
              </w:rPr>
              <w:t>111.931,53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F56A31" w:rsidRDefault="00B35914" w:rsidP="009A5E8A">
            <w:pPr>
              <w:widowControl w:val="0"/>
              <w:tabs>
                <w:tab w:val="left" w:pos="360"/>
              </w:tabs>
              <w:jc w:val="righ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0,00</w:t>
            </w:r>
          </w:p>
        </w:tc>
      </w:tr>
      <w:tr w:rsidR="002D7EBA" w:rsidRPr="006D6C04" w:rsidTr="002D7EBA">
        <w:trPr>
          <w:cantSplit/>
          <w:trHeight w:val="207"/>
        </w:trPr>
        <w:tc>
          <w:tcPr>
            <w:tcW w:w="9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7EBA" w:rsidRPr="006D6C04" w:rsidRDefault="002D7EBA" w:rsidP="00022EFA">
            <w:pPr>
              <w:pStyle w:val="Naslov1"/>
            </w:pPr>
            <w:proofErr w:type="spellStart"/>
            <w:r w:rsidRPr="006D6C04">
              <w:lastRenderedPageBreak/>
              <w:t>II.c</w:t>
            </w:r>
            <w:proofErr w:type="spellEnd"/>
            <w:r w:rsidRPr="006D6C04">
              <w:t xml:space="preserve"> Načrtovana nadomestitev zmanjšanih prihodkov in povečanih odhodkov proračuna:</w:t>
            </w:r>
          </w:p>
        </w:tc>
      </w:tr>
      <w:tr w:rsidR="002D7EBA" w:rsidRPr="006D6C04" w:rsidTr="002D7EBA">
        <w:trPr>
          <w:cantSplit/>
          <w:trHeight w:val="100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D26C61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2D7EBA" w:rsidRPr="006D6C04" w:rsidTr="002D7EBA">
        <w:trPr>
          <w:cantSplit/>
          <w:trHeight w:val="95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</w:tr>
      <w:tr w:rsidR="002D7EBA" w:rsidRPr="006D6C04" w:rsidTr="002D7EBA">
        <w:trPr>
          <w:cantSplit/>
          <w:trHeight w:val="95"/>
        </w:trPr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  <w:r w:rsidRPr="006D6C04">
              <w:t>SKUPAJ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BA" w:rsidRPr="006D6C04" w:rsidRDefault="002D7EBA" w:rsidP="00022EFA">
            <w:pPr>
              <w:pStyle w:val="Naslov1"/>
            </w:pPr>
          </w:p>
        </w:tc>
      </w:tr>
      <w:tr w:rsidR="002D7EBA" w:rsidRPr="00D4287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93" w:type="dxa"/>
            <w:gridSpan w:val="14"/>
          </w:tcPr>
          <w:p w:rsidR="002D7EBA" w:rsidRPr="006D6C04" w:rsidRDefault="002D7EBA" w:rsidP="00D26C61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2D7EBA" w:rsidRPr="006D6C04" w:rsidRDefault="002D7EBA" w:rsidP="00D26C61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6D6C04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6D6C04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2D7EBA" w:rsidRPr="006D6C04" w:rsidRDefault="002D7EBA" w:rsidP="00D26C61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3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:rsidR="002D7EBA" w:rsidRPr="006D6C04" w:rsidRDefault="002D7EBA" w:rsidP="00D26C61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2D7EBA" w:rsidRPr="006D6C04" w:rsidRDefault="002D7EBA" w:rsidP="00866BF4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6D6C04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2D7EBA" w:rsidRPr="006D6C04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D7EBA" w:rsidRPr="006D6C04" w:rsidRDefault="002D7EBA" w:rsidP="00D26C61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6D6C04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6D6C04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2D7EBA" w:rsidRPr="006D6C04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D6C0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6D6C04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2D7EBA" w:rsidRPr="006D6C04" w:rsidRDefault="002D7EBA" w:rsidP="00866BF4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2D7EBA" w:rsidRPr="006D6C04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D6C0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6D6C04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D7EBA" w:rsidRPr="006D6C04" w:rsidRDefault="002D7EBA" w:rsidP="00D26C6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6D6C04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6D6C04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2D7EBA" w:rsidRPr="006D6C04" w:rsidRDefault="002D7EBA" w:rsidP="00D26C61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D6C04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6D6C04">
              <w:rPr>
                <w:rFonts w:cs="Arial"/>
                <w:szCs w:val="20"/>
                <w:lang w:val="sl-SI" w:eastAsia="sl-SI"/>
              </w:rPr>
              <w:t>.</w:t>
            </w:r>
          </w:p>
          <w:p w:rsidR="002D7EBA" w:rsidRPr="006D6C04" w:rsidRDefault="002D7EBA" w:rsidP="00D26C61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6D6C04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6D6C04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2D7EBA" w:rsidRPr="006E101C" w:rsidRDefault="002D7EBA" w:rsidP="006E101C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D6C04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6D6C04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6D6C04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6D6C04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6D6C04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6D6C04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:rsidR="002D7EBA" w:rsidRPr="006D6C04" w:rsidRDefault="002D7EBA" w:rsidP="00D26C61">
            <w:pPr>
              <w:rPr>
                <w:rFonts w:cs="Arial"/>
                <w:szCs w:val="20"/>
                <w:lang w:val="sl-SI"/>
              </w:rPr>
            </w:pPr>
            <w:r w:rsidRPr="006D6C04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2D7EBA" w:rsidRPr="006D6C04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6D6C04">
              <w:rPr>
                <w:rFonts w:cs="Arial"/>
                <w:b/>
                <w:szCs w:val="20"/>
                <w:lang w:val="sl-SI"/>
              </w:rPr>
              <w:t>Kratka obrazložitev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6D6C04" w:rsidRDefault="002D7EBA" w:rsidP="00D26C61">
            <w:pPr>
              <w:rPr>
                <w:rFonts w:cs="Arial"/>
                <w:b/>
                <w:szCs w:val="20"/>
                <w:lang w:val="sl-SI"/>
              </w:rPr>
            </w:pPr>
            <w:r w:rsidRPr="006D6C04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pristojnosti občin,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lastRenderedPageBreak/>
              <w:t>delovanje občin,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1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522" w:type="dxa"/>
            <w:gridSpan w:val="4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lastRenderedPageBreak/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D4287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93" w:type="dxa"/>
            <w:gridSpan w:val="14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Skupnosti občin Slovenije SOS: DA/NE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Združenju občin Slovenije ZOS: DA/NE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Združenju mestnih občin Slovenije ZMOS: DA/NE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v celoti,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večinoma,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delno,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niso bili upoštevani.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4"/>
            <w:vAlign w:val="center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22" w:type="dxa"/>
            <w:gridSpan w:val="4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D4287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4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2D7EBA" w:rsidRPr="00D4287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93" w:type="dxa"/>
            <w:gridSpan w:val="14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(Če je odgovor DA, navedite: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Datum objave: ………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 xml:space="preserve">nevladne organizacije, 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predstavniki zainteresirane javnosti,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predstavniki strokovne javnosti.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.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D6C04">
              <w:rPr>
                <w:sz w:val="20"/>
                <w:szCs w:val="20"/>
              </w:rPr>
              <w:t>(imen in priimkov fizičnih oseb, ki niso poslovni subjekti, ne navajajte</w:t>
            </w:r>
            <w:r w:rsidRPr="006D6C04">
              <w:rPr>
                <w:iCs/>
                <w:sz w:val="20"/>
                <w:szCs w:val="20"/>
              </w:rPr>
              <w:t>):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Upoštevani so bili: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v celoti,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večinoma,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delno,</w:t>
            </w:r>
          </w:p>
          <w:p w:rsidR="002D7EBA" w:rsidRPr="006D6C04" w:rsidRDefault="002D7EBA" w:rsidP="00866BF4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niso bili upoštevani.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Poročilo je bilo dano ……………..</w:t>
            </w:r>
          </w:p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D6C0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  <w:vAlign w:val="center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22" w:type="dxa"/>
            <w:gridSpan w:val="4"/>
            <w:vAlign w:val="center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1" w:type="dxa"/>
            <w:gridSpan w:val="10"/>
            <w:vAlign w:val="center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D6C0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22" w:type="dxa"/>
            <w:gridSpan w:val="4"/>
            <w:vAlign w:val="center"/>
          </w:tcPr>
          <w:p w:rsidR="002D7EBA" w:rsidRPr="006D6C04" w:rsidRDefault="002D7EBA" w:rsidP="00D26C6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D6C04">
              <w:rPr>
                <w:sz w:val="20"/>
                <w:szCs w:val="20"/>
              </w:rPr>
              <w:t>DA/</w:t>
            </w:r>
            <w:r w:rsidRPr="006D6C04">
              <w:rPr>
                <w:b/>
                <w:sz w:val="20"/>
                <w:szCs w:val="20"/>
              </w:rPr>
              <w:t>NE</w:t>
            </w:r>
          </w:p>
        </w:tc>
      </w:tr>
      <w:tr w:rsidR="002D7EBA" w:rsidRPr="006D6C04" w:rsidTr="002D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9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BA" w:rsidRPr="006D6C04" w:rsidRDefault="002D7EBA" w:rsidP="00D26C6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D7EBA" w:rsidRPr="006D6C04" w:rsidRDefault="002D7EBA" w:rsidP="00D26C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                                  </w:t>
            </w:r>
            <w:r>
              <w:rPr>
                <w:rFonts w:cs="Arial"/>
                <w:szCs w:val="20"/>
                <w:lang w:val="sl-SI" w:eastAsia="sl-SI"/>
              </w:rPr>
              <w:t xml:space="preserve">      </w:t>
            </w:r>
            <w:r w:rsidR="0067007A">
              <w:rPr>
                <w:rFonts w:cs="Arial"/>
                <w:szCs w:val="20"/>
                <w:lang w:val="sl-SI" w:eastAsia="sl-SI"/>
              </w:rPr>
              <w:t xml:space="preserve">Mateja </w:t>
            </w:r>
            <w:proofErr w:type="spellStart"/>
            <w:r w:rsidR="0067007A">
              <w:rPr>
                <w:rFonts w:cs="Arial"/>
                <w:szCs w:val="20"/>
                <w:lang w:val="sl-SI" w:eastAsia="sl-SI"/>
              </w:rPr>
              <w:t>Čalušić</w:t>
            </w:r>
            <w:proofErr w:type="spellEnd"/>
            <w:r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:rsidR="002D7EBA" w:rsidRPr="009E5775" w:rsidRDefault="002D7EBA" w:rsidP="0059505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6D6C04">
              <w:rPr>
                <w:rFonts w:cs="Arial"/>
                <w:szCs w:val="20"/>
                <w:lang w:val="sl-SI" w:eastAsia="sl-SI"/>
              </w:rPr>
              <w:t xml:space="preserve">           </w:t>
            </w:r>
            <w:r>
              <w:rPr>
                <w:rFonts w:cs="Arial"/>
                <w:szCs w:val="20"/>
                <w:lang w:val="sl-SI" w:eastAsia="sl-SI"/>
              </w:rPr>
              <w:t xml:space="preserve">                               </w:t>
            </w:r>
            <w:r w:rsidR="0067007A">
              <w:rPr>
                <w:rFonts w:cs="Arial"/>
                <w:szCs w:val="20"/>
                <w:lang w:val="sl-SI" w:eastAsia="sl-SI"/>
              </w:rPr>
              <w:t xml:space="preserve">  </w:t>
            </w:r>
            <w:r w:rsidRPr="006D6C04">
              <w:rPr>
                <w:rFonts w:cs="Arial"/>
                <w:szCs w:val="20"/>
                <w:lang w:val="sl-SI" w:eastAsia="sl-SI"/>
              </w:rPr>
              <w:t>minist</w:t>
            </w:r>
            <w:r>
              <w:rPr>
                <w:rFonts w:cs="Arial"/>
                <w:szCs w:val="20"/>
                <w:lang w:val="sl-SI" w:eastAsia="sl-SI"/>
              </w:rPr>
              <w:t>rica</w:t>
            </w:r>
          </w:p>
        </w:tc>
      </w:tr>
    </w:tbl>
    <w:p w:rsidR="00022EFA" w:rsidRPr="006D6C04" w:rsidRDefault="00022EFA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</w:p>
    <w:p w:rsidR="00866BF4" w:rsidRPr="006D6C04" w:rsidRDefault="00866BF4" w:rsidP="00866BF4">
      <w:pPr>
        <w:autoSpaceDE w:val="0"/>
        <w:autoSpaceDN w:val="0"/>
        <w:adjustRightInd w:val="0"/>
        <w:spacing w:line="240" w:lineRule="atLeast"/>
        <w:rPr>
          <w:rFonts w:cs="Arial"/>
          <w:szCs w:val="20"/>
          <w:lang w:val="sl-SI"/>
        </w:rPr>
      </w:pPr>
      <w:r w:rsidRPr="006D6C04">
        <w:rPr>
          <w:rFonts w:cs="Arial"/>
          <w:szCs w:val="20"/>
          <w:lang w:val="sl-SI"/>
        </w:rPr>
        <w:t xml:space="preserve">Priloge: </w:t>
      </w:r>
    </w:p>
    <w:p w:rsidR="00866BF4" w:rsidRPr="006D6C04" w:rsidRDefault="00866BF4" w:rsidP="00866BF4">
      <w:pPr>
        <w:numPr>
          <w:ilvl w:val="0"/>
          <w:numId w:val="18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  <w:r w:rsidRPr="006D6C04">
        <w:rPr>
          <w:rFonts w:cs="Arial"/>
          <w:szCs w:val="20"/>
          <w:lang w:val="sl-SI"/>
        </w:rPr>
        <w:t>Obrazložitev s tabelami (Obrazec 3),</w:t>
      </w:r>
    </w:p>
    <w:p w:rsidR="00866BF4" w:rsidRDefault="00866BF4" w:rsidP="00866BF4">
      <w:pPr>
        <w:numPr>
          <w:ilvl w:val="0"/>
          <w:numId w:val="18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  <w:r w:rsidRPr="006D6C04">
        <w:rPr>
          <w:rFonts w:cs="Arial"/>
          <w:szCs w:val="20"/>
          <w:lang w:val="sl-SI"/>
        </w:rPr>
        <w:t>Mnenje Ministrstva za finance.</w:t>
      </w:r>
    </w:p>
    <w:p w:rsidR="006E101C" w:rsidRDefault="006E101C" w:rsidP="006E101C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:rsidR="00DF17D1" w:rsidRDefault="00DF17D1" w:rsidP="006E101C">
      <w:pPr>
        <w:autoSpaceDE w:val="0"/>
        <w:autoSpaceDN w:val="0"/>
        <w:adjustRightInd w:val="0"/>
        <w:spacing w:line="240" w:lineRule="atLeast"/>
        <w:ind w:left="360"/>
        <w:jc w:val="both"/>
        <w:rPr>
          <w:rFonts w:cs="Arial"/>
          <w:szCs w:val="20"/>
          <w:lang w:val="sl-SI"/>
        </w:rPr>
      </w:pPr>
    </w:p>
    <w:p w:rsidR="00B31E2E" w:rsidRDefault="00B31E2E" w:rsidP="00866BF4">
      <w:pPr>
        <w:pStyle w:val="Telobesedila"/>
        <w:tabs>
          <w:tab w:val="left" w:pos="3960"/>
        </w:tabs>
        <w:rPr>
          <w:rFonts w:ascii="Arial" w:hAnsi="Arial" w:cs="Arial"/>
          <w:b w:val="0"/>
          <w:bCs w:val="0"/>
          <w:sz w:val="20"/>
          <w:lang w:eastAsia="en-US"/>
        </w:rPr>
      </w:pPr>
    </w:p>
    <w:p w:rsidR="00866BF4" w:rsidRPr="00CF5332" w:rsidRDefault="00022EFA" w:rsidP="00866BF4">
      <w:pPr>
        <w:pStyle w:val="Telobesedila"/>
        <w:tabs>
          <w:tab w:val="left" w:pos="3960"/>
        </w:tabs>
        <w:rPr>
          <w:rFonts w:ascii="Arial" w:hAnsi="Arial" w:cs="Arial"/>
          <w:bCs w:val="0"/>
        </w:rPr>
      </w:pPr>
      <w:r w:rsidRPr="00CF5332">
        <w:rPr>
          <w:rFonts w:ascii="Arial" w:hAnsi="Arial" w:cs="Arial"/>
          <w:bCs w:val="0"/>
        </w:rPr>
        <w:lastRenderedPageBreak/>
        <w:t>Obrazložit</w:t>
      </w:r>
      <w:r w:rsidR="00B101B1" w:rsidRPr="00CF5332">
        <w:rPr>
          <w:rFonts w:ascii="Arial" w:hAnsi="Arial" w:cs="Arial"/>
          <w:bCs w:val="0"/>
        </w:rPr>
        <w:t>e</w:t>
      </w:r>
      <w:r w:rsidRPr="00CF5332">
        <w:rPr>
          <w:rFonts w:ascii="Arial" w:hAnsi="Arial" w:cs="Arial"/>
          <w:bCs w:val="0"/>
        </w:rPr>
        <w:t>v</w:t>
      </w:r>
    </w:p>
    <w:p w:rsidR="00866BF4" w:rsidRPr="00CF5332" w:rsidRDefault="00866BF4" w:rsidP="00866BF4">
      <w:pPr>
        <w:pStyle w:val="Telobesedila"/>
        <w:tabs>
          <w:tab w:val="left" w:pos="3960"/>
        </w:tabs>
        <w:rPr>
          <w:rFonts w:ascii="Arial" w:hAnsi="Arial" w:cs="Arial"/>
          <w:bCs w:val="0"/>
        </w:rPr>
      </w:pPr>
    </w:p>
    <w:p w:rsidR="00866BF4" w:rsidRPr="00CF5332" w:rsidRDefault="00866BF4" w:rsidP="00FA1BEB">
      <w:pPr>
        <w:jc w:val="both"/>
        <w:rPr>
          <w:sz w:val="22"/>
          <w:szCs w:val="22"/>
          <w:lang w:val="sl-SI"/>
        </w:rPr>
      </w:pPr>
      <w:r w:rsidRPr="00CF5332">
        <w:rPr>
          <w:sz w:val="22"/>
          <w:szCs w:val="22"/>
          <w:lang w:val="sl-SI"/>
        </w:rPr>
        <w:t>Na podlagi petega odstavka 31. člena Zakona o izvrševanju proračunov Republike Slovenije za leti 20</w:t>
      </w:r>
      <w:r w:rsidR="00243716" w:rsidRPr="00CF5332">
        <w:rPr>
          <w:sz w:val="22"/>
          <w:szCs w:val="22"/>
          <w:lang w:val="sl-SI"/>
        </w:rPr>
        <w:t>2</w:t>
      </w:r>
      <w:r w:rsidR="0067007A">
        <w:rPr>
          <w:sz w:val="22"/>
          <w:szCs w:val="22"/>
          <w:lang w:val="sl-SI"/>
        </w:rPr>
        <w:t>4</w:t>
      </w:r>
      <w:r w:rsidRPr="00CF5332">
        <w:rPr>
          <w:sz w:val="22"/>
          <w:szCs w:val="22"/>
          <w:lang w:val="sl-SI"/>
        </w:rPr>
        <w:t xml:space="preserve"> in 20</w:t>
      </w:r>
      <w:r w:rsidR="0067007A">
        <w:rPr>
          <w:sz w:val="22"/>
          <w:szCs w:val="22"/>
          <w:lang w:val="sl-SI"/>
        </w:rPr>
        <w:t>25</w:t>
      </w:r>
      <w:r w:rsidR="00E5268A">
        <w:rPr>
          <w:sz w:val="22"/>
          <w:szCs w:val="22"/>
          <w:lang w:val="sl-SI"/>
        </w:rPr>
        <w:t xml:space="preserve"> (Uradni list RS, št.123/2023)</w:t>
      </w:r>
      <w:r w:rsidR="006201CC">
        <w:rPr>
          <w:sz w:val="22"/>
          <w:szCs w:val="22"/>
          <w:lang w:val="sl-SI"/>
        </w:rPr>
        <w:t xml:space="preserve"> V</w:t>
      </w:r>
      <w:r w:rsidRPr="00CF5332">
        <w:rPr>
          <w:sz w:val="22"/>
          <w:szCs w:val="22"/>
          <w:lang w:val="sl-SI"/>
        </w:rPr>
        <w:t xml:space="preserve">lada </w:t>
      </w:r>
      <w:r w:rsidR="006201CC">
        <w:rPr>
          <w:sz w:val="22"/>
          <w:szCs w:val="22"/>
          <w:lang w:val="sl-SI"/>
        </w:rPr>
        <w:t xml:space="preserve">Republike Slovenije </w:t>
      </w:r>
      <w:r w:rsidR="0067007A">
        <w:rPr>
          <w:sz w:val="22"/>
          <w:szCs w:val="22"/>
          <w:lang w:val="sl-SI"/>
        </w:rPr>
        <w:t>odloča o spremembi</w:t>
      </w:r>
      <w:r w:rsidR="00CF5332" w:rsidRPr="00CF5332">
        <w:rPr>
          <w:sz w:val="22"/>
          <w:szCs w:val="22"/>
          <w:lang w:val="sl-SI"/>
        </w:rPr>
        <w:t xml:space="preserve"> vrednosti nad 20% izhodiščne vrednosti projekta</w:t>
      </w:r>
      <w:r w:rsidR="00EA2820" w:rsidRPr="00CF5332">
        <w:rPr>
          <w:sz w:val="22"/>
          <w:szCs w:val="22"/>
          <w:lang w:val="sl-SI"/>
        </w:rPr>
        <w:t xml:space="preserve">. </w:t>
      </w:r>
      <w:r w:rsidR="00E5268A">
        <w:rPr>
          <w:sz w:val="22"/>
          <w:szCs w:val="22"/>
          <w:lang w:val="sl-SI"/>
        </w:rPr>
        <w:t>Predlaga se</w:t>
      </w:r>
      <w:r w:rsidR="00243716" w:rsidRPr="00CF5332">
        <w:rPr>
          <w:sz w:val="22"/>
          <w:szCs w:val="22"/>
          <w:lang w:val="sl-SI"/>
        </w:rPr>
        <w:t>, da se v skladu s podatki iz priložene tabele</w:t>
      </w:r>
      <w:r w:rsidR="00CF5332" w:rsidRPr="00CF5332">
        <w:rPr>
          <w:sz w:val="22"/>
          <w:szCs w:val="22"/>
          <w:lang w:val="sl-SI"/>
        </w:rPr>
        <w:t xml:space="preserve"> (Obrazci 3)</w:t>
      </w:r>
      <w:r w:rsidR="00243716" w:rsidRPr="00CF5332">
        <w:rPr>
          <w:sz w:val="22"/>
          <w:szCs w:val="22"/>
          <w:lang w:val="sl-SI"/>
        </w:rPr>
        <w:t>, v veljavn</w:t>
      </w:r>
      <w:r w:rsidR="00CF5332" w:rsidRPr="00CF5332">
        <w:rPr>
          <w:sz w:val="22"/>
          <w:szCs w:val="22"/>
          <w:lang w:val="sl-SI"/>
        </w:rPr>
        <w:t>em</w:t>
      </w:r>
      <w:r w:rsidR="00243716" w:rsidRPr="00CF5332">
        <w:rPr>
          <w:sz w:val="22"/>
          <w:szCs w:val="22"/>
          <w:lang w:val="sl-SI"/>
        </w:rPr>
        <w:t xml:space="preserve"> </w:t>
      </w:r>
      <w:r w:rsidR="006201CC">
        <w:rPr>
          <w:sz w:val="22"/>
          <w:szCs w:val="22"/>
          <w:lang w:val="sl-SI"/>
        </w:rPr>
        <w:t>Načrtu razvojnih programov</w:t>
      </w:r>
      <w:r w:rsidR="00CF5332" w:rsidRPr="00CF5332">
        <w:rPr>
          <w:sz w:val="22"/>
          <w:szCs w:val="22"/>
          <w:lang w:val="sl-SI"/>
        </w:rPr>
        <w:t xml:space="preserve"> </w:t>
      </w:r>
      <w:r w:rsidR="00243716" w:rsidRPr="00CF5332">
        <w:rPr>
          <w:sz w:val="22"/>
          <w:szCs w:val="22"/>
          <w:lang w:val="sl-SI"/>
        </w:rPr>
        <w:t>202</w:t>
      </w:r>
      <w:r w:rsidR="0067007A">
        <w:rPr>
          <w:sz w:val="22"/>
          <w:szCs w:val="22"/>
          <w:lang w:val="sl-SI"/>
        </w:rPr>
        <w:t>4-2027</w:t>
      </w:r>
      <w:r w:rsidR="00243716" w:rsidRPr="00CF5332">
        <w:rPr>
          <w:sz w:val="22"/>
          <w:szCs w:val="22"/>
          <w:lang w:val="sl-SI"/>
        </w:rPr>
        <w:t xml:space="preserve"> </w:t>
      </w:r>
      <w:r w:rsidR="0067007A">
        <w:rPr>
          <w:sz w:val="22"/>
          <w:szCs w:val="22"/>
          <w:lang w:val="sl-SI"/>
        </w:rPr>
        <w:t>spremeni izhodiščna vrednost projekta</w:t>
      </w:r>
      <w:r w:rsidR="00CF5332" w:rsidRPr="00CF5332">
        <w:rPr>
          <w:sz w:val="22"/>
          <w:szCs w:val="22"/>
          <w:lang w:val="sl-SI"/>
        </w:rPr>
        <w:t xml:space="preserve"> 2330-22-0012</w:t>
      </w:r>
      <w:r w:rsidR="0067007A">
        <w:rPr>
          <w:sz w:val="22"/>
          <w:szCs w:val="22"/>
          <w:lang w:val="sl-SI"/>
        </w:rPr>
        <w:t>.</w:t>
      </w:r>
      <w:r w:rsidR="0064362B" w:rsidRPr="00CF5332">
        <w:rPr>
          <w:sz w:val="22"/>
          <w:szCs w:val="22"/>
          <w:lang w:val="sl-SI"/>
        </w:rPr>
        <w:t xml:space="preserve"> </w:t>
      </w:r>
      <w:r w:rsidR="0067007A">
        <w:rPr>
          <w:sz w:val="22"/>
          <w:szCs w:val="22"/>
          <w:lang w:val="sl-SI"/>
        </w:rPr>
        <w:t>Finančni podatki o projektu se nahajajo v priloženi tabeli</w:t>
      </w:r>
      <w:r w:rsidRPr="00CF5332">
        <w:rPr>
          <w:sz w:val="22"/>
          <w:szCs w:val="22"/>
          <w:lang w:val="sl-SI"/>
        </w:rPr>
        <w:t xml:space="preserve"> (Obrazec 3).</w:t>
      </w:r>
    </w:p>
    <w:p w:rsidR="00866BF4" w:rsidRPr="000E3FC4" w:rsidRDefault="00866BF4" w:rsidP="00FA1BEB">
      <w:pPr>
        <w:jc w:val="both"/>
        <w:rPr>
          <w:rFonts w:cs="Arial"/>
          <w:color w:val="C0504D" w:themeColor="accent2"/>
          <w:sz w:val="22"/>
          <w:szCs w:val="22"/>
          <w:lang w:val="sl-SI"/>
        </w:rPr>
      </w:pPr>
    </w:p>
    <w:p w:rsidR="0064362B" w:rsidRPr="000E3FC4" w:rsidRDefault="0064362B" w:rsidP="00FA1BEB">
      <w:pPr>
        <w:jc w:val="both"/>
        <w:rPr>
          <w:rFonts w:cs="Arial"/>
          <w:color w:val="C0504D" w:themeColor="accent2"/>
          <w:sz w:val="22"/>
          <w:szCs w:val="22"/>
          <w:lang w:val="sl-SI"/>
        </w:rPr>
      </w:pPr>
    </w:p>
    <w:p w:rsidR="00CF5332" w:rsidRPr="00D42874" w:rsidRDefault="00CF5332" w:rsidP="00FA1BEB">
      <w:pPr>
        <w:jc w:val="both"/>
        <w:rPr>
          <w:rFonts w:cs="Arial"/>
          <w:color w:val="0000FF"/>
          <w:szCs w:val="20"/>
          <w:shd w:val="clear" w:color="auto" w:fill="FFFFFF"/>
        </w:rPr>
      </w:pPr>
    </w:p>
    <w:p w:rsidR="00CF5332" w:rsidRPr="00CF5332" w:rsidRDefault="00CF5332" w:rsidP="00FA1BEB">
      <w:pPr>
        <w:jc w:val="both"/>
        <w:rPr>
          <w:b/>
          <w:sz w:val="22"/>
          <w:szCs w:val="22"/>
          <w:u w:val="single"/>
          <w:lang w:val="sl-SI"/>
        </w:rPr>
      </w:pPr>
      <w:r w:rsidRPr="00CF5332">
        <w:rPr>
          <w:b/>
          <w:sz w:val="22"/>
          <w:szCs w:val="22"/>
          <w:u w:val="single"/>
          <w:lang w:val="sl-SI"/>
        </w:rPr>
        <w:t>2330-22-0012 »Ocena vplivov podnebnih sprememb v kmet. in gozd.«</w:t>
      </w:r>
    </w:p>
    <w:p w:rsidR="00CF5332" w:rsidRPr="00CF5332" w:rsidRDefault="00CF5332" w:rsidP="00FA1BEB">
      <w:pPr>
        <w:jc w:val="both"/>
        <w:rPr>
          <w:rFonts w:cs="Arial"/>
          <w:sz w:val="22"/>
          <w:szCs w:val="22"/>
          <w:lang w:val="sl-SI"/>
        </w:rPr>
      </w:pPr>
      <w:r w:rsidRPr="00CF5332">
        <w:rPr>
          <w:rFonts w:cs="Arial"/>
          <w:sz w:val="22"/>
          <w:szCs w:val="22"/>
          <w:lang w:val="sl-SI"/>
        </w:rPr>
        <w:t xml:space="preserve">izhodiščna vrednost – </w:t>
      </w:r>
      <w:r w:rsidR="005953E7" w:rsidRPr="00CF5332">
        <w:rPr>
          <w:rFonts w:cs="Arial"/>
          <w:sz w:val="22"/>
          <w:szCs w:val="22"/>
          <w:lang w:val="sl-SI"/>
        </w:rPr>
        <w:t xml:space="preserve">1.300.000,00 </w:t>
      </w:r>
      <w:r w:rsidRPr="00CF5332">
        <w:rPr>
          <w:rFonts w:cs="Arial"/>
          <w:sz w:val="22"/>
          <w:szCs w:val="22"/>
          <w:lang w:val="sl-SI"/>
        </w:rPr>
        <w:t xml:space="preserve">EUR, </w:t>
      </w:r>
    </w:p>
    <w:p w:rsidR="00CF5332" w:rsidRPr="00CF5332" w:rsidRDefault="00CF5332" w:rsidP="00FA1BEB">
      <w:pPr>
        <w:jc w:val="both"/>
        <w:rPr>
          <w:rFonts w:cs="Arial"/>
          <w:sz w:val="22"/>
          <w:szCs w:val="22"/>
          <w:lang w:val="sl-SI"/>
        </w:rPr>
      </w:pPr>
      <w:r w:rsidRPr="00CF5332">
        <w:rPr>
          <w:rFonts w:cs="Arial"/>
          <w:sz w:val="22"/>
          <w:szCs w:val="22"/>
          <w:lang w:val="sl-SI"/>
        </w:rPr>
        <w:t xml:space="preserve">veljavna vrednost – </w:t>
      </w:r>
      <w:r w:rsidR="005953E7">
        <w:rPr>
          <w:rFonts w:cs="Arial"/>
          <w:sz w:val="22"/>
          <w:szCs w:val="22"/>
          <w:lang w:val="sl-SI"/>
        </w:rPr>
        <w:t>510.910,95</w:t>
      </w:r>
      <w:r w:rsidRPr="00CF5332">
        <w:rPr>
          <w:rFonts w:cs="Arial"/>
          <w:sz w:val="22"/>
          <w:szCs w:val="22"/>
          <w:lang w:val="sl-SI"/>
        </w:rPr>
        <w:t xml:space="preserve"> EUR,</w:t>
      </w:r>
    </w:p>
    <w:p w:rsidR="00CF5332" w:rsidRPr="00CF5332" w:rsidRDefault="00CF5332" w:rsidP="00FA1BEB">
      <w:pPr>
        <w:jc w:val="both"/>
        <w:rPr>
          <w:rFonts w:cs="Arial"/>
          <w:sz w:val="22"/>
          <w:szCs w:val="22"/>
          <w:lang w:val="sl-SI"/>
        </w:rPr>
      </w:pPr>
      <w:r w:rsidRPr="00CF5332">
        <w:rPr>
          <w:rFonts w:cs="Arial"/>
          <w:sz w:val="22"/>
          <w:szCs w:val="22"/>
          <w:lang w:val="sl-SI"/>
        </w:rPr>
        <w:t>začetek financiranja – 15.</w:t>
      </w:r>
      <w:r w:rsidR="00E5268A">
        <w:rPr>
          <w:rFonts w:cs="Arial"/>
          <w:sz w:val="22"/>
          <w:szCs w:val="22"/>
          <w:lang w:val="sl-SI"/>
        </w:rPr>
        <w:t xml:space="preserve"> </w:t>
      </w:r>
      <w:r w:rsidRPr="00CF5332">
        <w:rPr>
          <w:rFonts w:cs="Arial"/>
          <w:sz w:val="22"/>
          <w:szCs w:val="22"/>
          <w:lang w:val="sl-SI"/>
        </w:rPr>
        <w:t>2.</w:t>
      </w:r>
      <w:r w:rsidR="00E5268A">
        <w:rPr>
          <w:rFonts w:cs="Arial"/>
          <w:sz w:val="22"/>
          <w:szCs w:val="22"/>
          <w:lang w:val="sl-SI"/>
        </w:rPr>
        <w:t xml:space="preserve"> </w:t>
      </w:r>
      <w:r w:rsidRPr="00CF5332">
        <w:rPr>
          <w:rFonts w:cs="Arial"/>
          <w:sz w:val="22"/>
          <w:szCs w:val="22"/>
          <w:lang w:val="sl-SI"/>
        </w:rPr>
        <w:t xml:space="preserve">2022, </w:t>
      </w:r>
    </w:p>
    <w:p w:rsidR="00CF5332" w:rsidRPr="00CF5332" w:rsidRDefault="00CF5332" w:rsidP="00FA1BEB">
      <w:pPr>
        <w:jc w:val="both"/>
        <w:rPr>
          <w:rFonts w:cs="Arial"/>
          <w:sz w:val="22"/>
          <w:szCs w:val="22"/>
          <w:lang w:val="sl-SI"/>
        </w:rPr>
      </w:pPr>
      <w:r w:rsidRPr="00CF5332">
        <w:rPr>
          <w:rFonts w:cs="Arial"/>
          <w:sz w:val="22"/>
          <w:szCs w:val="22"/>
          <w:lang w:val="sl-SI"/>
        </w:rPr>
        <w:t>k</w:t>
      </w:r>
      <w:r w:rsidR="005953E7">
        <w:rPr>
          <w:rFonts w:cs="Arial"/>
          <w:sz w:val="22"/>
          <w:szCs w:val="22"/>
          <w:lang w:val="sl-SI"/>
        </w:rPr>
        <w:t>onec financiranja – 31. 12. 2024</w:t>
      </w:r>
      <w:r w:rsidRPr="00CF5332">
        <w:rPr>
          <w:rFonts w:cs="Arial"/>
          <w:sz w:val="22"/>
          <w:szCs w:val="22"/>
          <w:lang w:val="sl-SI"/>
        </w:rPr>
        <w:t>.</w:t>
      </w:r>
    </w:p>
    <w:p w:rsidR="00CF5332" w:rsidRPr="00CF5332" w:rsidRDefault="00CF5332" w:rsidP="00FA1BEB">
      <w:pPr>
        <w:jc w:val="both"/>
        <w:rPr>
          <w:rFonts w:cs="Arial"/>
          <w:sz w:val="22"/>
          <w:szCs w:val="22"/>
          <w:lang w:val="sl-SI"/>
        </w:rPr>
      </w:pPr>
    </w:p>
    <w:p w:rsidR="00CF5332" w:rsidRPr="00CF5332" w:rsidRDefault="00CF5332" w:rsidP="00FA1BEB">
      <w:pPr>
        <w:jc w:val="both"/>
        <w:rPr>
          <w:sz w:val="22"/>
          <w:szCs w:val="22"/>
          <w:lang w:val="sl-SI"/>
        </w:rPr>
      </w:pPr>
      <w:r w:rsidRPr="00CF5332">
        <w:rPr>
          <w:rFonts w:cs="Arial"/>
          <w:sz w:val="22"/>
          <w:szCs w:val="22"/>
          <w:u w:val="single"/>
          <w:lang w:val="sl-SI"/>
        </w:rPr>
        <w:t>Namen in cilj:</w:t>
      </w:r>
      <w:r w:rsidRPr="00CF5332">
        <w:rPr>
          <w:sz w:val="22"/>
          <w:szCs w:val="22"/>
          <w:lang w:val="sl-SI"/>
        </w:rPr>
        <w:t xml:space="preserve"> </w:t>
      </w:r>
    </w:p>
    <w:p w:rsidR="00CF5332" w:rsidRPr="00CF5332" w:rsidRDefault="00CF5332" w:rsidP="00FA1BEB">
      <w:pPr>
        <w:jc w:val="both"/>
        <w:rPr>
          <w:sz w:val="22"/>
          <w:szCs w:val="22"/>
          <w:lang w:val="sl-SI"/>
        </w:rPr>
      </w:pPr>
      <w:r w:rsidRPr="006201CC">
        <w:rPr>
          <w:sz w:val="22"/>
          <w:szCs w:val="22"/>
          <w:lang w:val="sl-SI"/>
        </w:rPr>
        <w:t xml:space="preserve">Namen projekta je, da se </w:t>
      </w:r>
      <w:r w:rsidR="00E5268A">
        <w:rPr>
          <w:sz w:val="22"/>
          <w:szCs w:val="22"/>
          <w:lang w:val="sl-SI"/>
        </w:rPr>
        <w:t>opravi pregled trenutnega stanja</w:t>
      </w:r>
      <w:r w:rsidRPr="006201CC">
        <w:rPr>
          <w:sz w:val="22"/>
          <w:szCs w:val="22"/>
          <w:lang w:val="sl-SI"/>
        </w:rPr>
        <w:t xml:space="preserve"> vpliva podnebnih sprememb na</w:t>
      </w:r>
      <w:r w:rsidRPr="00D42874">
        <w:rPr>
          <w:rFonts w:cs="Arial"/>
          <w:color w:val="545454"/>
          <w:szCs w:val="20"/>
          <w:shd w:val="clear" w:color="auto" w:fill="FFFFFF"/>
        </w:rPr>
        <w:t xml:space="preserve"> </w:t>
      </w:r>
      <w:r w:rsidRPr="00CF5332">
        <w:rPr>
          <w:sz w:val="22"/>
          <w:szCs w:val="22"/>
          <w:lang w:val="sl-SI"/>
        </w:rPr>
        <w:t>kmetijstvo in gozdarstvo. Prav tako bodo predstavljeni bodoči trendi vpliva na obe panogi v prihodnjih letih. Podani bodo tudi pred</w:t>
      </w:r>
      <w:r w:rsidR="00E5268A">
        <w:rPr>
          <w:sz w:val="22"/>
          <w:szCs w:val="22"/>
          <w:lang w:val="sl-SI"/>
        </w:rPr>
        <w:t>logi za prilagajanje in blaženje</w:t>
      </w:r>
      <w:r w:rsidRPr="00CF5332">
        <w:rPr>
          <w:sz w:val="22"/>
          <w:szCs w:val="22"/>
          <w:lang w:val="sl-SI"/>
        </w:rPr>
        <w:t xml:space="preserve"> na področju kmetijstva in gozdarstva. Prav tako bodo opisani potrebni ukrepi, katere</w:t>
      </w:r>
      <w:r w:rsidR="00E5268A">
        <w:rPr>
          <w:sz w:val="22"/>
          <w:szCs w:val="22"/>
          <w:lang w:val="sl-SI"/>
        </w:rPr>
        <w:t xml:space="preserve"> bo potrebno zasledovati, da bod</w:t>
      </w:r>
      <w:r w:rsidRPr="00CF5332">
        <w:rPr>
          <w:sz w:val="22"/>
          <w:szCs w:val="22"/>
          <w:lang w:val="sl-SI"/>
        </w:rPr>
        <w:t>o čim bolje pripravljeni na vplive podnebnih sprememb v kmetijstvu in gozdarstvu. Sama študija bo tudi osnova za potencialno spremembo strategije prilagajanja na podnebne spremembe v kmetijst</w:t>
      </w:r>
      <w:r w:rsidR="00E5268A">
        <w:rPr>
          <w:sz w:val="22"/>
          <w:szCs w:val="22"/>
          <w:lang w:val="sl-SI"/>
        </w:rPr>
        <w:t>vu in gozdarstvu. Prav tako bo potreben pregled,</w:t>
      </w:r>
      <w:r w:rsidRPr="00CF5332">
        <w:rPr>
          <w:sz w:val="22"/>
          <w:szCs w:val="22"/>
          <w:lang w:val="sl-SI"/>
        </w:rPr>
        <w:t xml:space="preserve"> kako se lahko prilagodi kmetijska pridelava</w:t>
      </w:r>
      <w:r w:rsidR="00E5268A">
        <w:rPr>
          <w:sz w:val="22"/>
          <w:szCs w:val="22"/>
          <w:lang w:val="sl-SI"/>
        </w:rPr>
        <w:t xml:space="preserve"> na podnebne spremembe. Projekt</w:t>
      </w:r>
      <w:r w:rsidRPr="00CF5332">
        <w:rPr>
          <w:sz w:val="22"/>
          <w:szCs w:val="22"/>
          <w:lang w:val="sl-SI"/>
        </w:rPr>
        <w:t xml:space="preserve"> </w:t>
      </w:r>
      <w:r w:rsidR="00E5268A">
        <w:rPr>
          <w:sz w:val="22"/>
          <w:szCs w:val="22"/>
          <w:lang w:val="sl-SI"/>
        </w:rPr>
        <w:t>se je začel</w:t>
      </w:r>
      <w:r w:rsidR="006201CC">
        <w:rPr>
          <w:sz w:val="22"/>
          <w:szCs w:val="22"/>
          <w:lang w:val="sl-SI"/>
        </w:rPr>
        <w:t xml:space="preserve"> izvajati v letu 2022. </w:t>
      </w:r>
      <w:r w:rsidRPr="00CF5332">
        <w:rPr>
          <w:sz w:val="22"/>
          <w:szCs w:val="22"/>
          <w:lang w:val="sl-SI"/>
        </w:rPr>
        <w:t xml:space="preserve">Zaključek nalog </w:t>
      </w:r>
      <w:r w:rsidR="00E5268A">
        <w:rPr>
          <w:sz w:val="22"/>
          <w:szCs w:val="22"/>
          <w:lang w:val="sl-SI"/>
        </w:rPr>
        <w:t>se pričakuje</w:t>
      </w:r>
      <w:r w:rsidRPr="00CF5332">
        <w:rPr>
          <w:sz w:val="22"/>
          <w:szCs w:val="22"/>
          <w:lang w:val="sl-SI"/>
        </w:rPr>
        <w:t xml:space="preserve"> </w:t>
      </w:r>
      <w:r w:rsidR="00C05C82">
        <w:rPr>
          <w:sz w:val="22"/>
          <w:szCs w:val="22"/>
          <w:lang w:val="sl-SI"/>
        </w:rPr>
        <w:t>do konca leta 2024</w:t>
      </w:r>
      <w:r w:rsidRPr="00CF5332">
        <w:rPr>
          <w:sz w:val="22"/>
          <w:szCs w:val="22"/>
          <w:lang w:val="sl-SI"/>
        </w:rPr>
        <w:t>. Končni cilj aktivnosti bo strokovna podlaga za pripravo področnih strategij prilagajanja in blaženja na področju kmetijstva in gozdarstva.</w:t>
      </w:r>
    </w:p>
    <w:p w:rsidR="00CF5332" w:rsidRPr="000E3FC4" w:rsidRDefault="00CF5332" w:rsidP="00FA1BEB">
      <w:pPr>
        <w:jc w:val="both"/>
        <w:rPr>
          <w:color w:val="C0504D" w:themeColor="accent2"/>
          <w:sz w:val="22"/>
          <w:szCs w:val="22"/>
          <w:lang w:val="sl-SI"/>
        </w:rPr>
      </w:pPr>
    </w:p>
    <w:p w:rsidR="007347A4" w:rsidRPr="007347A4" w:rsidRDefault="007347A4" w:rsidP="00FA1BEB">
      <w:pPr>
        <w:spacing w:line="240" w:lineRule="auto"/>
        <w:jc w:val="both"/>
        <w:rPr>
          <w:sz w:val="22"/>
          <w:szCs w:val="22"/>
          <w:u w:val="single"/>
          <w:lang w:val="sl-SI"/>
        </w:rPr>
      </w:pPr>
      <w:r w:rsidRPr="007347A4">
        <w:rPr>
          <w:sz w:val="22"/>
          <w:szCs w:val="22"/>
          <w:u w:val="single"/>
          <w:lang w:val="sl-SI"/>
        </w:rPr>
        <w:t>Razlogi za spremembo izhodiščne vrednosti projekta:</w:t>
      </w:r>
    </w:p>
    <w:p w:rsidR="00CF5332" w:rsidRDefault="006201CC" w:rsidP="00FA1BEB">
      <w:pPr>
        <w:jc w:val="both"/>
        <w:rPr>
          <w:b/>
          <w:color w:val="C0504D" w:themeColor="accent2"/>
          <w:sz w:val="22"/>
          <w:szCs w:val="22"/>
          <w:u w:val="single"/>
          <w:lang w:val="sl-SI"/>
        </w:rPr>
      </w:pPr>
      <w:r>
        <w:rPr>
          <w:sz w:val="22"/>
          <w:szCs w:val="22"/>
          <w:lang w:val="sl-SI"/>
        </w:rPr>
        <w:t xml:space="preserve">Vrednost projekta </w:t>
      </w:r>
      <w:r w:rsidR="00E5268A">
        <w:rPr>
          <w:sz w:val="22"/>
          <w:szCs w:val="22"/>
          <w:lang w:val="sl-SI"/>
        </w:rPr>
        <w:t xml:space="preserve">se zmanjšuje in ureja se </w:t>
      </w:r>
      <w:proofErr w:type="spellStart"/>
      <w:r w:rsidR="00E5268A">
        <w:rPr>
          <w:sz w:val="22"/>
          <w:szCs w:val="22"/>
          <w:lang w:val="sl-SI"/>
        </w:rPr>
        <w:t>novelacija</w:t>
      </w:r>
      <w:proofErr w:type="spellEnd"/>
      <w:r w:rsidR="00C05C82">
        <w:rPr>
          <w:sz w:val="22"/>
          <w:szCs w:val="22"/>
          <w:lang w:val="sl-SI"/>
        </w:rPr>
        <w:t xml:space="preserve"> projekta. </w:t>
      </w:r>
      <w:r w:rsidR="00C05C82" w:rsidRPr="00C05C82">
        <w:rPr>
          <w:sz w:val="22"/>
          <w:szCs w:val="22"/>
          <w:lang w:val="sl-SI"/>
        </w:rPr>
        <w:t>Ponovitev razpisov za Uvajanje sodobnih internetnih tehnologij za potrebe prilagajanja kmetijstva podnebnim spremembam in Potencial uporabe robotike na področju prilagajanja kmetijstva podnebnim spremembam.</w:t>
      </w:r>
      <w:r w:rsidR="006A3B4A">
        <w:rPr>
          <w:sz w:val="22"/>
          <w:szCs w:val="22"/>
          <w:lang w:val="sl-SI"/>
        </w:rPr>
        <w:t xml:space="preserve"> V letu 2023 javni naročili nista bili uspešno izvedeni, zato se je vrednost projekta zmanjšala. </w:t>
      </w:r>
      <w:r w:rsidR="00C05C82" w:rsidRPr="00C05C82">
        <w:rPr>
          <w:sz w:val="22"/>
          <w:szCs w:val="22"/>
          <w:lang w:val="sl-SI"/>
        </w:rPr>
        <w:t xml:space="preserve"> Javni naročili bosta objavljeni v prvi polovici leta 2024 in izvedeni bosta tako,</w:t>
      </w:r>
      <w:r w:rsidR="006A3B4A">
        <w:rPr>
          <w:sz w:val="22"/>
          <w:szCs w:val="22"/>
          <w:lang w:val="sl-SI"/>
        </w:rPr>
        <w:t xml:space="preserve"> </w:t>
      </w:r>
      <w:r w:rsidR="00C05C82" w:rsidRPr="00C05C82">
        <w:rPr>
          <w:sz w:val="22"/>
          <w:szCs w:val="22"/>
          <w:lang w:val="sl-SI"/>
        </w:rPr>
        <w:t>da bodo zaključeni do konca leta 2024</w:t>
      </w:r>
      <w:r w:rsidR="00C05C82" w:rsidRPr="00D42874">
        <w:rPr>
          <w:rFonts w:ascii="Roboto" w:hAnsi="Roboto"/>
          <w:color w:val="0000FF"/>
          <w:szCs w:val="20"/>
          <w:shd w:val="clear" w:color="auto" w:fill="FFFFFF"/>
        </w:rPr>
        <w:t>.</w:t>
      </w:r>
    </w:p>
    <w:p w:rsidR="0064362B" w:rsidRPr="000E3FC4" w:rsidRDefault="0064362B" w:rsidP="00C528AB">
      <w:pPr>
        <w:pStyle w:val="HTML-oblikovano"/>
        <w:shd w:val="clear" w:color="auto" w:fill="FFFFFF"/>
        <w:rPr>
          <w:rFonts w:ascii="Arial" w:hAnsi="Arial" w:cs="Times New Roman"/>
          <w:color w:val="C0504D" w:themeColor="accent2"/>
          <w:sz w:val="22"/>
          <w:szCs w:val="22"/>
          <w:lang w:eastAsia="en-US"/>
        </w:rPr>
      </w:pPr>
    </w:p>
    <w:sectPr w:rsidR="0064362B" w:rsidRPr="000E3FC4" w:rsidSect="0084253B">
      <w:headerReference w:type="default" r:id="rId8"/>
      <w:headerReference w:type="first" r:id="rId9"/>
      <w:pgSz w:w="11900" w:h="16840" w:code="9"/>
      <w:pgMar w:top="1701" w:right="1701" w:bottom="851" w:left="1701" w:header="177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DA" w:rsidRDefault="00FD79DA">
      <w:r>
        <w:separator/>
      </w:r>
    </w:p>
  </w:endnote>
  <w:endnote w:type="continuationSeparator" w:id="0">
    <w:p w:rsidR="00FD79DA" w:rsidRDefault="00F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DA" w:rsidRDefault="00FD79DA">
      <w:r>
        <w:separator/>
      </w:r>
    </w:p>
  </w:footnote>
  <w:footnote w:type="continuationSeparator" w:id="0">
    <w:p w:rsidR="00FD79DA" w:rsidRDefault="00FD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190B9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C6FE552" wp14:editId="2BBD42B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5A64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190B9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6B57512" wp14:editId="4A5900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F97232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97232">
      <w:rPr>
        <w:rFonts w:cs="Arial"/>
        <w:sz w:val="16"/>
        <w:lang w:val="sl-SI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7232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7232">
      <w:rPr>
        <w:rFonts w:cs="Arial"/>
        <w:sz w:val="16"/>
        <w:lang w:val="sl-SI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97232">
      <w:rPr>
        <w:rFonts w:cs="Arial"/>
        <w:sz w:val="16"/>
        <w:lang w:val="sl-SI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143D8"/>
    <w:multiLevelType w:val="hybridMultilevel"/>
    <w:tmpl w:val="FE104C6C"/>
    <w:lvl w:ilvl="0" w:tplc="DB9214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80074"/>
    <w:multiLevelType w:val="multilevel"/>
    <w:tmpl w:val="2132DC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400FF"/>
    <w:multiLevelType w:val="hybridMultilevel"/>
    <w:tmpl w:val="F9B2E758"/>
    <w:lvl w:ilvl="0" w:tplc="AFB40F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58FD"/>
    <w:multiLevelType w:val="hybridMultilevel"/>
    <w:tmpl w:val="698ED4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B0D"/>
    <w:multiLevelType w:val="hybridMultilevel"/>
    <w:tmpl w:val="8ED60C0E"/>
    <w:lvl w:ilvl="0" w:tplc="F014C90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7B50A8"/>
    <w:multiLevelType w:val="hybridMultilevel"/>
    <w:tmpl w:val="E8441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F2770"/>
    <w:multiLevelType w:val="hybridMultilevel"/>
    <w:tmpl w:val="55365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3453"/>
    <w:multiLevelType w:val="hybridMultilevel"/>
    <w:tmpl w:val="F24E3D4C"/>
    <w:lvl w:ilvl="0" w:tplc="589EF65C">
      <w:start w:val="23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6646232"/>
    <w:multiLevelType w:val="hybridMultilevel"/>
    <w:tmpl w:val="EF066346"/>
    <w:lvl w:ilvl="0" w:tplc="AAD2C1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09A2F1C2"/>
    <w:lvl w:ilvl="0" w:tplc="5D04C1F6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34E21"/>
    <w:multiLevelType w:val="hybridMultilevel"/>
    <w:tmpl w:val="6CF677AC"/>
    <w:lvl w:ilvl="0" w:tplc="7992533A">
      <w:start w:val="233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6B22AC2"/>
    <w:multiLevelType w:val="hybridMultilevel"/>
    <w:tmpl w:val="249CCE08"/>
    <w:lvl w:ilvl="0" w:tplc="2920368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7A0D"/>
    <w:multiLevelType w:val="hybridMultilevel"/>
    <w:tmpl w:val="B0F88D1E"/>
    <w:lvl w:ilvl="0" w:tplc="BB867FD0">
      <w:start w:val="23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9062A"/>
    <w:multiLevelType w:val="hybridMultilevel"/>
    <w:tmpl w:val="33A0F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43EA7"/>
    <w:multiLevelType w:val="hybridMultilevel"/>
    <w:tmpl w:val="7C38F7C8"/>
    <w:lvl w:ilvl="0" w:tplc="1C7C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E08F2"/>
    <w:multiLevelType w:val="hybridMultilevel"/>
    <w:tmpl w:val="C5EA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B572E"/>
    <w:multiLevelType w:val="hybridMultilevel"/>
    <w:tmpl w:val="7D8E3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53A5E"/>
    <w:multiLevelType w:val="hybridMultilevel"/>
    <w:tmpl w:val="54C205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74611"/>
    <w:multiLevelType w:val="hybridMultilevel"/>
    <w:tmpl w:val="C5EA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0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14"/>
  </w:num>
  <w:num w:numId="10">
    <w:abstractNumId w:val="22"/>
  </w:num>
  <w:num w:numId="11">
    <w:abstractNumId w:val="20"/>
  </w:num>
  <w:num w:numId="12">
    <w:abstractNumId w:val="5"/>
  </w:num>
  <w:num w:numId="13">
    <w:abstractNumId w:val="25"/>
  </w:num>
  <w:num w:numId="14">
    <w:abstractNumId w:val="30"/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7"/>
  </w:num>
  <w:num w:numId="20">
    <w:abstractNumId w:val="6"/>
  </w:num>
  <w:num w:numId="21">
    <w:abstractNumId w:val="8"/>
  </w:num>
  <w:num w:numId="22">
    <w:abstractNumId w:val="27"/>
  </w:num>
  <w:num w:numId="23">
    <w:abstractNumId w:val="21"/>
  </w:num>
  <w:num w:numId="24">
    <w:abstractNumId w:val="2"/>
  </w:num>
  <w:num w:numId="25">
    <w:abstractNumId w:val="18"/>
  </w:num>
  <w:num w:numId="26">
    <w:abstractNumId w:val="24"/>
  </w:num>
  <w:num w:numId="27">
    <w:abstractNumId w:val="29"/>
  </w:num>
  <w:num w:numId="28">
    <w:abstractNumId w:val="13"/>
  </w:num>
  <w:num w:numId="29">
    <w:abstractNumId w:val="1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1"/>
    <w:rsid w:val="00001367"/>
    <w:rsid w:val="000029EC"/>
    <w:rsid w:val="00003CE6"/>
    <w:rsid w:val="00022EFA"/>
    <w:rsid w:val="00023A88"/>
    <w:rsid w:val="000270E7"/>
    <w:rsid w:val="00047180"/>
    <w:rsid w:val="00054F5B"/>
    <w:rsid w:val="00063848"/>
    <w:rsid w:val="00071E13"/>
    <w:rsid w:val="00086626"/>
    <w:rsid w:val="0008734C"/>
    <w:rsid w:val="00090A94"/>
    <w:rsid w:val="000966F2"/>
    <w:rsid w:val="000A7238"/>
    <w:rsid w:val="000B5D4D"/>
    <w:rsid w:val="000C0591"/>
    <w:rsid w:val="000C7ABA"/>
    <w:rsid w:val="000D5EED"/>
    <w:rsid w:val="000D7458"/>
    <w:rsid w:val="000E3FC4"/>
    <w:rsid w:val="000E4575"/>
    <w:rsid w:val="000E7A98"/>
    <w:rsid w:val="000F03A7"/>
    <w:rsid w:val="000F15AA"/>
    <w:rsid w:val="000F4ACF"/>
    <w:rsid w:val="00103DFB"/>
    <w:rsid w:val="00125BAE"/>
    <w:rsid w:val="00126E2A"/>
    <w:rsid w:val="001357B2"/>
    <w:rsid w:val="00146AA2"/>
    <w:rsid w:val="00152480"/>
    <w:rsid w:val="00153845"/>
    <w:rsid w:val="00163FD2"/>
    <w:rsid w:val="00173577"/>
    <w:rsid w:val="0017478F"/>
    <w:rsid w:val="001748A0"/>
    <w:rsid w:val="001905DF"/>
    <w:rsid w:val="00190B91"/>
    <w:rsid w:val="00193411"/>
    <w:rsid w:val="00197CDF"/>
    <w:rsid w:val="00197EF1"/>
    <w:rsid w:val="001B7B4F"/>
    <w:rsid w:val="001D2AC7"/>
    <w:rsid w:val="001D3DD6"/>
    <w:rsid w:val="001E6FA5"/>
    <w:rsid w:val="001F303E"/>
    <w:rsid w:val="001F55D0"/>
    <w:rsid w:val="00200AAF"/>
    <w:rsid w:val="002011D1"/>
    <w:rsid w:val="00202A77"/>
    <w:rsid w:val="00202D27"/>
    <w:rsid w:val="00214147"/>
    <w:rsid w:val="002177B3"/>
    <w:rsid w:val="00237280"/>
    <w:rsid w:val="00243716"/>
    <w:rsid w:val="00243F62"/>
    <w:rsid w:val="00245154"/>
    <w:rsid w:val="00247BDD"/>
    <w:rsid w:val="00254F65"/>
    <w:rsid w:val="00261596"/>
    <w:rsid w:val="00266FD1"/>
    <w:rsid w:val="00270789"/>
    <w:rsid w:val="00271CE5"/>
    <w:rsid w:val="00272090"/>
    <w:rsid w:val="0027260F"/>
    <w:rsid w:val="00276720"/>
    <w:rsid w:val="00282020"/>
    <w:rsid w:val="00282B41"/>
    <w:rsid w:val="002A2B69"/>
    <w:rsid w:val="002B25DB"/>
    <w:rsid w:val="002B2B6E"/>
    <w:rsid w:val="002B3335"/>
    <w:rsid w:val="002C1E16"/>
    <w:rsid w:val="002D5917"/>
    <w:rsid w:val="002D7EBA"/>
    <w:rsid w:val="002E1BE4"/>
    <w:rsid w:val="0030168F"/>
    <w:rsid w:val="00315263"/>
    <w:rsid w:val="00324EA7"/>
    <w:rsid w:val="00330F59"/>
    <w:rsid w:val="00335816"/>
    <w:rsid w:val="003410AE"/>
    <w:rsid w:val="00347FC2"/>
    <w:rsid w:val="003636BF"/>
    <w:rsid w:val="00371442"/>
    <w:rsid w:val="00384004"/>
    <w:rsid w:val="003845B4"/>
    <w:rsid w:val="00387297"/>
    <w:rsid w:val="00387B1A"/>
    <w:rsid w:val="00390424"/>
    <w:rsid w:val="00391933"/>
    <w:rsid w:val="003C5EE5"/>
    <w:rsid w:val="003E1C74"/>
    <w:rsid w:val="003F4CBE"/>
    <w:rsid w:val="00403A47"/>
    <w:rsid w:val="00410A77"/>
    <w:rsid w:val="00412DC6"/>
    <w:rsid w:val="0041450A"/>
    <w:rsid w:val="004163C8"/>
    <w:rsid w:val="00420968"/>
    <w:rsid w:val="00423611"/>
    <w:rsid w:val="00431064"/>
    <w:rsid w:val="004657EE"/>
    <w:rsid w:val="004778A7"/>
    <w:rsid w:val="00483A65"/>
    <w:rsid w:val="004A4C81"/>
    <w:rsid w:val="004B1213"/>
    <w:rsid w:val="004B715F"/>
    <w:rsid w:val="004C3E77"/>
    <w:rsid w:val="004D5FE2"/>
    <w:rsid w:val="005022C7"/>
    <w:rsid w:val="00505E79"/>
    <w:rsid w:val="0050724A"/>
    <w:rsid w:val="00517A2D"/>
    <w:rsid w:val="00526246"/>
    <w:rsid w:val="00541E30"/>
    <w:rsid w:val="00546304"/>
    <w:rsid w:val="0055206F"/>
    <w:rsid w:val="00561E58"/>
    <w:rsid w:val="0056588A"/>
    <w:rsid w:val="00566E73"/>
    <w:rsid w:val="00567106"/>
    <w:rsid w:val="00567D41"/>
    <w:rsid w:val="0057098C"/>
    <w:rsid w:val="005713C4"/>
    <w:rsid w:val="0058794A"/>
    <w:rsid w:val="00592FED"/>
    <w:rsid w:val="00595056"/>
    <w:rsid w:val="005953E7"/>
    <w:rsid w:val="005C587B"/>
    <w:rsid w:val="005E1D3C"/>
    <w:rsid w:val="005E7F4C"/>
    <w:rsid w:val="005F316D"/>
    <w:rsid w:val="00601EF3"/>
    <w:rsid w:val="00602FDE"/>
    <w:rsid w:val="006201CC"/>
    <w:rsid w:val="006244F5"/>
    <w:rsid w:val="00624CE7"/>
    <w:rsid w:val="00625AE6"/>
    <w:rsid w:val="00632201"/>
    <w:rsid w:val="00632253"/>
    <w:rsid w:val="00642714"/>
    <w:rsid w:val="0064362B"/>
    <w:rsid w:val="00643655"/>
    <w:rsid w:val="006455CE"/>
    <w:rsid w:val="00655841"/>
    <w:rsid w:val="006565C8"/>
    <w:rsid w:val="006632E6"/>
    <w:rsid w:val="0067007A"/>
    <w:rsid w:val="00672646"/>
    <w:rsid w:val="00675C47"/>
    <w:rsid w:val="00694CF3"/>
    <w:rsid w:val="006A3B4A"/>
    <w:rsid w:val="006D2AC7"/>
    <w:rsid w:val="006D6C04"/>
    <w:rsid w:val="006E101C"/>
    <w:rsid w:val="006E790A"/>
    <w:rsid w:val="00701865"/>
    <w:rsid w:val="007079C5"/>
    <w:rsid w:val="00714660"/>
    <w:rsid w:val="007157DE"/>
    <w:rsid w:val="007312D6"/>
    <w:rsid w:val="00733017"/>
    <w:rsid w:val="007347A4"/>
    <w:rsid w:val="007434B2"/>
    <w:rsid w:val="00765412"/>
    <w:rsid w:val="00783310"/>
    <w:rsid w:val="007837DC"/>
    <w:rsid w:val="007847DA"/>
    <w:rsid w:val="00790349"/>
    <w:rsid w:val="00795396"/>
    <w:rsid w:val="007A4A6D"/>
    <w:rsid w:val="007A5B9C"/>
    <w:rsid w:val="007B030C"/>
    <w:rsid w:val="007B0780"/>
    <w:rsid w:val="007B1744"/>
    <w:rsid w:val="007B2148"/>
    <w:rsid w:val="007B367A"/>
    <w:rsid w:val="007C0233"/>
    <w:rsid w:val="007C0717"/>
    <w:rsid w:val="007C5719"/>
    <w:rsid w:val="007C63FC"/>
    <w:rsid w:val="007D1BCF"/>
    <w:rsid w:val="007D6495"/>
    <w:rsid w:val="007D75CF"/>
    <w:rsid w:val="007E0440"/>
    <w:rsid w:val="007E6DC5"/>
    <w:rsid w:val="007F507A"/>
    <w:rsid w:val="0080105A"/>
    <w:rsid w:val="00806FDB"/>
    <w:rsid w:val="008321AE"/>
    <w:rsid w:val="008340C9"/>
    <w:rsid w:val="008409E4"/>
    <w:rsid w:val="0084253B"/>
    <w:rsid w:val="0085281E"/>
    <w:rsid w:val="0085619C"/>
    <w:rsid w:val="00856447"/>
    <w:rsid w:val="008564B6"/>
    <w:rsid w:val="00861133"/>
    <w:rsid w:val="00861877"/>
    <w:rsid w:val="00866BF4"/>
    <w:rsid w:val="0087799D"/>
    <w:rsid w:val="0088043C"/>
    <w:rsid w:val="00883BAE"/>
    <w:rsid w:val="00884889"/>
    <w:rsid w:val="008906C9"/>
    <w:rsid w:val="00892B87"/>
    <w:rsid w:val="00896FEA"/>
    <w:rsid w:val="008A0CF8"/>
    <w:rsid w:val="008A2335"/>
    <w:rsid w:val="008B5E3F"/>
    <w:rsid w:val="008B709C"/>
    <w:rsid w:val="008C4845"/>
    <w:rsid w:val="008C5738"/>
    <w:rsid w:val="008D04F0"/>
    <w:rsid w:val="008D2279"/>
    <w:rsid w:val="008E1FE7"/>
    <w:rsid w:val="008E3806"/>
    <w:rsid w:val="008F3500"/>
    <w:rsid w:val="00914FA5"/>
    <w:rsid w:val="00917E07"/>
    <w:rsid w:val="00920CCD"/>
    <w:rsid w:val="00924BAD"/>
    <w:rsid w:val="00924E3C"/>
    <w:rsid w:val="00924ED2"/>
    <w:rsid w:val="00925B3F"/>
    <w:rsid w:val="0093420B"/>
    <w:rsid w:val="009612BB"/>
    <w:rsid w:val="00961598"/>
    <w:rsid w:val="009652EA"/>
    <w:rsid w:val="00966400"/>
    <w:rsid w:val="009755B9"/>
    <w:rsid w:val="0097729C"/>
    <w:rsid w:val="0098722F"/>
    <w:rsid w:val="00990DF7"/>
    <w:rsid w:val="0099601D"/>
    <w:rsid w:val="009A5E8A"/>
    <w:rsid w:val="009A6A9B"/>
    <w:rsid w:val="009A7C8A"/>
    <w:rsid w:val="009C20BA"/>
    <w:rsid w:val="009C740A"/>
    <w:rsid w:val="009C7F5E"/>
    <w:rsid w:val="009D0553"/>
    <w:rsid w:val="009D1DA1"/>
    <w:rsid w:val="009D2613"/>
    <w:rsid w:val="009E5775"/>
    <w:rsid w:val="00A027EF"/>
    <w:rsid w:val="00A03768"/>
    <w:rsid w:val="00A11116"/>
    <w:rsid w:val="00A125C5"/>
    <w:rsid w:val="00A13AFE"/>
    <w:rsid w:val="00A2451C"/>
    <w:rsid w:val="00A40207"/>
    <w:rsid w:val="00A45BDA"/>
    <w:rsid w:val="00A4690F"/>
    <w:rsid w:val="00A46CC1"/>
    <w:rsid w:val="00A65EE7"/>
    <w:rsid w:val="00A70133"/>
    <w:rsid w:val="00A770A6"/>
    <w:rsid w:val="00A776BB"/>
    <w:rsid w:val="00A813B1"/>
    <w:rsid w:val="00A85EA3"/>
    <w:rsid w:val="00A9027A"/>
    <w:rsid w:val="00AA47C2"/>
    <w:rsid w:val="00AA7125"/>
    <w:rsid w:val="00AB36C4"/>
    <w:rsid w:val="00AB43F7"/>
    <w:rsid w:val="00AC32B2"/>
    <w:rsid w:val="00AD3697"/>
    <w:rsid w:val="00AD3D1A"/>
    <w:rsid w:val="00AE3645"/>
    <w:rsid w:val="00AE4531"/>
    <w:rsid w:val="00AE6EFD"/>
    <w:rsid w:val="00B007C5"/>
    <w:rsid w:val="00B101B1"/>
    <w:rsid w:val="00B10BBA"/>
    <w:rsid w:val="00B1336D"/>
    <w:rsid w:val="00B17141"/>
    <w:rsid w:val="00B23272"/>
    <w:rsid w:val="00B26F82"/>
    <w:rsid w:val="00B31575"/>
    <w:rsid w:val="00B31E2E"/>
    <w:rsid w:val="00B35914"/>
    <w:rsid w:val="00B80179"/>
    <w:rsid w:val="00B82EBD"/>
    <w:rsid w:val="00B8547D"/>
    <w:rsid w:val="00B862B1"/>
    <w:rsid w:val="00BA01CD"/>
    <w:rsid w:val="00BA1BEB"/>
    <w:rsid w:val="00BA4382"/>
    <w:rsid w:val="00BB7A85"/>
    <w:rsid w:val="00BD6EA3"/>
    <w:rsid w:val="00BE265E"/>
    <w:rsid w:val="00BE33B0"/>
    <w:rsid w:val="00BF6F0B"/>
    <w:rsid w:val="00C05C82"/>
    <w:rsid w:val="00C12A14"/>
    <w:rsid w:val="00C17C36"/>
    <w:rsid w:val="00C20ACE"/>
    <w:rsid w:val="00C250D5"/>
    <w:rsid w:val="00C35666"/>
    <w:rsid w:val="00C46E2B"/>
    <w:rsid w:val="00C528AB"/>
    <w:rsid w:val="00C92898"/>
    <w:rsid w:val="00C96D07"/>
    <w:rsid w:val="00CA4340"/>
    <w:rsid w:val="00CA4589"/>
    <w:rsid w:val="00CC4375"/>
    <w:rsid w:val="00CE012D"/>
    <w:rsid w:val="00CE5238"/>
    <w:rsid w:val="00CE7514"/>
    <w:rsid w:val="00CF5332"/>
    <w:rsid w:val="00D05F06"/>
    <w:rsid w:val="00D1562A"/>
    <w:rsid w:val="00D248DE"/>
    <w:rsid w:val="00D26E02"/>
    <w:rsid w:val="00D34079"/>
    <w:rsid w:val="00D42874"/>
    <w:rsid w:val="00D56DA2"/>
    <w:rsid w:val="00D64EFD"/>
    <w:rsid w:val="00D70804"/>
    <w:rsid w:val="00D70C2B"/>
    <w:rsid w:val="00D74C45"/>
    <w:rsid w:val="00D8542D"/>
    <w:rsid w:val="00D93FD1"/>
    <w:rsid w:val="00D94127"/>
    <w:rsid w:val="00D961F9"/>
    <w:rsid w:val="00DC6A71"/>
    <w:rsid w:val="00DE0123"/>
    <w:rsid w:val="00DE78C8"/>
    <w:rsid w:val="00DF17D1"/>
    <w:rsid w:val="00DF5468"/>
    <w:rsid w:val="00E0357D"/>
    <w:rsid w:val="00E1728E"/>
    <w:rsid w:val="00E26834"/>
    <w:rsid w:val="00E34606"/>
    <w:rsid w:val="00E5268A"/>
    <w:rsid w:val="00E70E7C"/>
    <w:rsid w:val="00EA2820"/>
    <w:rsid w:val="00ED1C3E"/>
    <w:rsid w:val="00ED3677"/>
    <w:rsid w:val="00ED4A71"/>
    <w:rsid w:val="00EE03BF"/>
    <w:rsid w:val="00F02BCA"/>
    <w:rsid w:val="00F073D7"/>
    <w:rsid w:val="00F13DCA"/>
    <w:rsid w:val="00F240BB"/>
    <w:rsid w:val="00F369DB"/>
    <w:rsid w:val="00F54A4B"/>
    <w:rsid w:val="00F56A31"/>
    <w:rsid w:val="00F57FED"/>
    <w:rsid w:val="00F64EB6"/>
    <w:rsid w:val="00F67815"/>
    <w:rsid w:val="00F93652"/>
    <w:rsid w:val="00F95505"/>
    <w:rsid w:val="00F97232"/>
    <w:rsid w:val="00FA1BEB"/>
    <w:rsid w:val="00FA40FC"/>
    <w:rsid w:val="00FB25B3"/>
    <w:rsid w:val="00FB58FE"/>
    <w:rsid w:val="00FD2C93"/>
    <w:rsid w:val="00FD5272"/>
    <w:rsid w:val="00FD61BA"/>
    <w:rsid w:val="00FD79DA"/>
    <w:rsid w:val="00FE5C4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939B5C2"/>
  <w15:docId w15:val="{D8341723-D899-4CB3-91D2-D34C337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227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22EFA"/>
    <w:pPr>
      <w:widowControl w:val="0"/>
      <w:tabs>
        <w:tab w:val="left" w:pos="2340"/>
      </w:tabs>
      <w:ind w:left="142" w:hanging="142"/>
      <w:outlineLvl w:val="0"/>
    </w:pPr>
    <w:rPr>
      <w:b/>
      <w:kern w:val="32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ZnakCharZnakZnakZnakCharZnakZnak">
    <w:name w:val="Znak Znak Char Znak Znak Znak Char Znak Znak"/>
    <w:basedOn w:val="Navaden"/>
    <w:rsid w:val="008D2279"/>
    <w:pPr>
      <w:spacing w:after="160" w:line="240" w:lineRule="exact"/>
    </w:pPr>
    <w:rPr>
      <w:rFonts w:ascii="Tahoma" w:eastAsia="MS Mincho" w:hAnsi="Tahoma"/>
      <w:szCs w:val="20"/>
    </w:rPr>
  </w:style>
  <w:style w:type="paragraph" w:styleId="Odstavekseznama">
    <w:name w:val="List Paragraph"/>
    <w:basedOn w:val="Navaden"/>
    <w:uiPriority w:val="34"/>
    <w:qFormat/>
    <w:rsid w:val="008A233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866BF4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866BF4"/>
    <w:rPr>
      <w:b/>
      <w:bCs/>
      <w:sz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866BF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866BF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866BF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866BF4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866BF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Vrstapredpisa">
    <w:name w:val="Vrsta predpisa"/>
    <w:basedOn w:val="Navaden"/>
    <w:link w:val="VrstapredpisaZnak"/>
    <w:qFormat/>
    <w:rsid w:val="00866BF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866BF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866BF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866BF4"/>
    <w:rPr>
      <w:rFonts w:ascii="Arial" w:hAnsi="Arial" w:cs="Arial"/>
      <w:b/>
      <w:sz w:val="22"/>
      <w:szCs w:val="22"/>
    </w:rPr>
  </w:style>
  <w:style w:type="paragraph" w:styleId="Besedilooblaka">
    <w:name w:val="Balloon Text"/>
    <w:basedOn w:val="Navaden"/>
    <w:link w:val="BesedilooblakaZnak"/>
    <w:rsid w:val="00B10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01B1"/>
    <w:rPr>
      <w:rFonts w:ascii="Tahoma" w:hAnsi="Tahoma" w:cs="Tahoma"/>
      <w:sz w:val="16"/>
      <w:szCs w:val="16"/>
      <w:lang w:val="en-US" w:eastAsia="en-US"/>
    </w:rPr>
  </w:style>
  <w:style w:type="character" w:customStyle="1" w:styleId="roles">
    <w:name w:val="roles"/>
    <w:basedOn w:val="Privzetapisavaodstavka"/>
    <w:rsid w:val="00643655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1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152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Marjana Koracin-Miklic</dc:creator>
  <cp:lastModifiedBy>Valentina Petrovič Vončina</cp:lastModifiedBy>
  <cp:revision>3</cp:revision>
  <cp:lastPrinted>2022-02-22T13:23:00Z</cp:lastPrinted>
  <dcterms:created xsi:type="dcterms:W3CDTF">2024-03-20T13:04:00Z</dcterms:created>
  <dcterms:modified xsi:type="dcterms:W3CDTF">2024-03-20T13:04:00Z</dcterms:modified>
</cp:coreProperties>
</file>