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pStyle w:val="SredinskoOdebeljeno"/>
        <w:spacing w:after="0" w:line="260" w:lineRule="auto"/>
      </w:pPr>
      <w:r>
        <w:t>SKLEP O DOLOČITVI VIŠINE PRISTOJBINE ZA ZUNANJE STROŠKE ZA POSAMEZNE RAZREDE VOZIL NAD 3.500 KG NAJVEČJE TEHNIČNO DOVOLJENE MASE</w:t>
      </w:r>
    </w:p>
    <w:p>
      <w:pPr>
        <w:spacing w:after="0" w:line="260" w:lineRule="auto"/>
        <w:rPr>
          <w:rFonts w:ascii="Arial" w:hAnsi="Arial" w:cs="Arial"/>
        </w:rPr>
      </w:pPr>
    </w:p>
    <w:p>
      <w:pPr>
        <w:pStyle w:val="Sredinsko"/>
        <w:spacing w:after="0" w:line="260" w:lineRule="auto"/>
      </w:pPr>
      <w:r>
        <w:t>PREDLOG</w:t>
      </w:r>
    </w:p>
    <w:p>
      <w:pPr>
        <w:spacing w:after="0" w:line="260" w:lineRule="auto"/>
        <w:rPr>
          <w:rFonts w:ascii="Arial" w:hAnsi="Arial" w:cs="Arial"/>
        </w:rPr>
      </w:pPr>
    </w:p>
    <w:p>
      <w:pPr>
        <w:spacing w:after="0" w:line="260" w:lineRule="auto"/>
        <w:rPr>
          <w:rFonts w:ascii="Arial" w:hAnsi="Arial" w:cs="Arial"/>
        </w:rPr>
      </w:pPr>
    </w:p>
    <w:p>
      <w:pPr>
        <w:pStyle w:val="Sredinsko"/>
        <w:spacing w:after="0" w:line="260" w:lineRule="auto"/>
      </w:pPr>
      <w:r>
        <w:t>EVA: 2026-2430-0012</w:t>
      </w:r>
    </w:p>
    <w:p>
      <w:r>
        <w:br w:type="page"/>
      </w:r>
    </w:p>
    <w:p>
      <w:pPr>
        <w:pStyle w:val="Odebeljeno"/>
        <w:spacing w:after="0" w:line="260" w:lineRule="auto"/>
      </w:pPr>
      <w:r>
        <w:t>I.</w:t>
      </w:r>
      <w:r>
        <w:tab/>
      </w:r>
      <w:r>
        <w:t>UVOD</w:t>
      </w:r>
    </w:p>
    <w:p>
      <w:pPr>
        <w:pStyle w:val="Odebeljeno"/>
        <w:spacing w:after="0" w:line="260" w:lineRule="auto"/>
      </w:pPr>
      <w:r>
        <w:t>1.</w:t>
      </w:r>
      <w:r>
        <w:tab/>
      </w:r>
      <w:r>
        <w:t>Razlogi in podlage za izdajo</w:t>
      </w:r>
    </w:p>
    <w:p>
      <w:pPr>
        <w:spacing w:after="0" w:line="260" w:lineRule="auto"/>
        <w:rPr>
          <w:rFonts w:ascii="Arial" w:hAnsi="Arial" w:cs="Arial"/>
        </w:rPr>
      </w:pPr>
    </w:p>
    <w:p>
      <w:pPr>
        <w:spacing w:after="0" w:line="260" w:lineRule="auto"/>
      </w:pPr>
      <w:r>
        <w:t>Pravna podlaga:</w:t>
      </w:r>
    </w:p>
    <w:p>
      <w:pPr>
        <w:spacing w:after="0" w:line="240" w:lineRule="auto"/>
      </w:pPr>
      <w:r>
        <w:t>Določba tretjega odstavka 17.a člena Zakona o cestninjenju (Uradni list RS, št. 102/24 in 14/26).</w:t>
      </w:r>
    </w:p>
    <w:p>
      <w:pPr>
        <w:spacing w:after="0" w:line="260" w:lineRule="auto"/>
        <w:rPr>
          <w:rFonts w:ascii="Arial" w:hAnsi="Arial" w:cs="Arial"/>
        </w:rPr>
      </w:pPr>
    </w:p>
    <w:p>
      <w:pPr>
        <w:spacing w:after="0" w:line="260" w:lineRule="auto"/>
      </w:pPr>
      <w:r>
        <w:t>Rok za izdajo:</w:t>
      </w:r>
    </w:p>
    <w:p>
      <w:pPr>
        <w:spacing w:after="0" w:line="240" w:lineRule="auto"/>
      </w:pPr>
      <w:r>
        <w:t>1. april 2026</w:t>
      </w:r>
    </w:p>
    <w:p>
      <w:pPr>
        <w:spacing w:after="0" w:line="260" w:lineRule="auto"/>
        <w:rPr>
          <w:rFonts w:ascii="Arial" w:hAnsi="Arial" w:cs="Arial"/>
        </w:rPr>
      </w:pPr>
    </w:p>
    <w:p>
      <w:pPr>
        <w:spacing w:after="0" w:line="260" w:lineRule="auto"/>
      </w:pPr>
      <w:r>
        <w:t>Glavni razlogi za izdajo:</w:t>
      </w:r>
    </w:p>
    <w:p>
      <w:pPr>
        <w:spacing w:after="0" w:line="240" w:lineRule="auto"/>
      </w:pPr>
      <w:r>
        <w:t>S predlaganim Sklepom o določitvi višine pristojbine za zunanje stroške za posamezne razrede vozil nad 3.500 kg največje tehnično dovoljene mase se določa višina pristojbine za zunanje stroške zaradi onesnaževanja zraka zaradi prometa in stroške obremenitev s hrupom zaradi prometa za posamezne razrede vozil, katerih največja tehnično dovoljena masa presega 3.500 kg na primestnih in medmestnih cestninskih cestah.</w:t>
      </w:r>
    </w:p>
    <w:p>
      <w:pPr>
        <w:spacing w:after="0" w:line="260" w:lineRule="auto"/>
        <w:rPr>
          <w:rFonts w:ascii="Arial" w:hAnsi="Arial" w:cs="Arial"/>
        </w:rPr>
      </w:pPr>
    </w:p>
    <w:p>
      <w:pPr>
        <w:pStyle w:val="Odebeljeno"/>
        <w:spacing w:after="0" w:line="260" w:lineRule="auto"/>
      </w:pPr>
      <w:r>
        <w:t>2.</w:t>
      </w:r>
      <w:r>
        <w:tab/>
      </w:r>
      <w:r>
        <w:t>Ocena finančnih posledic predloga akta za državni proračun in druga javna finančna sredstva</w:t>
      </w:r>
    </w:p>
    <w:p>
      <w:pPr>
        <w:spacing w:after="0" w:line="260" w:lineRule="auto"/>
        <w:rPr>
          <w:rFonts w:ascii="Arial" w:hAnsi="Arial" w:cs="Arial"/>
        </w:rPr>
      </w:pPr>
    </w:p>
    <w:p>
      <w:pPr>
        <w:spacing w:after="0" w:line="260" w:lineRule="auto"/>
      </w:pPr>
      <w:r>
        <w:t>Presoja posledic je bila opravljena ob sprejemanju zakona, ki je podlaga za izdajo tega predloga.</w:t>
      </w:r>
    </w:p>
    <w:p>
      <w:pPr>
        <w:spacing w:after="0" w:line="260" w:lineRule="auto"/>
        <w:rPr>
          <w:rFonts w:ascii="Arial" w:hAnsi="Arial" w:cs="Arial"/>
        </w:rPr>
      </w:pPr>
    </w:p>
    <w:p>
      <w:pPr>
        <w:pStyle w:val="Odebeljeno"/>
        <w:spacing w:after="0" w:line="260" w:lineRule="auto"/>
      </w:pPr>
      <w:r>
        <w:t>3.</w:t>
      </w:r>
      <w:r>
        <w:tab/>
      </w:r>
      <w:r>
        <w:t>Prikaz ureditve v drugih pravnih sistemih in prilagojenosti predlagane ureditve pravu Evropske unije</w:t>
      </w:r>
    </w:p>
    <w:p>
      <w:pPr>
        <w:spacing w:after="0" w:line="260" w:lineRule="auto"/>
        <w:rPr>
          <w:rFonts w:ascii="Arial" w:hAnsi="Arial" w:cs="Arial"/>
        </w:rPr>
      </w:pPr>
    </w:p>
    <w:p>
      <w:pPr>
        <w:pStyle w:val="Odebeljeno"/>
        <w:spacing w:after="0" w:line="260" w:lineRule="auto"/>
      </w:pPr>
      <w:r>
        <w:t>3.1</w:t>
      </w:r>
      <w:r>
        <w:tab/>
      </w:r>
      <w:r>
        <w:t>Prikaz ureditve v drugih pravnih sistemih</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3.2</w:t>
      </w:r>
      <w:r>
        <w:tab/>
      </w:r>
      <w:r>
        <w:t>Prikaz ureditve v pravnem redu Evropske unije</w:t>
      </w:r>
    </w:p>
    <w:p>
      <w:pPr>
        <w:spacing w:after="0" w:line="260" w:lineRule="auto"/>
        <w:rPr>
          <w:rFonts w:ascii="Arial" w:hAnsi="Arial" w:cs="Arial"/>
        </w:rPr>
      </w:pPr>
    </w:p>
    <w:p>
      <w:pPr>
        <w:spacing w:after="0" w:line="260" w:lineRule="auto"/>
      </w:pPr>
      <w:r>
        <w:t>Predlog ni predmet usklajevanja s pravnim redom EU.</w:t>
      </w:r>
    </w:p>
    <w:p>
      <w:pPr>
        <w:spacing w:after="0" w:line="260" w:lineRule="auto"/>
        <w:rPr>
          <w:rFonts w:ascii="Arial" w:hAnsi="Arial" w:cs="Arial"/>
        </w:rPr>
      </w:pPr>
    </w:p>
    <w:p>
      <w:pPr>
        <w:pStyle w:val="SrajckaNaslovZamik"/>
        <w:spacing w:after="0" w:line="260" w:lineRule="auto"/>
      </w:pPr>
      <w:r>
        <w:t>3.3</w:t>
      </w:r>
      <w:r>
        <w:tab/>
      </w:r>
      <w:r>
        <w:t>Prikaz ureditve v posameznih državah članicah Evropske unije</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4.</w:t>
      </w:r>
      <w:r>
        <w:tab/>
      </w:r>
      <w:r>
        <w:t>Presoja posledic</w:t>
      </w:r>
    </w:p>
    <w:p>
      <w:pPr>
        <w:spacing w:after="0" w:line="260" w:lineRule="auto"/>
        <w:rPr>
          <w:rFonts w:ascii="Arial" w:hAnsi="Arial" w:cs="Arial"/>
        </w:rPr>
      </w:pPr>
    </w:p>
    <w:p>
      <w:pPr>
        <w:spacing w:after="0" w:line="260" w:lineRule="auto"/>
      </w:pPr>
      <w:r>
        <w:t>Presoja posledic je bila opravljena ob sprejemanju zakona, ki je podlaga za izdajo tega predloga.</w:t>
      </w:r>
    </w:p>
    <w:p>
      <w:pPr>
        <w:spacing w:after="0" w:line="260" w:lineRule="auto"/>
        <w:rPr>
          <w:rFonts w:ascii="Arial" w:hAnsi="Arial" w:cs="Arial"/>
        </w:rPr>
      </w:pPr>
    </w:p>
    <w:p>
      <w:pPr>
        <w:pStyle w:val="Odebeljeno"/>
        <w:spacing w:after="0" w:line="260" w:lineRule="auto"/>
      </w:pPr>
      <w:r>
        <w:t>5.</w:t>
      </w:r>
      <w:r>
        <w:tab/>
      </w:r>
      <w:r>
        <w:t>Prikaz sodelovanja javnosti</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r>
        <w:br w:type="page"/>
      </w:r>
    </w:p>
    <w:p>
      <w:pPr>
        <w:pStyle w:val="Odebeljeno"/>
        <w:spacing w:after="0" w:line="260" w:lineRule="auto"/>
      </w:pPr>
      <w:r>
        <w:t>II.</w:t>
      </w:r>
      <w:r>
        <w:tab/>
      </w:r>
      <w:r>
        <w:t>BESEDILO ČLENOV</w:t>
      </w:r>
    </w:p>
    <w:p>
      <w:pPr>
        <w:pStyle w:val="Odstavek"/>
        <w:spacing w:after="0" w:line="260" w:lineRule="auto"/>
      </w:pPr>
      <w:r>
        <w:t>Na podlagi tretjega odstavka 17.a člena Zakona o cestninjenju (Uradni list RS, št. 102/24 in 14/26) je Vlada Republike Slovenije sprejela</w:t>
      </w:r>
    </w:p>
    <w:p>
      <w:pPr>
        <w:spacing w:after="0" w:line="260" w:lineRule="auto"/>
        <w:rPr>
          <w:rFonts w:ascii="Arial" w:hAnsi="Arial" w:cs="Arial"/>
        </w:rPr>
      </w:pPr>
    </w:p>
    <w:p>
      <w:pPr>
        <w:pStyle w:val="Naslov1"/>
        <w:spacing w:after="0" w:line="260" w:lineRule="auto"/>
      </w:pPr>
      <w:r>
        <w:t>Sklep o določitvi višine pristojbine za zunanje stroške za posamezne razrede vozil nad 3.500 kg največje tehnično dovoljene mase</w:t>
      </w:r>
    </w:p>
    <w:p>
      <w:pPr>
        <w:pStyle w:val="len"/>
        <w:spacing w:after="0" w:line="260" w:lineRule="auto"/>
      </w:pPr>
      <w:r>
        <w:t>1. člen</w:t>
      </w:r>
    </w:p>
    <w:p>
      <w:pPr>
        <w:pStyle w:val="lennaslov"/>
        <w:spacing w:after="0" w:line="260" w:lineRule="auto"/>
      </w:pPr>
      <w:r>
        <w:t>(vsebina)</w:t>
      </w:r>
    </w:p>
    <w:p>
      <w:pPr>
        <w:spacing w:after="0" w:line="260" w:lineRule="auto"/>
        <w:rPr>
          <w:rFonts w:ascii="Arial" w:hAnsi="Arial" w:cs="Arial"/>
        </w:rPr>
      </w:pPr>
    </w:p>
    <w:p>
      <w:pPr>
        <w:spacing w:after="0" w:line="260" w:lineRule="auto"/>
      </w:pPr>
      <w:r>
        <w:tab/>
      </w:r>
      <w:r>
        <w:t>S tem sklepom se določa višina pristojbine za zunanje stroške zaradi onesnaževanja zraka zaradi prometa in stroške obremenitev s hrupom zaradi prometa za posamezne razrede vozil, katerih največja tehnično dovoljena masa presega 3.500 kg (v nadaljnjem besedilu: pristojbina za zunanje stroške) na primestnih in medmestnih cestninskih cestah. </w:t>
      </w:r>
    </w:p>
    <w:p>
      <w:pPr>
        <w:pStyle w:val="len"/>
        <w:spacing w:after="0" w:line="260" w:lineRule="auto"/>
      </w:pPr>
      <w:r>
        <w:t>2. člen</w:t>
      </w:r>
    </w:p>
    <w:p>
      <w:pPr>
        <w:pStyle w:val="lennaslov"/>
        <w:spacing w:after="0" w:line="260" w:lineRule="auto"/>
      </w:pPr>
      <w:r>
        <w:t>(višina pristojbine za zunanje stroške)</w:t>
      </w:r>
    </w:p>
    <w:p>
      <w:pPr>
        <w:spacing w:after="0" w:line="260" w:lineRule="auto"/>
        <w:rPr>
          <w:rFonts w:ascii="Arial" w:hAnsi="Arial" w:cs="Arial"/>
        </w:rPr>
      </w:pPr>
    </w:p>
    <w:p>
      <w:pPr>
        <w:spacing w:after="0" w:line="260" w:lineRule="auto"/>
      </w:pPr>
      <w:r>
        <w:tab/>
      </w:r>
      <w:r>
        <w:t>Višina pristojbine za zunanje stroške na primestnih in medmestnih cestninskih cestah znaša:</w:t>
      </w:r>
    </w:p>
    <w:p>
      <w:pPr>
        <w:spacing w:after="0" w:line="260" w:lineRule="auto"/>
        <w:rPr>
          <w:rFonts w:ascii="Arial" w:hAnsi="Arial" w:cs="Arial"/>
        </w:rPr>
      </w:pPr>
    </w:p>
    <w:tbl>
      <w:tblPr>
        <w:tblW w:w="5000" w:type="pct"/>
        <w:tblInd w:w="108" w:type="dxa"/>
        <w:tblCellMar>
          <w:top w:w="15" w:type="dxa"/>
          <w:left w:w="15" w:type="dxa"/>
          <w:bottom w:w="15" w:type="dxa"/>
          <w:right w:w="15" w:type="dxa"/>
        </w:tblCellMar>
        <w:tblLook w:val="04A0"/>
      </w:tblPr>
      <w:tblGrid>
        <w:gridCol w:w="3025"/>
        <w:gridCol w:w="2229"/>
        <w:gridCol w:w="1965"/>
        <w:gridCol w:w="2080"/>
      </w:tblGrid>
      <w:tr>
        <w:tblPrEx>
          <w:tblW w:w="5000" w:type="pct"/>
          <w:tblInd w:w="108" w:type="dxa"/>
          <w:tblCellMar>
            <w:top w:w="15" w:type="dxa"/>
            <w:left w:w="15" w:type="dxa"/>
            <w:bottom w:w="15" w:type="dxa"/>
            <w:right w:w="15" w:type="dxa"/>
          </w:tblCellMar>
          <w:tblLook w:val="04A0"/>
        </w:tblPrEx>
        <w:tc>
          <w:tcPr>
            <w:gridSpan w:val="4"/>
            <w:tcBorders>
              <w:top w:val="none" w:sz="0" w:space="0" w:color="auto"/>
              <w:left w:val="none" w:sz="0" w:space="0" w:color="auto"/>
              <w:bottom w:val="none" w:sz="0" w:space="0" w:color="auto"/>
              <w:right w:val="none" w:sz="0" w:space="0" w:color="auto"/>
            </w:tcBorders>
            <w:noWrap w:val="0"/>
            <w:tcMar>
              <w:left w:w="108" w:type="dxa"/>
              <w:right w:w="108" w:type="dxa"/>
            </w:tcMar>
            <w:vAlign w:val="center"/>
          </w:tcPr>
          <w:p>
            <w:pPr>
              <w:ind w:left="0" w:right="0"/>
              <w:jc w:val="center"/>
              <w:rPr>
                <w:rFonts w:ascii="Arial" w:cs="Arial"/>
                <w:b w:val="0"/>
                <w:i w:val="0"/>
                <w:smallCaps w:val="0"/>
                <w:color w:val="000000"/>
              </w:rPr>
            </w:pPr>
          </w:p>
        </w:tc>
      </w:tr>
      <w:tr>
        <w:tblPrEx>
          <w:tblW w:w="5000" w:type="pct"/>
          <w:tblInd w:w="10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Ex>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Razred vozila</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EUR/prevoženi kilometer vozila</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Primestne cestninske ceste</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Medmestne cestninske ceste</w:t>
            </w:r>
          </w:p>
        </w:tc>
      </w:tr>
      <w:tr>
        <w:tblPrEx>
          <w:tblW w:w="5000" w:type="pct"/>
          <w:tblInd w:w="10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Ex>
        <w:tc>
          <w:tcPr>
            <w:vMerge w:val="restart"/>
            <w:tcBorders>
              <w:top w:val="single" w:sz="6" w:space="0" w:color="000000"/>
              <w:left w:val="single" w:sz="6" w:space="0" w:color="000000"/>
              <w:bottom w:val="none" w:sz="0" w:space="0" w:color="auto"/>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Vozila prvega cestninskega razreda (R2) </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Euro 0 </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0,216</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0,115</w:t>
            </w:r>
          </w:p>
        </w:tc>
      </w:tr>
      <w:tr>
        <w:tblPrEx>
          <w:tblW w:w="5000" w:type="pct"/>
          <w:tblInd w:w="10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Ex>
        <w:tc>
          <w:tcPr>
            <w:vMerge/>
            <w:tcBorders>
              <w:left w:val="single" w:sz="6" w:space="0" w:color="000000"/>
              <w:right w:val="single" w:sz="6" w:space="0" w:color="000000"/>
            </w:tcBorders>
            <w:vAlign w:val="center"/>
            <w:hideMark/>
          </w:tcPr>
          <w:p>
            <w:pPr>
              <w:rPr>
                <w:rFonts w:ascii="Arial" w:cs="Arial"/>
                <w:b w:val="0"/>
                <w:i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Euro I</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0,146</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0,075</w:t>
            </w:r>
          </w:p>
        </w:tc>
      </w:tr>
      <w:tr>
        <w:tblPrEx>
          <w:tblW w:w="5000" w:type="pct"/>
          <w:tblInd w:w="10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Ex>
        <w:tc>
          <w:tcPr>
            <w:vMerge/>
            <w:tcBorders>
              <w:left w:val="single" w:sz="6" w:space="0" w:color="000000"/>
              <w:right w:val="single" w:sz="6" w:space="0" w:color="000000"/>
            </w:tcBorders>
            <w:vAlign w:val="center"/>
            <w:hideMark/>
          </w:tcPr>
          <w:p>
            <w:pPr>
              <w:rPr>
                <w:rFonts w:ascii="Arial" w:cs="Arial"/>
                <w:b w:val="0"/>
                <w:i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Euro II</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0,145</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0,073</w:t>
            </w:r>
          </w:p>
        </w:tc>
      </w:tr>
      <w:tr>
        <w:tblPrEx>
          <w:tblW w:w="5000" w:type="pct"/>
          <w:tblInd w:w="10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Ex>
        <w:tc>
          <w:tcPr>
            <w:vMerge/>
            <w:tcBorders>
              <w:left w:val="single" w:sz="6" w:space="0" w:color="000000"/>
              <w:right w:val="single" w:sz="6" w:space="0" w:color="000000"/>
            </w:tcBorders>
            <w:vAlign w:val="center"/>
            <w:hideMark/>
          </w:tcPr>
          <w:p>
            <w:pPr>
              <w:rPr>
                <w:rFonts w:ascii="Arial" w:cs="Arial"/>
                <w:b w:val="0"/>
                <w:i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Euro III</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0,112</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0,056</w:t>
            </w:r>
          </w:p>
        </w:tc>
      </w:tr>
      <w:tr>
        <w:tblPrEx>
          <w:tblW w:w="5000" w:type="pct"/>
          <w:tblInd w:w="10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Ex>
        <w:tc>
          <w:tcPr>
            <w:vMerge/>
            <w:tcBorders>
              <w:left w:val="single" w:sz="6" w:space="0" w:color="000000"/>
              <w:right w:val="single" w:sz="6" w:space="0" w:color="000000"/>
            </w:tcBorders>
            <w:vAlign w:val="center"/>
            <w:hideMark/>
          </w:tcPr>
          <w:p>
            <w:pPr>
              <w:rPr>
                <w:rFonts w:ascii="Arial" w:cs="Arial"/>
                <w:b w:val="0"/>
                <w:i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Euro IV</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0,085</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0,04</w:t>
            </w:r>
          </w:p>
        </w:tc>
      </w:tr>
      <w:tr>
        <w:tblPrEx>
          <w:tblW w:w="5000" w:type="pct"/>
          <w:tblInd w:w="10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Ex>
        <w:tc>
          <w:tcPr>
            <w:vMerge/>
            <w:tcBorders>
              <w:left w:val="single" w:sz="6" w:space="0" w:color="000000"/>
              <w:right w:val="single" w:sz="6" w:space="0" w:color="000000"/>
            </w:tcBorders>
            <w:vAlign w:val="center"/>
            <w:hideMark/>
          </w:tcPr>
          <w:p>
            <w:pPr>
              <w:rPr>
                <w:rFonts w:ascii="Arial" w:cs="Arial"/>
                <w:b w:val="0"/>
                <w:i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Euro V</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0,051</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0,021</w:t>
            </w:r>
          </w:p>
        </w:tc>
      </w:tr>
      <w:tr>
        <w:tblPrEx>
          <w:tblW w:w="5000" w:type="pct"/>
          <w:tblInd w:w="10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Ex>
        <w:tc>
          <w:tcPr>
            <w:vMerge/>
            <w:tcBorders>
              <w:left w:val="single" w:sz="6" w:space="0" w:color="000000"/>
              <w:right w:val="single" w:sz="6" w:space="0" w:color="000000"/>
            </w:tcBorders>
            <w:vAlign w:val="center"/>
            <w:hideMark/>
          </w:tcPr>
          <w:p>
            <w:pPr>
              <w:rPr>
                <w:rFonts w:ascii="Arial" w:cs="Arial"/>
                <w:b w:val="0"/>
                <w:i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Euro VI</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0,027</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0,006</w:t>
            </w:r>
          </w:p>
        </w:tc>
      </w:tr>
      <w:tr>
        <w:tblPrEx>
          <w:tblW w:w="5000" w:type="pct"/>
          <w:tblInd w:w="10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Ex>
        <w:tc>
          <w:tcPr>
            <w:vMerge/>
            <w:tcBorders>
              <w:left w:val="single" w:sz="6" w:space="0" w:color="000000"/>
              <w:bottom w:val="single" w:sz="6" w:space="0" w:color="000000"/>
              <w:right w:val="single" w:sz="6" w:space="0" w:color="000000"/>
            </w:tcBorders>
            <w:vAlign w:val="center"/>
            <w:hideMark/>
          </w:tcPr>
          <w:p>
            <w:pPr>
              <w:rPr>
                <w:rFonts w:ascii="Arial" w:cs="Arial"/>
                <w:b w:val="0"/>
                <w:i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Brezemisijska vozila </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0,024</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0,004</w:t>
            </w:r>
          </w:p>
        </w:tc>
      </w:tr>
      <w:tr>
        <w:tblPrEx>
          <w:tblW w:w="5000" w:type="pct"/>
          <w:tblInd w:w="10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Ex>
        <w:tc>
          <w:tcPr>
            <w:vMerge w:val="restart"/>
            <w:tcBorders>
              <w:top w:val="single" w:sz="6" w:space="0" w:color="000000"/>
              <w:left w:val="single" w:sz="6" w:space="0" w:color="000000"/>
              <w:bottom w:val="none" w:sz="0" w:space="0" w:color="auto"/>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Vozila drugega cestninskega razreda (R3) </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Euro 0 </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0,285</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0,159</w:t>
            </w:r>
          </w:p>
        </w:tc>
      </w:tr>
      <w:tr>
        <w:tblPrEx>
          <w:tblW w:w="5000" w:type="pct"/>
          <w:tblInd w:w="10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Ex>
        <w:tc>
          <w:tcPr>
            <w:vMerge/>
            <w:tcBorders>
              <w:left w:val="single" w:sz="6" w:space="0" w:color="000000"/>
              <w:right w:val="single" w:sz="6" w:space="0" w:color="000000"/>
            </w:tcBorders>
            <w:vAlign w:val="center"/>
            <w:hideMark/>
          </w:tcPr>
          <w:p>
            <w:pPr>
              <w:rPr>
                <w:rFonts w:ascii="Arial" w:cs="Arial"/>
                <w:b w:val="0"/>
                <w:i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Euro I</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0,183</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0,098</w:t>
            </w:r>
          </w:p>
        </w:tc>
      </w:tr>
      <w:tr>
        <w:tblPrEx>
          <w:tblW w:w="5000" w:type="pct"/>
          <w:tblInd w:w="10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Ex>
        <w:tc>
          <w:tcPr>
            <w:vMerge/>
            <w:tcBorders>
              <w:left w:val="single" w:sz="6" w:space="0" w:color="000000"/>
              <w:right w:val="single" w:sz="6" w:space="0" w:color="000000"/>
            </w:tcBorders>
            <w:vAlign w:val="center"/>
            <w:hideMark/>
          </w:tcPr>
          <w:p>
            <w:pPr>
              <w:rPr>
                <w:rFonts w:ascii="Arial" w:cs="Arial"/>
                <w:b w:val="0"/>
                <w:i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Euro II</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0,183</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0,098</w:t>
            </w:r>
          </w:p>
        </w:tc>
      </w:tr>
      <w:tr>
        <w:tblPrEx>
          <w:tblW w:w="5000" w:type="pct"/>
          <w:tblInd w:w="10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Ex>
        <w:tc>
          <w:tcPr>
            <w:vMerge/>
            <w:tcBorders>
              <w:left w:val="single" w:sz="6" w:space="0" w:color="000000"/>
              <w:right w:val="single" w:sz="6" w:space="0" w:color="000000"/>
            </w:tcBorders>
            <w:vAlign w:val="center"/>
            <w:hideMark/>
          </w:tcPr>
          <w:p>
            <w:pPr>
              <w:rPr>
                <w:rFonts w:ascii="Arial" w:cs="Arial"/>
                <w:b w:val="0"/>
                <w:i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Euro III</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0,145</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0,077</w:t>
            </w:r>
          </w:p>
        </w:tc>
      </w:tr>
      <w:tr>
        <w:tblPrEx>
          <w:tblW w:w="5000" w:type="pct"/>
          <w:tblInd w:w="10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Ex>
        <w:tc>
          <w:tcPr>
            <w:vMerge/>
            <w:tcBorders>
              <w:left w:val="single" w:sz="6" w:space="0" w:color="000000"/>
              <w:right w:val="single" w:sz="6" w:space="0" w:color="000000"/>
            </w:tcBorders>
            <w:vAlign w:val="center"/>
            <w:hideMark/>
          </w:tcPr>
          <w:p>
            <w:pPr>
              <w:rPr>
                <w:rFonts w:ascii="Arial" w:cs="Arial"/>
                <w:b w:val="0"/>
                <w:i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Euro IV</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0,107</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0,053</w:t>
            </w:r>
          </w:p>
        </w:tc>
      </w:tr>
      <w:tr>
        <w:tblPrEx>
          <w:tblW w:w="5000" w:type="pct"/>
          <w:tblInd w:w="10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Ex>
        <w:tc>
          <w:tcPr>
            <w:vMerge/>
            <w:tcBorders>
              <w:left w:val="single" w:sz="6" w:space="0" w:color="000000"/>
              <w:right w:val="single" w:sz="6" w:space="0" w:color="000000"/>
            </w:tcBorders>
            <w:vAlign w:val="center"/>
            <w:hideMark/>
          </w:tcPr>
          <w:p>
            <w:pPr>
              <w:rPr>
                <w:rFonts w:ascii="Arial" w:cs="Arial"/>
                <w:b w:val="0"/>
                <w:i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Euro V</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0,065</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0,032</w:t>
            </w:r>
          </w:p>
        </w:tc>
      </w:tr>
      <w:tr>
        <w:tblPrEx>
          <w:tblW w:w="5000" w:type="pct"/>
          <w:tblInd w:w="10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Ex>
        <w:tc>
          <w:tcPr>
            <w:vMerge/>
            <w:tcBorders>
              <w:left w:val="single" w:sz="6" w:space="0" w:color="000000"/>
              <w:right w:val="single" w:sz="6" w:space="0" w:color="000000"/>
            </w:tcBorders>
            <w:vAlign w:val="center"/>
            <w:hideMark/>
          </w:tcPr>
          <w:p>
            <w:pPr>
              <w:rPr>
                <w:rFonts w:ascii="Arial" w:cs="Arial"/>
                <w:b w:val="0"/>
                <w:i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Euro VI</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0,033</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0,009</w:t>
            </w:r>
          </w:p>
        </w:tc>
      </w:tr>
      <w:tr>
        <w:tblPrEx>
          <w:tblW w:w="5000" w:type="pct"/>
          <w:tblInd w:w="10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Ex>
        <w:tc>
          <w:tcPr>
            <w:vMerge/>
            <w:tcBorders>
              <w:left w:val="single" w:sz="6" w:space="0" w:color="000000"/>
              <w:bottom w:val="single" w:sz="6" w:space="0" w:color="000000"/>
              <w:right w:val="single" w:sz="6" w:space="0" w:color="000000"/>
            </w:tcBorders>
            <w:vAlign w:val="center"/>
            <w:hideMark/>
          </w:tcPr>
          <w:p>
            <w:pPr>
              <w:rPr>
                <w:rFonts w:ascii="Arial" w:cs="Arial"/>
                <w:b w:val="0"/>
                <w:i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Brezemisijska vozila</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0,027</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0,004</w:t>
            </w:r>
          </w:p>
        </w:tc>
      </w:tr>
      <w:tr>
        <w:tblPrEx>
          <w:tblW w:w="5000" w:type="pct"/>
          <w:tblInd w:w="10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Ex>
        <w:tc>
          <w:tcPr>
            <w:vMerge w:val="restart"/>
            <w:tcBorders>
              <w:top w:val="single" w:sz="6" w:space="0" w:color="000000"/>
              <w:left w:val="single" w:sz="6" w:space="0" w:color="000000"/>
              <w:bottom w:val="none" w:sz="0" w:space="0" w:color="auto"/>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Vozila tretjega cestninskega razreda (R4) </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Euro 0 </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0,322</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0,183</w:t>
            </w:r>
          </w:p>
        </w:tc>
      </w:tr>
      <w:tr>
        <w:tblPrEx>
          <w:tblW w:w="5000" w:type="pct"/>
          <w:tblInd w:w="10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Ex>
        <w:tc>
          <w:tcPr>
            <w:vMerge/>
            <w:tcBorders>
              <w:left w:val="single" w:sz="6" w:space="0" w:color="000000"/>
              <w:right w:val="single" w:sz="6" w:space="0" w:color="000000"/>
            </w:tcBorders>
            <w:vAlign w:val="center"/>
            <w:hideMark/>
          </w:tcPr>
          <w:p>
            <w:pPr>
              <w:rPr>
                <w:rFonts w:ascii="Arial" w:cs="Arial"/>
                <w:b w:val="0"/>
                <w:i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Euro I</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0,237</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0,131</w:t>
            </w:r>
          </w:p>
        </w:tc>
      </w:tr>
      <w:tr>
        <w:tblPrEx>
          <w:tblW w:w="5000" w:type="pct"/>
          <w:tblInd w:w="10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Ex>
        <w:tc>
          <w:tcPr>
            <w:vMerge/>
            <w:tcBorders>
              <w:left w:val="single" w:sz="6" w:space="0" w:color="000000"/>
              <w:right w:val="single" w:sz="6" w:space="0" w:color="000000"/>
            </w:tcBorders>
            <w:vAlign w:val="center"/>
            <w:hideMark/>
          </w:tcPr>
          <w:p>
            <w:pPr>
              <w:rPr>
                <w:rFonts w:ascii="Arial" w:cs="Arial"/>
                <w:b w:val="0"/>
                <w:i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Euro II</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0,237</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0,13</w:t>
            </w:r>
          </w:p>
        </w:tc>
      </w:tr>
      <w:tr>
        <w:tblPrEx>
          <w:tblW w:w="5000" w:type="pct"/>
          <w:tblInd w:w="10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Ex>
        <w:tc>
          <w:tcPr>
            <w:vMerge/>
            <w:tcBorders>
              <w:left w:val="single" w:sz="6" w:space="0" w:color="000000"/>
              <w:right w:val="single" w:sz="6" w:space="0" w:color="000000"/>
            </w:tcBorders>
            <w:vAlign w:val="center"/>
            <w:hideMark/>
          </w:tcPr>
          <w:p>
            <w:pPr>
              <w:rPr>
                <w:rFonts w:ascii="Arial" w:cs="Arial"/>
                <w:b w:val="0"/>
                <w:i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Euro III</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0,189</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0,103</w:t>
            </w:r>
          </w:p>
        </w:tc>
      </w:tr>
      <w:tr>
        <w:tblPrEx>
          <w:tblW w:w="5000" w:type="pct"/>
          <w:tblInd w:w="10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Ex>
        <w:tc>
          <w:tcPr>
            <w:vMerge/>
            <w:tcBorders>
              <w:left w:val="single" w:sz="6" w:space="0" w:color="000000"/>
              <w:right w:val="single" w:sz="6" w:space="0" w:color="000000"/>
            </w:tcBorders>
            <w:vAlign w:val="center"/>
            <w:hideMark/>
          </w:tcPr>
          <w:p>
            <w:pPr>
              <w:rPr>
                <w:rFonts w:ascii="Arial" w:cs="Arial"/>
                <w:b w:val="0"/>
                <w:i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Euro IV</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0,137</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0,07</w:t>
            </w:r>
          </w:p>
        </w:tc>
      </w:tr>
      <w:tr>
        <w:tblPrEx>
          <w:tblW w:w="5000" w:type="pct"/>
          <w:tblInd w:w="10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Ex>
        <w:tc>
          <w:tcPr>
            <w:vMerge/>
            <w:tcBorders>
              <w:left w:val="single" w:sz="6" w:space="0" w:color="000000"/>
              <w:right w:val="single" w:sz="6" w:space="0" w:color="000000"/>
            </w:tcBorders>
            <w:vAlign w:val="center"/>
            <w:hideMark/>
          </w:tcPr>
          <w:p>
            <w:pPr>
              <w:rPr>
                <w:rFonts w:ascii="Arial" w:cs="Arial"/>
                <w:b w:val="0"/>
                <w:i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Euro V</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0,077</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0,04</w:t>
            </w:r>
          </w:p>
        </w:tc>
      </w:tr>
      <w:tr>
        <w:tblPrEx>
          <w:tblW w:w="5000" w:type="pct"/>
          <w:tblInd w:w="10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Ex>
        <w:tc>
          <w:tcPr>
            <w:vMerge/>
            <w:tcBorders>
              <w:left w:val="single" w:sz="6" w:space="0" w:color="000000"/>
              <w:right w:val="single" w:sz="6" w:space="0" w:color="000000"/>
            </w:tcBorders>
            <w:vAlign w:val="center"/>
            <w:hideMark/>
          </w:tcPr>
          <w:p>
            <w:pPr>
              <w:rPr>
                <w:rFonts w:ascii="Arial" w:cs="Arial"/>
                <w:b w:val="0"/>
                <w:i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Euro VI</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0,036</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0,01</w:t>
            </w:r>
          </w:p>
        </w:tc>
      </w:tr>
      <w:tr>
        <w:tblPrEx>
          <w:tblW w:w="5000" w:type="pct"/>
          <w:tblInd w:w="10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Ex>
        <w:tc>
          <w:tcPr>
            <w:vMerge/>
            <w:tcBorders>
              <w:left w:val="single" w:sz="6" w:space="0" w:color="000000"/>
              <w:bottom w:val="single" w:sz="6" w:space="0" w:color="000000"/>
              <w:right w:val="single" w:sz="6" w:space="0" w:color="000000"/>
            </w:tcBorders>
            <w:vAlign w:val="center"/>
            <w:hideMark/>
          </w:tcPr>
          <w:p>
            <w:pPr>
              <w:rPr>
                <w:rFonts w:ascii="Arial" w:cs="Arial"/>
                <w:b w:val="0"/>
                <w:i w:val="0"/>
                <w:smallCaps w:val="0"/>
                <w:color w:val="000000"/>
              </w:rPr>
            </w:pP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Brezemisijska vozila</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0,029</w:t>
            </w:r>
          </w:p>
        </w:tc>
        <w:tc>
          <w:tcPr>
            <w:tcBorders>
              <w:top w:val="single" w:sz="6" w:space="0" w:color="000000"/>
              <w:left w:val="single" w:sz="6" w:space="0" w:color="000000"/>
              <w:bottom w:val="single" w:sz="6" w:space="0" w:color="000000"/>
              <w:right w:val="single" w:sz="6" w:space="0" w:color="000000"/>
            </w:tcBorders>
            <w:noWrap w:val="0"/>
            <w:tcMar>
              <w:top w:w="22" w:type="dxa"/>
              <w:left w:w="22" w:type="dxa"/>
              <w:bottom w:w="22" w:type="dxa"/>
              <w:right w:w="22" w:type="dxa"/>
            </w:tcMar>
            <w:vAlign w:val="center"/>
            <w:hideMark/>
          </w:tcPr>
          <w:p>
            <w:pPr>
              <w:jc w:val="center"/>
              <w:rPr>
                <w:rFonts w:ascii="Arial" w:cs="Arial"/>
                <w:b w:val="0"/>
                <w:i w:val="0"/>
                <w:smallCaps w:val="0"/>
                <w:color w:val="000000"/>
              </w:rPr>
            </w:pPr>
            <w:r>
              <w:rPr>
                <w:rFonts w:ascii="Arial" w:cs="Arial"/>
                <w:b w:val="0"/>
                <w:i w:val="0"/>
                <w:smallCaps w:val="0"/>
                <w:color w:val="000000"/>
              </w:rPr>
              <w:t>0,004</w:t>
            </w:r>
          </w:p>
        </w:tc>
      </w:tr>
    </w:tbl>
    <w:p/>
    <w:p>
      <w:pPr>
        <w:pStyle w:val="len"/>
        <w:spacing w:after="0" w:line="260" w:lineRule="auto"/>
      </w:pPr>
      <w:r>
        <w:t>3. člen</w:t>
      </w:r>
    </w:p>
    <w:p>
      <w:pPr>
        <w:pStyle w:val="lennaslov"/>
        <w:spacing w:after="0" w:line="260" w:lineRule="auto"/>
      </w:pPr>
      <w:r>
        <w:t>(začetek veljavnosti)</w:t>
      </w:r>
    </w:p>
    <w:p>
      <w:pPr>
        <w:spacing w:after="0" w:line="260" w:lineRule="auto"/>
        <w:rPr>
          <w:rFonts w:ascii="Arial" w:hAnsi="Arial" w:cs="Arial"/>
        </w:rPr>
      </w:pPr>
    </w:p>
    <w:p>
      <w:pPr>
        <w:spacing w:after="0" w:line="260" w:lineRule="auto"/>
      </w:pPr>
      <w:r>
        <w:tab/>
      </w:r>
      <w:r>
        <w:t>Ta sklep začne veljati 1. aprila 2026.</w:t>
      </w:r>
    </w:p>
    <w:p>
      <w:pPr>
        <w:spacing w:after="0" w:line="260" w:lineRule="auto"/>
        <w:rPr>
          <w:rFonts w:ascii="Arial" w:hAnsi="Arial" w:cs="Arial"/>
        </w:rPr>
      </w:pPr>
    </w:p>
    <w:p>
      <w:pPr>
        <w:spacing w:after="0" w:line="260" w:lineRule="auto"/>
      </w:pPr>
      <w:r>
        <w:t>Št. </w:t>
      </w:r>
    </w:p>
    <w:p>
      <w:pPr>
        <w:spacing w:after="0" w:line="260" w:lineRule="auto"/>
        <w:rPr>
          <w:rFonts w:ascii="Arial" w:hAnsi="Arial" w:cs="Arial"/>
        </w:rPr>
      </w:pPr>
    </w:p>
    <w:p>
      <w:pPr>
        <w:spacing w:after="0" w:line="260" w:lineRule="auto"/>
      </w:pPr>
      <w:r>
        <w:t>Ljubljana, dne 18. marca 2026</w:t>
      </w:r>
    </w:p>
    <w:p>
      <w:pPr>
        <w:spacing w:after="0" w:line="260" w:lineRule="auto"/>
        <w:rPr>
          <w:rFonts w:ascii="Arial" w:hAnsi="Arial" w:cs="Arial"/>
        </w:rPr>
      </w:pPr>
    </w:p>
    <w:p>
      <w:pPr>
        <w:spacing w:after="0" w:line="260" w:lineRule="auto"/>
      </w:pPr>
      <w:r>
        <w:t>EVA 2026-2430-0012</w:t>
      </w:r>
    </w:p>
    <w:p>
      <w:pPr>
        <w:spacing w:after="0" w:line="260" w:lineRule="auto"/>
        <w:rPr>
          <w:rFonts w:ascii="Arial" w:hAnsi="Arial" w:cs="Arial"/>
        </w:rPr>
      </w:pPr>
    </w:p>
    <w:p>
      <w:pPr>
        <w:pStyle w:val="Podpisnik"/>
        <w:spacing w:after="0" w:line="260" w:lineRule="auto"/>
      </w:pPr>
      <w:r>
        <w:t>Vlada Republike Slovenije</w:t>
      </w:r>
      <w:r>
        <w:br/>
      </w:r>
      <w:r>
        <w:t>dr. Robert Golob</w:t>
      </w:r>
      <w:r>
        <w:br/>
      </w:r>
      <w:r>
        <w:t>predsednik</w:t>
      </w:r>
    </w:p>
    <w:p>
      <w:r>
        <w:br w:type="page"/>
      </w:r>
    </w:p>
    <w:p>
      <w:pPr>
        <w:pStyle w:val="Odebeljeno"/>
        <w:spacing w:after="0" w:line="260" w:lineRule="auto"/>
      </w:pPr>
      <w:r>
        <w:t>III.</w:t>
      </w:r>
      <w:r>
        <w:tab/>
      </w:r>
      <w:r>
        <w:t>OBRAZLOŽITEV</w:t>
      </w:r>
    </w:p>
    <w:p>
      <w:pPr>
        <w:spacing w:after="0" w:line="260" w:lineRule="auto"/>
        <w:rPr>
          <w:rFonts w:ascii="Arial" w:hAnsi="Arial" w:cs="Arial"/>
        </w:rPr>
      </w:pPr>
    </w:p>
    <w:p>
      <w:pPr>
        <w:pStyle w:val="Odebeljeno"/>
        <w:spacing w:after="0" w:line="260" w:lineRule="auto"/>
      </w:pPr>
      <w:r>
        <w:t>K 1. členu:</w:t>
      </w:r>
    </w:p>
    <w:p>
      <w:pPr>
        <w:spacing w:after="0" w:line="240" w:lineRule="auto"/>
      </w:pPr>
      <w:r>
        <w:t>Ta člen določa vsebino predpisa.</w:t>
      </w:r>
    </w:p>
    <w:p>
      <w:pPr>
        <w:spacing w:after="0" w:line="260" w:lineRule="auto"/>
        <w:rPr>
          <w:rFonts w:ascii="Arial" w:hAnsi="Arial" w:cs="Arial"/>
        </w:rPr>
      </w:pPr>
    </w:p>
    <w:p>
      <w:pPr>
        <w:pStyle w:val="Odebeljeno"/>
        <w:spacing w:after="0" w:line="260" w:lineRule="auto"/>
      </w:pPr>
      <w:r>
        <w:t>K 2. členu:</w:t>
      </w:r>
    </w:p>
    <w:p>
      <w:pPr>
        <w:spacing w:after="0" w:line="240" w:lineRule="auto"/>
        <w:jc w:val="both"/>
      </w:pPr>
      <w:r>
        <w:t>Pristojbina za zunanje stroške se določa skladno z referenčnimi vrednostmi iz Priloge IIIb Direktive 1999/62/ES. Sredstva, zbrana sredstva iz tega naslova pa predstavljajo prihodek državnega proračuna in se uporabljajo za ukrepe na področju izboljšanja prometnega sistema, zmanjševanja vplivov prometa na okolje ter razvoja prometne infrastrukture. Višina pristojbine je določena različno za medmestne in primestne ceste.</w:t>
      </w:r>
    </w:p>
    <w:p>
      <w:pPr>
        <w:spacing w:after="0" w:line="260" w:lineRule="auto"/>
        <w:rPr>
          <w:rFonts w:ascii="Arial" w:hAnsi="Arial" w:cs="Arial"/>
        </w:rPr>
      </w:pPr>
    </w:p>
    <w:p>
      <w:pPr>
        <w:pStyle w:val="Odebeljeno"/>
        <w:spacing w:after="0" w:line="260" w:lineRule="auto"/>
      </w:pPr>
      <w:r>
        <w:t>K 3. členu:</w:t>
      </w:r>
    </w:p>
    <w:p>
      <w:pPr>
        <w:spacing w:after="0" w:line="240" w:lineRule="auto"/>
      </w:pPr>
      <w:r>
        <w:t>Sklep se začne veljati s 1. aprilom 2026. Upravljavec cestninskega omrežja do začetka veljavnosti tega sklepa tehnično prilagodi informacijski sistem in na določenih odsekih izvede testiranja posameznih podsistemov v okviru elektronskega cestninskega sistema za vozila, katerih največja dovoljena masa presega 3.500 kg.</w:t>
      </w:r>
    </w:p>
    <w:p>
      <w:pPr>
        <w:spacing w:after="0" w:line="260" w:lineRule="auto"/>
        <w:rPr>
          <w:rFonts w:ascii="Arial" w:hAnsi="Arial" w:cs="Arial"/>
        </w:rPr>
      </w:pPr>
    </w:p>
    <w:p>
      <w:r>
        <w:br w:type="page"/>
      </w:r>
    </w:p>
    <w:p>
      <w:pPr>
        <w:pStyle w:val="Odebeljeno"/>
        <w:spacing w:after="0" w:line="260" w:lineRule="auto"/>
      </w:pPr>
      <w:r>
        <w:t>IV.</w:t>
      </w:r>
      <w:r>
        <w:tab/>
      </w:r>
      <w:r>
        <w:t>PRILOGE</w:t>
      </w:r>
    </w:p>
    <w:p>
      <w:pPr>
        <w:spacing w:after="0" w:line="260" w:lineRule="auto"/>
        <w:rPr>
          <w:rFonts w:ascii="Arial" w:hAnsi="Arial" w:cs="Arial"/>
        </w:rPr>
      </w:pPr>
    </w:p>
    <w:p>
      <w:pPr>
        <w:spacing w:after="0" w:line="240" w:lineRule="auto"/>
      </w:pPr>
      <w:r>
        <w:t>Priloge niso priložene.</w:t>
      </w:r>
    </w:p>
    <w:sectPr>
      <w:footerReference w:type="default" r:id="rId4"/>
      <w:pgMar w:header="708" w:footer="708"/>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i/>
        <w:sz w:val="16"/>
      </w:rPr>
      <w:t>Ustvarjeno v MOPED-DOCS, 20. 03. 2026 12:14:11</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lang w:val="sl-SI"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E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000FF" w:themeColor="hyperlink"/>
      <w:u w:val="single"/>
    </w:rPr>
  </w:style>
  <w:style w:type="paragraph" w:styleId="Header">
    <w:name w:val="header"/>
    <w:basedOn w:val="Normal"/>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DefaultParagraphFont"/>
    <w:link w:val="Header"/>
    <w:uiPriority w:val="99"/>
    <w:rsid w:val="00945425"/>
  </w:style>
  <w:style w:type="paragraph" w:styleId="Footer">
    <w:name w:val="footer"/>
    <w:basedOn w:val="Normal"/>
    <w:link w:val="NogaZnak"/>
    <w:uiPriority w:val="99"/>
    <w:unhideWhenUsed/>
    <w:rsid w:val="00945425"/>
    <w:pPr>
      <w:tabs>
        <w:tab w:val="center" w:pos="4536"/>
        <w:tab w:val="right" w:pos="9072"/>
      </w:tabs>
      <w:spacing w:after="0" w:line="240" w:lineRule="auto"/>
    </w:pPr>
  </w:style>
  <w:style w:type="character" w:customStyle="1" w:styleId="NogaZnak">
    <w:name w:val="Noga Znak"/>
    <w:basedOn w:val="DefaultParagraphFont"/>
    <w:link w:val="Footer"/>
    <w:uiPriority w:val="99"/>
    <w:rsid w:val="00945425"/>
  </w:style>
  <w:style w:type="table" w:styleId="TableGrid">
    <w:name w:val="Table Grid"/>
    <w:basedOn w:val="TableNormal"/>
    <w:uiPriority w:val="39"/>
    <w:rsid w:val="000E3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Podpisnik">
    <w:name w:val="Podpisnik"/>
    <w:basedOn w:val="Normal"/>
    <w:qFormat/>
    <w:rsid w:val="007651EC"/>
    <w:pPr>
      <w:widowControl w:val="0"/>
      <w:spacing w:before="0" w:after="0" w:line="260" w:lineRule="exact"/>
      <w:ind w:left="3969"/>
      <w:jc w:val="center"/>
    </w:pPr>
    <w:rPr>
      <w:b w:val="0"/>
    </w:rPr>
  </w:style>
  <w:style w:type="paragraph" w:customStyle="1" w:styleId="SredinskoOdebeljeno">
    <w:name w:val="SredinskoOdebeljeno"/>
    <w:basedOn w:val="Normal"/>
    <w:qFormat/>
    <w:rsid w:val="007652EC"/>
    <w:pPr>
      <w:spacing w:after="0" w:line="240" w:lineRule="auto"/>
      <w:jc w:val="center"/>
    </w:pPr>
    <w:rPr>
      <w:rFonts w:cs="Arial"/>
      <w:b/>
    </w:rPr>
  </w:style>
  <w:style w:type="paragraph" w:customStyle="1" w:styleId="Sredinsko">
    <w:name w:val="Sredinsko"/>
    <w:basedOn w:val="Normal"/>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TableNormal"/>
    <w:uiPriority w:val="41"/>
    <w:rsid w:val="0018585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4101</Words>
  <Characters>23382</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zorc</cp:lastModifiedBy>
  <cp:revision>3</cp:revision>
  <dcterms:created xsi:type="dcterms:W3CDTF">2019-02-01T07:54:00Z</dcterms:created>
  <dcterms:modified xsi:type="dcterms:W3CDTF">2019-02-01T08:06:00Z</dcterms:modified>
</cp:coreProperties>
</file>