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5.0 -->
  <w:body>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GENERALNI SEKRETARIAT VLADE</w:t>
      </w:r>
    </w:p>
    <w:p>
      <w:pPr>
        <w:pStyle w:val="Odebeljeno"/>
        <w:spacing w:after="0" w:line="260" w:lineRule="auto"/>
      </w:pPr>
      <w:r>
        <w:t>REPUBLIKE SLOVENIJE</w:t>
      </w:r>
    </w:p>
    <w:p>
      <w:pPr>
        <w:pStyle w:val="Odebeljeno"/>
        <w:spacing w:after="0" w:line="260" w:lineRule="auto"/>
      </w:pPr>
      <w:r>
        <w:t>gp.gs@gov.si</w:t>
      </w: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tbl>
      <w:tblPr>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1500"/>
        <w:gridCol w:w="7005"/>
      </w:tblGrid>
      <w:tr>
        <w:tblPrEx>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0" w:type="dxa"/>
          </w:tcPr>
          <w:p>
            <w:pPr>
              <w:spacing w:after="0" w:line="260" w:lineRule="auto"/>
            </w:pPr>
            <w:r>
              <w:t>Številka:</w:t>
            </w:r>
          </w:p>
        </w:tc>
        <w:tc>
          <w:tcPr>
            <w:tcW w:w="7005" w:type="dxa"/>
          </w:tcPr>
          <w:p>
            <w:pPr>
              <w:spacing w:after="0" w:line="260" w:lineRule="auto"/>
            </w:pPr>
          </w:p>
        </w:tc>
      </w:tr>
      <w:tr>
        <w:tblPrEx>
          <w:tblW w:w="8505" w:type="dxa"/>
        </w:tblPrEx>
        <w:tc>
          <w:tcPr>
            <w:tcW w:w="1500" w:type="dxa"/>
          </w:tcPr>
          <w:p>
            <w:pPr>
              <w:spacing w:after="0" w:line="260" w:lineRule="auto"/>
            </w:pPr>
            <w:r>
              <w:t>Ljubljana,</w:t>
            </w:r>
          </w:p>
        </w:tc>
        <w:tc>
          <w:tcPr>
            <w:tcW w:w="7005" w:type="dxa"/>
          </w:tcPr>
          <w:p>
            <w:pPr>
              <w:spacing w:after="0" w:line="260" w:lineRule="auto"/>
            </w:pPr>
            <w:r>
              <w:t>20. 03. 2026</w:t>
            </w:r>
          </w:p>
        </w:tc>
      </w:tr>
      <w:tr>
        <w:tblPrEx>
          <w:tblW w:w="8505" w:type="dxa"/>
        </w:tblPrEx>
        <w:tc>
          <w:tcPr>
            <w:tcW w:w="1500" w:type="dxa"/>
          </w:tcPr>
          <w:p>
            <w:pPr>
              <w:spacing w:after="0" w:line="260" w:lineRule="auto"/>
            </w:pPr>
            <w:r>
              <w:t>EVA:</w:t>
            </w:r>
          </w:p>
        </w:tc>
        <w:tc>
          <w:tcPr>
            <w:tcW w:w="7005" w:type="dxa"/>
          </w:tcPr>
          <w:p>
            <w:pPr>
              <w:spacing w:after="0" w:line="260" w:lineRule="auto"/>
            </w:pPr>
            <w:r>
              <w:t>2026-2430-0012</w:t>
            </w:r>
          </w:p>
        </w:tc>
      </w:tr>
    </w:tbl>
    <w:p>
      <w:pPr>
        <w:spacing w:after="0" w:line="260" w:lineRule="auto"/>
        <w:rPr>
          <w:rFonts w:ascii="Arial" w:hAnsi="Arial" w:cs="Arial"/>
        </w:rPr>
      </w:pPr>
    </w:p>
    <w:tbl>
      <w:tblPr>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1500"/>
        <w:gridCol w:w="7005"/>
      </w:tblGrid>
      <w:tr>
        <w:tblPrEx>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0" w:type="dxa"/>
          </w:tcPr>
          <w:p>
            <w:pPr>
              <w:pStyle w:val="Odebeljeno"/>
              <w:spacing w:after="0" w:line="260" w:lineRule="auto"/>
            </w:pPr>
            <w:r>
              <w:t>ZADEVA:</w:t>
            </w:r>
          </w:p>
        </w:tc>
        <w:tc>
          <w:tcPr>
            <w:tcW w:w="7005" w:type="dxa"/>
          </w:tcPr>
          <w:p>
            <w:pPr>
              <w:pStyle w:val="Odebeljeno"/>
              <w:spacing w:after="0" w:line="260" w:lineRule="auto"/>
            </w:pPr>
            <w:r>
              <w:t>Sklep o določitvi višine pristojbine za zunanje stroške za posamezne razrede vozil nad 3.500 kg največje tehnično dovoljene mase – predlog za obravnavo</w:t>
            </w:r>
          </w:p>
        </w:tc>
      </w:tr>
    </w:tbl>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1.</w:t>
      </w:r>
      <w:r>
        <w:tab/>
      </w:r>
      <w:r>
        <w:t>Predlog sklepa vlade</w:t>
      </w:r>
    </w:p>
    <w:p>
      <w:pPr>
        <w:spacing w:after="0" w:line="260" w:lineRule="auto"/>
        <w:rPr>
          <w:rFonts w:ascii="Arial" w:hAnsi="Arial" w:cs="Arial"/>
        </w:rPr>
      </w:pPr>
    </w:p>
    <w:p>
      <w:pPr>
        <w:spacing w:after="0" w:line="240" w:lineRule="auto"/>
        <w:jc w:val="left"/>
      </w:pPr>
      <w:r>
        <w:t>Na podlagi tretjega odstavka 17.a člena Zakona o cestninjenju (Uradni list RS, št. 102/24 in 14/26) je Vlada Republike Slovenije na svoji …. redni seji dne ….. pod točko …… sprejela naslednji</w:t>
      </w:r>
    </w:p>
    <w:p>
      <w:pPr>
        <w:spacing w:after="0" w:line="240" w:lineRule="auto"/>
        <w:jc w:val="left"/>
      </w:pPr>
      <w:r>
        <w:t xml:space="preserve"> </w:t>
      </w:r>
    </w:p>
    <w:p>
      <w:pPr>
        <w:spacing w:after="0" w:line="240" w:lineRule="auto"/>
      </w:pPr>
      <w:r>
        <w:rPr>
          <w:b/>
        </w:rPr>
        <w:t>SKLEP:</w:t>
      </w:r>
    </w:p>
    <w:p>
      <w:pPr>
        <w:spacing w:after="0" w:line="240" w:lineRule="auto"/>
        <w:jc w:val="left"/>
      </w:pPr>
      <w:r>
        <w:t xml:space="preserve"> </w:t>
      </w:r>
    </w:p>
    <w:p>
      <w:pPr>
        <w:spacing w:after="0" w:line="240" w:lineRule="auto"/>
        <w:jc w:val="both"/>
      </w:pPr>
      <w:r>
        <w:t>Vlada Republike Slovenije je sprejela Sklep o določitvi višine pristojbine za zunanje stroške za posamezne razrede vozil nad 3.500 kg največje tehnično dovoljene mase (EVA 2026-2430-0012) in ga objavi v Uradnem listu Republike Slovenije.</w:t>
      </w:r>
    </w:p>
    <w:p>
      <w:pPr>
        <w:spacing w:after="0" w:line="240" w:lineRule="auto"/>
        <w:jc w:val="both"/>
      </w:pPr>
      <w:r>
        <w:t xml:space="preserve"> </w:t>
      </w:r>
    </w:p>
    <w:p>
      <w:pPr>
        <w:spacing w:after="0" w:line="240" w:lineRule="auto"/>
        <w:jc w:val="center"/>
      </w:pPr>
      <w:r>
        <w:t>Barbara Kolenko Helbl</w:t>
      </w:r>
    </w:p>
    <w:p>
      <w:pPr>
        <w:spacing w:after="0" w:line="240" w:lineRule="auto"/>
        <w:jc w:val="center"/>
      </w:pPr>
      <w:r>
        <w:t>generalna sekretarka</w:t>
      </w:r>
    </w:p>
    <w:p>
      <w:pPr>
        <w:spacing w:after="0" w:line="240" w:lineRule="auto"/>
        <w:jc w:val="both"/>
      </w:pPr>
      <w:r>
        <w:t xml:space="preserve"> </w:t>
      </w:r>
    </w:p>
    <w:p>
      <w:pPr>
        <w:spacing w:after="0" w:line="240" w:lineRule="auto"/>
        <w:jc w:val="both"/>
      </w:pPr>
      <w:r>
        <w:t xml:space="preserve"> </w:t>
      </w:r>
    </w:p>
    <w:p>
      <w:pPr>
        <w:spacing w:after="0" w:line="240" w:lineRule="auto"/>
        <w:jc w:val="both"/>
      </w:pPr>
      <w:r>
        <w:t>Sklep prejmejo:</w:t>
      </w:r>
    </w:p>
    <w:p>
      <w:pPr>
        <w:spacing w:after="0" w:line="240" w:lineRule="auto"/>
        <w:jc w:val="both"/>
      </w:pPr>
      <w:r>
        <w:t>-    Ministrstvo za infrastrukturo</w:t>
      </w:r>
    </w:p>
    <w:p>
      <w:pPr>
        <w:spacing w:after="0" w:line="240" w:lineRule="auto"/>
        <w:jc w:val="both"/>
      </w:pPr>
      <w:r>
        <w:t>-    Ministrstvo za finance</w:t>
      </w:r>
    </w:p>
    <w:p>
      <w:pPr>
        <w:spacing w:after="0" w:line="240" w:lineRule="auto"/>
        <w:jc w:val="both"/>
      </w:pPr>
      <w:r>
        <w:t>-    Služba vlade za zakonodajo</w:t>
      </w:r>
    </w:p>
    <w:p>
      <w:pPr>
        <w:spacing w:after="0" w:line="240" w:lineRule="auto"/>
        <w:jc w:val="both"/>
      </w:pPr>
      <w:r>
        <w:t>-    Generalni sekretariat Vlade RS</w:t>
      </w:r>
    </w:p>
    <w:p>
      <w:pPr>
        <w:spacing w:after="0" w:line="240" w:lineRule="auto"/>
        <w:jc w:val="both"/>
      </w:pPr>
      <w:r>
        <w:t>-    DARS, d. d.</w:t>
      </w:r>
    </w:p>
    <w:p>
      <w:pPr>
        <w:spacing w:after="0" w:line="260" w:lineRule="auto"/>
        <w:rPr>
          <w:rFonts w:ascii="Arial" w:hAnsi="Arial" w:cs="Arial"/>
        </w:rPr>
      </w:pPr>
    </w:p>
    <w:p>
      <w:pPr>
        <w:pStyle w:val="Odebeljeno"/>
        <w:spacing w:after="0" w:line="260" w:lineRule="auto"/>
      </w:pPr>
      <w:r>
        <w:t>2.</w:t>
      </w:r>
      <w:r>
        <w:tab/>
      </w:r>
      <w:r>
        <w:t>Predlog za obravnavo predloga zakona po nujnem ali skrajšanem postopku v državnem zboru z obrazložitvijo razlogov</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3.</w:t>
      </w:r>
      <w:r>
        <w:tab/>
      </w:r>
      <w:r>
        <w:t>Osebe, odgovorne za strokovno pripravo in usklajenost gradiva</w:t>
      </w:r>
    </w:p>
    <w:p>
      <w:pPr>
        <w:spacing w:after="0" w:line="260" w:lineRule="auto"/>
        <w:rPr>
          <w:rFonts w:ascii="Arial" w:hAnsi="Arial" w:cs="Arial"/>
        </w:rPr>
      </w:pPr>
    </w:p>
    <w:p>
      <w:pPr>
        <w:spacing w:after="0" w:line="240" w:lineRule="auto"/>
        <w:jc w:val="left"/>
      </w:pPr>
      <w:r>
        <w:t>-   mag. Andreja Knez, generalna direktorica Direktorata za ceste in cestni promet;</w:t>
      </w:r>
    </w:p>
    <w:p>
      <w:pPr>
        <w:spacing w:after="0" w:line="240" w:lineRule="auto"/>
        <w:jc w:val="left"/>
      </w:pPr>
      <w:r>
        <w:t>-   Damijan Leskovšek, vodja Sektorja za ceste;</w:t>
      </w:r>
    </w:p>
    <w:p>
      <w:pPr>
        <w:spacing w:after="0" w:line="240" w:lineRule="auto"/>
      </w:pPr>
      <w:r>
        <w:t xml:space="preserve">   -   Leon Pregelj, višji svetovalec, Sektor za ceste.</w:t>
      </w:r>
    </w:p>
    <w:p>
      <w:pPr>
        <w:spacing w:after="0" w:line="260" w:lineRule="auto"/>
        <w:rPr>
          <w:rFonts w:ascii="Arial" w:hAnsi="Arial" w:cs="Arial"/>
        </w:rPr>
      </w:pPr>
    </w:p>
    <w:p>
      <w:pPr>
        <w:pStyle w:val="Odebeljeno"/>
        <w:spacing w:after="0" w:line="260" w:lineRule="auto"/>
      </w:pPr>
      <w:r>
        <w:t>4.</w:t>
      </w:r>
      <w:r>
        <w:tab/>
      </w:r>
      <w:r>
        <w:t>Zunanji strokovnjaki, ki so sodelovali pri pripravi dela ali celotnega gradiva, in s tem povezani stroški</w:t>
      </w:r>
    </w:p>
    <w:p>
      <w:pPr>
        <w:spacing w:after="0" w:line="260" w:lineRule="auto"/>
        <w:rPr>
          <w:rFonts w:ascii="Arial" w:hAnsi="Arial" w:cs="Arial"/>
        </w:rPr>
      </w:pPr>
    </w:p>
    <w:p>
      <w:pPr>
        <w:spacing w:after="0" w:line="240" w:lineRule="auto"/>
      </w:pPr>
      <w:r>
        <w:t>Pri pripravi predpisa ni sodeloval zunanji strokovnjak oziroma pravna oseba.</w:t>
      </w:r>
    </w:p>
    <w:p>
      <w:pPr>
        <w:spacing w:after="0" w:line="260" w:lineRule="auto"/>
        <w:rPr>
          <w:rFonts w:ascii="Arial" w:hAnsi="Arial" w:cs="Arial"/>
        </w:rPr>
      </w:pPr>
    </w:p>
    <w:p>
      <w:pPr>
        <w:pStyle w:val="Odebeljeno"/>
        <w:spacing w:after="0" w:line="260" w:lineRule="auto"/>
      </w:pPr>
      <w:r>
        <w:t>5.</w:t>
      </w:r>
      <w:r>
        <w:tab/>
      </w:r>
      <w:r>
        <w:t>Predstavniki vlade, ki bodo sodelovali pri delu državnega zbora</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6.</w:t>
      </w:r>
      <w:r>
        <w:tab/>
      </w:r>
      <w:r>
        <w:t>Kratek povzetek gradiva</w:t>
      </w:r>
    </w:p>
    <w:p>
      <w:pPr>
        <w:spacing w:after="0" w:line="260" w:lineRule="auto"/>
        <w:rPr>
          <w:rFonts w:ascii="Arial" w:hAnsi="Arial" w:cs="Arial"/>
        </w:rPr>
      </w:pPr>
    </w:p>
    <w:p>
      <w:pPr>
        <w:spacing w:after="0" w:line="240" w:lineRule="auto"/>
      </w:pPr>
      <w:r>
        <w:t>S predlaganim Sklepom o določitvi višine pristojbine za zunanje stroške za posamezne razrede vozil nad 3.500 kg največje tehnično dovoljene mase se določa višina pristojbine za zunanje stroške zaradi onesnaževanja zraka zaradi prometa in za stroške obremenitev s hrupom zaradi prometa za posamezne razrede vozil, katerih največja tehnično dovoljena masa presega 3.500 kg, na primestnih in medmestnih cestninskih cestah.</w:t>
      </w:r>
    </w:p>
    <w:p>
      <w:pPr>
        <w:spacing w:after="0" w:line="240" w:lineRule="auto"/>
      </w:pPr>
      <w:r>
        <w:t xml:space="preserve"> </w:t>
      </w:r>
    </w:p>
    <w:p>
      <w:pPr>
        <w:spacing w:after="0" w:line="240" w:lineRule="auto"/>
      </w:pPr>
      <w:r>
        <w:t>Eden glavnih ciljev Direktive (EU) 2022/362 o spremembi direktiv 1999/62/ES, 1999/37/ES in (EU) 2019/520 glede zaračunavanja pristojbin vozilom za uporabo določene infrastrukture, ki je bila z Zakonom o cestninjenju (ZCestn-1) prenesena v slovenski pravni red, je uvedba pristojbine za zunanje stroške, ki se vozilom nad 3.500 kg največje tehnično dovoljene mase zaračunava poleg infrastrukturne pristojbine.</w:t>
      </w:r>
    </w:p>
    <w:p>
      <w:pPr>
        <w:spacing w:after="0" w:line="240" w:lineRule="auto"/>
      </w:pPr>
      <w:r>
        <w:t xml:space="preserve"> </w:t>
      </w:r>
    </w:p>
    <w:p>
      <w:pPr>
        <w:spacing w:after="0" w:line="240" w:lineRule="auto"/>
        <w:jc w:val="left"/>
      </w:pPr>
      <w:r>
        <w:t>Pristojbina za zunanje stroške se določa v skladu z referenčnimi vrednostmi iz Priloge III b Direktive 1999/62/ES. Sredstva, zbrana sredstva iz tega naslova pa predstavljajo prihodek državnega proračuna in se uporabljajo za ukrepe na področju izboljšanja prometnega sistema, zmanjševanja vplivov prometa na okolje ter razvoja prometne infrastrukture. Višina pristojbine je določena različno za medmestne in primestne ceste.</w:t>
      </w:r>
    </w:p>
    <w:p>
      <w:pPr>
        <w:spacing w:after="0" w:line="240" w:lineRule="auto"/>
        <w:jc w:val="left"/>
      </w:pPr>
      <w:r>
        <w:t xml:space="preserve"> </w:t>
      </w:r>
    </w:p>
    <w:p>
      <w:pPr>
        <w:spacing w:after="0" w:line="240" w:lineRule="auto"/>
      </w:pPr>
      <w:r>
        <w:t>Sklep se začne uporabljati 1. aprila 2026, saj mora upravljavec cestninskega omrežja v vmesnem času tehnično prilagoditi informacijski sistem in na določenih odsekih izvesti testiranja posameznih podsistemov v okviru elektronskega cestninskega sistema za vozila, katerih največja dovoljena masa presega 3.500 kg.</w:t>
      </w:r>
    </w:p>
    <w:p>
      <w:pPr>
        <w:spacing w:after="0" w:line="260" w:lineRule="auto"/>
        <w:rPr>
          <w:rFonts w:ascii="Arial" w:hAnsi="Arial" w:cs="Arial"/>
        </w:rPr>
      </w:pPr>
    </w:p>
    <w:p>
      <w:pPr>
        <w:pStyle w:val="Odebeljeno"/>
        <w:spacing w:after="0" w:line="260" w:lineRule="auto"/>
      </w:pPr>
      <w:r>
        <w:t>7.</w:t>
      </w:r>
      <w:r>
        <w:tab/>
      </w:r>
      <w:r>
        <w:t>Presoja posledic za</w:t>
      </w:r>
    </w:p>
    <w:p>
      <w:pPr>
        <w:spacing w:after="0" w:line="260" w:lineRule="auto"/>
        <w:rPr>
          <w:rFonts w:ascii="Arial" w:hAnsi="Arial"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4961"/>
        <w:gridCol w:w="2268"/>
      </w:tblGrid>
      <w:tr>
        <w:tblPrEx>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76" w:type="dxa"/>
          </w:tcPr>
          <w:p>
            <w:pPr>
              <w:spacing w:before="0" w:after="0" w:line="260" w:lineRule="exact"/>
              <w:ind w:left="360"/>
            </w:pPr>
            <w:r>
              <w:rPr>
                <w:iCs/>
              </w:rPr>
              <w:t>a)</w:t>
            </w:r>
          </w:p>
        </w:tc>
        <w:tc>
          <w:tcPr>
            <w:tcW w:w="4961" w:type="dxa"/>
          </w:tcPr>
          <w:p>
            <w:pPr>
              <w:spacing w:before="0" w:after="0" w:line="260" w:lineRule="exact"/>
              <w:jc w:val="both"/>
            </w:pPr>
            <w:r>
              <w:t>javnofinančna sredstva nad 40.000 EUR v tekočem in naslednjih treh letih,</w:t>
            </w:r>
          </w:p>
        </w:tc>
        <w:tc>
          <w:tcPr>
            <w:tcW w:w="2268" w:type="dxa"/>
          </w:tcPr>
          <w:p>
            <w:pPr>
              <w:spacing w:before="0" w:after="0" w:line="260" w:lineRule="exact"/>
              <w:jc w:val="center"/>
              <w:rPr>
                <w:iCs/>
              </w:rPr>
            </w:pPr>
            <w:r>
              <w:t>ne</w:t>
            </w:r>
          </w:p>
        </w:tc>
      </w:tr>
      <w:tr>
        <w:tblPrEx>
          <w:tblW w:w="8505" w:type="dxa"/>
          <w:tblInd w:w="108" w:type="dxa"/>
          <w:tblLook w:val="04A0"/>
        </w:tblPrEx>
        <w:tc>
          <w:tcPr>
            <w:tcW w:w="1276" w:type="dxa"/>
          </w:tcPr>
          <w:p>
            <w:pPr>
              <w:spacing w:before="0" w:after="0" w:line="260" w:lineRule="exact"/>
              <w:ind w:left="360"/>
              <w:rPr>
                <w:iCs/>
              </w:rPr>
            </w:pPr>
            <w:r>
              <w:rPr>
                <w:iCs/>
              </w:rPr>
              <w:t>b)</w:t>
            </w:r>
          </w:p>
        </w:tc>
        <w:tc>
          <w:tcPr>
            <w:tcW w:w="4961" w:type="dxa"/>
          </w:tcPr>
          <w:p>
            <w:pPr>
              <w:spacing w:before="0" w:after="0" w:line="260" w:lineRule="exact"/>
              <w:jc w:val="both"/>
              <w:rPr>
                <w:iCs/>
              </w:rPr>
            </w:pPr>
            <w:r>
              <w:rPr>
                <w:bCs/>
              </w:rPr>
              <w:t>usklajenost pravnega reda Republike Slovenije s pravnim redom Evropske unije,</w:t>
            </w:r>
          </w:p>
        </w:tc>
        <w:tc>
          <w:tcPr>
            <w:tcW w:w="2268" w:type="dxa"/>
          </w:tcPr>
          <w:p>
            <w:pPr>
              <w:spacing w:before="0" w:after="0" w:line="260" w:lineRule="exact"/>
              <w:jc w:val="center"/>
              <w:rPr>
                <w:iCs/>
              </w:rPr>
            </w:pPr>
            <w:r>
              <w:t>ne</w:t>
            </w:r>
          </w:p>
        </w:tc>
      </w:tr>
      <w:tr>
        <w:tblPrEx>
          <w:tblW w:w="8505" w:type="dxa"/>
          <w:tblInd w:w="108" w:type="dxa"/>
          <w:tblLook w:val="04A0"/>
        </w:tblPrEx>
        <w:tc>
          <w:tcPr>
            <w:tcW w:w="1276" w:type="dxa"/>
          </w:tcPr>
          <w:p>
            <w:pPr>
              <w:spacing w:before="0" w:after="0" w:line="260" w:lineRule="exact"/>
              <w:ind w:left="360"/>
              <w:rPr>
                <w:iCs/>
              </w:rPr>
            </w:pPr>
            <w:r>
              <w:rPr>
                <w:iCs/>
              </w:rPr>
              <w:t>c)</w:t>
            </w:r>
          </w:p>
        </w:tc>
        <w:tc>
          <w:tcPr>
            <w:tcW w:w="4961" w:type="dxa"/>
          </w:tcPr>
          <w:p>
            <w:pPr>
              <w:spacing w:before="0" w:after="0" w:line="260" w:lineRule="exact"/>
              <w:jc w:val="both"/>
              <w:rPr>
                <w:iCs/>
                <w:sz w:val="20"/>
              </w:rPr>
            </w:pPr>
            <w:r>
              <w:t>administrativne posledice,</w:t>
            </w:r>
          </w:p>
        </w:tc>
        <w:tc>
          <w:tcPr>
            <w:tcW w:w="2268" w:type="dxa"/>
          </w:tcPr>
          <w:p>
            <w:pPr>
              <w:spacing w:before="0" w:after="0" w:line="260" w:lineRule="exact"/>
              <w:jc w:val="center"/>
            </w:pPr>
            <w:r>
              <w:t>ne</w:t>
            </w:r>
          </w:p>
        </w:tc>
      </w:tr>
      <w:tr>
        <w:tblPrEx>
          <w:tblW w:w="8505" w:type="dxa"/>
          <w:tblInd w:w="108" w:type="dxa"/>
          <w:tblLook w:val="04A0"/>
        </w:tblPrEx>
        <w:tc>
          <w:tcPr>
            <w:tcW w:w="1276" w:type="dxa"/>
          </w:tcPr>
          <w:p>
            <w:pPr>
              <w:spacing w:before="0" w:after="0" w:line="260" w:lineRule="exact"/>
              <w:ind w:left="360"/>
              <w:rPr>
                <w:iCs/>
              </w:rPr>
            </w:pPr>
            <w:r>
              <w:rPr>
                <w:iCs/>
              </w:rPr>
              <w:t>č)</w:t>
            </w:r>
          </w:p>
        </w:tc>
        <w:tc>
          <w:tcPr>
            <w:tcW w:w="4961" w:type="dxa"/>
          </w:tcPr>
          <w:p>
            <w:pPr>
              <w:spacing w:before="0" w:after="0" w:line="260" w:lineRule="exact"/>
              <w:jc w:val="both"/>
              <w:rPr>
                <w:bCs/>
              </w:rPr>
            </w:pPr>
            <w:r>
              <w:t>gospodarstvo, zlasti</w:t>
            </w:r>
            <w:r>
              <w:rPr>
                <w:bCs/>
              </w:rPr>
              <w:t xml:space="preserve"> mala in srednja podjetja ter konkurenčnost podjetij,</w:t>
            </w:r>
            <w:bookmarkStart w:id="0" w:name="_GoBack"/>
            <w:bookmarkEnd w:id="0"/>
          </w:p>
        </w:tc>
        <w:tc>
          <w:tcPr>
            <w:tcW w:w="2268" w:type="dxa"/>
          </w:tcPr>
          <w:p>
            <w:pPr>
              <w:spacing w:before="0" w:after="0" w:line="260" w:lineRule="exact"/>
              <w:jc w:val="center"/>
              <w:rPr>
                <w:iCs/>
              </w:rPr>
            </w:pPr>
            <w:r>
              <w:t>ne</w:t>
            </w:r>
          </w:p>
        </w:tc>
      </w:tr>
      <w:tr>
        <w:tblPrEx>
          <w:tblW w:w="8505" w:type="dxa"/>
          <w:tblInd w:w="108" w:type="dxa"/>
          <w:tblLook w:val="04A0"/>
        </w:tblPrEx>
        <w:tc>
          <w:tcPr>
            <w:tcW w:w="1276" w:type="dxa"/>
          </w:tcPr>
          <w:p>
            <w:pPr>
              <w:spacing w:before="0" w:after="0" w:line="260" w:lineRule="exact"/>
              <w:ind w:left="360"/>
              <w:rPr>
                <w:iCs/>
              </w:rPr>
            </w:pPr>
            <w:r>
              <w:rPr>
                <w:iCs/>
              </w:rPr>
              <w:t>d)</w:t>
            </w:r>
          </w:p>
        </w:tc>
        <w:tc>
          <w:tcPr>
            <w:tcW w:w="4961" w:type="dxa"/>
          </w:tcPr>
          <w:p>
            <w:pPr>
              <w:spacing w:before="0" w:after="0" w:line="260" w:lineRule="exact"/>
              <w:jc w:val="both"/>
              <w:rPr>
                <w:bCs/>
              </w:rPr>
            </w:pPr>
            <w:r>
              <w:rPr>
                <w:bCs/>
              </w:rPr>
              <w:t>okolje, vključno s prostorskimi in varstvenimi vidiki,</w:t>
            </w:r>
          </w:p>
        </w:tc>
        <w:tc>
          <w:tcPr>
            <w:tcW w:w="2268" w:type="dxa"/>
          </w:tcPr>
          <w:p>
            <w:pPr>
              <w:spacing w:before="0" w:after="0" w:line="260" w:lineRule="exact"/>
              <w:jc w:val="center"/>
              <w:rPr>
                <w:iCs/>
              </w:rPr>
            </w:pPr>
            <w:r>
              <w:t>ne</w:t>
            </w:r>
          </w:p>
        </w:tc>
      </w:tr>
      <w:tr>
        <w:tblPrEx>
          <w:tblW w:w="8505" w:type="dxa"/>
          <w:tblInd w:w="108" w:type="dxa"/>
          <w:tblLook w:val="04A0"/>
        </w:tblPrEx>
        <w:tc>
          <w:tcPr>
            <w:tcW w:w="1276" w:type="dxa"/>
          </w:tcPr>
          <w:p>
            <w:pPr>
              <w:spacing w:before="0" w:after="0" w:line="260" w:lineRule="exact"/>
              <w:ind w:left="360"/>
              <w:rPr>
                <w:iCs/>
              </w:rPr>
            </w:pPr>
            <w:r>
              <w:rPr>
                <w:iCs/>
              </w:rPr>
              <w:t>e)</w:t>
            </w:r>
          </w:p>
        </w:tc>
        <w:tc>
          <w:tcPr>
            <w:tcW w:w="4961" w:type="dxa"/>
          </w:tcPr>
          <w:p>
            <w:pPr>
              <w:spacing w:before="0" w:after="0" w:line="260" w:lineRule="exact"/>
              <w:jc w:val="both"/>
              <w:rPr>
                <w:bCs/>
              </w:rPr>
            </w:pPr>
            <w:r>
              <w:rPr>
                <w:bCs/>
              </w:rPr>
              <w:t>socialno področje,</w:t>
            </w:r>
          </w:p>
        </w:tc>
        <w:tc>
          <w:tcPr>
            <w:tcW w:w="2268" w:type="dxa"/>
          </w:tcPr>
          <w:p>
            <w:pPr>
              <w:spacing w:before="0" w:after="0" w:line="260" w:lineRule="exact"/>
              <w:jc w:val="center"/>
              <w:rPr>
                <w:iCs/>
              </w:rPr>
            </w:pPr>
            <w:r w:rsidRPr="0096422C">
              <w:t>ne</w:t>
            </w:r>
          </w:p>
        </w:tc>
      </w:tr>
      <w:tr>
        <w:tblPrEx>
          <w:tblW w:w="8505" w:type="dxa"/>
          <w:tblInd w:w="108" w:type="dxa"/>
          <w:tblLook w:val="04A0"/>
        </w:tblPrEx>
        <w:tc>
          <w:tcPr>
            <w:tcW w:w="1276" w:type="dxa"/>
          </w:tcPr>
          <w:p>
            <w:pPr>
              <w:spacing w:before="0" w:after="0" w:line="260" w:lineRule="exact"/>
              <w:ind w:left="360"/>
              <w:rPr>
                <w:iCs/>
              </w:rPr>
            </w:pPr>
            <w:r>
              <w:rPr>
                <w:iCs/>
              </w:rPr>
              <w:t>f)</w:t>
            </w:r>
          </w:p>
        </w:tc>
        <w:tc>
          <w:tcPr>
            <w:tcW w:w="4961" w:type="dxa"/>
          </w:tcPr>
          <w:p>
            <w:pPr>
              <w:spacing w:before="0" w:after="0" w:line="260" w:lineRule="exact"/>
              <w:jc w:val="both"/>
              <w:rPr>
                <w:bCs/>
              </w:rPr>
            </w:pPr>
            <w:r>
              <w:rPr>
                <w:bCs/>
              </w:rPr>
              <w:t>dokumente razvojnega načrtovanja.</w:t>
            </w:r>
          </w:p>
        </w:tc>
        <w:tc>
          <w:tcPr>
            <w:tcW w:w="2268" w:type="dxa"/>
          </w:tcPr>
          <w:p>
            <w:pPr>
              <w:spacing w:before="0" w:after="0" w:line="260" w:lineRule="exact"/>
              <w:jc w:val="center"/>
              <w:rPr>
                <w:iCs/>
              </w:rPr>
            </w:pPr>
            <w:r w:rsidRPr="0096422C">
              <w:t>ne</w:t>
            </w:r>
          </w:p>
        </w:tc>
      </w:tr>
    </w:tbl>
    <w:p>
      <w:pPr>
        <w:spacing w:after="0" w:line="260" w:lineRule="auto"/>
        <w:rPr>
          <w:rFonts w:ascii="Arial" w:hAnsi="Arial" w:cs="Arial"/>
        </w:rPr>
      </w:pPr>
    </w:p>
    <w:p>
      <w:pPr>
        <w:pStyle w:val="Odebeljeno"/>
        <w:spacing w:after="0" w:line="260" w:lineRule="auto"/>
      </w:pPr>
      <w:r>
        <w:t>8.</w:t>
      </w:r>
      <w:r>
        <w:tab/>
      </w:r>
      <w:r>
        <w:t>Predstavitev ocene finančnih posledic</w:t>
      </w:r>
    </w:p>
    <w:p>
      <w:pPr>
        <w:spacing w:after="0" w:line="260" w:lineRule="auto"/>
        <w:rPr>
          <w:rFonts w:ascii="Arial" w:hAnsi="Arial" w:cs="Arial"/>
        </w:rPr>
      </w:pPr>
    </w:p>
    <w:p>
      <w:pPr>
        <w:spacing w:after="0" w:line="260" w:lineRule="auto"/>
      </w:pPr>
      <w:r>
        <w:t>Presoja posledic je bila opravljena ob sprejemanju zakona, ki je podlaga za izdajo tega predloga.</w:t>
      </w:r>
    </w:p>
    <w:p>
      <w:pPr>
        <w:spacing w:after="0" w:line="260" w:lineRule="auto"/>
        <w:rPr>
          <w:rFonts w:ascii="Arial" w:hAnsi="Arial" w:cs="Arial"/>
        </w:rPr>
      </w:pPr>
    </w:p>
    <w:p>
      <w:pPr>
        <w:pStyle w:val="Odebeljeno"/>
        <w:spacing w:after="0" w:line="260" w:lineRule="auto"/>
      </w:pPr>
      <w:r>
        <w:t>9.</w:t>
      </w:r>
      <w:r>
        <w:tab/>
      </w:r>
      <w:r>
        <w:t>Predstavitev sodelovanja z združenji občin</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10.</w:t>
      </w:r>
      <w:r>
        <w:tab/>
      </w:r>
      <w:r>
        <w:t>Predstavitev sodelovanja javnosti</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11.</w:t>
      </w:r>
      <w:r>
        <w:tab/>
      </w:r>
      <w:r>
        <w:t>Spoštovanje Resolucije o normativni dejavnosti</w:t>
      </w:r>
    </w:p>
    <w:p>
      <w:pPr>
        <w:spacing w:after="0" w:line="260" w:lineRule="auto"/>
        <w:rPr>
          <w:rFonts w:ascii="Arial" w:hAnsi="Arial" w:cs="Arial"/>
        </w:rPr>
      </w:pPr>
    </w:p>
    <w:p>
      <w:pPr>
        <w:spacing w:after="0" w:line="260" w:lineRule="auto"/>
      </w:pPr>
      <w:r>
        <w:t>Pri pripravi gradiva so bile upoštevane zahteve iz Resolucije o normativni dejavnosti.</w:t>
      </w:r>
    </w:p>
    <w:p>
      <w:pPr>
        <w:spacing w:after="0" w:line="260" w:lineRule="auto"/>
        <w:rPr>
          <w:rFonts w:ascii="Arial" w:hAnsi="Arial" w:cs="Arial"/>
        </w:rPr>
      </w:pPr>
    </w:p>
    <w:p>
      <w:pPr>
        <w:pStyle w:val="Odebeljeno"/>
        <w:spacing w:after="0" w:line="260" w:lineRule="auto"/>
      </w:pPr>
      <w:r>
        <w:t>12.</w:t>
      </w:r>
      <w:r>
        <w:tab/>
      </w:r>
      <w:r>
        <w:t>Vključitev v okvirni načrt normativne dejavnosti</w:t>
      </w:r>
    </w:p>
    <w:p>
      <w:pPr>
        <w:spacing w:after="0" w:line="260" w:lineRule="auto"/>
        <w:rPr>
          <w:rFonts w:ascii="Arial" w:hAnsi="Arial" w:cs="Arial"/>
        </w:rPr>
      </w:pPr>
    </w:p>
    <w:p>
      <w:pPr>
        <w:spacing w:after="0" w:line="260" w:lineRule="auto"/>
      </w:pPr>
      <w:r>
        <w:t>Predlog predpisa, ki je predmet gradiva, ni vključen v okvirni načrt normativne dejavnosti.</w:t>
      </w:r>
    </w:p>
    <w:p>
      <w:pPr>
        <w:spacing w:after="0" w:line="260" w:lineRule="auto"/>
        <w:rPr>
          <w:rFonts w:ascii="Arial" w:hAnsi="Arial" w:cs="Arial"/>
        </w:rPr>
      </w:pPr>
    </w:p>
    <w:p>
      <w:pPr>
        <w:widowControl w:val="0"/>
        <w:spacing w:before="0" w:after="0" w:line="260" w:lineRule="exact"/>
        <w:ind w:left="3969"/>
        <w:jc w:val="center"/>
        <w:rPr>
          <w:b w:val="0"/>
        </w:rPr>
      </w:pPr>
      <w:r>
        <w:rPr>
          <w:b w:val="0"/>
        </w:rPr>
        <w:t>PREDLAGATELJ</w:t>
      </w:r>
    </w:p>
    <w:p>
      <w:pPr>
        <w:spacing w:before="0" w:after="0" w:line="260" w:lineRule="exact"/>
        <w:ind w:left="3969"/>
        <w:jc w:val="center"/>
      </w:pPr>
      <w:r>
        <w:t>[...]</w:t>
      </w:r>
    </w:p>
    <w:p>
      <w:pPr>
        <w:spacing w:before="0" w:after="0" w:line="260" w:lineRule="exact"/>
        <w:ind w:left="3969"/>
        <w:jc w:val="center"/>
      </w:pPr>
    </w:p>
    <w:sectPr w:rsidSect="00945425">
      <w:footerReference w:type="default" r:id="rId4"/>
      <w:headerReference w:type="first" r:id="rId5"/>
      <w:pgSz w:w="11906" w:h="16838"/>
      <w:pgMar w:top="1700" w:right="1700" w:bottom="1134" w:left="17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rPr>
        <w:i/>
        <w:sz w:val="16"/>
      </w:rPr>
      <w:t>Ustvarjeno v MOPED-DOCS, 20. 03. 2026 12:14:11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5425" w:rsidRPr="000E33E4">
    <w:pPr>
      <w:pStyle w:val="Header"/>
      <w:rPr>
        <w:rFonts w:ascii="Arial" w:hAnsi="Arial"/>
        <w:sz w:val="24"/>
        <w:szCs w:val="24"/>
      </w:rPr>
    </w:pPr>
    <w:r w:rsidRPr="000E33E4">
      <w:rPr>
        <w:noProof/>
        <w:sz w:val="24"/>
        <w:szCs w:val="24"/>
        <w:lang w:val="sl-SI"/>
      </w:rPr>
      <w:drawing>
        <wp:anchor distT="0" distB="0" distL="114300" distR="114300" simplePos="0" relativeHeight="251658240" behindDoc="1" locked="0" layoutInCell="1" allowOverlap="1">
          <wp:simplePos x="0" y="0"/>
          <wp:positionH relativeFrom="column">
            <wp:posOffset>-553720</wp:posOffset>
          </wp:positionH>
          <wp:positionV relativeFrom="paragraph">
            <wp:posOffset>-31750</wp:posOffset>
          </wp:positionV>
          <wp:extent cx="382270" cy="396240"/>
          <wp:effectExtent l="0" t="0" r="0" b="3810"/>
          <wp:wrapTight wrapText="bothSides">
            <wp:wrapPolygon>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rPr>
        <w:rFonts w:ascii="Arial" w:hAnsi="Arial"/>
        <w:sz w:val="20"/>
        <w:szCs w:val="20"/>
      </w:rPr>
      <w:t>REPUBLIKA SLOVENIJA</w:t>
    </w:r>
  </w:p>
  <w:p w:rsidR="000E33E4" w:rsidRPr="000E33E4">
    <w:pPr>
      <w:pStyle w:val="Header"/>
      <w:jc w:val="left"/>
      <w:rPr>
        <w:rFonts w:ascii="Arial" w:hAnsi="Arial"/>
        <w:b/>
        <w:sz w:val="20"/>
        <w:szCs w:val="20"/>
      </w:rPr>
    </w:pPr>
    <w:r w:rsidRPr="000E33E4">
      <w:rPr>
        <w:rFonts w:ascii="Arial" w:hAnsi="Arial"/>
        <w:b/>
        <w:sz w:val="20"/>
        <w:szCs w:val="20"/>
      </w:rPr>
      <w:t>MINISTRSTVO ZA INFRASTRUKTURO</w:t>
    </w:r>
  </w:p>
  <w:p w:rsidR="000E33E4" w:rsidRPr="000E33E4">
    <w:pPr>
      <w:pStyle w:val="Header"/>
      <w:rPr>
        <w:rFonts w:ascii="Arial" w:hAnsi="Arial"/>
        <w:b/>
        <w:sz w:val="20"/>
        <w:szCs w:val="20"/>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2"/>
      <w:gridCol w:w="3826"/>
    </w:tblGrid>
    <w:tr w:rsidTr="000E33E4">
      <w:tblPrEx>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102" w:type="dxa"/>
        </w:tcPr>
        <w:p w:rsidR="000E33E4">
          <w:pPr>
            <w:pStyle w:val="Header"/>
            <w:rPr>
              <w:rFonts w:ascii="Arial" w:hAnsi="Arial"/>
              <w:sz w:val="16"/>
              <w:szCs w:val="16"/>
            </w:rPr>
          </w:pPr>
          <w:r>
            <w:rPr>
              <w:rFonts w:ascii="Arial" w:hAnsi="Arial"/>
              <w:sz w:val="16"/>
              <w:szCs w:val="16"/>
            </w:rPr>
            <w:t>Tržaška cesta 19 1000 Ljubljana</w:t>
          </w:r>
        </w:p>
      </w:tc>
      <w:tc>
        <w:tcPr>
          <w:tcW w:w="3826" w:type="dxa"/>
        </w:tcPr>
        <w:p w:rsidR="000E33E4">
          <w:pPr>
            <w:pStyle w:val="Header"/>
            <w:rPr>
              <w:rFonts w:ascii="Arial" w:hAnsi="Arial"/>
              <w:sz w:val="16"/>
              <w:szCs w:val="16"/>
            </w:rPr>
          </w:pPr>
          <w:r>
            <w:rPr>
              <w:rFonts w:ascii="Arial" w:hAnsi="Arial"/>
              <w:sz w:val="16"/>
              <w:szCs w:val="16"/>
            </w:rPr>
            <w:t>T: 01 478 80 00</w:t>
          </w:r>
        </w:p>
        <w:p w:rsidR="000E33E4">
          <w:pPr>
            <w:pStyle w:val="Header"/>
            <w:rPr>
              <w:rFonts w:ascii="Arial" w:hAnsi="Arial"/>
              <w:sz w:val="16"/>
              <w:szCs w:val="16"/>
            </w:rPr>
          </w:pPr>
          <w:r>
            <w:rPr>
              <w:rFonts w:ascii="Arial" w:hAnsi="Arial"/>
              <w:sz w:val="16"/>
              <w:szCs w:val="16"/>
            </w:rPr>
            <w:t xml:space="preserve">E: </w:t>
          </w:r>
          <w:hyperlink r:id="rId2" w:history="1">
            <w:r w:rsidRPr="001C566E">
              <w:rPr>
                <w:rStyle w:val="DefaultParagraphFont"/>
                <w:rFonts w:ascii="Arial" w:hAnsi="Arial"/>
                <w:sz w:val="16"/>
                <w:szCs w:val="16"/>
              </w:rPr>
              <w:t>gp.mzi@gov.si</w:t>
            </w:r>
          </w:hyperlink>
        </w:p>
        <w:p w:rsidR="000E33E4">
          <w:pPr>
            <w:pStyle w:val="Header"/>
            <w:rPr>
              <w:rFonts w:ascii="Arial" w:hAnsi="Arial"/>
              <w:sz w:val="16"/>
              <w:szCs w:val="16"/>
            </w:rPr>
          </w:pPr>
          <w:r>
            <w:rPr>
              <w:rFonts w:ascii="Arial" w:hAnsi="Arial"/>
              <w:sz w:val="16"/>
              <w:szCs w:val="16"/>
            </w:rPr>
            <w:t>https://www.gov.si/drzavni-organi/ministrstva/ministrstvo-za-infrastrukturo/</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0E33E4"/>
    <w:rsid w:val="001C566E"/>
    <w:rsid w:val="00945425"/>
    <w:rsid w:val="0096422C"/>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inorBidi"/>
        <w:lang w:val="sl-SI"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E2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DefaultParagraphFont"/>
    <w:uiPriority w:val="99"/>
    <w:unhideWhenUsed/>
    <w:rsid w:val="005C3D8F"/>
    <w:rPr>
      <w:color w:val="0000FF" w:themeColor="hyperlink"/>
      <w:u w:val="single"/>
    </w:rPr>
  </w:style>
  <w:style w:type="paragraph" w:styleId="Header">
    <w:name w:val="header"/>
    <w:basedOn w:val="Normal"/>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DefaultParagraphFont"/>
    <w:link w:val="Header"/>
    <w:uiPriority w:val="99"/>
    <w:rsid w:val="00945425"/>
  </w:style>
  <w:style w:type="paragraph" w:styleId="Footer">
    <w:name w:val="footer"/>
    <w:basedOn w:val="Normal"/>
    <w:link w:val="NogaZnak"/>
    <w:uiPriority w:val="99"/>
    <w:unhideWhenUsed/>
    <w:rsid w:val="00945425"/>
    <w:pPr>
      <w:tabs>
        <w:tab w:val="center" w:pos="4536"/>
        <w:tab w:val="right" w:pos="9072"/>
      </w:tabs>
      <w:spacing w:after="0" w:line="240" w:lineRule="auto"/>
    </w:pPr>
  </w:style>
  <w:style w:type="character" w:customStyle="1" w:styleId="NogaZnak">
    <w:name w:val="Noga Znak"/>
    <w:basedOn w:val="DefaultParagraphFont"/>
    <w:link w:val="Footer"/>
    <w:uiPriority w:val="99"/>
    <w:rsid w:val="00945425"/>
  </w:style>
  <w:style w:type="table" w:styleId="TableGrid">
    <w:name w:val="Table Grid"/>
    <w:basedOn w:val="TableNormal"/>
    <w:uiPriority w:val="39"/>
    <w:rsid w:val="000E3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rajckaNaslovZamik">
    <w:name w:val="SrajckaNaslovZamik"/>
    <w:basedOn w:val="Normal"/>
    <w:qFormat/>
    <w:rsid w:val="000B0CD1"/>
    <w:pPr>
      <w:spacing w:after="0" w:line="240" w:lineRule="auto"/>
    </w:pPr>
    <w:rPr>
      <w:rFonts w:cs="Arial"/>
      <w:b/>
    </w:rPr>
  </w:style>
  <w:style w:type="paragraph" w:customStyle="1" w:styleId="Odebeljeno">
    <w:name w:val="Odebeljeno"/>
    <w:basedOn w:val="Normal"/>
    <w:qFormat/>
    <w:rsid w:val="0029037E"/>
    <w:pPr>
      <w:spacing w:after="0" w:line="240" w:lineRule="auto"/>
    </w:pPr>
    <w:rPr>
      <w:rFonts w:cs="Arial"/>
      <w:b/>
    </w:rPr>
  </w:style>
  <w:style w:type="paragraph" w:customStyle="1" w:styleId="DesnaPoravnava">
    <w:name w:val="DesnaPoravnava"/>
    <w:basedOn w:val="Normal"/>
    <w:qFormat/>
    <w:rsid w:val="007652EC"/>
    <w:pPr>
      <w:jc w:val="right"/>
    </w:pPr>
  </w:style>
  <w:style w:type="paragraph" w:customStyle="1" w:styleId="Podpisnik">
    <w:name w:val="Podpisnik"/>
    <w:basedOn w:val="Normal"/>
    <w:qFormat/>
    <w:rsid w:val="007651EC"/>
    <w:pPr>
      <w:widowControl w:val="0"/>
      <w:spacing w:before="0" w:after="0" w:line="260" w:lineRule="exact"/>
      <w:ind w:left="3969"/>
      <w:jc w:val="center"/>
    </w:pPr>
    <w:rPr>
      <w:b w:val="0"/>
    </w:rPr>
  </w:style>
  <w:style w:type="paragraph" w:customStyle="1" w:styleId="SredinskoOdebeljeno">
    <w:name w:val="SredinskoOdebeljeno"/>
    <w:basedOn w:val="Normal"/>
    <w:qFormat/>
    <w:rsid w:val="007652EC"/>
    <w:pPr>
      <w:spacing w:after="0" w:line="240" w:lineRule="auto"/>
      <w:jc w:val="center"/>
    </w:pPr>
    <w:rPr>
      <w:rFonts w:cs="Arial"/>
      <w:b/>
    </w:rPr>
  </w:style>
  <w:style w:type="paragraph" w:customStyle="1" w:styleId="Sredinsko">
    <w:name w:val="Sredinsko"/>
    <w:basedOn w:val="Normal"/>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TableNormal"/>
    <w:uiPriority w:val="41"/>
    <w:rsid w:val="0018585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TableNormal"/>
    <w:uiPriority w:val="41"/>
    <w:rsid w:val="0018585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mailto:gp.mp@gov.s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4101</Words>
  <Characters>23382</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zorc</cp:lastModifiedBy>
  <cp:revision>3</cp:revision>
  <dcterms:created xsi:type="dcterms:W3CDTF">2019-02-01T07:54:00Z</dcterms:created>
  <dcterms:modified xsi:type="dcterms:W3CDTF">2019-02-01T08:06:00Z</dcterms:modified>
</cp:coreProperties>
</file>