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5FE259B" w14:textId="49C0A447" w:rsidR="003C4A28" w:rsidRPr="00720FF1" w:rsidRDefault="00F85015">
      <w:pPr>
        <w:rPr>
          <w:rFonts w:asciiTheme="majorHAnsi" w:hAnsiTheme="majorHAnsi" w:cstheme="majorHAnsi"/>
        </w:rPr>
      </w:pPr>
      <w:r w:rsidRPr="00720FF1">
        <w:rPr>
          <w:rFonts w:asciiTheme="majorHAnsi" w:hAnsiTheme="majorHAnsi" w:cstheme="majorHAnsi"/>
          <w:noProof/>
          <w:lang w:eastAsia="sl-SI"/>
        </w:rPr>
        <w:drawing>
          <wp:inline distT="0" distB="0" distL="0" distR="0" wp14:anchorId="6BC7AA19" wp14:editId="7814662E">
            <wp:extent cx="2349321" cy="508884"/>
            <wp:effectExtent l="0" t="0" r="0" b="5715"/>
            <wp:docPr id="3" name="Slika 3" descr="Logotip Ministrstva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Logotip Ministrstva za gospodarstvo, turizem in š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866" cy="512035"/>
                    </a:xfrm>
                    <a:prstGeom prst="rect">
                      <a:avLst/>
                    </a:prstGeom>
                    <a:noFill/>
                    <a:ln>
                      <a:noFill/>
                    </a:ln>
                  </pic:spPr>
                </pic:pic>
              </a:graphicData>
            </a:graphic>
          </wp:inline>
        </w:drawing>
      </w:r>
      <w:r w:rsidR="000203E6" w:rsidRPr="00720FF1">
        <w:rPr>
          <w:rFonts w:asciiTheme="majorHAnsi" w:hAnsiTheme="majorHAnsi" w:cstheme="majorHAnsi"/>
          <w:noProof/>
          <w:lang w:eastAsia="sl-SI"/>
        </w:rPr>
        <mc:AlternateContent>
          <mc:Choice Requires="wps">
            <w:drawing>
              <wp:anchor distT="0" distB="0" distL="114300" distR="114300" simplePos="0" relativeHeight="251659264" behindDoc="0" locked="0" layoutInCell="1" allowOverlap="1" wp14:anchorId="2BF93B9F" wp14:editId="1A7A570E">
                <wp:simplePos x="0" y="0"/>
                <wp:positionH relativeFrom="column">
                  <wp:posOffset>4568792</wp:posOffset>
                </wp:positionH>
                <wp:positionV relativeFrom="paragraph">
                  <wp:posOffset>-893857</wp:posOffset>
                </wp:positionV>
                <wp:extent cx="2173184" cy="10675917"/>
                <wp:effectExtent l="0" t="0" r="17780" b="11430"/>
                <wp:wrapNone/>
                <wp:docPr id="2" name="Pravokotni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73184" cy="10675917"/>
                        </a:xfrm>
                        <a:prstGeom prst="rect">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cmpd="tri">
                          <a:solidFill>
                            <a:srgbClr val="2F5496">
                              <a:alpha val="76000"/>
                            </a:srgbClr>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198A3" id="Pravokotnik 2" o:spid="_x0000_s1026" alt="&quot;&quot;" style="position:absolute;margin-left:359.75pt;margin-top:-70.4pt;width:171.1pt;height:8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" fillcolor="white [20]" strokecolor="#2f5496" strokeweight="1pt">
                <v:fill color2="#4472c4 [3204]" rotate="t" focusposition=".5,-52429f" focussize="" colors="0 white;22938f white;1 #4472c4" focus="100%" type="gradientRadial"/>
                <v:stroke opacity="49858f" linestyle="thickBetweenThin"/>
              </v:rect>
            </w:pict>
          </mc:Fallback>
        </mc:AlternateContent>
      </w:r>
    </w:p>
    <w:p w14:paraId="7F682E60" w14:textId="4E69F1F1" w:rsidR="00E97AA2" w:rsidRPr="00720FF1" w:rsidRDefault="00E97AA2">
      <w:pPr>
        <w:rPr>
          <w:rFonts w:asciiTheme="majorHAnsi" w:hAnsiTheme="majorHAnsi" w:cstheme="majorHAnsi"/>
        </w:rPr>
      </w:pPr>
    </w:p>
    <w:p w14:paraId="47072227" w14:textId="423F5406" w:rsidR="00E97AA2" w:rsidRPr="00720FF1" w:rsidRDefault="00E97AA2">
      <w:pPr>
        <w:rPr>
          <w:rFonts w:asciiTheme="majorHAnsi" w:hAnsiTheme="majorHAnsi" w:cstheme="majorHAnsi"/>
        </w:rPr>
      </w:pPr>
    </w:p>
    <w:p w14:paraId="1C0630C6" w14:textId="6868BE36" w:rsidR="00E97AA2" w:rsidRPr="00720FF1" w:rsidRDefault="00E97AA2">
      <w:pPr>
        <w:rPr>
          <w:rFonts w:asciiTheme="majorHAnsi" w:hAnsiTheme="majorHAnsi" w:cstheme="majorHAnsi"/>
        </w:rPr>
      </w:pPr>
    </w:p>
    <w:p w14:paraId="2933B46F" w14:textId="7D38AF47" w:rsidR="00E97AA2" w:rsidRPr="00720FF1" w:rsidRDefault="00E97AA2">
      <w:pPr>
        <w:rPr>
          <w:rFonts w:asciiTheme="majorHAnsi" w:hAnsiTheme="majorHAnsi" w:cstheme="majorHAnsi"/>
        </w:rPr>
      </w:pPr>
    </w:p>
    <w:p w14:paraId="2343A43F" w14:textId="42C86CC3" w:rsidR="00E97AA2" w:rsidRPr="00720FF1" w:rsidRDefault="00661729">
      <w:pPr>
        <w:rPr>
          <w:rFonts w:asciiTheme="majorHAnsi" w:hAnsiTheme="majorHAnsi" w:cstheme="majorHAnsi"/>
        </w:rPr>
      </w:pPr>
      <w:r w:rsidRPr="00720FF1">
        <w:rPr>
          <w:rFonts w:asciiTheme="majorHAnsi" w:hAnsiTheme="majorHAnsi" w:cstheme="majorHAnsi"/>
          <w:noProof/>
          <w:lang w:eastAsia="sl-SI"/>
        </w:rPr>
        <mc:AlternateContent>
          <mc:Choice Requires="wps">
            <w:drawing>
              <wp:anchor distT="0" distB="0" distL="114300" distR="114300" simplePos="0" relativeHeight="251660288" behindDoc="0" locked="0" layoutInCell="1" allowOverlap="1" wp14:anchorId="0F8AA3E9" wp14:editId="59EC2D87">
                <wp:simplePos x="0" y="0"/>
                <wp:positionH relativeFrom="margin">
                  <wp:posOffset>-635</wp:posOffset>
                </wp:positionH>
                <wp:positionV relativeFrom="paragraph">
                  <wp:posOffset>284480</wp:posOffset>
                </wp:positionV>
                <wp:extent cx="6045200" cy="1844040"/>
                <wp:effectExtent l="0" t="0" r="12700" b="22860"/>
                <wp:wrapThrough wrapText="bothSides">
                  <wp:wrapPolygon edited="0">
                    <wp:start x="0" y="0"/>
                    <wp:lineTo x="0" y="21645"/>
                    <wp:lineTo x="21577" y="21645"/>
                    <wp:lineTo x="21577" y="0"/>
                    <wp:lineTo x="0" y="0"/>
                  </wp:wrapPolygon>
                </wp:wrapThrough>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844040"/>
                        </a:xfrm>
                        <a:prstGeom prst="rect">
                          <a:avLst/>
                        </a:prstGeom>
                        <a:solidFill>
                          <a:srgbClr val="2F5496"/>
                        </a:solidFill>
                        <a:ln w="9525">
                          <a:solidFill>
                            <a:srgbClr val="000000"/>
                          </a:solidFill>
                          <a:miter lim="800000"/>
                          <a:headEnd/>
                          <a:tailEnd/>
                        </a:ln>
                      </wps:spPr>
                      <wps:txbx>
                        <w:txbxContent>
                          <w:p w14:paraId="489C312F" w14:textId="77777777" w:rsidR="00C74D6C" w:rsidRDefault="00C74D6C" w:rsidP="000203E6">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center"/>
                              <w:rPr>
                                <w:rFonts w:asciiTheme="majorHAnsi" w:hAnsiTheme="majorHAnsi" w:cstheme="majorHAnsi"/>
                                <w:b/>
                                <w:bCs/>
                                <w:color w:val="2F5496" w:themeColor="accent1" w:themeShade="BF"/>
                                <w:sz w:val="40"/>
                                <w:szCs w:val="40"/>
                              </w:rPr>
                            </w:pPr>
                          </w:p>
                          <w:p w14:paraId="6E625721" w14:textId="77777777" w:rsidR="00C74D6C" w:rsidRPr="00BA0210" w:rsidRDefault="00C74D6C" w:rsidP="00BA021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center"/>
                              <w:rPr>
                                <w:rFonts w:asciiTheme="majorHAnsi" w:hAnsiTheme="majorHAnsi" w:cstheme="majorHAnsi"/>
                                <w:b/>
                                <w:bCs/>
                                <w:color w:val="2F5496" w:themeColor="accent1" w:themeShade="BF"/>
                                <w:sz w:val="40"/>
                                <w:szCs w:val="40"/>
                              </w:rPr>
                            </w:pPr>
                            <w:r w:rsidRPr="00BA0210">
                              <w:rPr>
                                <w:rFonts w:asciiTheme="majorHAnsi" w:hAnsiTheme="majorHAnsi" w:cstheme="majorHAnsi"/>
                                <w:b/>
                                <w:bCs/>
                                <w:color w:val="2F5496" w:themeColor="accent1" w:themeShade="BF"/>
                                <w:sz w:val="40"/>
                                <w:szCs w:val="40"/>
                              </w:rPr>
                              <w:t xml:space="preserve">Akcijski načrt upravljanja energetske </w:t>
                            </w:r>
                          </w:p>
                          <w:p w14:paraId="317B84BC" w14:textId="77777777" w:rsidR="00661729" w:rsidRDefault="00C74D6C" w:rsidP="00BA021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center"/>
                              <w:rPr>
                                <w:rFonts w:asciiTheme="majorHAnsi" w:hAnsiTheme="majorHAnsi" w:cstheme="majorHAnsi"/>
                                <w:b/>
                                <w:bCs/>
                                <w:color w:val="2F5496" w:themeColor="accent1" w:themeShade="BF"/>
                                <w:sz w:val="40"/>
                                <w:szCs w:val="40"/>
                              </w:rPr>
                            </w:pPr>
                            <w:r w:rsidRPr="00BA0210">
                              <w:rPr>
                                <w:rFonts w:asciiTheme="majorHAnsi" w:hAnsiTheme="majorHAnsi" w:cstheme="majorHAnsi"/>
                                <w:b/>
                                <w:bCs/>
                                <w:color w:val="2F5496" w:themeColor="accent1" w:themeShade="BF"/>
                                <w:sz w:val="40"/>
                                <w:szCs w:val="40"/>
                              </w:rPr>
                              <w:t xml:space="preserve">učinkovitosti v gospodarstvu </w:t>
                            </w:r>
                            <w:r>
                              <w:rPr>
                                <w:rFonts w:asciiTheme="majorHAnsi" w:hAnsiTheme="majorHAnsi" w:cstheme="majorHAnsi"/>
                                <w:b/>
                                <w:bCs/>
                                <w:color w:val="2F5496" w:themeColor="accent1" w:themeShade="BF"/>
                                <w:sz w:val="40"/>
                                <w:szCs w:val="40"/>
                              </w:rPr>
                              <w:t xml:space="preserve">do leta 2030 </w:t>
                            </w:r>
                          </w:p>
                          <w:p w14:paraId="7C0D8DFE" w14:textId="4852F486" w:rsidR="00C74D6C" w:rsidRPr="00720FF1" w:rsidRDefault="00C74D6C" w:rsidP="00BA021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center"/>
                              <w:rPr>
                                <w:rFonts w:asciiTheme="majorHAnsi" w:hAnsiTheme="majorHAnsi" w:cstheme="majorHAnsi"/>
                                <w:b/>
                                <w:bCs/>
                                <w:color w:val="2F5496" w:themeColor="accent1" w:themeShade="BF"/>
                                <w:sz w:val="40"/>
                                <w:szCs w:val="40"/>
                              </w:rPr>
                            </w:pPr>
                            <w:r w:rsidRPr="00720FF1">
                              <w:rPr>
                                <w:rFonts w:asciiTheme="majorHAnsi" w:hAnsiTheme="majorHAnsi" w:cstheme="majorHAnsi"/>
                                <w:b/>
                                <w:bCs/>
                                <w:color w:val="2F5496" w:themeColor="accent1" w:themeShade="BF"/>
                                <w:sz w:val="40"/>
                                <w:szCs w:val="40"/>
                              </w:rPr>
                              <w:t>(AN URE v gospodarstvu</w:t>
                            </w:r>
                            <w:r>
                              <w:rPr>
                                <w:rFonts w:asciiTheme="majorHAnsi" w:hAnsiTheme="majorHAnsi" w:cstheme="majorHAnsi"/>
                                <w:b/>
                                <w:bCs/>
                                <w:color w:val="2F5496" w:themeColor="accent1" w:themeShade="BF"/>
                                <w:sz w:val="40"/>
                                <w:szCs w:val="40"/>
                              </w:rPr>
                              <w:t xml:space="preserve"> 2030</w:t>
                            </w:r>
                            <w:r w:rsidRPr="00720FF1">
                              <w:rPr>
                                <w:rFonts w:asciiTheme="majorHAnsi" w:hAnsiTheme="majorHAnsi" w:cstheme="majorHAnsi"/>
                                <w:b/>
                                <w:bCs/>
                                <w:color w:val="2F5496" w:themeColor="accent1" w:themeShade="BF"/>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AA3E9" id="_x0000_t202" coordsize="21600,21600" o:spt="202" path="m,l,21600r21600,l21600,xe">
                <v:stroke joinstyle="miter"/>
                <v:path gradientshapeok="t" o:connecttype="rect"/>
              </v:shapetype>
              <v:shape id="Polje z besedilom 2" o:spid="_x0000_s1026" type="#_x0000_t202" style="position:absolute;margin-left:-.05pt;margin-top:22.4pt;width:476pt;height:14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" fillcolor="#2f5496">
                <v:textbox>
                  <w:txbxContent>
                    <w:p w14:paraId="489C312F" w14:textId="77777777" w:rsidR="00C74D6C" w:rsidRDefault="00C74D6C" w:rsidP="000203E6">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center"/>
                        <w:rPr>
                          <w:rFonts w:asciiTheme="majorHAnsi" w:hAnsiTheme="majorHAnsi" w:cstheme="majorHAnsi"/>
                          <w:b/>
                          <w:bCs/>
                          <w:color w:val="2F5496" w:themeColor="accent1" w:themeShade="BF"/>
                          <w:sz w:val="40"/>
                          <w:szCs w:val="40"/>
                        </w:rPr>
                      </w:pPr>
                    </w:p>
                    <w:p w14:paraId="6E625721" w14:textId="77777777" w:rsidR="00C74D6C" w:rsidRPr="00BA0210" w:rsidRDefault="00C74D6C" w:rsidP="00BA021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center"/>
                        <w:rPr>
                          <w:rFonts w:asciiTheme="majorHAnsi" w:hAnsiTheme="majorHAnsi" w:cstheme="majorHAnsi"/>
                          <w:b/>
                          <w:bCs/>
                          <w:color w:val="2F5496" w:themeColor="accent1" w:themeShade="BF"/>
                          <w:sz w:val="40"/>
                          <w:szCs w:val="40"/>
                        </w:rPr>
                      </w:pPr>
                      <w:r w:rsidRPr="00BA0210">
                        <w:rPr>
                          <w:rFonts w:asciiTheme="majorHAnsi" w:hAnsiTheme="majorHAnsi" w:cstheme="majorHAnsi"/>
                          <w:b/>
                          <w:bCs/>
                          <w:color w:val="2F5496" w:themeColor="accent1" w:themeShade="BF"/>
                          <w:sz w:val="40"/>
                          <w:szCs w:val="40"/>
                        </w:rPr>
                        <w:t xml:space="preserve">Akcijski načrt upravljanja energetske </w:t>
                      </w:r>
                    </w:p>
                    <w:p w14:paraId="317B84BC" w14:textId="77777777" w:rsidR="00661729" w:rsidRDefault="00C74D6C" w:rsidP="00BA021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center"/>
                        <w:rPr>
                          <w:rFonts w:asciiTheme="majorHAnsi" w:hAnsiTheme="majorHAnsi" w:cstheme="majorHAnsi"/>
                          <w:b/>
                          <w:bCs/>
                          <w:color w:val="2F5496" w:themeColor="accent1" w:themeShade="BF"/>
                          <w:sz w:val="40"/>
                          <w:szCs w:val="40"/>
                        </w:rPr>
                      </w:pPr>
                      <w:r w:rsidRPr="00BA0210">
                        <w:rPr>
                          <w:rFonts w:asciiTheme="majorHAnsi" w:hAnsiTheme="majorHAnsi" w:cstheme="majorHAnsi"/>
                          <w:b/>
                          <w:bCs/>
                          <w:color w:val="2F5496" w:themeColor="accent1" w:themeShade="BF"/>
                          <w:sz w:val="40"/>
                          <w:szCs w:val="40"/>
                        </w:rPr>
                        <w:t xml:space="preserve">učinkovitosti v gospodarstvu </w:t>
                      </w:r>
                      <w:r>
                        <w:rPr>
                          <w:rFonts w:asciiTheme="majorHAnsi" w:hAnsiTheme="majorHAnsi" w:cstheme="majorHAnsi"/>
                          <w:b/>
                          <w:bCs/>
                          <w:color w:val="2F5496" w:themeColor="accent1" w:themeShade="BF"/>
                          <w:sz w:val="40"/>
                          <w:szCs w:val="40"/>
                        </w:rPr>
                        <w:t xml:space="preserve">do leta 2030 </w:t>
                      </w:r>
                    </w:p>
                    <w:p w14:paraId="7C0D8DFE" w14:textId="4852F486" w:rsidR="00C74D6C" w:rsidRPr="00720FF1" w:rsidRDefault="00C74D6C" w:rsidP="00BA021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center"/>
                        <w:rPr>
                          <w:rFonts w:asciiTheme="majorHAnsi" w:hAnsiTheme="majorHAnsi" w:cstheme="majorHAnsi"/>
                          <w:b/>
                          <w:bCs/>
                          <w:color w:val="2F5496" w:themeColor="accent1" w:themeShade="BF"/>
                          <w:sz w:val="40"/>
                          <w:szCs w:val="40"/>
                        </w:rPr>
                      </w:pPr>
                      <w:r w:rsidRPr="00720FF1">
                        <w:rPr>
                          <w:rFonts w:asciiTheme="majorHAnsi" w:hAnsiTheme="majorHAnsi" w:cstheme="majorHAnsi"/>
                          <w:b/>
                          <w:bCs/>
                          <w:color w:val="2F5496" w:themeColor="accent1" w:themeShade="BF"/>
                          <w:sz w:val="40"/>
                          <w:szCs w:val="40"/>
                        </w:rPr>
                        <w:t>(AN URE v gospodarstvu</w:t>
                      </w:r>
                      <w:r>
                        <w:rPr>
                          <w:rFonts w:asciiTheme="majorHAnsi" w:hAnsiTheme="majorHAnsi" w:cstheme="majorHAnsi"/>
                          <w:b/>
                          <w:bCs/>
                          <w:color w:val="2F5496" w:themeColor="accent1" w:themeShade="BF"/>
                          <w:sz w:val="40"/>
                          <w:szCs w:val="40"/>
                        </w:rPr>
                        <w:t xml:space="preserve"> 2030</w:t>
                      </w:r>
                      <w:r w:rsidRPr="00720FF1">
                        <w:rPr>
                          <w:rFonts w:asciiTheme="majorHAnsi" w:hAnsiTheme="majorHAnsi" w:cstheme="majorHAnsi"/>
                          <w:b/>
                          <w:bCs/>
                          <w:color w:val="2F5496" w:themeColor="accent1" w:themeShade="BF"/>
                          <w:sz w:val="40"/>
                          <w:szCs w:val="40"/>
                        </w:rPr>
                        <w:t>)</w:t>
                      </w:r>
                    </w:p>
                  </w:txbxContent>
                </v:textbox>
                <w10:wrap type="through" anchorx="margin"/>
              </v:shape>
            </w:pict>
          </mc:Fallback>
        </mc:AlternateContent>
      </w:r>
    </w:p>
    <w:p w14:paraId="3B622EC8" w14:textId="208C55E8" w:rsidR="00E97AA2" w:rsidRPr="00720FF1" w:rsidRDefault="00E97AA2">
      <w:pPr>
        <w:rPr>
          <w:rFonts w:asciiTheme="majorHAnsi" w:hAnsiTheme="majorHAnsi" w:cstheme="majorHAnsi"/>
        </w:rPr>
      </w:pPr>
    </w:p>
    <w:p w14:paraId="403FE054" w14:textId="4A238F7B" w:rsidR="00E97AA2" w:rsidRPr="00720FF1" w:rsidRDefault="00E97AA2">
      <w:pPr>
        <w:rPr>
          <w:rFonts w:asciiTheme="majorHAnsi" w:hAnsiTheme="majorHAnsi" w:cstheme="majorHAnsi"/>
        </w:rPr>
      </w:pPr>
    </w:p>
    <w:p w14:paraId="76732E3A" w14:textId="317C060B" w:rsidR="00E97AA2" w:rsidRPr="00720FF1" w:rsidRDefault="00E97AA2">
      <w:pPr>
        <w:rPr>
          <w:rFonts w:asciiTheme="majorHAnsi" w:hAnsiTheme="majorHAnsi" w:cstheme="majorHAnsi"/>
        </w:rPr>
      </w:pPr>
    </w:p>
    <w:p w14:paraId="3221E50C" w14:textId="595CBF25" w:rsidR="00E97AA2" w:rsidRPr="00720FF1" w:rsidRDefault="00E97AA2" w:rsidP="00E97AA2">
      <w:pPr>
        <w:jc w:val="center"/>
        <w:rPr>
          <w:rFonts w:asciiTheme="majorHAnsi" w:hAnsiTheme="majorHAnsi" w:cstheme="majorHAnsi"/>
          <w:sz w:val="40"/>
          <w:szCs w:val="40"/>
        </w:rPr>
      </w:pPr>
    </w:p>
    <w:p w14:paraId="561DDAB6" w14:textId="5ACD3607" w:rsidR="00E97AA2" w:rsidRPr="00720FF1" w:rsidRDefault="00DA66F9" w:rsidP="00E97AA2">
      <w:pPr>
        <w:jc w:val="center"/>
        <w:rPr>
          <w:rFonts w:asciiTheme="majorHAnsi" w:hAnsiTheme="majorHAnsi" w:cstheme="majorHAnsi"/>
          <w:sz w:val="40"/>
          <w:szCs w:val="40"/>
        </w:rPr>
      </w:pPr>
      <w:r w:rsidRPr="00720FF1">
        <w:rPr>
          <w:rFonts w:asciiTheme="majorHAnsi" w:hAnsiTheme="majorHAnsi" w:cstheme="majorHAnsi"/>
          <w:noProof/>
          <w:sz w:val="40"/>
          <w:szCs w:val="40"/>
          <w:lang w:eastAsia="sl-SI"/>
        </w:rPr>
        <w:drawing>
          <wp:inline distT="0" distB="0" distL="0" distR="0" wp14:anchorId="7938A38D" wp14:editId="1F473333">
            <wp:extent cx="3211239" cy="1541394"/>
            <wp:effectExtent l="152400" t="171450" r="160655" b="154305"/>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9089" cy="1554762"/>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75B682" w14:textId="67E776E3" w:rsidR="00E97AA2" w:rsidRPr="00720FF1" w:rsidRDefault="00E97AA2">
      <w:pPr>
        <w:rPr>
          <w:rFonts w:asciiTheme="majorHAnsi" w:hAnsiTheme="majorHAnsi" w:cstheme="majorHAnsi"/>
          <w:sz w:val="40"/>
          <w:szCs w:val="40"/>
        </w:rPr>
      </w:pPr>
      <w:r w:rsidRPr="00720FF1">
        <w:rPr>
          <w:rFonts w:asciiTheme="majorHAnsi" w:hAnsiTheme="majorHAnsi" w:cstheme="majorHAnsi"/>
          <w:sz w:val="40"/>
          <w:szCs w:val="40"/>
        </w:rPr>
        <w:br w:type="page"/>
      </w:r>
    </w:p>
    <w:sdt>
      <w:sdtPr>
        <w:rPr>
          <w:rFonts w:asciiTheme="minorHAnsi" w:eastAsiaTheme="minorHAnsi" w:hAnsiTheme="minorHAnsi" w:cstheme="majorHAnsi"/>
          <w:color w:val="auto"/>
          <w:sz w:val="22"/>
          <w:szCs w:val="22"/>
          <w:lang w:eastAsia="en-US"/>
        </w:rPr>
        <w:id w:val="1900320557"/>
        <w:docPartObj>
          <w:docPartGallery w:val="Table of Contents"/>
          <w:docPartUnique/>
        </w:docPartObj>
      </w:sdtPr>
      <w:sdtEndPr>
        <w:rPr>
          <w:b/>
          <w:bCs/>
        </w:rPr>
      </w:sdtEndPr>
      <w:sdtContent>
        <w:p w14:paraId="700199F7" w14:textId="18077D31" w:rsidR="007A4F39" w:rsidRPr="00720FF1" w:rsidRDefault="007A4F39">
          <w:pPr>
            <w:pStyle w:val="NaslovTOC"/>
            <w:rPr>
              <w:rFonts w:cstheme="majorHAnsi"/>
            </w:rPr>
          </w:pPr>
          <w:r w:rsidRPr="00720FF1">
            <w:rPr>
              <w:rFonts w:cstheme="majorHAnsi"/>
            </w:rPr>
            <w:t>Vsebina</w:t>
          </w:r>
        </w:p>
        <w:p w14:paraId="725A7519" w14:textId="77777777" w:rsidR="004A62C3" w:rsidRPr="00720FF1" w:rsidRDefault="004A62C3" w:rsidP="004A62C3">
          <w:pPr>
            <w:rPr>
              <w:rFonts w:asciiTheme="majorHAnsi" w:hAnsiTheme="majorHAnsi" w:cstheme="majorHAnsi"/>
              <w:lang w:eastAsia="sl-SI"/>
            </w:rPr>
          </w:pPr>
        </w:p>
        <w:p w14:paraId="1F7BB639" w14:textId="04FD51E0" w:rsidR="007471B9" w:rsidRDefault="007A4F39">
          <w:pPr>
            <w:pStyle w:val="Kazalovsebine1"/>
            <w:rPr>
              <w:rFonts w:eastAsiaTheme="minorEastAsia"/>
              <w:noProof/>
              <w:lang w:eastAsia="sl-SI"/>
            </w:rPr>
          </w:pPr>
          <w:r w:rsidRPr="00720FF1">
            <w:rPr>
              <w:rFonts w:asciiTheme="majorHAnsi" w:hAnsiTheme="majorHAnsi" w:cstheme="majorHAnsi"/>
            </w:rPr>
            <w:fldChar w:fldCharType="begin"/>
          </w:r>
          <w:r w:rsidRPr="00720FF1">
            <w:rPr>
              <w:rFonts w:asciiTheme="majorHAnsi" w:hAnsiTheme="majorHAnsi" w:cstheme="majorHAnsi"/>
            </w:rPr>
            <w:instrText xml:space="preserve"> TOC \o "1-3" \h \z \u </w:instrText>
          </w:r>
          <w:r w:rsidRPr="00720FF1">
            <w:rPr>
              <w:rFonts w:asciiTheme="majorHAnsi" w:hAnsiTheme="majorHAnsi" w:cstheme="majorHAnsi"/>
            </w:rPr>
            <w:fldChar w:fldCharType="separate"/>
          </w:r>
          <w:hyperlink w:anchor="_Toc184114157" w:history="1">
            <w:r w:rsidR="007471B9" w:rsidRPr="00FE6CDA">
              <w:rPr>
                <w:rStyle w:val="Hiperpovezava"/>
                <w:rFonts w:cstheme="majorHAnsi"/>
                <w:noProof/>
              </w:rPr>
              <w:t>I.</w:t>
            </w:r>
            <w:r w:rsidR="007471B9">
              <w:rPr>
                <w:rFonts w:eastAsiaTheme="minorEastAsia"/>
                <w:noProof/>
                <w:lang w:eastAsia="sl-SI"/>
              </w:rPr>
              <w:tab/>
            </w:r>
            <w:r w:rsidR="007471B9" w:rsidRPr="00FE6CDA">
              <w:rPr>
                <w:rStyle w:val="Hiperpovezava"/>
                <w:rFonts w:cstheme="majorHAnsi"/>
                <w:noProof/>
              </w:rPr>
              <w:t>Izhodišča</w:t>
            </w:r>
            <w:r w:rsidR="007471B9">
              <w:rPr>
                <w:noProof/>
                <w:webHidden/>
              </w:rPr>
              <w:tab/>
            </w:r>
            <w:r w:rsidR="007471B9">
              <w:rPr>
                <w:noProof/>
                <w:webHidden/>
              </w:rPr>
              <w:fldChar w:fldCharType="begin"/>
            </w:r>
            <w:r w:rsidR="007471B9">
              <w:rPr>
                <w:noProof/>
                <w:webHidden/>
              </w:rPr>
              <w:instrText xml:space="preserve"> PAGEREF _Toc184114157 \h </w:instrText>
            </w:r>
            <w:r w:rsidR="007471B9">
              <w:rPr>
                <w:noProof/>
                <w:webHidden/>
              </w:rPr>
            </w:r>
            <w:r w:rsidR="007471B9">
              <w:rPr>
                <w:noProof/>
                <w:webHidden/>
              </w:rPr>
              <w:fldChar w:fldCharType="separate"/>
            </w:r>
            <w:r w:rsidR="007471B9">
              <w:rPr>
                <w:noProof/>
                <w:webHidden/>
              </w:rPr>
              <w:t>3</w:t>
            </w:r>
            <w:r w:rsidR="007471B9">
              <w:rPr>
                <w:noProof/>
                <w:webHidden/>
              </w:rPr>
              <w:fldChar w:fldCharType="end"/>
            </w:r>
          </w:hyperlink>
        </w:p>
        <w:p w14:paraId="680A7788" w14:textId="551A2D77" w:rsidR="007471B9" w:rsidRDefault="00E14C1A">
          <w:pPr>
            <w:pStyle w:val="Kazalovsebine3"/>
            <w:tabs>
              <w:tab w:val="right" w:leader="dot" w:pos="9062"/>
            </w:tabs>
            <w:rPr>
              <w:rFonts w:eastAsiaTheme="minorEastAsia"/>
              <w:noProof/>
              <w:lang w:eastAsia="sl-SI"/>
            </w:rPr>
          </w:pPr>
          <w:hyperlink w:anchor="_Toc184114158" w:history="1">
            <w:r w:rsidR="007471B9" w:rsidRPr="00FE6CDA">
              <w:rPr>
                <w:rStyle w:val="Hiperpovezava"/>
                <w:rFonts w:cstheme="majorHAnsi"/>
                <w:noProof/>
              </w:rPr>
              <w:t>Industrija v Sloveniji</w:t>
            </w:r>
            <w:r w:rsidR="007471B9">
              <w:rPr>
                <w:noProof/>
                <w:webHidden/>
              </w:rPr>
              <w:tab/>
            </w:r>
            <w:r w:rsidR="007471B9">
              <w:rPr>
                <w:noProof/>
                <w:webHidden/>
              </w:rPr>
              <w:fldChar w:fldCharType="begin"/>
            </w:r>
            <w:r w:rsidR="007471B9">
              <w:rPr>
                <w:noProof/>
                <w:webHidden/>
              </w:rPr>
              <w:instrText xml:space="preserve"> PAGEREF _Toc184114158 \h </w:instrText>
            </w:r>
            <w:r w:rsidR="007471B9">
              <w:rPr>
                <w:noProof/>
                <w:webHidden/>
              </w:rPr>
            </w:r>
            <w:r w:rsidR="007471B9">
              <w:rPr>
                <w:noProof/>
                <w:webHidden/>
              </w:rPr>
              <w:fldChar w:fldCharType="separate"/>
            </w:r>
            <w:r w:rsidR="007471B9">
              <w:rPr>
                <w:noProof/>
                <w:webHidden/>
              </w:rPr>
              <w:t>4</w:t>
            </w:r>
            <w:r w:rsidR="007471B9">
              <w:rPr>
                <w:noProof/>
                <w:webHidden/>
              </w:rPr>
              <w:fldChar w:fldCharType="end"/>
            </w:r>
          </w:hyperlink>
        </w:p>
        <w:p w14:paraId="7498798A" w14:textId="2AFB7C14" w:rsidR="007471B9" w:rsidRDefault="00E14C1A">
          <w:pPr>
            <w:pStyle w:val="Kazalovsebine1"/>
            <w:rPr>
              <w:rFonts w:eastAsiaTheme="minorEastAsia"/>
              <w:noProof/>
              <w:lang w:eastAsia="sl-SI"/>
            </w:rPr>
          </w:pPr>
          <w:hyperlink w:anchor="_Toc184114159" w:history="1">
            <w:r w:rsidR="007471B9" w:rsidRPr="00FE6CDA">
              <w:rPr>
                <w:rStyle w:val="Hiperpovezava"/>
                <w:rFonts w:cstheme="majorHAnsi"/>
                <w:noProof/>
              </w:rPr>
              <w:t>II.</w:t>
            </w:r>
            <w:r w:rsidR="007471B9">
              <w:rPr>
                <w:rFonts w:eastAsiaTheme="minorEastAsia"/>
                <w:noProof/>
                <w:lang w:eastAsia="sl-SI"/>
              </w:rPr>
              <w:tab/>
            </w:r>
            <w:r w:rsidR="007471B9" w:rsidRPr="00FE6CDA">
              <w:rPr>
                <w:rStyle w:val="Hiperpovezava"/>
                <w:rFonts w:cstheme="majorHAnsi"/>
                <w:noProof/>
              </w:rPr>
              <w:t>Izzivi</w:t>
            </w:r>
            <w:r w:rsidR="007471B9">
              <w:rPr>
                <w:noProof/>
                <w:webHidden/>
              </w:rPr>
              <w:tab/>
            </w:r>
            <w:r w:rsidR="007471B9">
              <w:rPr>
                <w:noProof/>
                <w:webHidden/>
              </w:rPr>
              <w:fldChar w:fldCharType="begin"/>
            </w:r>
            <w:r w:rsidR="007471B9">
              <w:rPr>
                <w:noProof/>
                <w:webHidden/>
              </w:rPr>
              <w:instrText xml:space="preserve"> PAGEREF _Toc184114159 \h </w:instrText>
            </w:r>
            <w:r w:rsidR="007471B9">
              <w:rPr>
                <w:noProof/>
                <w:webHidden/>
              </w:rPr>
            </w:r>
            <w:r w:rsidR="007471B9">
              <w:rPr>
                <w:noProof/>
                <w:webHidden/>
              </w:rPr>
              <w:fldChar w:fldCharType="separate"/>
            </w:r>
            <w:r w:rsidR="007471B9">
              <w:rPr>
                <w:noProof/>
                <w:webHidden/>
              </w:rPr>
              <w:t>6</w:t>
            </w:r>
            <w:r w:rsidR="007471B9">
              <w:rPr>
                <w:noProof/>
                <w:webHidden/>
              </w:rPr>
              <w:fldChar w:fldCharType="end"/>
            </w:r>
          </w:hyperlink>
        </w:p>
        <w:p w14:paraId="187B9ADF" w14:textId="01C33C57" w:rsidR="007471B9" w:rsidRDefault="00E14C1A">
          <w:pPr>
            <w:pStyle w:val="Kazalovsebine1"/>
            <w:rPr>
              <w:rFonts w:eastAsiaTheme="minorEastAsia"/>
              <w:noProof/>
              <w:lang w:eastAsia="sl-SI"/>
            </w:rPr>
          </w:pPr>
          <w:hyperlink w:anchor="_Toc184114160" w:history="1">
            <w:r w:rsidR="007471B9" w:rsidRPr="00FE6CDA">
              <w:rPr>
                <w:rStyle w:val="Hiperpovezava"/>
                <w:rFonts w:cstheme="majorHAnsi"/>
                <w:noProof/>
              </w:rPr>
              <w:t>III.</w:t>
            </w:r>
            <w:r w:rsidR="007471B9">
              <w:rPr>
                <w:rFonts w:eastAsiaTheme="minorEastAsia"/>
                <w:noProof/>
                <w:lang w:eastAsia="sl-SI"/>
              </w:rPr>
              <w:tab/>
            </w:r>
            <w:r w:rsidR="007471B9" w:rsidRPr="00FE6CDA">
              <w:rPr>
                <w:rStyle w:val="Hiperpovezava"/>
                <w:rFonts w:cstheme="majorHAnsi"/>
                <w:noProof/>
              </w:rPr>
              <w:t>Ukrepi za URE v gospodarstvu</w:t>
            </w:r>
            <w:r w:rsidR="007471B9">
              <w:rPr>
                <w:noProof/>
                <w:webHidden/>
              </w:rPr>
              <w:tab/>
            </w:r>
            <w:r w:rsidR="007471B9">
              <w:rPr>
                <w:noProof/>
                <w:webHidden/>
              </w:rPr>
              <w:fldChar w:fldCharType="begin"/>
            </w:r>
            <w:r w:rsidR="007471B9">
              <w:rPr>
                <w:noProof/>
                <w:webHidden/>
              </w:rPr>
              <w:instrText xml:space="preserve"> PAGEREF _Toc184114160 \h </w:instrText>
            </w:r>
            <w:r w:rsidR="007471B9">
              <w:rPr>
                <w:noProof/>
                <w:webHidden/>
              </w:rPr>
            </w:r>
            <w:r w:rsidR="007471B9">
              <w:rPr>
                <w:noProof/>
                <w:webHidden/>
              </w:rPr>
              <w:fldChar w:fldCharType="separate"/>
            </w:r>
            <w:r w:rsidR="007471B9">
              <w:rPr>
                <w:noProof/>
                <w:webHidden/>
              </w:rPr>
              <w:t>7</w:t>
            </w:r>
            <w:r w:rsidR="007471B9">
              <w:rPr>
                <w:noProof/>
                <w:webHidden/>
              </w:rPr>
              <w:fldChar w:fldCharType="end"/>
            </w:r>
          </w:hyperlink>
        </w:p>
        <w:p w14:paraId="58F11AAD" w14:textId="658CC8A7" w:rsidR="007471B9" w:rsidRDefault="00E14C1A">
          <w:pPr>
            <w:pStyle w:val="Kazalovsebine2"/>
            <w:rPr>
              <w:rFonts w:eastAsiaTheme="minorEastAsia"/>
              <w:noProof/>
              <w:lang w:eastAsia="sl-SI"/>
            </w:rPr>
          </w:pPr>
          <w:hyperlink w:anchor="_Toc184114161" w:history="1">
            <w:r w:rsidR="007471B9" w:rsidRPr="00FE6CDA">
              <w:rPr>
                <w:rStyle w:val="Hiperpovezava"/>
                <w:rFonts w:cstheme="majorHAnsi"/>
                <w:noProof/>
              </w:rPr>
              <w:t>1</w:t>
            </w:r>
            <w:r w:rsidR="007471B9">
              <w:rPr>
                <w:rFonts w:eastAsiaTheme="minorEastAsia"/>
                <w:noProof/>
                <w:lang w:eastAsia="sl-SI"/>
              </w:rPr>
              <w:tab/>
            </w:r>
            <w:r w:rsidR="007471B9" w:rsidRPr="00FE6CDA">
              <w:rPr>
                <w:rStyle w:val="Hiperpovezava"/>
                <w:rFonts w:cstheme="majorHAnsi"/>
                <w:noProof/>
              </w:rPr>
              <w:t>Digitalizacija energetskih pregledov</w:t>
            </w:r>
            <w:r w:rsidR="007471B9">
              <w:rPr>
                <w:noProof/>
                <w:webHidden/>
              </w:rPr>
              <w:tab/>
            </w:r>
            <w:r w:rsidR="007471B9">
              <w:rPr>
                <w:noProof/>
                <w:webHidden/>
              </w:rPr>
              <w:fldChar w:fldCharType="begin"/>
            </w:r>
            <w:r w:rsidR="007471B9">
              <w:rPr>
                <w:noProof/>
                <w:webHidden/>
              </w:rPr>
              <w:instrText xml:space="preserve"> PAGEREF _Toc184114161 \h </w:instrText>
            </w:r>
            <w:r w:rsidR="007471B9">
              <w:rPr>
                <w:noProof/>
                <w:webHidden/>
              </w:rPr>
            </w:r>
            <w:r w:rsidR="007471B9">
              <w:rPr>
                <w:noProof/>
                <w:webHidden/>
              </w:rPr>
              <w:fldChar w:fldCharType="separate"/>
            </w:r>
            <w:r w:rsidR="007471B9">
              <w:rPr>
                <w:noProof/>
                <w:webHidden/>
              </w:rPr>
              <w:t>7</w:t>
            </w:r>
            <w:r w:rsidR="007471B9">
              <w:rPr>
                <w:noProof/>
                <w:webHidden/>
              </w:rPr>
              <w:fldChar w:fldCharType="end"/>
            </w:r>
          </w:hyperlink>
        </w:p>
        <w:p w14:paraId="34994B7F" w14:textId="725CCE89" w:rsidR="007471B9" w:rsidRDefault="00E14C1A">
          <w:pPr>
            <w:pStyle w:val="Kazalovsebine2"/>
            <w:rPr>
              <w:rFonts w:eastAsiaTheme="minorEastAsia"/>
              <w:noProof/>
              <w:lang w:eastAsia="sl-SI"/>
            </w:rPr>
          </w:pPr>
          <w:hyperlink w:anchor="_Toc184114162" w:history="1">
            <w:r w:rsidR="007471B9" w:rsidRPr="00FE6CDA">
              <w:rPr>
                <w:rStyle w:val="Hiperpovezava"/>
                <w:rFonts w:cstheme="majorHAnsi"/>
                <w:noProof/>
              </w:rPr>
              <w:t>2</w:t>
            </w:r>
            <w:r w:rsidR="007471B9">
              <w:rPr>
                <w:rFonts w:eastAsiaTheme="minorEastAsia"/>
                <w:noProof/>
                <w:lang w:eastAsia="sl-SI"/>
              </w:rPr>
              <w:tab/>
            </w:r>
            <w:r w:rsidR="007471B9" w:rsidRPr="00FE6CDA">
              <w:rPr>
                <w:rStyle w:val="Hiperpovezava"/>
                <w:rFonts w:cstheme="majorHAnsi"/>
                <w:noProof/>
              </w:rPr>
              <w:t>Finančne spodbude</w:t>
            </w:r>
            <w:r w:rsidR="007471B9">
              <w:rPr>
                <w:noProof/>
                <w:webHidden/>
              </w:rPr>
              <w:tab/>
            </w:r>
            <w:r w:rsidR="007471B9">
              <w:rPr>
                <w:noProof/>
                <w:webHidden/>
              </w:rPr>
              <w:fldChar w:fldCharType="begin"/>
            </w:r>
            <w:r w:rsidR="007471B9">
              <w:rPr>
                <w:noProof/>
                <w:webHidden/>
              </w:rPr>
              <w:instrText xml:space="preserve"> PAGEREF _Toc184114162 \h </w:instrText>
            </w:r>
            <w:r w:rsidR="007471B9">
              <w:rPr>
                <w:noProof/>
                <w:webHidden/>
              </w:rPr>
            </w:r>
            <w:r w:rsidR="007471B9">
              <w:rPr>
                <w:noProof/>
                <w:webHidden/>
              </w:rPr>
              <w:fldChar w:fldCharType="separate"/>
            </w:r>
            <w:r w:rsidR="007471B9">
              <w:rPr>
                <w:noProof/>
                <w:webHidden/>
              </w:rPr>
              <w:t>8</w:t>
            </w:r>
            <w:r w:rsidR="007471B9">
              <w:rPr>
                <w:noProof/>
                <w:webHidden/>
              </w:rPr>
              <w:fldChar w:fldCharType="end"/>
            </w:r>
          </w:hyperlink>
        </w:p>
        <w:p w14:paraId="77F20925" w14:textId="46FAD722" w:rsidR="007471B9" w:rsidRDefault="00E14C1A">
          <w:pPr>
            <w:pStyle w:val="Kazalovsebine2"/>
            <w:rPr>
              <w:rFonts w:eastAsiaTheme="minorEastAsia"/>
              <w:noProof/>
              <w:lang w:eastAsia="sl-SI"/>
            </w:rPr>
          </w:pPr>
          <w:hyperlink w:anchor="_Toc184114163" w:history="1">
            <w:r w:rsidR="007471B9" w:rsidRPr="00FE6CDA">
              <w:rPr>
                <w:rStyle w:val="Hiperpovezava"/>
                <w:rFonts w:cstheme="majorHAnsi"/>
                <w:noProof/>
              </w:rPr>
              <w:t>3</w:t>
            </w:r>
            <w:r w:rsidR="007471B9">
              <w:rPr>
                <w:rFonts w:eastAsiaTheme="minorEastAsia"/>
                <w:noProof/>
                <w:lang w:eastAsia="sl-SI"/>
              </w:rPr>
              <w:tab/>
            </w:r>
            <w:r w:rsidR="007471B9" w:rsidRPr="00FE6CDA">
              <w:rPr>
                <w:rStyle w:val="Hiperpovezava"/>
                <w:rFonts w:cstheme="majorHAnsi"/>
                <w:noProof/>
              </w:rPr>
              <w:t>Zakonodaja s področja učinkovite rabe energije</w:t>
            </w:r>
            <w:r w:rsidR="007471B9">
              <w:rPr>
                <w:noProof/>
                <w:webHidden/>
              </w:rPr>
              <w:tab/>
            </w:r>
            <w:r w:rsidR="007471B9">
              <w:rPr>
                <w:noProof/>
                <w:webHidden/>
              </w:rPr>
              <w:fldChar w:fldCharType="begin"/>
            </w:r>
            <w:r w:rsidR="007471B9">
              <w:rPr>
                <w:noProof/>
                <w:webHidden/>
              </w:rPr>
              <w:instrText xml:space="preserve"> PAGEREF _Toc184114163 \h </w:instrText>
            </w:r>
            <w:r w:rsidR="007471B9">
              <w:rPr>
                <w:noProof/>
                <w:webHidden/>
              </w:rPr>
            </w:r>
            <w:r w:rsidR="007471B9">
              <w:rPr>
                <w:noProof/>
                <w:webHidden/>
              </w:rPr>
              <w:fldChar w:fldCharType="separate"/>
            </w:r>
            <w:r w:rsidR="007471B9">
              <w:rPr>
                <w:noProof/>
                <w:webHidden/>
              </w:rPr>
              <w:t>11</w:t>
            </w:r>
            <w:r w:rsidR="007471B9">
              <w:rPr>
                <w:noProof/>
                <w:webHidden/>
              </w:rPr>
              <w:fldChar w:fldCharType="end"/>
            </w:r>
          </w:hyperlink>
        </w:p>
        <w:p w14:paraId="1B55D19F" w14:textId="5E8FE21A" w:rsidR="007471B9" w:rsidRDefault="00E14C1A">
          <w:pPr>
            <w:pStyle w:val="Kazalovsebine2"/>
            <w:rPr>
              <w:rFonts w:eastAsiaTheme="minorEastAsia"/>
              <w:noProof/>
              <w:lang w:eastAsia="sl-SI"/>
            </w:rPr>
          </w:pPr>
          <w:hyperlink w:anchor="_Toc184114164" w:history="1">
            <w:r w:rsidR="007471B9" w:rsidRPr="00FE6CDA">
              <w:rPr>
                <w:rStyle w:val="Hiperpovezava"/>
                <w:rFonts w:cstheme="majorHAnsi"/>
                <w:noProof/>
              </w:rPr>
              <w:t>4</w:t>
            </w:r>
            <w:r w:rsidR="007471B9">
              <w:rPr>
                <w:rFonts w:eastAsiaTheme="minorEastAsia"/>
                <w:noProof/>
                <w:lang w:eastAsia="sl-SI"/>
              </w:rPr>
              <w:tab/>
            </w:r>
            <w:r w:rsidR="007471B9" w:rsidRPr="00FE6CDA">
              <w:rPr>
                <w:rStyle w:val="Hiperpovezava"/>
                <w:rFonts w:cstheme="majorHAnsi"/>
                <w:noProof/>
              </w:rPr>
              <w:t>Vzpostavitev testnega laboratorija v podporo novim rešitvam na področju energetske učinkovitosti in razogljičenja gospodarstva</w:t>
            </w:r>
            <w:r w:rsidR="007471B9">
              <w:rPr>
                <w:noProof/>
                <w:webHidden/>
              </w:rPr>
              <w:tab/>
            </w:r>
            <w:r w:rsidR="007471B9">
              <w:rPr>
                <w:noProof/>
                <w:webHidden/>
              </w:rPr>
              <w:fldChar w:fldCharType="begin"/>
            </w:r>
            <w:r w:rsidR="007471B9">
              <w:rPr>
                <w:noProof/>
                <w:webHidden/>
              </w:rPr>
              <w:instrText xml:space="preserve"> PAGEREF _Toc184114164 \h </w:instrText>
            </w:r>
            <w:r w:rsidR="007471B9">
              <w:rPr>
                <w:noProof/>
                <w:webHidden/>
              </w:rPr>
            </w:r>
            <w:r w:rsidR="007471B9">
              <w:rPr>
                <w:noProof/>
                <w:webHidden/>
              </w:rPr>
              <w:fldChar w:fldCharType="separate"/>
            </w:r>
            <w:r w:rsidR="007471B9">
              <w:rPr>
                <w:noProof/>
                <w:webHidden/>
              </w:rPr>
              <w:t>13</w:t>
            </w:r>
            <w:r w:rsidR="007471B9">
              <w:rPr>
                <w:noProof/>
                <w:webHidden/>
              </w:rPr>
              <w:fldChar w:fldCharType="end"/>
            </w:r>
          </w:hyperlink>
        </w:p>
        <w:p w14:paraId="465779EF" w14:textId="4DE690CB" w:rsidR="007471B9" w:rsidRDefault="00E14C1A">
          <w:pPr>
            <w:pStyle w:val="Kazalovsebine1"/>
            <w:rPr>
              <w:rFonts w:eastAsiaTheme="minorEastAsia"/>
              <w:noProof/>
              <w:lang w:eastAsia="sl-SI"/>
            </w:rPr>
          </w:pPr>
          <w:hyperlink w:anchor="_Toc184114165" w:history="1">
            <w:r w:rsidR="007471B9" w:rsidRPr="00FE6CDA">
              <w:rPr>
                <w:rStyle w:val="Hiperpovezava"/>
                <w:rFonts w:cstheme="majorHAnsi"/>
                <w:noProof/>
              </w:rPr>
              <w:t>IV.</w:t>
            </w:r>
            <w:r w:rsidR="007471B9">
              <w:rPr>
                <w:rFonts w:eastAsiaTheme="minorEastAsia"/>
                <w:noProof/>
                <w:lang w:eastAsia="sl-SI"/>
              </w:rPr>
              <w:tab/>
            </w:r>
            <w:r w:rsidR="007471B9" w:rsidRPr="00FE6CDA">
              <w:rPr>
                <w:rStyle w:val="Hiperpovezava"/>
                <w:rFonts w:cstheme="majorHAnsi"/>
                <w:noProof/>
              </w:rPr>
              <w:t>Sklepno</w:t>
            </w:r>
            <w:r w:rsidR="007471B9">
              <w:rPr>
                <w:noProof/>
                <w:webHidden/>
              </w:rPr>
              <w:tab/>
            </w:r>
            <w:r w:rsidR="007471B9">
              <w:rPr>
                <w:noProof/>
                <w:webHidden/>
              </w:rPr>
              <w:fldChar w:fldCharType="begin"/>
            </w:r>
            <w:r w:rsidR="007471B9">
              <w:rPr>
                <w:noProof/>
                <w:webHidden/>
              </w:rPr>
              <w:instrText xml:space="preserve"> PAGEREF _Toc184114165 \h </w:instrText>
            </w:r>
            <w:r w:rsidR="007471B9">
              <w:rPr>
                <w:noProof/>
                <w:webHidden/>
              </w:rPr>
            </w:r>
            <w:r w:rsidR="007471B9">
              <w:rPr>
                <w:noProof/>
                <w:webHidden/>
              </w:rPr>
              <w:fldChar w:fldCharType="separate"/>
            </w:r>
            <w:r w:rsidR="007471B9">
              <w:rPr>
                <w:noProof/>
                <w:webHidden/>
              </w:rPr>
              <w:t>14</w:t>
            </w:r>
            <w:r w:rsidR="007471B9">
              <w:rPr>
                <w:noProof/>
                <w:webHidden/>
              </w:rPr>
              <w:fldChar w:fldCharType="end"/>
            </w:r>
          </w:hyperlink>
        </w:p>
        <w:p w14:paraId="087C8801" w14:textId="4F8270AD" w:rsidR="007A4F39" w:rsidRPr="00720FF1" w:rsidRDefault="007A4F39">
          <w:pPr>
            <w:rPr>
              <w:rFonts w:asciiTheme="majorHAnsi" w:hAnsiTheme="majorHAnsi" w:cstheme="majorHAnsi"/>
            </w:rPr>
          </w:pPr>
          <w:r w:rsidRPr="00720FF1">
            <w:rPr>
              <w:rFonts w:asciiTheme="majorHAnsi" w:hAnsiTheme="majorHAnsi" w:cstheme="majorHAnsi"/>
              <w:b/>
              <w:bCs/>
            </w:rPr>
            <w:fldChar w:fldCharType="end"/>
          </w:r>
        </w:p>
      </w:sdtContent>
    </w:sdt>
    <w:p w14:paraId="08BE9C6B" w14:textId="33A5CBBD" w:rsidR="007A4F39" w:rsidRPr="00720FF1" w:rsidRDefault="007A4F39">
      <w:pPr>
        <w:rPr>
          <w:rFonts w:asciiTheme="majorHAnsi" w:hAnsiTheme="majorHAnsi" w:cstheme="majorHAnsi"/>
        </w:rPr>
      </w:pPr>
      <w:r w:rsidRPr="00720FF1">
        <w:rPr>
          <w:rFonts w:asciiTheme="majorHAnsi" w:hAnsiTheme="majorHAnsi" w:cstheme="majorHAnsi"/>
        </w:rPr>
        <w:br w:type="page"/>
      </w:r>
    </w:p>
    <w:p w14:paraId="03A4D411" w14:textId="1EFC9B25" w:rsidR="003F7A11" w:rsidRPr="00720FF1" w:rsidRDefault="003F7A11" w:rsidP="003F7A11">
      <w:pPr>
        <w:pStyle w:val="Naslov1"/>
        <w:numPr>
          <w:ilvl w:val="0"/>
          <w:numId w:val="2"/>
        </w:numPr>
        <w:ind w:left="426" w:hanging="284"/>
        <w:rPr>
          <w:rFonts w:cstheme="majorHAnsi"/>
        </w:rPr>
      </w:pPr>
      <w:bookmarkStart w:id="0" w:name="_Toc184114157"/>
      <w:r w:rsidRPr="00720FF1">
        <w:rPr>
          <w:rFonts w:cstheme="majorHAnsi"/>
        </w:rPr>
        <w:lastRenderedPageBreak/>
        <w:t>Izhodišča</w:t>
      </w:r>
      <w:bookmarkEnd w:id="0"/>
    </w:p>
    <w:p w14:paraId="58A4108C" w14:textId="291BBD34" w:rsidR="003F7A11" w:rsidRPr="00720FF1" w:rsidRDefault="003F7A11" w:rsidP="003F7A11">
      <w:pPr>
        <w:rPr>
          <w:rFonts w:asciiTheme="majorHAnsi" w:hAnsiTheme="majorHAnsi" w:cstheme="majorHAnsi"/>
        </w:rPr>
      </w:pPr>
    </w:p>
    <w:p w14:paraId="15FB2B17" w14:textId="0D81BE36" w:rsidR="00986EB4" w:rsidRPr="00720FF1" w:rsidRDefault="00986EB4" w:rsidP="00AE24D0">
      <w:pPr>
        <w:jc w:val="both"/>
        <w:rPr>
          <w:rFonts w:asciiTheme="majorHAnsi" w:hAnsiTheme="majorHAnsi" w:cstheme="majorHAnsi"/>
        </w:rPr>
      </w:pPr>
      <w:r w:rsidRPr="00720FF1">
        <w:rPr>
          <w:rFonts w:asciiTheme="majorHAnsi" w:hAnsiTheme="majorHAnsi" w:cstheme="majorHAnsi"/>
          <w:b/>
          <w:bCs/>
        </w:rPr>
        <w:t>Slovenska industrijska strategija 2021</w:t>
      </w:r>
      <w:r w:rsidR="00973A5B">
        <w:rPr>
          <w:rFonts w:asciiTheme="majorHAnsi" w:hAnsiTheme="majorHAnsi" w:cstheme="majorHAnsi"/>
          <w:b/>
          <w:bCs/>
        </w:rPr>
        <w:t>–</w:t>
      </w:r>
      <w:r w:rsidRPr="00720FF1">
        <w:rPr>
          <w:rFonts w:asciiTheme="majorHAnsi" w:hAnsiTheme="majorHAnsi" w:cstheme="majorHAnsi"/>
          <w:b/>
          <w:bCs/>
        </w:rPr>
        <w:t>2030</w:t>
      </w:r>
      <w:r w:rsidRPr="00720FF1">
        <w:rPr>
          <w:rFonts w:asciiTheme="majorHAnsi" w:hAnsiTheme="majorHAnsi" w:cstheme="majorHAnsi"/>
        </w:rPr>
        <w:t xml:space="preserve"> (v nadaljevanju</w:t>
      </w:r>
      <w:r w:rsidR="00471A9A">
        <w:rPr>
          <w:rFonts w:asciiTheme="majorHAnsi" w:hAnsiTheme="majorHAnsi" w:cstheme="majorHAnsi"/>
        </w:rPr>
        <w:t>:</w:t>
      </w:r>
      <w:r w:rsidRPr="00720FF1">
        <w:rPr>
          <w:rFonts w:asciiTheme="majorHAnsi" w:hAnsiTheme="majorHAnsi" w:cstheme="majorHAnsi"/>
        </w:rPr>
        <w:t xml:space="preserve"> SIS 2021</w:t>
      </w:r>
      <w:r w:rsidR="00973A5B">
        <w:rPr>
          <w:rFonts w:asciiTheme="majorHAnsi" w:hAnsiTheme="majorHAnsi" w:cstheme="majorHAnsi"/>
        </w:rPr>
        <w:t>–</w:t>
      </w:r>
      <w:r w:rsidRPr="00720FF1">
        <w:rPr>
          <w:rFonts w:asciiTheme="majorHAnsi" w:hAnsiTheme="majorHAnsi" w:cstheme="majorHAnsi"/>
        </w:rPr>
        <w:t xml:space="preserve">2030) je opredelila zeleni razvoj </w:t>
      </w:r>
      <w:r w:rsidR="00973A5B">
        <w:rPr>
          <w:rFonts w:asciiTheme="majorHAnsi" w:hAnsiTheme="majorHAnsi" w:cstheme="majorHAnsi"/>
        </w:rPr>
        <w:t>za</w:t>
      </w:r>
      <w:r w:rsidR="00973A5B" w:rsidRPr="00720FF1">
        <w:rPr>
          <w:rFonts w:asciiTheme="majorHAnsi" w:hAnsiTheme="majorHAnsi" w:cstheme="majorHAnsi"/>
        </w:rPr>
        <w:t xml:space="preserve"> </w:t>
      </w:r>
      <w:r w:rsidRPr="00720FF1">
        <w:rPr>
          <w:rFonts w:asciiTheme="majorHAnsi" w:hAnsiTheme="majorHAnsi" w:cstheme="majorHAnsi"/>
        </w:rPr>
        <w:t xml:space="preserve">enega ključnih stebrov gospodarskega razvoja. Zeleni, trajnostni in krožni razvoj gospodarstva je namreč nujen za ohranjanje dolgoročne mednarodne konkurenčnosti. V okviru tega stebra je poleg prehoda v </w:t>
      </w:r>
      <w:proofErr w:type="spellStart"/>
      <w:r w:rsidRPr="00720FF1">
        <w:rPr>
          <w:rFonts w:asciiTheme="majorHAnsi" w:hAnsiTheme="majorHAnsi" w:cstheme="majorHAnsi"/>
        </w:rPr>
        <w:t>nizkoogljično</w:t>
      </w:r>
      <w:proofErr w:type="spellEnd"/>
      <w:r w:rsidRPr="00720FF1">
        <w:rPr>
          <w:rFonts w:asciiTheme="majorHAnsi" w:hAnsiTheme="majorHAnsi" w:cstheme="majorHAnsi"/>
        </w:rPr>
        <w:t xml:space="preserve"> krožno gospodarstvo, trajnostne mobilnosti in industrije, temelječe na obnovljivih materialih, poudarjeno tudi razogljičenje energetsko intenzivne industrije, ki </w:t>
      </w:r>
      <w:r w:rsidR="009C66C1">
        <w:rPr>
          <w:rFonts w:asciiTheme="majorHAnsi" w:hAnsiTheme="majorHAnsi" w:cstheme="majorHAnsi"/>
        </w:rPr>
        <w:t>je</w:t>
      </w:r>
      <w:r w:rsidRPr="00720FF1">
        <w:rPr>
          <w:rFonts w:asciiTheme="majorHAnsi" w:hAnsiTheme="majorHAnsi" w:cstheme="majorHAnsi"/>
        </w:rPr>
        <w:t xml:space="preserve"> pomemben del slovenske industrije.  </w:t>
      </w:r>
    </w:p>
    <w:p w14:paraId="79EF7749" w14:textId="3F845A77" w:rsidR="00903CCA" w:rsidRDefault="00903CCA" w:rsidP="00AE24D0">
      <w:pPr>
        <w:jc w:val="both"/>
        <w:rPr>
          <w:rFonts w:asciiTheme="majorHAnsi" w:hAnsiTheme="majorHAnsi" w:cstheme="majorHAnsi"/>
        </w:rPr>
      </w:pPr>
      <w:r w:rsidRPr="00720FF1">
        <w:rPr>
          <w:rFonts w:asciiTheme="majorHAnsi" w:hAnsiTheme="majorHAnsi" w:cstheme="majorHAnsi"/>
        </w:rPr>
        <w:t xml:space="preserve">Vlada Republike Slovenije </w:t>
      </w:r>
      <w:r w:rsidR="00471A9A">
        <w:rPr>
          <w:rFonts w:asciiTheme="majorHAnsi" w:hAnsiTheme="majorHAnsi" w:cstheme="majorHAnsi"/>
        </w:rPr>
        <w:t xml:space="preserve">je </w:t>
      </w:r>
      <w:r w:rsidRPr="00720FF1">
        <w:rPr>
          <w:rFonts w:asciiTheme="majorHAnsi" w:hAnsiTheme="majorHAnsi" w:cstheme="majorHAnsi"/>
        </w:rPr>
        <w:t xml:space="preserve">leta 2020 sprejela </w:t>
      </w:r>
      <w:r w:rsidR="00D54434" w:rsidRPr="007471B9">
        <w:rPr>
          <w:rFonts w:asciiTheme="majorHAnsi" w:hAnsiTheme="majorHAnsi" w:cstheme="majorHAnsi"/>
          <w:b/>
        </w:rPr>
        <w:t>C</w:t>
      </w:r>
      <w:r w:rsidRPr="007471B9">
        <w:rPr>
          <w:rFonts w:asciiTheme="majorHAnsi" w:hAnsiTheme="majorHAnsi" w:cstheme="majorHAnsi"/>
          <w:b/>
        </w:rPr>
        <w:t xml:space="preserve">eloviti </w:t>
      </w:r>
      <w:r w:rsidR="00D54434" w:rsidRPr="007471B9">
        <w:rPr>
          <w:rFonts w:asciiTheme="majorHAnsi" w:hAnsiTheme="majorHAnsi" w:cstheme="majorHAnsi"/>
          <w:b/>
        </w:rPr>
        <w:t>n</w:t>
      </w:r>
      <w:r w:rsidRPr="00D54434">
        <w:rPr>
          <w:rFonts w:asciiTheme="majorHAnsi" w:hAnsiTheme="majorHAnsi" w:cstheme="majorHAnsi"/>
          <w:b/>
          <w:bCs/>
        </w:rPr>
        <w:t>a</w:t>
      </w:r>
      <w:r w:rsidRPr="00720FF1">
        <w:rPr>
          <w:rFonts w:asciiTheme="majorHAnsi" w:hAnsiTheme="majorHAnsi" w:cstheme="majorHAnsi"/>
          <w:b/>
          <w:bCs/>
        </w:rPr>
        <w:t xml:space="preserve">cionalni energetski in podnebni načrt </w:t>
      </w:r>
      <w:r w:rsidR="00D54434">
        <w:rPr>
          <w:rFonts w:asciiTheme="majorHAnsi" w:hAnsiTheme="majorHAnsi" w:cstheme="majorHAnsi"/>
          <w:b/>
          <w:bCs/>
        </w:rPr>
        <w:t xml:space="preserve">Republike Slovenije </w:t>
      </w:r>
      <w:r w:rsidRPr="00720FF1">
        <w:rPr>
          <w:rFonts w:asciiTheme="majorHAnsi" w:hAnsiTheme="majorHAnsi" w:cstheme="majorHAnsi"/>
        </w:rPr>
        <w:t>(v nadaljevanj</w:t>
      </w:r>
      <w:r w:rsidR="00471A9A">
        <w:rPr>
          <w:rFonts w:asciiTheme="majorHAnsi" w:hAnsiTheme="majorHAnsi" w:cstheme="majorHAnsi"/>
        </w:rPr>
        <w:t>u:</w:t>
      </w:r>
      <w:r w:rsidRPr="00720FF1">
        <w:rPr>
          <w:rFonts w:asciiTheme="majorHAnsi" w:hAnsiTheme="majorHAnsi" w:cstheme="majorHAnsi"/>
        </w:rPr>
        <w:t xml:space="preserve"> NEPN)</w:t>
      </w:r>
      <w:r w:rsidR="004F06AC">
        <w:rPr>
          <w:rFonts w:asciiTheme="majorHAnsi" w:hAnsiTheme="majorHAnsi" w:cstheme="majorHAnsi"/>
        </w:rPr>
        <w:t>, ki pa bo v letu 2024 posodobljen glede na nove zahteve evropske zakonodaje.</w:t>
      </w:r>
      <w:r w:rsidR="00290211">
        <w:rPr>
          <w:rFonts w:asciiTheme="majorHAnsi" w:hAnsiTheme="majorHAnsi" w:cstheme="majorHAnsi"/>
        </w:rPr>
        <w:t xml:space="preserve"> </w:t>
      </w:r>
      <w:r w:rsidR="004F06AC">
        <w:rPr>
          <w:rFonts w:asciiTheme="majorHAnsi" w:hAnsiTheme="majorHAnsi" w:cstheme="majorHAnsi"/>
        </w:rPr>
        <w:t xml:space="preserve">Predlagani novi </w:t>
      </w:r>
      <w:r w:rsidRPr="00720FF1">
        <w:rPr>
          <w:rFonts w:asciiTheme="majorHAnsi" w:hAnsiTheme="majorHAnsi" w:cstheme="majorHAnsi"/>
        </w:rPr>
        <w:t>cilji NEPN-a</w:t>
      </w:r>
      <w:r w:rsidR="00290211">
        <w:rPr>
          <w:rFonts w:asciiTheme="majorHAnsi" w:hAnsiTheme="majorHAnsi" w:cstheme="majorHAnsi"/>
        </w:rPr>
        <w:t xml:space="preserve"> (</w:t>
      </w:r>
      <w:r w:rsidR="009C66C1">
        <w:rPr>
          <w:rFonts w:asciiTheme="majorHAnsi" w:hAnsiTheme="majorHAnsi" w:cstheme="majorHAnsi"/>
        </w:rPr>
        <w:t>pomemb</w:t>
      </w:r>
      <w:r w:rsidR="00290211">
        <w:rPr>
          <w:rFonts w:asciiTheme="majorHAnsi" w:hAnsiTheme="majorHAnsi" w:cstheme="majorHAnsi"/>
        </w:rPr>
        <w:t>ni za industrijo) so</w:t>
      </w:r>
      <w:r w:rsidR="00290211" w:rsidRPr="00F41B29">
        <w:rPr>
          <w:rFonts w:asciiTheme="majorHAnsi" w:hAnsiTheme="majorHAnsi" w:cstheme="majorHAnsi"/>
        </w:rPr>
        <w:t>:</w:t>
      </w:r>
    </w:p>
    <w:p w14:paraId="4C27B15E" w14:textId="63C5AAB9" w:rsidR="00F41B29" w:rsidRPr="00F41B29" w:rsidRDefault="00F41B29" w:rsidP="00AE24D0">
      <w:pPr>
        <w:pStyle w:val="Odstavekseznama"/>
        <w:numPr>
          <w:ilvl w:val="0"/>
          <w:numId w:val="22"/>
        </w:numPr>
        <w:jc w:val="both"/>
        <w:rPr>
          <w:rFonts w:asciiTheme="majorHAnsi" w:hAnsiTheme="majorHAnsi" w:cstheme="majorHAnsi"/>
        </w:rPr>
      </w:pPr>
      <w:r w:rsidRPr="00F41B29">
        <w:rPr>
          <w:rFonts w:asciiTheme="majorHAnsi" w:hAnsiTheme="majorHAnsi" w:cstheme="majorHAnsi"/>
        </w:rPr>
        <w:t xml:space="preserve">prispevati k doseganju neto ničelnih emisij </w:t>
      </w:r>
      <w:r w:rsidR="009C66C1">
        <w:rPr>
          <w:rFonts w:asciiTheme="majorHAnsi" w:hAnsiTheme="majorHAnsi" w:cstheme="majorHAnsi"/>
        </w:rPr>
        <w:t>toplogrednih plinov (</w:t>
      </w:r>
      <w:r w:rsidRPr="00F41B29">
        <w:rPr>
          <w:rFonts w:asciiTheme="majorHAnsi" w:hAnsiTheme="majorHAnsi" w:cstheme="majorHAnsi"/>
        </w:rPr>
        <w:t>TGP</w:t>
      </w:r>
      <w:r w:rsidR="009C66C1">
        <w:rPr>
          <w:rFonts w:asciiTheme="majorHAnsi" w:hAnsiTheme="majorHAnsi" w:cstheme="majorHAnsi"/>
        </w:rPr>
        <w:t>)</w:t>
      </w:r>
      <w:r w:rsidRPr="00F41B29">
        <w:rPr>
          <w:rFonts w:asciiTheme="majorHAnsi" w:hAnsiTheme="majorHAnsi" w:cstheme="majorHAnsi"/>
        </w:rPr>
        <w:t xml:space="preserve"> na ravni EU do leta 2050, kar je izhodišče za načrtovanje ciljev, politik in potrebnih ukrepov do leta 2030,</w:t>
      </w:r>
    </w:p>
    <w:p w14:paraId="29CC51E5" w14:textId="7803F7E8" w:rsidR="00F41B29" w:rsidRPr="00F41B29" w:rsidRDefault="00F41B29" w:rsidP="00AE24D0">
      <w:pPr>
        <w:pStyle w:val="Odstavekseznama"/>
        <w:numPr>
          <w:ilvl w:val="0"/>
          <w:numId w:val="22"/>
        </w:numPr>
        <w:jc w:val="both"/>
        <w:rPr>
          <w:rFonts w:asciiTheme="majorHAnsi" w:hAnsiTheme="majorHAnsi" w:cstheme="majorHAnsi"/>
        </w:rPr>
      </w:pPr>
      <w:r w:rsidRPr="00F41B29">
        <w:rPr>
          <w:rFonts w:asciiTheme="majorHAnsi" w:hAnsiTheme="majorHAnsi" w:cstheme="majorHAnsi"/>
        </w:rPr>
        <w:t xml:space="preserve">zmanjšati skupne emisije TGP za </w:t>
      </w:r>
      <w:r w:rsidR="009C66C1">
        <w:rPr>
          <w:rFonts w:asciiTheme="majorHAnsi" w:hAnsiTheme="majorHAnsi" w:cstheme="majorHAnsi"/>
        </w:rPr>
        <w:t>najmanj</w:t>
      </w:r>
      <w:r w:rsidRPr="00F41B29">
        <w:rPr>
          <w:rFonts w:asciiTheme="majorHAnsi" w:hAnsiTheme="majorHAnsi" w:cstheme="majorHAnsi"/>
        </w:rPr>
        <w:t xml:space="preserve"> 55 % do leta 2033 glede na leto 2005,</w:t>
      </w:r>
    </w:p>
    <w:p w14:paraId="1E6E8381" w14:textId="45F4E370" w:rsidR="00F41B29" w:rsidRDefault="00F41B29" w:rsidP="00AE24D0">
      <w:pPr>
        <w:pStyle w:val="Odstavekseznama"/>
        <w:numPr>
          <w:ilvl w:val="0"/>
          <w:numId w:val="22"/>
        </w:numPr>
        <w:jc w:val="both"/>
        <w:rPr>
          <w:rFonts w:asciiTheme="majorHAnsi" w:hAnsiTheme="majorHAnsi" w:cstheme="majorHAnsi"/>
        </w:rPr>
      </w:pPr>
      <w:r w:rsidRPr="00F41B29">
        <w:rPr>
          <w:rFonts w:asciiTheme="majorHAnsi" w:hAnsiTheme="majorHAnsi" w:cstheme="majorHAnsi"/>
        </w:rPr>
        <w:t xml:space="preserve">zmanjšati emisije TGP do leta 2030 za več, kot </w:t>
      </w:r>
      <w:r w:rsidR="009C66C1">
        <w:rPr>
          <w:rFonts w:asciiTheme="majorHAnsi" w:hAnsiTheme="majorHAnsi" w:cstheme="majorHAnsi"/>
        </w:rPr>
        <w:t xml:space="preserve">za </w:t>
      </w:r>
      <w:r w:rsidRPr="00F41B29">
        <w:rPr>
          <w:rFonts w:asciiTheme="majorHAnsi" w:hAnsiTheme="majorHAnsi" w:cstheme="majorHAnsi"/>
        </w:rPr>
        <w:t>Slovenij</w:t>
      </w:r>
      <w:r w:rsidR="009C66C1">
        <w:rPr>
          <w:rFonts w:asciiTheme="majorHAnsi" w:hAnsiTheme="majorHAnsi" w:cstheme="majorHAnsi"/>
        </w:rPr>
        <w:t>o</w:t>
      </w:r>
      <w:r w:rsidRPr="00F41B29">
        <w:rPr>
          <w:rFonts w:asciiTheme="majorHAnsi" w:hAnsiTheme="majorHAnsi" w:cstheme="majorHAnsi"/>
        </w:rPr>
        <w:t xml:space="preserve"> določa </w:t>
      </w:r>
      <w:r w:rsidR="009C66C1">
        <w:rPr>
          <w:rFonts w:asciiTheme="majorHAnsi" w:hAnsiTheme="majorHAnsi" w:cstheme="majorHAnsi"/>
        </w:rPr>
        <w:t>u</w:t>
      </w:r>
      <w:r w:rsidRPr="00F41B29">
        <w:rPr>
          <w:rFonts w:asciiTheme="majorHAnsi" w:hAnsiTheme="majorHAnsi" w:cstheme="majorHAnsi"/>
        </w:rPr>
        <w:t xml:space="preserve">redba o delitvi bremen, tj. za </w:t>
      </w:r>
      <w:r w:rsidR="009C66C1">
        <w:rPr>
          <w:rFonts w:asciiTheme="majorHAnsi" w:hAnsiTheme="majorHAnsi" w:cstheme="majorHAnsi"/>
        </w:rPr>
        <w:t>najmanj</w:t>
      </w:r>
      <w:r w:rsidR="009C66C1" w:rsidRPr="00F41B29">
        <w:rPr>
          <w:rFonts w:asciiTheme="majorHAnsi" w:hAnsiTheme="majorHAnsi" w:cstheme="majorHAnsi"/>
        </w:rPr>
        <w:t xml:space="preserve"> </w:t>
      </w:r>
      <w:r w:rsidRPr="00F41B29">
        <w:rPr>
          <w:rFonts w:asciiTheme="majorHAnsi" w:hAnsiTheme="majorHAnsi" w:cstheme="majorHAnsi"/>
        </w:rPr>
        <w:t>28 % glede na leto 2005, z doseganjem sektorsk</w:t>
      </w:r>
      <w:r>
        <w:rPr>
          <w:rFonts w:asciiTheme="majorHAnsi" w:hAnsiTheme="majorHAnsi" w:cstheme="majorHAnsi"/>
        </w:rPr>
        <w:t xml:space="preserve">ega </w:t>
      </w:r>
      <w:r w:rsidRPr="00F41B29">
        <w:rPr>
          <w:rFonts w:asciiTheme="majorHAnsi" w:hAnsiTheme="majorHAnsi" w:cstheme="majorHAnsi"/>
        </w:rPr>
        <w:t>cilj</w:t>
      </w:r>
      <w:r w:rsidR="00290211">
        <w:rPr>
          <w:rFonts w:asciiTheme="majorHAnsi" w:hAnsiTheme="majorHAnsi" w:cstheme="majorHAnsi"/>
        </w:rPr>
        <w:t xml:space="preserve">a za industrijo: </w:t>
      </w:r>
      <w:r w:rsidR="00290211" w:rsidRPr="00F41B29">
        <w:rPr>
          <w:rFonts w:asciiTheme="majorHAnsi" w:hAnsiTheme="majorHAnsi" w:cstheme="majorHAnsi"/>
        </w:rPr>
        <w:t>–40 %</w:t>
      </w:r>
      <w:r w:rsidR="00290211">
        <w:rPr>
          <w:rFonts w:asciiTheme="majorHAnsi" w:hAnsiTheme="majorHAnsi" w:cstheme="majorHAnsi"/>
        </w:rPr>
        <w:t xml:space="preserve"> (za del, ki ni </w:t>
      </w:r>
      <w:r w:rsidR="00290211" w:rsidRPr="00F41B29">
        <w:rPr>
          <w:rFonts w:asciiTheme="majorHAnsi" w:hAnsiTheme="majorHAnsi" w:cstheme="majorHAnsi"/>
        </w:rPr>
        <w:t>vključen v sistem trgovanja z emisijami</w:t>
      </w:r>
      <w:r w:rsidR="00290211">
        <w:rPr>
          <w:rFonts w:asciiTheme="majorHAnsi" w:hAnsiTheme="majorHAnsi" w:cstheme="majorHAnsi"/>
        </w:rPr>
        <w:t xml:space="preserve">), </w:t>
      </w:r>
    </w:p>
    <w:p w14:paraId="0195F729" w14:textId="6649FA74" w:rsidR="00AF29B3" w:rsidRPr="00665379" w:rsidRDefault="00AF29B3" w:rsidP="00AE24D0">
      <w:pPr>
        <w:pStyle w:val="Odstavekseznama"/>
        <w:numPr>
          <w:ilvl w:val="0"/>
          <w:numId w:val="22"/>
        </w:numPr>
        <w:jc w:val="both"/>
        <w:rPr>
          <w:rFonts w:asciiTheme="majorHAnsi" w:hAnsiTheme="majorHAnsi" w:cstheme="majorHAnsi"/>
        </w:rPr>
      </w:pPr>
      <w:r w:rsidRPr="00665379">
        <w:rPr>
          <w:rFonts w:asciiTheme="majorHAnsi" w:hAnsiTheme="majorHAnsi" w:cstheme="majorHAnsi"/>
        </w:rPr>
        <w:t>pospešeno izboljša</w:t>
      </w:r>
      <w:r w:rsidR="009C66C1">
        <w:rPr>
          <w:rFonts w:asciiTheme="majorHAnsi" w:hAnsiTheme="majorHAnsi" w:cstheme="majorHAnsi"/>
        </w:rPr>
        <w:t>ti</w:t>
      </w:r>
      <w:r w:rsidRPr="00665379">
        <w:rPr>
          <w:rFonts w:asciiTheme="majorHAnsi" w:hAnsiTheme="majorHAnsi" w:cstheme="majorHAnsi"/>
        </w:rPr>
        <w:t xml:space="preserve"> energetsk</w:t>
      </w:r>
      <w:r w:rsidR="009C66C1">
        <w:rPr>
          <w:rFonts w:asciiTheme="majorHAnsi" w:hAnsiTheme="majorHAnsi" w:cstheme="majorHAnsi"/>
        </w:rPr>
        <w:t>o</w:t>
      </w:r>
      <w:r w:rsidRPr="00665379">
        <w:rPr>
          <w:rFonts w:asciiTheme="majorHAnsi" w:hAnsiTheme="majorHAnsi" w:cstheme="majorHAnsi"/>
        </w:rPr>
        <w:t xml:space="preserve"> in snovn</w:t>
      </w:r>
      <w:r w:rsidR="009C66C1">
        <w:rPr>
          <w:rFonts w:asciiTheme="majorHAnsi" w:hAnsiTheme="majorHAnsi" w:cstheme="majorHAnsi"/>
        </w:rPr>
        <w:t>o</w:t>
      </w:r>
      <w:r w:rsidRPr="00665379">
        <w:rPr>
          <w:rFonts w:asciiTheme="majorHAnsi" w:hAnsiTheme="majorHAnsi" w:cstheme="majorHAnsi"/>
        </w:rPr>
        <w:t xml:space="preserve"> učinkovitost v vseh sektorjih (tudi pri oskrbi z energijo) kot ključni dejavnik uspešnega izhoda iz energetske krize in učinkovite izvedbe zelenega prehoda (in torej zmanjšanje porabe energije in drugih naravnih virov) po načelu »energetska učinkovitost na prvem mestu«, kar je pr</w:t>
      </w:r>
      <w:r w:rsidR="009C50E0">
        <w:rPr>
          <w:rFonts w:asciiTheme="majorHAnsi" w:hAnsiTheme="majorHAnsi" w:cstheme="majorHAnsi"/>
        </w:rPr>
        <w:t xml:space="preserve">vi </w:t>
      </w:r>
      <w:r w:rsidRPr="00665379">
        <w:rPr>
          <w:rFonts w:asciiTheme="majorHAnsi" w:hAnsiTheme="majorHAnsi" w:cstheme="majorHAnsi"/>
        </w:rPr>
        <w:t xml:space="preserve">pogoj za uspešen in konkurenčen prehod v podnebno nevtralno družbo, </w:t>
      </w:r>
    </w:p>
    <w:p w14:paraId="6031C718" w14:textId="2D6C0B42" w:rsidR="00AF29B3" w:rsidRPr="00665379" w:rsidRDefault="00AF29B3" w:rsidP="00AE24D0">
      <w:pPr>
        <w:pStyle w:val="Odstavekseznama"/>
        <w:numPr>
          <w:ilvl w:val="0"/>
          <w:numId w:val="22"/>
        </w:numPr>
        <w:jc w:val="both"/>
        <w:rPr>
          <w:rFonts w:asciiTheme="majorHAnsi" w:hAnsiTheme="majorHAnsi" w:cstheme="majorHAnsi"/>
        </w:rPr>
      </w:pPr>
      <w:r w:rsidRPr="00665379">
        <w:rPr>
          <w:rFonts w:asciiTheme="majorHAnsi" w:hAnsiTheme="majorHAnsi" w:cstheme="majorHAnsi"/>
        </w:rPr>
        <w:t xml:space="preserve">do leta 2030 izboljšati energetsko učinkovitost in obseg letnih prihrankov v okviru sheme obveznega doseganja prihrankov vsaj skladno z indikativnim ciljem, določenim v novi </w:t>
      </w:r>
      <w:r w:rsidR="009C66C1">
        <w:rPr>
          <w:rFonts w:asciiTheme="majorHAnsi" w:hAnsiTheme="majorHAnsi" w:cstheme="majorHAnsi"/>
        </w:rPr>
        <w:t>d</w:t>
      </w:r>
      <w:r w:rsidRPr="00665379">
        <w:rPr>
          <w:rFonts w:asciiTheme="majorHAnsi" w:hAnsiTheme="majorHAnsi" w:cstheme="majorHAnsi"/>
        </w:rPr>
        <w:t xml:space="preserve">irektivi o energetski učinkovitosti, </w:t>
      </w:r>
    </w:p>
    <w:p w14:paraId="59267BC7" w14:textId="77777777" w:rsidR="00AF29B3" w:rsidRPr="00665379" w:rsidRDefault="00AF29B3" w:rsidP="00AE24D0">
      <w:pPr>
        <w:pStyle w:val="Odstavekseznama"/>
        <w:numPr>
          <w:ilvl w:val="0"/>
          <w:numId w:val="22"/>
        </w:numPr>
        <w:jc w:val="both"/>
        <w:rPr>
          <w:rFonts w:asciiTheme="majorHAnsi" w:hAnsiTheme="majorHAnsi" w:cstheme="majorHAnsi"/>
        </w:rPr>
      </w:pPr>
      <w:r w:rsidRPr="00665379">
        <w:rPr>
          <w:rFonts w:asciiTheme="majorHAnsi" w:hAnsiTheme="majorHAnsi" w:cstheme="majorHAnsi"/>
        </w:rPr>
        <w:t xml:space="preserve">zagotoviti sistematično izvajanje sprejetih politik in ukrepov, da raba končne energije ne bo presegla 50,2 </w:t>
      </w:r>
      <w:proofErr w:type="spellStart"/>
      <w:r w:rsidRPr="00665379">
        <w:rPr>
          <w:rFonts w:asciiTheme="majorHAnsi" w:hAnsiTheme="majorHAnsi" w:cstheme="majorHAnsi"/>
        </w:rPr>
        <w:t>TWh</w:t>
      </w:r>
      <w:proofErr w:type="spellEnd"/>
      <w:r w:rsidRPr="00665379">
        <w:rPr>
          <w:rFonts w:asciiTheme="majorHAnsi" w:hAnsiTheme="majorHAnsi" w:cstheme="majorHAnsi"/>
        </w:rPr>
        <w:t xml:space="preserve"> (4.320 </w:t>
      </w:r>
      <w:proofErr w:type="spellStart"/>
      <w:r w:rsidRPr="00665379">
        <w:rPr>
          <w:rFonts w:asciiTheme="majorHAnsi" w:hAnsiTheme="majorHAnsi" w:cstheme="majorHAnsi"/>
        </w:rPr>
        <w:t>ktoe</w:t>
      </w:r>
      <w:proofErr w:type="spellEnd"/>
      <w:r w:rsidRPr="00665379">
        <w:rPr>
          <w:rFonts w:asciiTheme="majorHAnsi" w:hAnsiTheme="majorHAnsi" w:cstheme="majorHAnsi"/>
        </w:rPr>
        <w:t xml:space="preserve">), </w:t>
      </w:r>
    </w:p>
    <w:p w14:paraId="5338B6D3" w14:textId="5EA672D2" w:rsidR="00AF29B3" w:rsidRPr="00665379" w:rsidRDefault="00AF29B3" w:rsidP="00AE24D0">
      <w:pPr>
        <w:pStyle w:val="Odstavekseznama"/>
        <w:numPr>
          <w:ilvl w:val="0"/>
          <w:numId w:val="22"/>
        </w:numPr>
        <w:jc w:val="both"/>
        <w:rPr>
          <w:rFonts w:asciiTheme="majorHAnsi" w:hAnsiTheme="majorHAnsi" w:cstheme="majorHAnsi"/>
        </w:rPr>
      </w:pPr>
      <w:r w:rsidRPr="00665379">
        <w:rPr>
          <w:rFonts w:asciiTheme="majorHAnsi" w:hAnsiTheme="majorHAnsi" w:cstheme="majorHAnsi"/>
        </w:rPr>
        <w:t xml:space="preserve">zmanjšati rabo končne energije v stavbah za 15 % do leta 2030 glede na leto 2020 in zagotoviti zmanjšanje emisij TGP v stavbah za </w:t>
      </w:r>
      <w:r w:rsidR="009C66C1">
        <w:rPr>
          <w:rFonts w:asciiTheme="majorHAnsi" w:hAnsiTheme="majorHAnsi" w:cstheme="majorHAnsi"/>
        </w:rPr>
        <w:t xml:space="preserve">najmanj </w:t>
      </w:r>
      <w:r w:rsidRPr="00665379">
        <w:rPr>
          <w:rFonts w:asciiTheme="majorHAnsi" w:hAnsiTheme="majorHAnsi" w:cstheme="majorHAnsi"/>
        </w:rPr>
        <w:t xml:space="preserve">70 % do leta 2030 glede na leto 2005, </w:t>
      </w:r>
    </w:p>
    <w:p w14:paraId="6106A9F0" w14:textId="52F9D52B" w:rsidR="00AF29B3" w:rsidRPr="00665379" w:rsidRDefault="00AF29B3" w:rsidP="00AE24D0">
      <w:pPr>
        <w:pStyle w:val="Odstavekseznama"/>
        <w:numPr>
          <w:ilvl w:val="0"/>
          <w:numId w:val="22"/>
        </w:numPr>
        <w:jc w:val="both"/>
        <w:rPr>
          <w:rFonts w:asciiTheme="majorHAnsi" w:hAnsiTheme="majorHAnsi" w:cstheme="majorHAnsi"/>
        </w:rPr>
      </w:pPr>
      <w:r w:rsidRPr="00665379">
        <w:rPr>
          <w:rFonts w:asciiTheme="majorHAnsi" w:hAnsiTheme="majorHAnsi" w:cstheme="majorHAnsi"/>
        </w:rPr>
        <w:t>aktivna in pospešena podpora industriji za povečanje učinkovitosti in konkurenčnosti</w:t>
      </w:r>
      <w:r w:rsidR="00A9341C">
        <w:rPr>
          <w:rFonts w:asciiTheme="majorHAnsi" w:hAnsiTheme="majorHAnsi" w:cstheme="majorHAnsi"/>
        </w:rPr>
        <w:t xml:space="preserve"> ter</w:t>
      </w:r>
      <w:r w:rsidRPr="00665379">
        <w:rPr>
          <w:rFonts w:asciiTheme="majorHAnsi" w:hAnsiTheme="majorHAnsi" w:cstheme="majorHAnsi"/>
        </w:rPr>
        <w:t xml:space="preserve"> uvajanju novih učinkovitih zelenih tehnologij </w:t>
      </w:r>
      <w:r w:rsidR="00A9341C">
        <w:rPr>
          <w:rFonts w:asciiTheme="majorHAnsi" w:hAnsiTheme="majorHAnsi" w:cstheme="majorHAnsi"/>
        </w:rPr>
        <w:t>in</w:t>
      </w:r>
      <w:r w:rsidR="00A9341C" w:rsidRPr="00665379">
        <w:rPr>
          <w:rFonts w:asciiTheme="majorHAnsi" w:hAnsiTheme="majorHAnsi" w:cstheme="majorHAnsi"/>
        </w:rPr>
        <w:t xml:space="preserve"> </w:t>
      </w:r>
      <w:r w:rsidRPr="00665379">
        <w:rPr>
          <w:rFonts w:asciiTheme="majorHAnsi" w:hAnsiTheme="majorHAnsi" w:cstheme="majorHAnsi"/>
        </w:rPr>
        <w:t xml:space="preserve">krožnega gospodarstva, </w:t>
      </w:r>
    </w:p>
    <w:p w14:paraId="5725B04D" w14:textId="223A8F83" w:rsidR="00AF29B3" w:rsidRPr="00665379" w:rsidRDefault="00AF29B3" w:rsidP="00AE24D0">
      <w:pPr>
        <w:pStyle w:val="Odstavekseznama"/>
        <w:numPr>
          <w:ilvl w:val="0"/>
          <w:numId w:val="22"/>
        </w:numPr>
        <w:jc w:val="both"/>
        <w:rPr>
          <w:rFonts w:asciiTheme="majorHAnsi" w:hAnsiTheme="majorHAnsi" w:cstheme="majorHAnsi"/>
        </w:rPr>
      </w:pPr>
      <w:r w:rsidRPr="00665379">
        <w:rPr>
          <w:rFonts w:asciiTheme="majorHAnsi" w:hAnsiTheme="majorHAnsi" w:cstheme="majorHAnsi"/>
        </w:rPr>
        <w:t xml:space="preserve">pospešiti izvedbo programov za informiranje, ozaveščanje in usposabljanje različnih ciljnih skupin o koristih in praktičnih vidikih razvoja in uporabe tehnologij za URE in izrabo OVE ter </w:t>
      </w:r>
      <w:r w:rsidR="00A9341C">
        <w:rPr>
          <w:rFonts w:asciiTheme="majorHAnsi" w:hAnsiTheme="majorHAnsi" w:cstheme="majorHAnsi"/>
        </w:rPr>
        <w:t xml:space="preserve">za </w:t>
      </w:r>
      <w:r w:rsidRPr="00665379">
        <w:rPr>
          <w:rFonts w:asciiTheme="majorHAnsi" w:hAnsiTheme="majorHAnsi" w:cstheme="majorHAnsi"/>
        </w:rPr>
        <w:t>razumevanja koncepta zadostnosti in motivacijo za manj intenzivno materialno blaginjo</w:t>
      </w:r>
      <w:r w:rsidR="00665379" w:rsidRPr="00665379">
        <w:rPr>
          <w:rFonts w:asciiTheme="majorHAnsi" w:hAnsiTheme="majorHAnsi" w:cstheme="majorHAnsi"/>
        </w:rPr>
        <w:t>,</w:t>
      </w:r>
    </w:p>
    <w:p w14:paraId="06F0278B" w14:textId="07C5CB6E" w:rsidR="00F41B29" w:rsidRPr="00F41B29" w:rsidRDefault="00F41B29" w:rsidP="00AE24D0">
      <w:pPr>
        <w:pStyle w:val="Odstavekseznama"/>
        <w:numPr>
          <w:ilvl w:val="0"/>
          <w:numId w:val="22"/>
        </w:numPr>
        <w:jc w:val="both"/>
        <w:rPr>
          <w:rFonts w:asciiTheme="majorHAnsi" w:hAnsiTheme="majorHAnsi" w:cstheme="majorHAnsi"/>
        </w:rPr>
      </w:pPr>
      <w:r w:rsidRPr="00F41B29">
        <w:rPr>
          <w:rFonts w:asciiTheme="majorHAnsi" w:hAnsiTheme="majorHAnsi" w:cstheme="majorHAnsi"/>
        </w:rPr>
        <w:t>na področju prilagajanja zmanjšati izpostavljenost vplivom podnebnih sprememb, občutljivost</w:t>
      </w:r>
      <w:r w:rsidR="00290211">
        <w:rPr>
          <w:rFonts w:asciiTheme="majorHAnsi" w:hAnsiTheme="majorHAnsi" w:cstheme="majorHAnsi"/>
        </w:rPr>
        <w:t xml:space="preserve"> </w:t>
      </w:r>
      <w:r w:rsidRPr="00F41B29">
        <w:rPr>
          <w:rFonts w:asciiTheme="majorHAnsi" w:hAnsiTheme="majorHAnsi" w:cstheme="majorHAnsi"/>
        </w:rPr>
        <w:t>in ranljivost Slovenije zanje ter povečevati odpornost in prilagoditvene sposobnosti družbe,</w:t>
      </w:r>
    </w:p>
    <w:p w14:paraId="4629C5C7" w14:textId="1FCE247E" w:rsidR="00F41B29" w:rsidRPr="00F41B29" w:rsidRDefault="00F41B29" w:rsidP="00AE24D0">
      <w:pPr>
        <w:pStyle w:val="Odstavekseznama"/>
        <w:numPr>
          <w:ilvl w:val="0"/>
          <w:numId w:val="22"/>
        </w:numPr>
        <w:jc w:val="both"/>
        <w:rPr>
          <w:rFonts w:asciiTheme="majorHAnsi" w:hAnsiTheme="majorHAnsi" w:cstheme="majorHAnsi"/>
        </w:rPr>
      </w:pPr>
      <w:r w:rsidRPr="00F41B29">
        <w:rPr>
          <w:rFonts w:asciiTheme="majorHAnsi" w:hAnsiTheme="majorHAnsi" w:cstheme="majorHAnsi"/>
        </w:rPr>
        <w:t>zagotavlja</w:t>
      </w:r>
      <w:r w:rsidR="00A9341C">
        <w:rPr>
          <w:rFonts w:asciiTheme="majorHAnsi" w:hAnsiTheme="majorHAnsi" w:cstheme="majorHAnsi"/>
        </w:rPr>
        <w:t>ti</w:t>
      </w:r>
      <w:r w:rsidRPr="00F41B29">
        <w:rPr>
          <w:rFonts w:asciiTheme="majorHAnsi" w:hAnsiTheme="majorHAnsi" w:cstheme="majorHAnsi"/>
        </w:rPr>
        <w:t xml:space="preserve"> podnebn</w:t>
      </w:r>
      <w:r w:rsidR="00A9341C">
        <w:rPr>
          <w:rFonts w:asciiTheme="majorHAnsi" w:hAnsiTheme="majorHAnsi" w:cstheme="majorHAnsi"/>
        </w:rPr>
        <w:t>o</w:t>
      </w:r>
      <w:r w:rsidRPr="00F41B29">
        <w:rPr>
          <w:rFonts w:asciiTheme="majorHAnsi" w:hAnsiTheme="majorHAnsi" w:cstheme="majorHAnsi"/>
        </w:rPr>
        <w:t xml:space="preserve"> pravičnost,</w:t>
      </w:r>
    </w:p>
    <w:p w14:paraId="4B954BAB" w14:textId="4864ED01" w:rsidR="00F41B29" w:rsidRPr="00F41B29" w:rsidRDefault="00F41B29" w:rsidP="00AE24D0">
      <w:pPr>
        <w:pStyle w:val="Odstavekseznama"/>
        <w:numPr>
          <w:ilvl w:val="0"/>
          <w:numId w:val="22"/>
        </w:numPr>
        <w:jc w:val="both"/>
        <w:rPr>
          <w:rFonts w:asciiTheme="majorHAnsi" w:hAnsiTheme="majorHAnsi" w:cstheme="majorHAnsi"/>
        </w:rPr>
      </w:pPr>
      <w:r w:rsidRPr="00F41B29">
        <w:rPr>
          <w:rFonts w:asciiTheme="majorHAnsi" w:hAnsiTheme="majorHAnsi" w:cstheme="majorHAnsi"/>
        </w:rPr>
        <w:t>ukiniti vse spodbude za rabo fosilnih goriv do leta 2030,</w:t>
      </w:r>
    </w:p>
    <w:p w14:paraId="3984B9EF" w14:textId="6C3CAB18" w:rsidR="00F41B29" w:rsidRPr="00F41B29" w:rsidRDefault="00F41B29" w:rsidP="00AE24D0">
      <w:pPr>
        <w:pStyle w:val="Odstavekseznama"/>
        <w:numPr>
          <w:ilvl w:val="0"/>
          <w:numId w:val="22"/>
        </w:numPr>
        <w:jc w:val="both"/>
        <w:rPr>
          <w:rFonts w:asciiTheme="majorHAnsi" w:hAnsiTheme="majorHAnsi" w:cstheme="majorHAnsi"/>
        </w:rPr>
      </w:pPr>
      <w:r w:rsidRPr="00F41B29">
        <w:rPr>
          <w:rFonts w:asciiTheme="majorHAnsi" w:hAnsiTheme="majorHAnsi" w:cstheme="majorHAnsi"/>
        </w:rPr>
        <w:t>zagotavlja</w:t>
      </w:r>
      <w:r w:rsidR="00A9341C">
        <w:rPr>
          <w:rFonts w:asciiTheme="majorHAnsi" w:hAnsiTheme="majorHAnsi" w:cstheme="majorHAnsi"/>
        </w:rPr>
        <w:t>ti</w:t>
      </w:r>
      <w:r w:rsidRPr="00F41B29">
        <w:rPr>
          <w:rFonts w:asciiTheme="majorHAnsi" w:hAnsiTheme="majorHAnsi" w:cstheme="majorHAnsi"/>
        </w:rPr>
        <w:t xml:space="preserve"> prehod v </w:t>
      </w:r>
      <w:proofErr w:type="spellStart"/>
      <w:r w:rsidRPr="00F41B29">
        <w:rPr>
          <w:rFonts w:asciiTheme="majorHAnsi" w:hAnsiTheme="majorHAnsi" w:cstheme="majorHAnsi"/>
        </w:rPr>
        <w:t>nizkoogljično</w:t>
      </w:r>
      <w:proofErr w:type="spellEnd"/>
      <w:r w:rsidRPr="00F41B29">
        <w:rPr>
          <w:rFonts w:asciiTheme="majorHAnsi" w:hAnsiTheme="majorHAnsi" w:cstheme="majorHAnsi"/>
        </w:rPr>
        <w:t xml:space="preserve"> krožno gospodarstvo s spodbujanjem trajnostne potrošnje in proizvodnje,</w:t>
      </w:r>
    </w:p>
    <w:p w14:paraId="23E42740" w14:textId="37E84A19" w:rsidR="00F41B29" w:rsidRDefault="00F41B29" w:rsidP="00AE24D0">
      <w:pPr>
        <w:pStyle w:val="Odstavekseznama"/>
        <w:numPr>
          <w:ilvl w:val="0"/>
          <w:numId w:val="22"/>
        </w:numPr>
        <w:jc w:val="both"/>
        <w:rPr>
          <w:rFonts w:asciiTheme="majorHAnsi" w:hAnsiTheme="majorHAnsi" w:cstheme="majorHAnsi"/>
        </w:rPr>
      </w:pPr>
      <w:r w:rsidRPr="00290211">
        <w:rPr>
          <w:rFonts w:asciiTheme="majorHAnsi" w:hAnsiTheme="majorHAnsi" w:cstheme="majorHAnsi"/>
        </w:rPr>
        <w:t xml:space="preserve">doseči </w:t>
      </w:r>
      <w:r w:rsidR="009C66C1">
        <w:rPr>
          <w:rFonts w:asciiTheme="majorHAnsi" w:hAnsiTheme="majorHAnsi" w:cstheme="majorHAnsi"/>
        </w:rPr>
        <w:t>najmanj</w:t>
      </w:r>
      <w:r w:rsidR="009C66C1" w:rsidRPr="00290211">
        <w:rPr>
          <w:rFonts w:asciiTheme="majorHAnsi" w:hAnsiTheme="majorHAnsi" w:cstheme="majorHAnsi"/>
        </w:rPr>
        <w:t xml:space="preserve"> </w:t>
      </w:r>
      <w:r w:rsidRPr="00290211">
        <w:rPr>
          <w:rFonts w:asciiTheme="majorHAnsi" w:hAnsiTheme="majorHAnsi" w:cstheme="majorHAnsi"/>
        </w:rPr>
        <w:t>33</w:t>
      </w:r>
      <w:r w:rsidR="00A9341C">
        <w:rPr>
          <w:rFonts w:asciiTheme="majorHAnsi" w:hAnsiTheme="majorHAnsi" w:cstheme="majorHAnsi"/>
        </w:rPr>
        <w:t>-</w:t>
      </w:r>
      <w:r w:rsidRPr="00290211">
        <w:rPr>
          <w:rFonts w:asciiTheme="majorHAnsi" w:hAnsiTheme="majorHAnsi" w:cstheme="majorHAnsi"/>
        </w:rPr>
        <w:t>odstotni delež OVE v končni rabi energije do leta 2030 in</w:t>
      </w:r>
      <w:r w:rsidR="00290211" w:rsidRPr="00290211">
        <w:rPr>
          <w:rFonts w:asciiTheme="majorHAnsi" w:hAnsiTheme="majorHAnsi" w:cstheme="majorHAnsi"/>
        </w:rPr>
        <w:t xml:space="preserve"> od tega </w:t>
      </w:r>
      <w:r w:rsidR="009C66C1">
        <w:rPr>
          <w:rFonts w:asciiTheme="majorHAnsi" w:hAnsiTheme="majorHAnsi" w:cstheme="majorHAnsi"/>
        </w:rPr>
        <w:t>najmanj</w:t>
      </w:r>
      <w:r w:rsidR="009C66C1" w:rsidRPr="00290211">
        <w:rPr>
          <w:rFonts w:asciiTheme="majorHAnsi" w:hAnsiTheme="majorHAnsi" w:cstheme="majorHAnsi"/>
        </w:rPr>
        <w:t xml:space="preserve"> </w:t>
      </w:r>
      <w:r w:rsidRPr="00290211">
        <w:rPr>
          <w:rFonts w:asciiTheme="majorHAnsi" w:hAnsiTheme="majorHAnsi" w:cstheme="majorHAnsi"/>
        </w:rPr>
        <w:t>30-odstotni delež OVE (vključno z odvečno toploto) v industriji,</w:t>
      </w:r>
    </w:p>
    <w:p w14:paraId="54C9A6F8" w14:textId="77777777" w:rsidR="00290211" w:rsidRPr="00290211" w:rsidRDefault="00290211" w:rsidP="00AE24D0">
      <w:pPr>
        <w:pStyle w:val="Odstavekseznama"/>
        <w:numPr>
          <w:ilvl w:val="0"/>
          <w:numId w:val="22"/>
        </w:numPr>
        <w:jc w:val="both"/>
        <w:rPr>
          <w:rFonts w:asciiTheme="majorHAnsi" w:hAnsiTheme="majorHAnsi" w:cstheme="majorHAnsi"/>
        </w:rPr>
      </w:pPr>
      <w:r w:rsidRPr="00290211">
        <w:rPr>
          <w:rFonts w:asciiTheme="majorHAnsi" w:hAnsiTheme="majorHAnsi" w:cstheme="majorHAnsi"/>
        </w:rPr>
        <w:t>pospešeno umeščanje obnovljivih virov energije v prostor,</w:t>
      </w:r>
    </w:p>
    <w:p w14:paraId="0002C765" w14:textId="07EE4E70" w:rsidR="00290211" w:rsidRPr="00290211" w:rsidRDefault="00290211" w:rsidP="00AE24D0">
      <w:pPr>
        <w:pStyle w:val="Odstavekseznama"/>
        <w:numPr>
          <w:ilvl w:val="0"/>
          <w:numId w:val="22"/>
        </w:numPr>
        <w:jc w:val="both"/>
        <w:rPr>
          <w:rFonts w:asciiTheme="majorHAnsi" w:hAnsiTheme="majorHAnsi" w:cstheme="majorHAnsi"/>
        </w:rPr>
      </w:pPr>
      <w:r w:rsidRPr="00290211">
        <w:rPr>
          <w:rFonts w:asciiTheme="majorHAnsi" w:hAnsiTheme="majorHAnsi" w:cstheme="majorHAnsi"/>
        </w:rPr>
        <w:t>postopno razogljičenje sektorjev energ</w:t>
      </w:r>
      <w:r w:rsidR="009C50E0">
        <w:rPr>
          <w:rFonts w:asciiTheme="majorHAnsi" w:hAnsiTheme="majorHAnsi" w:cstheme="majorHAnsi"/>
        </w:rPr>
        <w:t>et</w:t>
      </w:r>
      <w:r w:rsidRPr="00290211">
        <w:rPr>
          <w:rFonts w:asciiTheme="majorHAnsi" w:hAnsiTheme="majorHAnsi" w:cstheme="majorHAnsi"/>
        </w:rPr>
        <w:t xml:space="preserve">sko intenzivne industrije, ki jih je težko razogljičiti (angl. </w:t>
      </w:r>
      <w:proofErr w:type="spellStart"/>
      <w:r w:rsidRPr="007471B9">
        <w:rPr>
          <w:rFonts w:asciiTheme="majorHAnsi" w:hAnsiTheme="majorHAnsi" w:cstheme="majorHAnsi"/>
          <w:i/>
        </w:rPr>
        <w:t>hard</w:t>
      </w:r>
      <w:proofErr w:type="spellEnd"/>
      <w:r w:rsidRPr="007471B9">
        <w:rPr>
          <w:rFonts w:asciiTheme="majorHAnsi" w:hAnsiTheme="majorHAnsi" w:cstheme="majorHAnsi"/>
          <w:i/>
        </w:rPr>
        <w:t xml:space="preserve"> to </w:t>
      </w:r>
      <w:proofErr w:type="spellStart"/>
      <w:r w:rsidRPr="007471B9">
        <w:rPr>
          <w:rFonts w:asciiTheme="majorHAnsi" w:hAnsiTheme="majorHAnsi" w:cstheme="majorHAnsi"/>
          <w:i/>
        </w:rPr>
        <w:t>abate</w:t>
      </w:r>
      <w:proofErr w:type="spellEnd"/>
      <w:r w:rsidRPr="007471B9">
        <w:rPr>
          <w:rFonts w:asciiTheme="majorHAnsi" w:hAnsiTheme="majorHAnsi" w:cstheme="majorHAnsi"/>
          <w:i/>
        </w:rPr>
        <w:t xml:space="preserve"> </w:t>
      </w:r>
      <w:proofErr w:type="spellStart"/>
      <w:r w:rsidRPr="007471B9">
        <w:rPr>
          <w:rFonts w:asciiTheme="majorHAnsi" w:hAnsiTheme="majorHAnsi" w:cstheme="majorHAnsi"/>
          <w:i/>
        </w:rPr>
        <w:t>sectors</w:t>
      </w:r>
      <w:proofErr w:type="spellEnd"/>
      <w:r w:rsidRPr="00290211">
        <w:rPr>
          <w:rFonts w:asciiTheme="majorHAnsi" w:hAnsiTheme="majorHAnsi" w:cstheme="majorHAnsi"/>
        </w:rPr>
        <w:t>): zagotovit</w:t>
      </w:r>
      <w:r w:rsidR="0032522B">
        <w:rPr>
          <w:rFonts w:asciiTheme="majorHAnsi" w:hAnsiTheme="majorHAnsi" w:cstheme="majorHAnsi"/>
        </w:rPr>
        <w:t>i</w:t>
      </w:r>
      <w:r w:rsidRPr="00290211">
        <w:rPr>
          <w:rFonts w:asciiTheme="majorHAnsi" w:hAnsiTheme="majorHAnsi" w:cstheme="majorHAnsi"/>
        </w:rPr>
        <w:t xml:space="preserve"> finančn</w:t>
      </w:r>
      <w:r w:rsidR="0032522B">
        <w:rPr>
          <w:rFonts w:asciiTheme="majorHAnsi" w:hAnsiTheme="majorHAnsi" w:cstheme="majorHAnsi"/>
        </w:rPr>
        <w:t>e</w:t>
      </w:r>
      <w:r w:rsidRPr="00290211">
        <w:rPr>
          <w:rFonts w:asciiTheme="majorHAnsi" w:hAnsiTheme="majorHAnsi" w:cstheme="majorHAnsi"/>
        </w:rPr>
        <w:t xml:space="preserve"> spodbud</w:t>
      </w:r>
      <w:r w:rsidR="0032522B">
        <w:rPr>
          <w:rFonts w:asciiTheme="majorHAnsi" w:hAnsiTheme="majorHAnsi" w:cstheme="majorHAnsi"/>
        </w:rPr>
        <w:t>e</w:t>
      </w:r>
      <w:r w:rsidRPr="00290211">
        <w:rPr>
          <w:rFonts w:asciiTheme="majorHAnsi" w:hAnsiTheme="majorHAnsi" w:cstheme="majorHAnsi"/>
        </w:rPr>
        <w:t xml:space="preserve"> za prestrukturiranje proizvodnih procesov </w:t>
      </w:r>
      <w:r w:rsidRPr="00290211">
        <w:rPr>
          <w:rFonts w:asciiTheme="majorHAnsi" w:hAnsiTheme="majorHAnsi" w:cstheme="majorHAnsi"/>
        </w:rPr>
        <w:lastRenderedPageBreak/>
        <w:t xml:space="preserve">z uvajanjem zelenih tehnologij, obnovljivih in </w:t>
      </w:r>
      <w:proofErr w:type="spellStart"/>
      <w:r w:rsidRPr="00290211">
        <w:rPr>
          <w:rFonts w:asciiTheme="majorHAnsi" w:hAnsiTheme="majorHAnsi" w:cstheme="majorHAnsi"/>
        </w:rPr>
        <w:t>nizkoogljičnih</w:t>
      </w:r>
      <w:proofErr w:type="spellEnd"/>
      <w:r w:rsidRPr="00290211">
        <w:rPr>
          <w:rFonts w:asciiTheme="majorHAnsi" w:hAnsiTheme="majorHAnsi" w:cstheme="majorHAnsi"/>
        </w:rPr>
        <w:t xml:space="preserve"> plinov</w:t>
      </w:r>
      <w:r w:rsidR="0032522B">
        <w:rPr>
          <w:rFonts w:asciiTheme="majorHAnsi" w:hAnsiTheme="majorHAnsi" w:cstheme="majorHAnsi"/>
        </w:rPr>
        <w:t>,</w:t>
      </w:r>
      <w:r w:rsidRPr="00290211">
        <w:rPr>
          <w:rFonts w:asciiTheme="majorHAnsi" w:hAnsiTheme="majorHAnsi" w:cstheme="majorHAnsi"/>
        </w:rPr>
        <w:t xml:space="preserve"> vključno z vodikom</w:t>
      </w:r>
      <w:r w:rsidR="0032522B">
        <w:rPr>
          <w:rFonts w:asciiTheme="majorHAnsi" w:hAnsiTheme="majorHAnsi" w:cstheme="majorHAnsi"/>
        </w:rPr>
        <w:t>,</w:t>
      </w:r>
      <w:r w:rsidRPr="00290211">
        <w:rPr>
          <w:rFonts w:asciiTheme="majorHAnsi" w:hAnsiTheme="majorHAnsi" w:cstheme="majorHAnsi"/>
        </w:rPr>
        <w:t xml:space="preserve"> ter </w:t>
      </w:r>
      <w:r w:rsidR="0032522B">
        <w:rPr>
          <w:rFonts w:asciiTheme="majorHAnsi" w:hAnsiTheme="majorHAnsi" w:cstheme="majorHAnsi"/>
        </w:rPr>
        <w:t xml:space="preserve">za </w:t>
      </w:r>
      <w:r w:rsidRPr="00290211">
        <w:rPr>
          <w:rFonts w:asciiTheme="majorHAnsi" w:hAnsiTheme="majorHAnsi" w:cstheme="majorHAnsi"/>
        </w:rPr>
        <w:t>tehnologij</w:t>
      </w:r>
      <w:r w:rsidR="0032522B">
        <w:rPr>
          <w:rFonts w:asciiTheme="majorHAnsi" w:hAnsiTheme="majorHAnsi" w:cstheme="majorHAnsi"/>
        </w:rPr>
        <w:t>e</w:t>
      </w:r>
      <w:r w:rsidRPr="00290211">
        <w:rPr>
          <w:rFonts w:asciiTheme="majorHAnsi" w:hAnsiTheme="majorHAnsi" w:cstheme="majorHAnsi"/>
        </w:rPr>
        <w:t xml:space="preserve"> za zajem, transport in uporabo CO</w:t>
      </w:r>
      <w:r w:rsidRPr="007471B9">
        <w:rPr>
          <w:rFonts w:asciiTheme="majorHAnsi" w:hAnsiTheme="majorHAnsi" w:cstheme="majorHAnsi"/>
          <w:vertAlign w:val="subscript"/>
        </w:rPr>
        <w:t>2</w:t>
      </w:r>
      <w:r w:rsidRPr="00290211">
        <w:rPr>
          <w:rFonts w:asciiTheme="majorHAnsi" w:hAnsiTheme="majorHAnsi" w:cstheme="majorHAnsi"/>
        </w:rPr>
        <w:t>,</w:t>
      </w:r>
    </w:p>
    <w:p w14:paraId="05A80B84" w14:textId="7503F447" w:rsidR="00290211" w:rsidRPr="00290211" w:rsidRDefault="00290211" w:rsidP="00AE24D0">
      <w:pPr>
        <w:pStyle w:val="Odstavekseznama"/>
        <w:numPr>
          <w:ilvl w:val="0"/>
          <w:numId w:val="22"/>
        </w:numPr>
        <w:jc w:val="both"/>
        <w:rPr>
          <w:rFonts w:asciiTheme="majorHAnsi" w:hAnsiTheme="majorHAnsi" w:cstheme="majorHAnsi"/>
        </w:rPr>
      </w:pPr>
      <w:r w:rsidRPr="00290211">
        <w:rPr>
          <w:rFonts w:asciiTheme="majorHAnsi" w:hAnsiTheme="majorHAnsi" w:cstheme="majorHAnsi"/>
        </w:rPr>
        <w:t>večja vlaganja v človeške vire in nov</w:t>
      </w:r>
      <w:r w:rsidR="0032522B">
        <w:rPr>
          <w:rFonts w:asciiTheme="majorHAnsi" w:hAnsiTheme="majorHAnsi" w:cstheme="majorHAnsi"/>
        </w:rPr>
        <w:t>o</w:t>
      </w:r>
      <w:r w:rsidRPr="00290211">
        <w:rPr>
          <w:rFonts w:asciiTheme="majorHAnsi" w:hAnsiTheme="majorHAnsi" w:cstheme="majorHAnsi"/>
        </w:rPr>
        <w:t xml:space="preserve"> znanj</w:t>
      </w:r>
      <w:r w:rsidR="0032522B">
        <w:rPr>
          <w:rFonts w:asciiTheme="majorHAnsi" w:hAnsiTheme="majorHAnsi" w:cstheme="majorHAnsi"/>
        </w:rPr>
        <w:t>e</w:t>
      </w:r>
      <w:r w:rsidRPr="00290211">
        <w:rPr>
          <w:rFonts w:asciiTheme="majorHAnsi" w:hAnsiTheme="majorHAnsi" w:cstheme="majorHAnsi"/>
        </w:rPr>
        <w:t>, potrebn</w:t>
      </w:r>
      <w:r w:rsidR="0032522B">
        <w:rPr>
          <w:rFonts w:asciiTheme="majorHAnsi" w:hAnsiTheme="majorHAnsi" w:cstheme="majorHAnsi"/>
        </w:rPr>
        <w:t>o</w:t>
      </w:r>
      <w:r w:rsidRPr="00290211">
        <w:rPr>
          <w:rFonts w:asciiTheme="majorHAnsi" w:hAnsiTheme="majorHAnsi" w:cstheme="majorHAnsi"/>
        </w:rPr>
        <w:t xml:space="preserve"> za prehod v podnebno nevtralno družbo in za zmanjšanje izvedbenega primanjkljaja,</w:t>
      </w:r>
    </w:p>
    <w:p w14:paraId="5E369DD3" w14:textId="770E6959" w:rsidR="00290211" w:rsidRPr="00290211" w:rsidRDefault="00290211" w:rsidP="00AE24D0">
      <w:pPr>
        <w:pStyle w:val="Odstavekseznama"/>
        <w:numPr>
          <w:ilvl w:val="0"/>
          <w:numId w:val="22"/>
        </w:numPr>
        <w:jc w:val="both"/>
        <w:rPr>
          <w:rFonts w:asciiTheme="majorHAnsi" w:hAnsiTheme="majorHAnsi" w:cstheme="majorHAnsi"/>
        </w:rPr>
      </w:pPr>
      <w:r w:rsidRPr="00290211">
        <w:rPr>
          <w:rFonts w:asciiTheme="majorHAnsi" w:hAnsiTheme="majorHAnsi" w:cstheme="majorHAnsi"/>
        </w:rPr>
        <w:t>z ukrepi NEPN prispevati k zmanjšanju emisij onesnaževal zraka.</w:t>
      </w:r>
    </w:p>
    <w:p w14:paraId="756F5774" w14:textId="21C95F6C" w:rsidR="00903CCA" w:rsidRPr="00720FF1" w:rsidRDefault="00903CCA" w:rsidP="00903CCA">
      <w:pPr>
        <w:jc w:val="both"/>
        <w:rPr>
          <w:rFonts w:asciiTheme="majorHAnsi" w:hAnsiTheme="majorHAnsi" w:cstheme="majorHAnsi"/>
        </w:rPr>
      </w:pPr>
      <w:r w:rsidRPr="00720FF1">
        <w:rPr>
          <w:rFonts w:asciiTheme="majorHAnsi" w:hAnsiTheme="majorHAnsi" w:cstheme="majorHAnsi"/>
        </w:rPr>
        <w:t>Energetska učinkovitost je med stroškovno najučinkovit</w:t>
      </w:r>
      <w:r w:rsidR="0032522B">
        <w:rPr>
          <w:rFonts w:asciiTheme="majorHAnsi" w:hAnsiTheme="majorHAnsi" w:cstheme="majorHAnsi"/>
        </w:rPr>
        <w:t>ejš</w:t>
      </w:r>
      <w:r w:rsidRPr="00720FF1">
        <w:rPr>
          <w:rFonts w:asciiTheme="majorHAnsi" w:hAnsiTheme="majorHAnsi" w:cstheme="majorHAnsi"/>
        </w:rPr>
        <w:t>imi ukrepi za doseganje ciljev zmanjševanja TGP in doseganja večjega deleža OVE v rabi bruto končne energije. Učinkovita raba energije (v nadaljevanju</w:t>
      </w:r>
      <w:r w:rsidR="00471A9A">
        <w:rPr>
          <w:rFonts w:asciiTheme="majorHAnsi" w:hAnsiTheme="majorHAnsi" w:cstheme="majorHAnsi"/>
        </w:rPr>
        <w:t>:</w:t>
      </w:r>
      <w:r w:rsidRPr="00720FF1">
        <w:rPr>
          <w:rFonts w:asciiTheme="majorHAnsi" w:hAnsiTheme="majorHAnsi" w:cstheme="majorHAnsi"/>
        </w:rPr>
        <w:t xml:space="preserve"> URE) je ključna v boju proti podnebnim spremembam </w:t>
      </w:r>
      <w:r w:rsidR="0032522B">
        <w:rPr>
          <w:rFonts w:asciiTheme="majorHAnsi" w:hAnsiTheme="majorHAnsi" w:cstheme="majorHAnsi"/>
        </w:rPr>
        <w:t>ter</w:t>
      </w:r>
      <w:r w:rsidR="0032522B" w:rsidRPr="00720FF1">
        <w:rPr>
          <w:rFonts w:asciiTheme="majorHAnsi" w:hAnsiTheme="majorHAnsi" w:cstheme="majorHAnsi"/>
        </w:rPr>
        <w:t xml:space="preserve"> </w:t>
      </w:r>
      <w:r w:rsidRPr="00720FF1">
        <w:rPr>
          <w:rFonts w:asciiTheme="majorHAnsi" w:hAnsiTheme="majorHAnsi" w:cstheme="majorHAnsi"/>
        </w:rPr>
        <w:t xml:space="preserve">pri razvoju v trajnostno in </w:t>
      </w:r>
      <w:proofErr w:type="spellStart"/>
      <w:r w:rsidRPr="00720FF1">
        <w:rPr>
          <w:rFonts w:asciiTheme="majorHAnsi" w:hAnsiTheme="majorHAnsi" w:cstheme="majorHAnsi"/>
        </w:rPr>
        <w:t>nizkoogljično</w:t>
      </w:r>
      <w:proofErr w:type="spellEnd"/>
      <w:r w:rsidRPr="00720FF1">
        <w:rPr>
          <w:rFonts w:asciiTheme="majorHAnsi" w:hAnsiTheme="majorHAnsi" w:cstheme="majorHAnsi"/>
        </w:rPr>
        <w:t xml:space="preserve"> družbo.</w:t>
      </w:r>
    </w:p>
    <w:p w14:paraId="4C7C17AE" w14:textId="740DED9C" w:rsidR="006B5518" w:rsidRPr="00720FF1" w:rsidRDefault="006B5518" w:rsidP="00290211">
      <w:pPr>
        <w:jc w:val="both"/>
        <w:rPr>
          <w:rFonts w:asciiTheme="majorHAnsi" w:hAnsiTheme="majorHAnsi" w:cstheme="majorHAnsi"/>
        </w:rPr>
      </w:pPr>
      <w:r w:rsidRPr="00720FF1">
        <w:rPr>
          <w:rFonts w:asciiTheme="majorHAnsi" w:hAnsiTheme="majorHAnsi" w:cstheme="majorHAnsi"/>
        </w:rPr>
        <w:t xml:space="preserve">Energetska učinkovitost v gospodarstvu je </w:t>
      </w:r>
      <w:r w:rsidR="00347001">
        <w:rPr>
          <w:rFonts w:asciiTheme="majorHAnsi" w:hAnsiTheme="majorHAnsi" w:cstheme="majorHAnsi"/>
        </w:rPr>
        <w:t>m</w:t>
      </w:r>
      <w:r w:rsidRPr="00720FF1">
        <w:rPr>
          <w:rFonts w:asciiTheme="majorHAnsi" w:hAnsiTheme="majorHAnsi" w:cstheme="majorHAnsi"/>
        </w:rPr>
        <w:t>ed ključni</w:t>
      </w:r>
      <w:r w:rsidR="00347001">
        <w:rPr>
          <w:rFonts w:asciiTheme="majorHAnsi" w:hAnsiTheme="majorHAnsi" w:cstheme="majorHAnsi"/>
        </w:rPr>
        <w:t>mi</w:t>
      </w:r>
      <w:r w:rsidRPr="00720FF1">
        <w:rPr>
          <w:rFonts w:asciiTheme="majorHAnsi" w:hAnsiTheme="majorHAnsi" w:cstheme="majorHAnsi"/>
        </w:rPr>
        <w:t xml:space="preserve"> </w:t>
      </w:r>
      <w:r w:rsidR="00347001">
        <w:rPr>
          <w:rFonts w:asciiTheme="majorHAnsi" w:hAnsiTheme="majorHAnsi" w:cstheme="majorHAnsi"/>
        </w:rPr>
        <w:t>d</w:t>
      </w:r>
      <w:r w:rsidRPr="00720FF1">
        <w:rPr>
          <w:rFonts w:asciiTheme="majorHAnsi" w:hAnsiTheme="majorHAnsi" w:cstheme="majorHAnsi"/>
        </w:rPr>
        <w:t>el</w:t>
      </w:r>
      <w:r w:rsidR="00347001">
        <w:rPr>
          <w:rFonts w:asciiTheme="majorHAnsi" w:hAnsiTheme="majorHAnsi" w:cstheme="majorHAnsi"/>
        </w:rPr>
        <w:t>i</w:t>
      </w:r>
      <w:r w:rsidRPr="00720FF1">
        <w:rPr>
          <w:rFonts w:asciiTheme="majorHAnsi" w:hAnsiTheme="majorHAnsi" w:cstheme="majorHAnsi"/>
        </w:rPr>
        <w:t xml:space="preserve"> </w:t>
      </w:r>
      <w:r w:rsidR="0032522B" w:rsidRPr="007471B9">
        <w:rPr>
          <w:rFonts w:asciiTheme="majorHAnsi" w:hAnsiTheme="majorHAnsi" w:cstheme="majorHAnsi"/>
          <w:b/>
        </w:rPr>
        <w:t>n</w:t>
      </w:r>
      <w:r w:rsidRPr="00720FF1">
        <w:rPr>
          <w:rFonts w:asciiTheme="majorHAnsi" w:hAnsiTheme="majorHAnsi" w:cstheme="majorHAnsi"/>
          <w:b/>
          <w:bCs/>
        </w:rPr>
        <w:t>acionalnega načrta za okrevanje in odpornost</w:t>
      </w:r>
      <w:r w:rsidRPr="00720FF1">
        <w:rPr>
          <w:rFonts w:asciiTheme="majorHAnsi" w:hAnsiTheme="majorHAnsi" w:cstheme="majorHAnsi"/>
        </w:rPr>
        <w:t xml:space="preserve"> (v nadaljevanju</w:t>
      </w:r>
      <w:r w:rsidR="00471A9A">
        <w:rPr>
          <w:rFonts w:asciiTheme="majorHAnsi" w:hAnsiTheme="majorHAnsi" w:cstheme="majorHAnsi"/>
        </w:rPr>
        <w:t>:</w:t>
      </w:r>
      <w:r w:rsidRPr="00720FF1">
        <w:rPr>
          <w:rFonts w:asciiTheme="majorHAnsi" w:hAnsiTheme="majorHAnsi" w:cstheme="majorHAnsi"/>
        </w:rPr>
        <w:t xml:space="preserve"> NOO). V okviru tega je predvidena reforma, ki se nanaša na </w:t>
      </w:r>
      <w:proofErr w:type="spellStart"/>
      <w:r w:rsidRPr="00720FF1">
        <w:rPr>
          <w:rFonts w:asciiTheme="majorHAnsi" w:hAnsiTheme="majorHAnsi" w:cstheme="majorHAnsi"/>
        </w:rPr>
        <w:t>novelacijo</w:t>
      </w:r>
      <w:proofErr w:type="spellEnd"/>
      <w:r w:rsidRPr="00720FF1">
        <w:rPr>
          <w:rFonts w:asciiTheme="majorHAnsi" w:hAnsiTheme="majorHAnsi" w:cstheme="majorHAnsi"/>
        </w:rPr>
        <w:t xml:space="preserve"> vladnega </w:t>
      </w:r>
      <w:r w:rsidR="0032522B">
        <w:rPr>
          <w:rFonts w:asciiTheme="majorHAnsi" w:hAnsiTheme="majorHAnsi" w:cstheme="majorHAnsi"/>
        </w:rPr>
        <w:t>a</w:t>
      </w:r>
      <w:r w:rsidRPr="00720FF1">
        <w:rPr>
          <w:rFonts w:asciiTheme="majorHAnsi" w:hAnsiTheme="majorHAnsi" w:cstheme="majorHAnsi"/>
        </w:rPr>
        <w:t xml:space="preserve">kcijskega načrta za vzpostavitev modela upravljanja energetske učinkovitosti v gospodarstvu, ki je </w:t>
      </w:r>
      <w:r w:rsidR="0032522B">
        <w:rPr>
          <w:rFonts w:asciiTheme="majorHAnsi" w:hAnsiTheme="majorHAnsi" w:cstheme="majorHAnsi"/>
        </w:rPr>
        <w:t>vključ</w:t>
      </w:r>
      <w:r w:rsidRPr="00720FF1">
        <w:rPr>
          <w:rFonts w:asciiTheme="majorHAnsi" w:hAnsiTheme="majorHAnsi" w:cstheme="majorHAnsi"/>
        </w:rPr>
        <w:t>e</w:t>
      </w:r>
      <w:r w:rsidR="0032522B">
        <w:rPr>
          <w:rFonts w:asciiTheme="majorHAnsi" w:hAnsiTheme="majorHAnsi" w:cstheme="majorHAnsi"/>
        </w:rPr>
        <w:t>n</w:t>
      </w:r>
      <w:r w:rsidRPr="00720FF1">
        <w:rPr>
          <w:rFonts w:asciiTheme="majorHAnsi" w:hAnsiTheme="majorHAnsi" w:cstheme="majorHAnsi"/>
        </w:rPr>
        <w:t xml:space="preserve">a </w:t>
      </w:r>
      <w:r w:rsidRPr="00720FF1">
        <w:rPr>
          <w:rFonts w:asciiTheme="majorHAnsi" w:hAnsiTheme="majorHAnsi" w:cstheme="majorHAnsi"/>
          <w:b/>
          <w:bCs/>
        </w:rPr>
        <w:t xml:space="preserve">v tem </w:t>
      </w:r>
      <w:r w:rsidR="0032522B">
        <w:rPr>
          <w:rFonts w:asciiTheme="majorHAnsi" w:hAnsiTheme="majorHAnsi" w:cstheme="majorHAnsi"/>
          <w:b/>
          <w:bCs/>
        </w:rPr>
        <w:t>a</w:t>
      </w:r>
      <w:r w:rsidRPr="00720FF1">
        <w:rPr>
          <w:rFonts w:asciiTheme="majorHAnsi" w:hAnsiTheme="majorHAnsi" w:cstheme="majorHAnsi"/>
          <w:b/>
          <w:bCs/>
        </w:rPr>
        <w:t xml:space="preserve">kcijskem načrtu </w:t>
      </w:r>
      <w:r w:rsidR="00290211" w:rsidRPr="00290211">
        <w:rPr>
          <w:rFonts w:asciiTheme="majorHAnsi" w:hAnsiTheme="majorHAnsi" w:cstheme="majorHAnsi"/>
          <w:b/>
          <w:bCs/>
        </w:rPr>
        <w:t xml:space="preserve">upravljanja energetske učinkovitosti v gospodarstvu </w:t>
      </w:r>
      <w:r w:rsidRPr="00720FF1">
        <w:rPr>
          <w:rFonts w:asciiTheme="majorHAnsi" w:hAnsiTheme="majorHAnsi" w:cstheme="majorHAnsi"/>
        </w:rPr>
        <w:t>(v nadaljevanju</w:t>
      </w:r>
      <w:r w:rsidR="00471A9A">
        <w:rPr>
          <w:rFonts w:asciiTheme="majorHAnsi" w:hAnsiTheme="majorHAnsi" w:cstheme="majorHAnsi"/>
        </w:rPr>
        <w:t>:</w:t>
      </w:r>
      <w:r w:rsidRPr="00720FF1">
        <w:rPr>
          <w:rFonts w:asciiTheme="majorHAnsi" w:hAnsiTheme="majorHAnsi" w:cstheme="majorHAnsi"/>
        </w:rPr>
        <w:t xml:space="preserve"> AN URE v gospodarstvu). </w:t>
      </w:r>
    </w:p>
    <w:p w14:paraId="5B62D399" w14:textId="77777777" w:rsidR="002C3772" w:rsidRPr="00720FF1" w:rsidRDefault="002C3772">
      <w:pPr>
        <w:rPr>
          <w:rFonts w:asciiTheme="majorHAnsi" w:eastAsiaTheme="majorEastAsia" w:hAnsiTheme="majorHAnsi" w:cstheme="majorHAnsi"/>
          <w:color w:val="1F3763" w:themeColor="accent1" w:themeShade="7F"/>
          <w:sz w:val="24"/>
          <w:szCs w:val="24"/>
        </w:rPr>
      </w:pPr>
    </w:p>
    <w:p w14:paraId="0B2CD0FF" w14:textId="32BF444F" w:rsidR="0006220A" w:rsidRPr="00720FF1" w:rsidRDefault="0006220A" w:rsidP="0006220A">
      <w:pPr>
        <w:pStyle w:val="Naslov3"/>
        <w:rPr>
          <w:rFonts w:cstheme="majorHAnsi"/>
        </w:rPr>
      </w:pPr>
      <w:bookmarkStart w:id="1" w:name="_Toc184114158"/>
      <w:r w:rsidRPr="00720FF1">
        <w:rPr>
          <w:rFonts w:cstheme="majorHAnsi"/>
        </w:rPr>
        <w:t>Industrija v Sloveniji</w:t>
      </w:r>
      <w:bookmarkEnd w:id="1"/>
    </w:p>
    <w:p w14:paraId="62492DF8" w14:textId="77777777" w:rsidR="0006220A" w:rsidRPr="00720FF1" w:rsidRDefault="0006220A" w:rsidP="0006220A">
      <w:pPr>
        <w:spacing w:line="257" w:lineRule="auto"/>
        <w:jc w:val="both"/>
        <w:rPr>
          <w:rFonts w:asciiTheme="majorHAnsi" w:eastAsia="Calibri" w:hAnsiTheme="majorHAnsi" w:cstheme="majorHAnsi"/>
          <w:b/>
          <w:bCs/>
        </w:rPr>
      </w:pPr>
    </w:p>
    <w:p w14:paraId="151D1274" w14:textId="2771966E" w:rsidR="0006220A" w:rsidRPr="00720FF1" w:rsidRDefault="0006220A" w:rsidP="0006220A">
      <w:pPr>
        <w:spacing w:line="257" w:lineRule="auto"/>
        <w:jc w:val="both"/>
        <w:rPr>
          <w:rFonts w:asciiTheme="majorHAnsi" w:hAnsiTheme="majorHAnsi" w:cstheme="majorHAnsi"/>
        </w:rPr>
      </w:pPr>
      <w:r w:rsidRPr="00720FF1">
        <w:rPr>
          <w:rFonts w:asciiTheme="majorHAnsi" w:eastAsia="Calibri" w:hAnsiTheme="majorHAnsi" w:cstheme="majorHAnsi"/>
          <w:b/>
          <w:bCs/>
        </w:rPr>
        <w:t xml:space="preserve">Industrija (SKD </w:t>
      </w:r>
      <w:r w:rsidR="00471A9A">
        <w:rPr>
          <w:rFonts w:asciiTheme="majorHAnsi" w:eastAsia="Calibri" w:hAnsiTheme="majorHAnsi" w:cstheme="majorHAnsi"/>
          <w:b/>
          <w:bCs/>
        </w:rPr>
        <w:t xml:space="preserve">– </w:t>
      </w:r>
      <w:r w:rsidR="0032522B">
        <w:rPr>
          <w:rFonts w:asciiTheme="majorHAnsi" w:eastAsia="Calibri" w:hAnsiTheme="majorHAnsi" w:cstheme="majorHAnsi"/>
          <w:b/>
          <w:bCs/>
        </w:rPr>
        <w:t>s</w:t>
      </w:r>
      <w:r w:rsidR="00471A9A">
        <w:rPr>
          <w:rFonts w:asciiTheme="majorHAnsi" w:eastAsia="Calibri" w:hAnsiTheme="majorHAnsi" w:cstheme="majorHAnsi"/>
          <w:b/>
          <w:bCs/>
        </w:rPr>
        <w:t xml:space="preserve">tandardna klasifikacija dejavnosti, skupine </w:t>
      </w:r>
      <w:r w:rsidRPr="00720FF1">
        <w:rPr>
          <w:rFonts w:asciiTheme="majorHAnsi" w:eastAsia="Calibri" w:hAnsiTheme="majorHAnsi" w:cstheme="majorHAnsi"/>
          <w:b/>
          <w:bCs/>
        </w:rPr>
        <w:t>B</w:t>
      </w:r>
      <w:r w:rsidR="0032522B">
        <w:rPr>
          <w:rFonts w:asciiTheme="majorHAnsi" w:eastAsia="Calibri" w:hAnsiTheme="majorHAnsi" w:cstheme="majorHAnsi"/>
          <w:b/>
          <w:bCs/>
        </w:rPr>
        <w:t>–</w:t>
      </w:r>
      <w:r w:rsidRPr="00720FF1">
        <w:rPr>
          <w:rFonts w:asciiTheme="majorHAnsi" w:eastAsia="Calibri" w:hAnsiTheme="majorHAnsi" w:cstheme="majorHAnsi"/>
          <w:b/>
          <w:bCs/>
        </w:rPr>
        <w:t>E)</w:t>
      </w:r>
      <w:r w:rsidRPr="00720FF1">
        <w:rPr>
          <w:rFonts w:asciiTheme="majorHAnsi" w:eastAsia="Calibri" w:hAnsiTheme="majorHAnsi" w:cstheme="majorHAnsi"/>
        </w:rPr>
        <w:t xml:space="preserve"> je v letu 2022 </w:t>
      </w:r>
      <w:r w:rsidR="007718F2" w:rsidRPr="007471B9">
        <w:rPr>
          <w:rFonts w:asciiTheme="majorHAnsi" w:eastAsia="Calibri" w:hAnsiTheme="majorHAnsi" w:cstheme="majorHAnsi"/>
          <w:b/>
        </w:rPr>
        <w:t>zajema</w:t>
      </w:r>
      <w:r w:rsidR="0032522B" w:rsidRPr="007718F2">
        <w:rPr>
          <w:rFonts w:asciiTheme="majorHAnsi" w:eastAsia="Calibri" w:hAnsiTheme="majorHAnsi" w:cstheme="majorHAnsi"/>
          <w:b/>
          <w:bCs/>
        </w:rPr>
        <w:t>la</w:t>
      </w:r>
      <w:r w:rsidR="0032522B" w:rsidRPr="00720FF1">
        <w:rPr>
          <w:rFonts w:asciiTheme="majorHAnsi" w:eastAsia="Calibri" w:hAnsiTheme="majorHAnsi" w:cstheme="majorHAnsi"/>
          <w:b/>
          <w:bCs/>
        </w:rPr>
        <w:t xml:space="preserve"> </w:t>
      </w:r>
      <w:r w:rsidRPr="00720FF1">
        <w:rPr>
          <w:rFonts w:asciiTheme="majorHAnsi" w:eastAsia="Calibri" w:hAnsiTheme="majorHAnsi" w:cstheme="majorHAnsi"/>
          <w:b/>
          <w:bCs/>
        </w:rPr>
        <w:t>22,8 % celotne dodane vrednosti</w:t>
      </w:r>
      <w:r w:rsidR="00471A9A">
        <w:rPr>
          <w:rFonts w:asciiTheme="majorHAnsi" w:eastAsia="Calibri" w:hAnsiTheme="majorHAnsi" w:cstheme="majorHAnsi"/>
          <w:b/>
          <w:bCs/>
        </w:rPr>
        <w:t xml:space="preserve"> </w:t>
      </w:r>
      <w:r w:rsidR="00471A9A" w:rsidRPr="00471A9A">
        <w:rPr>
          <w:rFonts w:asciiTheme="majorHAnsi" w:eastAsia="Calibri" w:hAnsiTheme="majorHAnsi" w:cstheme="majorHAnsi"/>
        </w:rPr>
        <w:t>v Sloveniji</w:t>
      </w:r>
      <w:r w:rsidRPr="00720FF1">
        <w:rPr>
          <w:rFonts w:asciiTheme="majorHAnsi" w:eastAsia="Calibri" w:hAnsiTheme="majorHAnsi" w:cstheme="majorHAnsi"/>
        </w:rPr>
        <w:t xml:space="preserve">, kar je bil največji delež med dejavnostmi. Na </w:t>
      </w:r>
      <w:r w:rsidR="0032522B">
        <w:rPr>
          <w:rFonts w:asciiTheme="majorHAnsi" w:eastAsia="Calibri" w:hAnsiTheme="majorHAnsi" w:cstheme="majorHAnsi"/>
        </w:rPr>
        <w:t>ravni</w:t>
      </w:r>
      <w:r w:rsidR="0032522B" w:rsidRPr="00720FF1">
        <w:rPr>
          <w:rFonts w:asciiTheme="majorHAnsi" w:eastAsia="Calibri" w:hAnsiTheme="majorHAnsi" w:cstheme="majorHAnsi"/>
        </w:rPr>
        <w:t xml:space="preserve"> </w:t>
      </w:r>
      <w:r w:rsidRPr="00720FF1">
        <w:rPr>
          <w:rFonts w:asciiTheme="majorHAnsi" w:eastAsia="Calibri" w:hAnsiTheme="majorHAnsi" w:cstheme="majorHAnsi"/>
        </w:rPr>
        <w:t xml:space="preserve">EU-27 je ta delež znašal v povprečju 18,5 %. Pri tem se je pomen industrije v BDP v Sloveniji kljub rasti storitvenih dejavnosti v enem desetletju še povečal, in sicer za 0,4 </w:t>
      </w:r>
      <w:r w:rsidR="00471A9A">
        <w:rPr>
          <w:rFonts w:asciiTheme="majorHAnsi" w:eastAsia="Calibri" w:hAnsiTheme="majorHAnsi" w:cstheme="majorHAnsi"/>
        </w:rPr>
        <w:t>odstotne točke</w:t>
      </w:r>
      <w:r w:rsidRPr="00720FF1">
        <w:rPr>
          <w:rFonts w:asciiTheme="majorHAnsi" w:eastAsia="Calibri" w:hAnsiTheme="majorHAnsi" w:cstheme="majorHAnsi"/>
        </w:rPr>
        <w:t xml:space="preserve"> (v EU-27 +0,5 </w:t>
      </w:r>
      <w:r w:rsidR="00471A9A">
        <w:rPr>
          <w:rFonts w:asciiTheme="majorHAnsi" w:eastAsia="Calibri" w:hAnsiTheme="majorHAnsi" w:cstheme="majorHAnsi"/>
        </w:rPr>
        <w:t>odstotne točke</w:t>
      </w:r>
      <w:r w:rsidRPr="00720FF1">
        <w:rPr>
          <w:rFonts w:asciiTheme="majorHAnsi" w:eastAsia="Calibri" w:hAnsiTheme="majorHAnsi" w:cstheme="majorHAnsi"/>
        </w:rPr>
        <w:t>). Slovenija je merjeno po deležu dodane vrednosti industrije v letu 2022 četrta</w:t>
      </w:r>
      <w:r w:rsidRPr="00720FF1">
        <w:rPr>
          <w:rStyle w:val="Sprotnaopomba-sklic"/>
          <w:rFonts w:asciiTheme="majorHAnsi" w:eastAsia="Calibri" w:hAnsiTheme="majorHAnsi" w:cstheme="majorHAnsi"/>
        </w:rPr>
        <w:footnoteReference w:id="1"/>
      </w:r>
      <w:r w:rsidRPr="00720FF1">
        <w:rPr>
          <w:rFonts w:asciiTheme="majorHAnsi" w:eastAsia="Calibri" w:hAnsiTheme="majorHAnsi" w:cstheme="majorHAnsi"/>
        </w:rPr>
        <w:t xml:space="preserve"> najbolj industrializirana država v EU-27, pred njo so Češka, Poljska in Bolgarija. </w:t>
      </w:r>
    </w:p>
    <w:p w14:paraId="1759B174" w14:textId="79493A80" w:rsidR="0006220A" w:rsidRPr="00720FF1" w:rsidRDefault="0006220A" w:rsidP="0006220A">
      <w:pPr>
        <w:spacing w:line="257" w:lineRule="auto"/>
        <w:jc w:val="both"/>
        <w:rPr>
          <w:rFonts w:asciiTheme="majorHAnsi" w:hAnsiTheme="majorHAnsi" w:cstheme="majorHAnsi"/>
        </w:rPr>
      </w:pPr>
      <w:r w:rsidRPr="00720FF1">
        <w:rPr>
          <w:rFonts w:asciiTheme="majorHAnsi" w:eastAsia="Calibri" w:hAnsiTheme="majorHAnsi" w:cstheme="majorHAnsi"/>
          <w:b/>
          <w:bCs/>
        </w:rPr>
        <w:t>Predelovalne dejavnosti v Sloveniji (SKD C)</w:t>
      </w:r>
      <w:r w:rsidRPr="00720FF1">
        <w:rPr>
          <w:rFonts w:asciiTheme="majorHAnsi" w:eastAsia="Calibri" w:hAnsiTheme="majorHAnsi" w:cstheme="majorHAnsi"/>
        </w:rPr>
        <w:t xml:space="preserve"> so v letu 2022 </w:t>
      </w:r>
      <w:r w:rsidR="007718F2" w:rsidRPr="007471B9">
        <w:rPr>
          <w:rFonts w:asciiTheme="majorHAnsi" w:eastAsia="Calibri" w:hAnsiTheme="majorHAnsi" w:cstheme="majorHAnsi"/>
          <w:b/>
        </w:rPr>
        <w:t>zajem</w:t>
      </w:r>
      <w:r w:rsidR="007718F2" w:rsidRPr="007718F2">
        <w:rPr>
          <w:rFonts w:asciiTheme="majorHAnsi" w:eastAsia="Calibri" w:hAnsiTheme="majorHAnsi" w:cstheme="majorHAnsi"/>
          <w:b/>
          <w:bCs/>
        </w:rPr>
        <w:t>a</w:t>
      </w:r>
      <w:r w:rsidR="0032522B" w:rsidRPr="007718F2">
        <w:rPr>
          <w:rFonts w:asciiTheme="majorHAnsi" w:eastAsia="Calibri" w:hAnsiTheme="majorHAnsi" w:cstheme="majorHAnsi"/>
          <w:b/>
          <w:bCs/>
        </w:rPr>
        <w:t>l</w:t>
      </w:r>
      <w:r w:rsidRPr="00720FF1">
        <w:rPr>
          <w:rFonts w:asciiTheme="majorHAnsi" w:eastAsia="Calibri" w:hAnsiTheme="majorHAnsi" w:cstheme="majorHAnsi"/>
          <w:b/>
          <w:bCs/>
        </w:rPr>
        <w:t>e 19,1 % celotne dodane vrednosti</w:t>
      </w:r>
      <w:r w:rsidRPr="00720FF1">
        <w:rPr>
          <w:rFonts w:asciiTheme="majorHAnsi" w:eastAsia="Calibri" w:hAnsiTheme="majorHAnsi" w:cstheme="majorHAnsi"/>
        </w:rPr>
        <w:t xml:space="preserve">. Na </w:t>
      </w:r>
      <w:r w:rsidR="0032522B">
        <w:rPr>
          <w:rFonts w:asciiTheme="majorHAnsi" w:eastAsia="Calibri" w:hAnsiTheme="majorHAnsi" w:cstheme="majorHAnsi"/>
        </w:rPr>
        <w:t>ravni</w:t>
      </w:r>
      <w:r w:rsidR="0032522B" w:rsidRPr="00720FF1">
        <w:rPr>
          <w:rFonts w:asciiTheme="majorHAnsi" w:eastAsia="Calibri" w:hAnsiTheme="majorHAnsi" w:cstheme="majorHAnsi"/>
        </w:rPr>
        <w:t xml:space="preserve"> </w:t>
      </w:r>
      <w:r w:rsidRPr="00720FF1">
        <w:rPr>
          <w:rFonts w:asciiTheme="majorHAnsi" w:eastAsia="Calibri" w:hAnsiTheme="majorHAnsi" w:cstheme="majorHAnsi"/>
        </w:rPr>
        <w:t xml:space="preserve">EU-27 je ta delež znašal v povprečju 14,9 %. Pri tem se je pomen predelovalnih dejavnosti v BDP kljub gospodarski rasti v enem desetletju še povečal za 0,4 </w:t>
      </w:r>
      <w:r w:rsidR="00471A9A">
        <w:rPr>
          <w:rFonts w:asciiTheme="majorHAnsi" w:eastAsia="Calibri" w:hAnsiTheme="majorHAnsi" w:cstheme="majorHAnsi"/>
        </w:rPr>
        <w:t>odstotne točke</w:t>
      </w:r>
      <w:r w:rsidRPr="00720FF1">
        <w:rPr>
          <w:rFonts w:asciiTheme="majorHAnsi" w:eastAsia="Calibri" w:hAnsiTheme="majorHAnsi" w:cstheme="majorHAnsi"/>
        </w:rPr>
        <w:t xml:space="preserve"> (v EU-27 +0,3 </w:t>
      </w:r>
      <w:r w:rsidR="00471A9A">
        <w:rPr>
          <w:rFonts w:asciiTheme="majorHAnsi" w:eastAsia="Calibri" w:hAnsiTheme="majorHAnsi" w:cstheme="majorHAnsi"/>
        </w:rPr>
        <w:t>odstotne točke</w:t>
      </w:r>
      <w:r w:rsidRPr="00720FF1">
        <w:rPr>
          <w:rFonts w:asciiTheme="majorHAnsi" w:eastAsia="Calibri" w:hAnsiTheme="majorHAnsi" w:cstheme="majorHAnsi"/>
        </w:rPr>
        <w:t>). Slovenija je merjeno po deležu dodane vrednosti v predelovalnih dejavnostih v letu 2022 uvrščena na 4.</w:t>
      </w:r>
      <w:r w:rsidR="007718F2">
        <w:rPr>
          <w:rFonts w:asciiTheme="majorHAnsi" w:eastAsia="Calibri" w:hAnsiTheme="majorHAnsi" w:cstheme="majorHAnsi"/>
        </w:rPr>
        <w:t> </w:t>
      </w:r>
      <w:r w:rsidRPr="00720FF1">
        <w:rPr>
          <w:rFonts w:asciiTheme="majorHAnsi" w:eastAsia="Calibri" w:hAnsiTheme="majorHAnsi" w:cstheme="majorHAnsi"/>
        </w:rPr>
        <w:t>mesto</w:t>
      </w:r>
      <w:r w:rsidR="00F51B88">
        <w:rPr>
          <w:rFonts w:asciiTheme="majorHAnsi" w:eastAsia="Calibri" w:hAnsiTheme="majorHAnsi" w:cstheme="majorHAnsi"/>
        </w:rPr>
        <w:t xml:space="preserve"> v EU</w:t>
      </w:r>
      <w:r w:rsidRPr="00720FF1">
        <w:rPr>
          <w:rFonts w:asciiTheme="majorHAnsi" w:eastAsia="Calibri" w:hAnsiTheme="majorHAnsi" w:cstheme="majorHAnsi"/>
        </w:rPr>
        <w:t>. Delež dodane vrednosti, ki jo ustvarijo predelovalne dejavnosti, je bil v 2022 najv</w:t>
      </w:r>
      <w:r w:rsidR="007718F2">
        <w:rPr>
          <w:rFonts w:asciiTheme="majorHAnsi" w:eastAsia="Calibri" w:hAnsiTheme="majorHAnsi" w:cstheme="majorHAnsi"/>
        </w:rPr>
        <w:t>eč</w:t>
      </w:r>
      <w:r w:rsidRPr="00720FF1">
        <w:rPr>
          <w:rFonts w:asciiTheme="majorHAnsi" w:eastAsia="Calibri" w:hAnsiTheme="majorHAnsi" w:cstheme="majorHAnsi"/>
        </w:rPr>
        <w:t>ji na Češkem, Poljsk</w:t>
      </w:r>
      <w:r w:rsidR="00471A9A">
        <w:rPr>
          <w:rFonts w:asciiTheme="majorHAnsi" w:eastAsia="Calibri" w:hAnsiTheme="majorHAnsi" w:cstheme="majorHAnsi"/>
        </w:rPr>
        <w:t>em</w:t>
      </w:r>
      <w:r w:rsidRPr="00720FF1">
        <w:rPr>
          <w:rFonts w:asciiTheme="majorHAnsi" w:eastAsia="Calibri" w:hAnsiTheme="majorHAnsi" w:cstheme="majorHAnsi"/>
        </w:rPr>
        <w:t xml:space="preserve"> in</w:t>
      </w:r>
      <w:r w:rsidR="00471A9A">
        <w:rPr>
          <w:rFonts w:asciiTheme="majorHAnsi" w:eastAsia="Calibri" w:hAnsiTheme="majorHAnsi" w:cstheme="majorHAnsi"/>
        </w:rPr>
        <w:t xml:space="preserve"> v</w:t>
      </w:r>
      <w:r w:rsidRPr="00720FF1">
        <w:rPr>
          <w:rFonts w:asciiTheme="majorHAnsi" w:eastAsia="Calibri" w:hAnsiTheme="majorHAnsi" w:cstheme="majorHAnsi"/>
        </w:rPr>
        <w:t xml:space="preserve"> Bolgariji. Na Irskem je ta delež zaradi statistične posebnosti merjenja izdatkov za raziskave in razvoj </w:t>
      </w:r>
      <w:r w:rsidR="00347001">
        <w:rPr>
          <w:rFonts w:asciiTheme="majorHAnsi" w:eastAsia="Calibri" w:hAnsiTheme="majorHAnsi" w:cstheme="majorHAnsi"/>
        </w:rPr>
        <w:t xml:space="preserve">izračunan kot </w:t>
      </w:r>
      <w:r w:rsidRPr="00720FF1">
        <w:rPr>
          <w:rFonts w:asciiTheme="majorHAnsi" w:eastAsia="Calibri" w:hAnsiTheme="majorHAnsi" w:cstheme="majorHAnsi"/>
        </w:rPr>
        <w:t>v</w:t>
      </w:r>
      <w:r w:rsidR="007718F2">
        <w:rPr>
          <w:rFonts w:asciiTheme="majorHAnsi" w:eastAsia="Calibri" w:hAnsiTheme="majorHAnsi" w:cstheme="majorHAnsi"/>
        </w:rPr>
        <w:t>eč</w:t>
      </w:r>
      <w:r w:rsidRPr="00720FF1">
        <w:rPr>
          <w:rFonts w:asciiTheme="majorHAnsi" w:eastAsia="Calibri" w:hAnsiTheme="majorHAnsi" w:cstheme="majorHAnsi"/>
        </w:rPr>
        <w:t xml:space="preserve">ji, dejansko pa je </w:t>
      </w:r>
      <w:r w:rsidR="007718F2">
        <w:rPr>
          <w:rFonts w:asciiTheme="majorHAnsi" w:eastAsia="Calibri" w:hAnsiTheme="majorHAnsi" w:cstheme="majorHAnsi"/>
        </w:rPr>
        <w:t>manjš</w:t>
      </w:r>
      <w:r w:rsidRPr="00720FF1">
        <w:rPr>
          <w:rFonts w:asciiTheme="majorHAnsi" w:eastAsia="Calibri" w:hAnsiTheme="majorHAnsi" w:cstheme="majorHAnsi"/>
        </w:rPr>
        <w:t>i kot v Sloveniji.</w:t>
      </w:r>
    </w:p>
    <w:p w14:paraId="66F9634A" w14:textId="46D03142" w:rsidR="0006220A" w:rsidRPr="00720FF1" w:rsidRDefault="0006220A" w:rsidP="0006220A">
      <w:pPr>
        <w:spacing w:line="257" w:lineRule="auto"/>
        <w:jc w:val="both"/>
        <w:rPr>
          <w:rFonts w:asciiTheme="majorHAnsi" w:hAnsiTheme="majorHAnsi" w:cstheme="majorHAnsi"/>
        </w:rPr>
      </w:pPr>
      <w:r w:rsidRPr="00720FF1">
        <w:rPr>
          <w:rFonts w:asciiTheme="majorHAnsi" w:eastAsia="Calibri" w:hAnsiTheme="majorHAnsi" w:cstheme="majorHAnsi"/>
          <w:b/>
          <w:bCs/>
        </w:rPr>
        <w:t>Industrijske dejavnosti (SKD B-E) so ključne za rast produktivnosti gospodarstva</w:t>
      </w:r>
      <w:r w:rsidRPr="00720FF1">
        <w:rPr>
          <w:rFonts w:asciiTheme="majorHAnsi" w:eastAsia="Calibri" w:hAnsiTheme="majorHAnsi" w:cstheme="majorHAnsi"/>
        </w:rPr>
        <w:t xml:space="preserve">. V desetih letih se je realna dodana vrednost v Sloveniji povečala za 38,4 % v industriji (v EU-27 za 17,6 %), v predelovalnih dejavnostih za 49 % (v EU-27 za 21,8 %). Boljša organizacija dela, učinkovitejši postopki proizvodnje in prehod na višje dele dodane vrednosti so pri tem ključno vplivali na rast konkurenčnosti slovenske predelovalne dejavnosti. Produktivnost dela </w:t>
      </w:r>
      <w:r w:rsidR="007718F2">
        <w:rPr>
          <w:rFonts w:asciiTheme="majorHAnsi" w:eastAsia="Calibri" w:hAnsiTheme="majorHAnsi" w:cstheme="majorHAnsi"/>
        </w:rPr>
        <w:t>v</w:t>
      </w:r>
      <w:r w:rsidR="007718F2" w:rsidRPr="00720FF1">
        <w:rPr>
          <w:rFonts w:asciiTheme="majorHAnsi" w:eastAsia="Calibri" w:hAnsiTheme="majorHAnsi" w:cstheme="majorHAnsi"/>
        </w:rPr>
        <w:t xml:space="preserve"> </w:t>
      </w:r>
      <w:r w:rsidRPr="00720FF1">
        <w:rPr>
          <w:rFonts w:asciiTheme="majorHAnsi" w:eastAsia="Calibri" w:hAnsiTheme="majorHAnsi" w:cstheme="majorHAnsi"/>
        </w:rPr>
        <w:t xml:space="preserve">gospodarskih družbah v predelovalnih dejavnostih je v desetletju narasla s 36 </w:t>
      </w:r>
      <w:r w:rsidR="00347001">
        <w:rPr>
          <w:rFonts w:asciiTheme="majorHAnsi" w:eastAsia="Calibri" w:hAnsiTheme="majorHAnsi" w:cstheme="majorHAnsi"/>
        </w:rPr>
        <w:t xml:space="preserve">tisoč EUR </w:t>
      </w:r>
      <w:r w:rsidRPr="00720FF1">
        <w:rPr>
          <w:rFonts w:asciiTheme="majorHAnsi" w:eastAsia="Calibri" w:hAnsiTheme="majorHAnsi" w:cstheme="majorHAnsi"/>
        </w:rPr>
        <w:t xml:space="preserve">v letu 2011 na 53 tisoč EUR v letu 2021. Ob tem se je EBITDA skoraj podvojila na okoli 4 mrd EUR v letu 2021. </w:t>
      </w:r>
    </w:p>
    <w:p w14:paraId="0862F7E9" w14:textId="18A0A816" w:rsidR="0006220A" w:rsidRPr="00720FF1" w:rsidRDefault="0006220A" w:rsidP="0006220A">
      <w:pPr>
        <w:jc w:val="both"/>
        <w:rPr>
          <w:rFonts w:asciiTheme="majorHAnsi" w:hAnsiTheme="majorHAnsi" w:cstheme="majorHAnsi"/>
        </w:rPr>
      </w:pPr>
      <w:r w:rsidRPr="00720FF1">
        <w:rPr>
          <w:rFonts w:asciiTheme="majorHAnsi" w:eastAsia="Calibri" w:hAnsiTheme="majorHAnsi" w:cstheme="majorHAnsi"/>
          <w:b/>
          <w:bCs/>
        </w:rPr>
        <w:t>V predelovanih dejavnostih</w:t>
      </w:r>
      <w:r w:rsidRPr="00720FF1">
        <w:rPr>
          <w:rFonts w:asciiTheme="majorHAnsi" w:eastAsia="Calibri" w:hAnsiTheme="majorHAnsi" w:cstheme="majorHAnsi"/>
        </w:rPr>
        <w:t xml:space="preserve"> v Sloveniji je bilo v </w:t>
      </w:r>
      <w:r w:rsidR="007718F2">
        <w:rPr>
          <w:rFonts w:asciiTheme="majorHAnsi" w:eastAsia="Calibri" w:hAnsiTheme="majorHAnsi" w:cstheme="majorHAnsi"/>
        </w:rPr>
        <w:t xml:space="preserve">letu </w:t>
      </w:r>
      <w:r w:rsidRPr="00720FF1">
        <w:rPr>
          <w:rFonts w:asciiTheme="majorHAnsi" w:eastAsia="Calibri" w:hAnsiTheme="majorHAnsi" w:cstheme="majorHAnsi"/>
        </w:rPr>
        <w:t xml:space="preserve">2021 </w:t>
      </w:r>
      <w:r w:rsidRPr="00720FF1">
        <w:rPr>
          <w:rFonts w:asciiTheme="majorHAnsi" w:eastAsia="Calibri" w:hAnsiTheme="majorHAnsi" w:cstheme="majorHAnsi"/>
          <w:b/>
          <w:bCs/>
        </w:rPr>
        <w:t>zaposlenih</w:t>
      </w:r>
      <w:r w:rsidRPr="00720FF1">
        <w:rPr>
          <w:rFonts w:asciiTheme="majorHAnsi" w:eastAsia="Calibri" w:hAnsiTheme="majorHAnsi" w:cstheme="majorHAnsi"/>
        </w:rPr>
        <w:t xml:space="preserve"> okoli 210 tisoč ljudi oz</w:t>
      </w:r>
      <w:r w:rsidR="007718F2">
        <w:rPr>
          <w:rFonts w:asciiTheme="majorHAnsi" w:eastAsia="Calibri" w:hAnsiTheme="majorHAnsi" w:cstheme="majorHAnsi"/>
        </w:rPr>
        <w:t>iroma</w:t>
      </w:r>
      <w:r w:rsidRPr="00720FF1">
        <w:rPr>
          <w:rFonts w:asciiTheme="majorHAnsi" w:eastAsia="Calibri" w:hAnsiTheme="majorHAnsi" w:cstheme="majorHAnsi"/>
        </w:rPr>
        <w:t xml:space="preserve"> 23 % vseh delovno aktivnih. </w:t>
      </w:r>
    </w:p>
    <w:p w14:paraId="57CD59F1" w14:textId="05979A57" w:rsidR="0006220A" w:rsidRPr="00720FF1" w:rsidRDefault="0006220A" w:rsidP="0006220A">
      <w:pPr>
        <w:jc w:val="both"/>
        <w:rPr>
          <w:rFonts w:asciiTheme="majorHAnsi" w:hAnsiTheme="majorHAnsi" w:cstheme="majorHAnsi"/>
        </w:rPr>
      </w:pPr>
      <w:r w:rsidRPr="00720FF1">
        <w:rPr>
          <w:rFonts w:asciiTheme="majorHAnsi" w:eastAsia="Calibri" w:hAnsiTheme="majorHAnsi" w:cstheme="majorHAnsi"/>
        </w:rPr>
        <w:t xml:space="preserve">Slovenska industrija pomembno prispeva k rasti BDP, izvozu in novim delovnim mestom z višjo dodano vrednostjo. 80 % vseh zasebnih vlaganj v RR odpade na industrijo. Industrija je torej tista, ki je glavni vir </w:t>
      </w:r>
      <w:r w:rsidRPr="00720FF1">
        <w:rPr>
          <w:rFonts w:asciiTheme="majorHAnsi" w:eastAsia="Calibri" w:hAnsiTheme="majorHAnsi" w:cstheme="majorHAnsi"/>
        </w:rPr>
        <w:lastRenderedPageBreak/>
        <w:t>inovacij in hkrati zagotavlja rešitve za družbene izzive, s katerimi se s</w:t>
      </w:r>
      <w:r w:rsidR="00BE62BA">
        <w:rPr>
          <w:rFonts w:asciiTheme="majorHAnsi" w:eastAsia="Calibri" w:hAnsiTheme="majorHAnsi" w:cstheme="majorHAnsi"/>
        </w:rPr>
        <w:t>poprijem</w:t>
      </w:r>
      <w:r w:rsidRPr="00720FF1">
        <w:rPr>
          <w:rFonts w:asciiTheme="majorHAnsi" w:eastAsia="Calibri" w:hAnsiTheme="majorHAnsi" w:cstheme="majorHAnsi"/>
        </w:rPr>
        <w:t>amo</w:t>
      </w:r>
      <w:r w:rsidR="00BE62BA">
        <w:rPr>
          <w:rFonts w:asciiTheme="majorHAnsi" w:eastAsia="Calibri" w:hAnsiTheme="majorHAnsi" w:cstheme="majorHAnsi"/>
        </w:rPr>
        <w:t>,</w:t>
      </w:r>
      <w:r w:rsidRPr="00720FF1">
        <w:rPr>
          <w:rFonts w:asciiTheme="majorHAnsi" w:eastAsia="Calibri" w:hAnsiTheme="majorHAnsi" w:cstheme="majorHAnsi"/>
        </w:rPr>
        <w:t xml:space="preserve"> med njimi tudi za </w:t>
      </w:r>
      <w:proofErr w:type="spellStart"/>
      <w:r w:rsidRPr="00720FF1">
        <w:rPr>
          <w:rFonts w:asciiTheme="majorHAnsi" w:eastAsia="Calibri" w:hAnsiTheme="majorHAnsi" w:cstheme="majorHAnsi"/>
        </w:rPr>
        <w:t>okoljsko</w:t>
      </w:r>
      <w:proofErr w:type="spellEnd"/>
      <w:r w:rsidRPr="00720FF1">
        <w:rPr>
          <w:rFonts w:asciiTheme="majorHAnsi" w:eastAsia="Calibri" w:hAnsiTheme="majorHAnsi" w:cstheme="majorHAnsi"/>
        </w:rPr>
        <w:t>-energetske izzive.</w:t>
      </w:r>
    </w:p>
    <w:p w14:paraId="7C006A82" w14:textId="0F4C8586" w:rsidR="0006220A" w:rsidRPr="00720FF1" w:rsidRDefault="0006220A" w:rsidP="0006220A">
      <w:pPr>
        <w:jc w:val="both"/>
        <w:rPr>
          <w:rFonts w:asciiTheme="majorHAnsi" w:hAnsiTheme="majorHAnsi" w:cstheme="majorHAnsi"/>
        </w:rPr>
      </w:pPr>
      <w:r w:rsidRPr="00720FF1">
        <w:rPr>
          <w:rFonts w:asciiTheme="majorHAnsi" w:hAnsiTheme="majorHAnsi" w:cstheme="majorHAnsi"/>
        </w:rPr>
        <w:t xml:space="preserve">V okviru predelovalnih dejavnosti še posebno izstopa </w:t>
      </w:r>
      <w:r w:rsidRPr="00720FF1">
        <w:rPr>
          <w:rFonts w:asciiTheme="majorHAnsi" w:hAnsiTheme="majorHAnsi" w:cstheme="majorHAnsi"/>
          <w:b/>
          <w:bCs/>
        </w:rPr>
        <w:t>energetsko intenzivna industrija</w:t>
      </w:r>
      <w:r w:rsidRPr="00720FF1">
        <w:rPr>
          <w:rFonts w:asciiTheme="majorHAnsi" w:hAnsiTheme="majorHAnsi" w:cstheme="majorHAnsi"/>
        </w:rPr>
        <w:t xml:space="preserve"> (v nadaljevanju</w:t>
      </w:r>
      <w:r w:rsidR="00471A9A">
        <w:rPr>
          <w:rFonts w:asciiTheme="majorHAnsi" w:hAnsiTheme="majorHAnsi" w:cstheme="majorHAnsi"/>
        </w:rPr>
        <w:t>:</w:t>
      </w:r>
      <w:r w:rsidRPr="00720FF1">
        <w:rPr>
          <w:rFonts w:asciiTheme="majorHAnsi" w:hAnsiTheme="majorHAnsi" w:cstheme="majorHAnsi"/>
        </w:rPr>
        <w:t xml:space="preserve"> EII)</w:t>
      </w:r>
      <w:r w:rsidR="00471A9A">
        <w:rPr>
          <w:rFonts w:asciiTheme="majorHAnsi" w:hAnsiTheme="majorHAnsi" w:cstheme="majorHAnsi"/>
        </w:rPr>
        <w:t>, ki</w:t>
      </w:r>
      <w:r w:rsidRPr="00720FF1">
        <w:rPr>
          <w:rFonts w:asciiTheme="majorHAnsi" w:hAnsiTheme="majorHAnsi" w:cstheme="majorHAnsi"/>
        </w:rPr>
        <w:t xml:space="preserve"> zajema proizvajalce papirja in izdelkov iz papirja (SKD 17), kemikalij, kemičnih izdelkov (SKD 20), </w:t>
      </w:r>
      <w:r w:rsidRPr="00720FF1">
        <w:rPr>
          <w:rFonts w:asciiTheme="majorHAnsi" w:eastAsia="Calibri" w:hAnsiTheme="majorHAnsi" w:cstheme="majorHAnsi"/>
        </w:rPr>
        <w:t>nekovinskih</w:t>
      </w:r>
      <w:r w:rsidRPr="00720FF1">
        <w:rPr>
          <w:rFonts w:asciiTheme="majorHAnsi" w:hAnsiTheme="majorHAnsi" w:cstheme="majorHAnsi"/>
        </w:rPr>
        <w:t xml:space="preserve"> mineralnih izdelkov (SKD 23) in kovin (SKD 24). Ti so v letu 2022 ustvarili </w:t>
      </w:r>
      <w:r w:rsidR="00CB7F6A" w:rsidRPr="00720FF1">
        <w:rPr>
          <w:rFonts w:asciiTheme="majorHAnsi" w:hAnsiTheme="majorHAnsi" w:cstheme="majorHAnsi"/>
        </w:rPr>
        <w:t>skup</w:t>
      </w:r>
      <w:r w:rsidR="00CB7F6A">
        <w:rPr>
          <w:rFonts w:asciiTheme="majorHAnsi" w:hAnsiTheme="majorHAnsi" w:cstheme="majorHAnsi"/>
        </w:rPr>
        <w:t>no</w:t>
      </w:r>
      <w:r w:rsidR="00CB7F6A" w:rsidRPr="00720FF1">
        <w:rPr>
          <w:rFonts w:asciiTheme="majorHAnsi" w:hAnsiTheme="majorHAnsi" w:cstheme="majorHAnsi"/>
        </w:rPr>
        <w:t xml:space="preserve"> </w:t>
      </w:r>
      <w:r w:rsidRPr="00720FF1">
        <w:rPr>
          <w:rFonts w:asciiTheme="majorHAnsi" w:hAnsiTheme="majorHAnsi" w:cstheme="majorHAnsi"/>
        </w:rPr>
        <w:t>8,9 mrd</w:t>
      </w:r>
      <w:r w:rsidR="005A1FBB">
        <w:rPr>
          <w:rFonts w:asciiTheme="majorHAnsi" w:hAnsiTheme="majorHAnsi" w:cstheme="majorHAnsi"/>
        </w:rPr>
        <w:t> </w:t>
      </w:r>
      <w:r w:rsidRPr="00720FF1">
        <w:rPr>
          <w:rFonts w:asciiTheme="majorHAnsi" w:hAnsiTheme="majorHAnsi" w:cstheme="majorHAnsi"/>
        </w:rPr>
        <w:t>EUR čistih prihodkov od prodaje (podatki o poslovanju gospodarskih družb, ki so oddal</w:t>
      </w:r>
      <w:r w:rsidR="00CB7F6A">
        <w:rPr>
          <w:rFonts w:asciiTheme="majorHAnsi" w:hAnsiTheme="majorHAnsi" w:cstheme="majorHAnsi"/>
        </w:rPr>
        <w:t>e</w:t>
      </w:r>
      <w:r w:rsidRPr="00720FF1">
        <w:rPr>
          <w:rFonts w:asciiTheme="majorHAnsi" w:hAnsiTheme="majorHAnsi" w:cstheme="majorHAnsi"/>
        </w:rPr>
        <w:t xml:space="preserve"> letna poročila). Ob visoki nominalni rasti poslovnih prihodkov so bili poslovni rezultati ugodni tudi v energetsko intenzivnih predelovalnih dejavnostih. Zaposloval</w:t>
      </w:r>
      <w:r w:rsidR="00CB7F6A">
        <w:rPr>
          <w:rFonts w:asciiTheme="majorHAnsi" w:hAnsiTheme="majorHAnsi" w:cstheme="majorHAnsi"/>
        </w:rPr>
        <w:t>e so</w:t>
      </w:r>
      <w:r w:rsidRPr="00720FF1">
        <w:rPr>
          <w:rFonts w:asciiTheme="majorHAnsi" w:hAnsiTheme="majorHAnsi" w:cstheme="majorHAnsi"/>
        </w:rPr>
        <w:t xml:space="preserve"> 26.565 </w:t>
      </w:r>
      <w:r w:rsidR="00CB7F6A">
        <w:rPr>
          <w:rFonts w:asciiTheme="majorHAnsi" w:hAnsiTheme="majorHAnsi" w:cstheme="majorHAnsi"/>
        </w:rPr>
        <w:t>ljudi</w:t>
      </w:r>
      <w:r w:rsidR="00CB7F6A" w:rsidRPr="00720FF1">
        <w:rPr>
          <w:rFonts w:asciiTheme="majorHAnsi" w:hAnsiTheme="majorHAnsi" w:cstheme="majorHAnsi"/>
        </w:rPr>
        <w:t xml:space="preserve"> </w:t>
      </w:r>
      <w:r w:rsidRPr="00720FF1">
        <w:rPr>
          <w:rFonts w:asciiTheme="majorHAnsi" w:hAnsiTheme="majorHAnsi" w:cstheme="majorHAnsi"/>
        </w:rPr>
        <w:t>(po delovnih urah) in ustvaril</w:t>
      </w:r>
      <w:r w:rsidR="00CB7F6A">
        <w:rPr>
          <w:rFonts w:asciiTheme="majorHAnsi" w:hAnsiTheme="majorHAnsi" w:cstheme="majorHAnsi"/>
        </w:rPr>
        <w:t>e</w:t>
      </w:r>
      <w:r w:rsidRPr="00720FF1">
        <w:rPr>
          <w:rFonts w:asciiTheme="majorHAnsi" w:hAnsiTheme="majorHAnsi" w:cstheme="majorHAnsi"/>
        </w:rPr>
        <w:t xml:space="preserve"> 1,9 mrd EUR dodane vrednosti in dobrih 71 tisoč EUR dodane vrednosti na zaposlenega. V zadnjih </w:t>
      </w:r>
      <w:r w:rsidR="00CB7F6A">
        <w:rPr>
          <w:rFonts w:asciiTheme="majorHAnsi" w:hAnsiTheme="majorHAnsi" w:cstheme="majorHAnsi"/>
        </w:rPr>
        <w:t>petih</w:t>
      </w:r>
      <w:r w:rsidR="00CB7F6A" w:rsidRPr="00720FF1">
        <w:rPr>
          <w:rFonts w:asciiTheme="majorHAnsi" w:hAnsiTheme="majorHAnsi" w:cstheme="majorHAnsi"/>
        </w:rPr>
        <w:t xml:space="preserve"> </w:t>
      </w:r>
      <w:r w:rsidRPr="00720FF1">
        <w:rPr>
          <w:rFonts w:asciiTheme="majorHAnsi" w:hAnsiTheme="majorHAnsi" w:cstheme="majorHAnsi"/>
        </w:rPr>
        <w:t xml:space="preserve">letih </w:t>
      </w:r>
      <w:r w:rsidR="00471A9A">
        <w:rPr>
          <w:rFonts w:asciiTheme="majorHAnsi" w:hAnsiTheme="majorHAnsi" w:cstheme="majorHAnsi"/>
        </w:rPr>
        <w:t>je EII</w:t>
      </w:r>
      <w:r w:rsidR="00471A9A" w:rsidRPr="00720FF1">
        <w:rPr>
          <w:rFonts w:asciiTheme="majorHAnsi" w:hAnsiTheme="majorHAnsi" w:cstheme="majorHAnsi"/>
        </w:rPr>
        <w:t xml:space="preserve"> </w:t>
      </w:r>
      <w:r w:rsidRPr="00720FF1">
        <w:rPr>
          <w:rFonts w:asciiTheme="majorHAnsi" w:hAnsiTheme="majorHAnsi" w:cstheme="majorHAnsi"/>
        </w:rPr>
        <w:t>za investicije v opredmetena osnovna sredstva namenil</w:t>
      </w:r>
      <w:r w:rsidR="00471A9A">
        <w:rPr>
          <w:rFonts w:asciiTheme="majorHAnsi" w:hAnsiTheme="majorHAnsi" w:cstheme="majorHAnsi"/>
        </w:rPr>
        <w:t>a</w:t>
      </w:r>
      <w:r w:rsidRPr="00720FF1">
        <w:rPr>
          <w:rFonts w:asciiTheme="majorHAnsi" w:hAnsiTheme="majorHAnsi" w:cstheme="majorHAnsi"/>
        </w:rPr>
        <w:t xml:space="preserve"> v povprečju 460 mio EUR, kar </w:t>
      </w:r>
      <w:r w:rsidR="00CB7F6A">
        <w:rPr>
          <w:rFonts w:asciiTheme="majorHAnsi" w:hAnsiTheme="majorHAnsi" w:cstheme="majorHAnsi"/>
        </w:rPr>
        <w:t>je</w:t>
      </w:r>
      <w:r w:rsidR="00CB7F6A" w:rsidRPr="00720FF1">
        <w:rPr>
          <w:rFonts w:asciiTheme="majorHAnsi" w:hAnsiTheme="majorHAnsi" w:cstheme="majorHAnsi"/>
        </w:rPr>
        <w:t xml:space="preserve"> </w:t>
      </w:r>
      <w:r w:rsidRPr="00720FF1">
        <w:rPr>
          <w:rFonts w:asciiTheme="majorHAnsi" w:hAnsiTheme="majorHAnsi" w:cstheme="majorHAnsi"/>
        </w:rPr>
        <w:t xml:space="preserve">5,6 % </w:t>
      </w:r>
      <w:r w:rsidR="00471A9A">
        <w:rPr>
          <w:rFonts w:asciiTheme="majorHAnsi" w:hAnsiTheme="majorHAnsi" w:cstheme="majorHAnsi"/>
        </w:rPr>
        <w:t xml:space="preserve">njihove </w:t>
      </w:r>
      <w:r w:rsidRPr="00720FF1">
        <w:rPr>
          <w:rFonts w:asciiTheme="majorHAnsi" w:hAnsiTheme="majorHAnsi" w:cstheme="majorHAnsi"/>
        </w:rPr>
        <w:t>letne prodaje (</w:t>
      </w:r>
      <w:r w:rsidR="00CB7F6A">
        <w:rPr>
          <w:rFonts w:asciiTheme="majorHAnsi" w:hAnsiTheme="majorHAnsi" w:cstheme="majorHAnsi"/>
        </w:rPr>
        <w:t>v</w:t>
      </w:r>
      <w:r w:rsidRPr="00720FF1">
        <w:rPr>
          <w:rFonts w:asciiTheme="majorHAnsi" w:hAnsiTheme="majorHAnsi" w:cstheme="majorHAnsi"/>
        </w:rPr>
        <w:t>ir: GZS – Analiza potencialov industrije, s poudarkom na energetsko intenzivni industriji, za razogljičenje in zeleni prehod)</w:t>
      </w:r>
      <w:r w:rsidR="00CB7F6A">
        <w:rPr>
          <w:rFonts w:asciiTheme="majorHAnsi" w:hAnsiTheme="majorHAnsi" w:cstheme="majorHAnsi"/>
        </w:rPr>
        <w:t>.</w:t>
      </w:r>
      <w:r w:rsidRPr="00720FF1">
        <w:rPr>
          <w:rStyle w:val="Sprotnaopomba-sklic"/>
          <w:rFonts w:asciiTheme="majorHAnsi" w:hAnsiTheme="majorHAnsi" w:cstheme="majorHAnsi"/>
        </w:rPr>
        <w:footnoteReference w:id="2"/>
      </w:r>
      <w:r w:rsidRPr="00720FF1">
        <w:rPr>
          <w:rFonts w:asciiTheme="majorHAnsi" w:hAnsiTheme="majorHAnsi" w:cstheme="majorHAnsi"/>
        </w:rPr>
        <w:t xml:space="preserve"> </w:t>
      </w:r>
    </w:p>
    <w:p w14:paraId="501EA18D" w14:textId="0DC5CD47" w:rsidR="00DD23FD" w:rsidRDefault="0006220A" w:rsidP="0006220A">
      <w:pPr>
        <w:jc w:val="both"/>
        <w:rPr>
          <w:rFonts w:asciiTheme="majorHAnsi" w:hAnsiTheme="majorHAnsi" w:cstheme="majorHAnsi"/>
        </w:rPr>
      </w:pPr>
      <w:r w:rsidRPr="00720FF1">
        <w:rPr>
          <w:rFonts w:asciiTheme="majorHAnsi" w:hAnsiTheme="majorHAnsi" w:cstheme="majorHAnsi"/>
        </w:rPr>
        <w:t>Energetsko intenzivna proizvodnja je v primerjavi z letom 2013 v letu 2022 za</w:t>
      </w:r>
      <w:r w:rsidR="008F2B59">
        <w:rPr>
          <w:rFonts w:asciiTheme="majorHAnsi" w:hAnsiTheme="majorHAnsi" w:cstheme="majorHAnsi"/>
        </w:rPr>
        <w:t>zna</w:t>
      </w:r>
      <w:r w:rsidRPr="00720FF1">
        <w:rPr>
          <w:rFonts w:asciiTheme="majorHAnsi" w:hAnsiTheme="majorHAnsi" w:cstheme="majorHAnsi"/>
        </w:rPr>
        <w:t xml:space="preserve">la za 83,6 % višjo dodano vrednost, stroški energije so bili višji za 102,2 %, vrednost investicij v opredmetena osnovna sredstva za 141,8 %. Indeks cen industrijskih proizvodov pri proizvajalcih se je v </w:t>
      </w:r>
      <w:r w:rsidR="008F2B59">
        <w:rPr>
          <w:rFonts w:asciiTheme="majorHAnsi" w:hAnsiTheme="majorHAnsi" w:cstheme="majorHAnsi"/>
        </w:rPr>
        <w:t xml:space="preserve">letu </w:t>
      </w:r>
      <w:r w:rsidRPr="00720FF1">
        <w:rPr>
          <w:rFonts w:asciiTheme="majorHAnsi" w:hAnsiTheme="majorHAnsi" w:cstheme="majorHAnsi"/>
        </w:rPr>
        <w:t>2022 v Sloveniji močno povečal, bolj kot v evrskem območju, kar velja tudi za večino energetsko intenzivnih dejavnosti. Po drugi strani se je obseg njihove proizvodnje, zlasti v drugi polovici leta 2022, precej z</w:t>
      </w:r>
      <w:r w:rsidR="008F2B59">
        <w:rPr>
          <w:rFonts w:asciiTheme="majorHAnsi" w:hAnsiTheme="majorHAnsi" w:cstheme="majorHAnsi"/>
        </w:rPr>
        <w:t>manjš</w:t>
      </w:r>
      <w:r w:rsidRPr="00720FF1">
        <w:rPr>
          <w:rFonts w:asciiTheme="majorHAnsi" w:hAnsiTheme="majorHAnsi" w:cstheme="majorHAnsi"/>
        </w:rPr>
        <w:t xml:space="preserve">al, kar je bilo (ob omejenih možnostih povečanja energetske učinkovitosti ali </w:t>
      </w:r>
      <w:r w:rsidR="008F2B59">
        <w:rPr>
          <w:rFonts w:asciiTheme="majorHAnsi" w:hAnsiTheme="majorHAnsi" w:cstheme="majorHAnsi"/>
        </w:rPr>
        <w:t>kratkoročn</w:t>
      </w:r>
      <w:r w:rsidR="00D52799">
        <w:rPr>
          <w:rFonts w:asciiTheme="majorHAnsi" w:hAnsiTheme="majorHAnsi" w:cstheme="majorHAnsi"/>
        </w:rPr>
        <w:t>e</w:t>
      </w:r>
      <w:r w:rsidR="008F2B59">
        <w:rPr>
          <w:rFonts w:asciiTheme="majorHAnsi" w:hAnsiTheme="majorHAnsi" w:cstheme="majorHAnsi"/>
        </w:rPr>
        <w:t xml:space="preserve"> </w:t>
      </w:r>
      <w:r w:rsidRPr="00720FF1">
        <w:rPr>
          <w:rFonts w:asciiTheme="majorHAnsi" w:hAnsiTheme="majorHAnsi" w:cstheme="majorHAnsi"/>
        </w:rPr>
        <w:t>preusmeritve k alternativnim virom energije) najverjetneje povezano z izgubo konkurenčnosti in tudi z racionalizacijo (energetsko intenzivnejše) proizvodnje v času visokih rasti cen in negotove oskrbe z energenti. Z</w:t>
      </w:r>
      <w:r w:rsidR="008F2B59">
        <w:rPr>
          <w:rFonts w:asciiTheme="majorHAnsi" w:hAnsiTheme="majorHAnsi" w:cstheme="majorHAnsi"/>
        </w:rPr>
        <w:t>manjš</w:t>
      </w:r>
      <w:r w:rsidRPr="00720FF1">
        <w:rPr>
          <w:rFonts w:asciiTheme="majorHAnsi" w:hAnsiTheme="majorHAnsi" w:cstheme="majorHAnsi"/>
        </w:rPr>
        <w:t>evanje obsega proizvodnje energetsko intenzivnih dejavnosti se je nadaljevalo tudi v prvi polovici</w:t>
      </w:r>
      <w:r w:rsidR="00805AD7">
        <w:rPr>
          <w:rFonts w:asciiTheme="majorHAnsi" w:hAnsiTheme="majorHAnsi" w:cstheme="majorHAnsi"/>
        </w:rPr>
        <w:t xml:space="preserve"> leta</w:t>
      </w:r>
      <w:r w:rsidRPr="00720FF1">
        <w:rPr>
          <w:rFonts w:asciiTheme="majorHAnsi" w:hAnsiTheme="majorHAnsi" w:cstheme="majorHAnsi"/>
        </w:rPr>
        <w:t xml:space="preserve"> 2023, pod vplivom znižanja cen energentov in drugih surovin pa se po</w:t>
      </w:r>
      <w:r w:rsidR="008F2B59">
        <w:rPr>
          <w:rFonts w:asciiTheme="majorHAnsi" w:hAnsiTheme="majorHAnsi" w:cstheme="majorHAnsi"/>
        </w:rPr>
        <w:t xml:space="preserve"> </w:t>
      </w:r>
      <w:r w:rsidRPr="00720FF1">
        <w:rPr>
          <w:rFonts w:asciiTheme="majorHAnsi" w:hAnsiTheme="majorHAnsi" w:cstheme="majorHAnsi"/>
        </w:rPr>
        <w:t>večini postopoma znižujejo tudi cene pri proizvajalcih (</w:t>
      </w:r>
      <w:r w:rsidR="008F2B59">
        <w:rPr>
          <w:rFonts w:asciiTheme="majorHAnsi" w:hAnsiTheme="majorHAnsi" w:cstheme="majorHAnsi"/>
        </w:rPr>
        <w:t>v</w:t>
      </w:r>
      <w:r w:rsidRPr="00720FF1">
        <w:rPr>
          <w:rFonts w:asciiTheme="majorHAnsi" w:hAnsiTheme="majorHAnsi" w:cstheme="majorHAnsi"/>
        </w:rPr>
        <w:t xml:space="preserve">ir: </w:t>
      </w:r>
      <w:proofErr w:type="spellStart"/>
      <w:r w:rsidRPr="00720FF1">
        <w:rPr>
          <w:rFonts w:asciiTheme="majorHAnsi" w:hAnsiTheme="majorHAnsi" w:cstheme="majorHAnsi"/>
        </w:rPr>
        <w:t>Umar</w:t>
      </w:r>
      <w:proofErr w:type="spellEnd"/>
      <w:r w:rsidRPr="00720FF1">
        <w:rPr>
          <w:rFonts w:asciiTheme="majorHAnsi" w:hAnsiTheme="majorHAnsi" w:cstheme="majorHAnsi"/>
        </w:rPr>
        <w:t>, Poročilo o produktivnosti 2023).</w:t>
      </w:r>
    </w:p>
    <w:p w14:paraId="6C4243CC" w14:textId="67BFC149" w:rsidR="00DD23FD" w:rsidRPr="00720FF1" w:rsidRDefault="00DD23FD" w:rsidP="0006220A">
      <w:pPr>
        <w:jc w:val="both"/>
        <w:rPr>
          <w:rFonts w:asciiTheme="majorHAnsi" w:hAnsiTheme="majorHAnsi" w:cstheme="majorHAnsi"/>
        </w:rPr>
      </w:pPr>
      <w:r>
        <w:rPr>
          <w:rFonts w:asciiTheme="majorHAnsi" w:hAnsiTheme="majorHAnsi" w:cstheme="majorHAnsi"/>
        </w:rPr>
        <w:t>Opozoriti velja tudi, da je v letu 2021 i</w:t>
      </w:r>
      <w:r w:rsidRPr="00DD23FD">
        <w:rPr>
          <w:rFonts w:asciiTheme="majorHAnsi" w:hAnsiTheme="majorHAnsi" w:cstheme="majorHAnsi"/>
        </w:rPr>
        <w:t>z poročil družb</w:t>
      </w:r>
      <w:r>
        <w:rPr>
          <w:rFonts w:asciiTheme="majorHAnsi" w:hAnsiTheme="majorHAnsi" w:cstheme="majorHAnsi"/>
        </w:rPr>
        <w:t xml:space="preserve"> o izvedenih energetskih pregledih (204)</w:t>
      </w:r>
      <w:r w:rsidRPr="00DD23FD">
        <w:rPr>
          <w:rFonts w:asciiTheme="majorHAnsi" w:hAnsiTheme="majorHAnsi" w:cstheme="majorHAnsi"/>
        </w:rPr>
        <w:t xml:space="preserve"> izhaja</w:t>
      </w:r>
      <w:r>
        <w:rPr>
          <w:rFonts w:asciiTheme="majorHAnsi" w:hAnsiTheme="majorHAnsi" w:cstheme="majorHAnsi"/>
        </w:rPr>
        <w:t>lo</w:t>
      </w:r>
      <w:r w:rsidRPr="00DD23FD">
        <w:rPr>
          <w:rFonts w:asciiTheme="majorHAnsi" w:hAnsiTheme="majorHAnsi" w:cstheme="majorHAnsi"/>
        </w:rPr>
        <w:t>, da bi z izvedenimi ukrepi (optimizacija porabe energije v proizvodnji, prenova notranje razsvetljave, vzpostavitev hlajenja in ogrevanja, uvedba računalniškega sistema za energetsk</w:t>
      </w:r>
      <w:r w:rsidR="008F2B59">
        <w:rPr>
          <w:rFonts w:asciiTheme="majorHAnsi" w:hAnsiTheme="majorHAnsi" w:cstheme="majorHAnsi"/>
        </w:rPr>
        <w:t>o upravljanje</w:t>
      </w:r>
      <w:r w:rsidRPr="00DD23FD">
        <w:rPr>
          <w:rFonts w:asciiTheme="majorHAnsi" w:hAnsiTheme="majorHAnsi" w:cstheme="majorHAnsi"/>
        </w:rPr>
        <w:t xml:space="preserve">, prenova kotlovnice, sanacija toplotnega ovoja in stavbnega pohištva), </w:t>
      </w:r>
      <w:r>
        <w:rPr>
          <w:rFonts w:asciiTheme="majorHAnsi" w:hAnsiTheme="majorHAnsi" w:cstheme="majorHAnsi"/>
        </w:rPr>
        <w:t>priporočenimi</w:t>
      </w:r>
      <w:r w:rsidRPr="00DD23FD">
        <w:rPr>
          <w:rFonts w:asciiTheme="majorHAnsi" w:hAnsiTheme="majorHAnsi" w:cstheme="majorHAnsi"/>
        </w:rPr>
        <w:t xml:space="preserve"> v okviru energetskih pregledov, v naslednjem štiriletnem obdobju </w:t>
      </w:r>
      <w:r w:rsidR="00EA2E55" w:rsidRPr="00DD23FD">
        <w:rPr>
          <w:rFonts w:asciiTheme="majorHAnsi" w:hAnsiTheme="majorHAnsi" w:cstheme="majorHAnsi"/>
        </w:rPr>
        <w:t xml:space="preserve">lahko </w:t>
      </w:r>
      <w:r w:rsidRPr="00DD23FD">
        <w:rPr>
          <w:rFonts w:asciiTheme="majorHAnsi" w:hAnsiTheme="majorHAnsi" w:cstheme="majorHAnsi"/>
        </w:rPr>
        <w:t>prihranili skupno 5401 GWh energije</w:t>
      </w:r>
      <w:r>
        <w:rPr>
          <w:rFonts w:asciiTheme="majorHAnsi" w:hAnsiTheme="majorHAnsi" w:cstheme="majorHAnsi"/>
        </w:rPr>
        <w:t xml:space="preserve"> (vir: P</w:t>
      </w:r>
      <w:r w:rsidRPr="00DD23FD">
        <w:rPr>
          <w:rFonts w:asciiTheme="majorHAnsi" w:hAnsiTheme="majorHAnsi" w:cstheme="majorHAnsi"/>
        </w:rPr>
        <w:t xml:space="preserve">oročilo o stanju na področju energetike v </w:t>
      </w:r>
      <w:r>
        <w:rPr>
          <w:rFonts w:asciiTheme="majorHAnsi" w:hAnsiTheme="majorHAnsi" w:cstheme="majorHAnsi"/>
        </w:rPr>
        <w:t>S</w:t>
      </w:r>
      <w:r w:rsidRPr="00DD23FD">
        <w:rPr>
          <w:rFonts w:asciiTheme="majorHAnsi" w:hAnsiTheme="majorHAnsi" w:cstheme="majorHAnsi"/>
        </w:rPr>
        <w:t>loveniji</w:t>
      </w:r>
      <w:r>
        <w:rPr>
          <w:rFonts w:asciiTheme="majorHAnsi" w:hAnsiTheme="majorHAnsi" w:cstheme="majorHAnsi"/>
        </w:rPr>
        <w:t xml:space="preserve"> 2021)</w:t>
      </w:r>
      <w:r w:rsidRPr="00DD23FD">
        <w:rPr>
          <w:rFonts w:asciiTheme="majorHAnsi" w:hAnsiTheme="majorHAnsi" w:cstheme="majorHAnsi"/>
        </w:rPr>
        <w:t>.</w:t>
      </w:r>
    </w:p>
    <w:p w14:paraId="6F50C81D" w14:textId="77777777" w:rsidR="0006220A" w:rsidRPr="00720FF1" w:rsidRDefault="0006220A" w:rsidP="0006220A">
      <w:pPr>
        <w:jc w:val="both"/>
        <w:rPr>
          <w:rFonts w:asciiTheme="majorHAnsi" w:hAnsiTheme="majorHAnsi" w:cstheme="majorHAnsi"/>
        </w:rPr>
      </w:pPr>
    </w:p>
    <w:p w14:paraId="65B9F3C7" w14:textId="77777777" w:rsidR="00AE2951" w:rsidRPr="00720FF1" w:rsidRDefault="00AE2951">
      <w:pPr>
        <w:rPr>
          <w:rFonts w:asciiTheme="majorHAnsi" w:eastAsiaTheme="majorEastAsia" w:hAnsiTheme="majorHAnsi" w:cstheme="majorHAnsi"/>
          <w:color w:val="2F5496" w:themeColor="accent1" w:themeShade="BF"/>
          <w:sz w:val="32"/>
          <w:szCs w:val="32"/>
        </w:rPr>
      </w:pPr>
      <w:r w:rsidRPr="00720FF1">
        <w:rPr>
          <w:rFonts w:asciiTheme="majorHAnsi" w:hAnsiTheme="majorHAnsi" w:cstheme="majorHAnsi"/>
        </w:rPr>
        <w:br w:type="page"/>
      </w:r>
    </w:p>
    <w:p w14:paraId="2D6EACF4" w14:textId="399E8434" w:rsidR="006B5518" w:rsidRPr="00720FF1" w:rsidRDefault="003F7A11" w:rsidP="006B5518">
      <w:pPr>
        <w:pStyle w:val="Naslov1"/>
        <w:numPr>
          <w:ilvl w:val="0"/>
          <w:numId w:val="2"/>
        </w:numPr>
        <w:ind w:left="426" w:hanging="284"/>
        <w:rPr>
          <w:rFonts w:cstheme="majorHAnsi"/>
        </w:rPr>
      </w:pPr>
      <w:bookmarkStart w:id="2" w:name="_Toc184114159"/>
      <w:r w:rsidRPr="00720FF1">
        <w:rPr>
          <w:rFonts w:cstheme="majorHAnsi"/>
        </w:rPr>
        <w:lastRenderedPageBreak/>
        <w:t>Izzivi</w:t>
      </w:r>
      <w:bookmarkEnd w:id="2"/>
    </w:p>
    <w:p w14:paraId="0D884A8B" w14:textId="366E446A" w:rsidR="006B5518" w:rsidRPr="00720FF1" w:rsidRDefault="006B5518" w:rsidP="006B5518">
      <w:pPr>
        <w:rPr>
          <w:rFonts w:asciiTheme="majorHAnsi" w:hAnsiTheme="majorHAnsi" w:cstheme="majorHAnsi"/>
        </w:rPr>
      </w:pPr>
    </w:p>
    <w:p w14:paraId="4E40DC64" w14:textId="2374B030" w:rsidR="00D14044" w:rsidRPr="00720FF1" w:rsidRDefault="00D14044" w:rsidP="00D14044">
      <w:pPr>
        <w:jc w:val="both"/>
        <w:rPr>
          <w:rFonts w:asciiTheme="majorHAnsi" w:hAnsiTheme="majorHAnsi" w:cstheme="majorHAnsi"/>
        </w:rPr>
      </w:pPr>
      <w:r w:rsidRPr="00720FF1">
        <w:rPr>
          <w:rFonts w:asciiTheme="majorHAnsi" w:hAnsiTheme="majorHAnsi" w:cstheme="majorHAnsi"/>
        </w:rPr>
        <w:t xml:space="preserve">Gospodarstvo v Sloveniji </w:t>
      </w:r>
      <w:r w:rsidR="00AF3BA7">
        <w:rPr>
          <w:rFonts w:asciiTheme="majorHAnsi" w:hAnsiTheme="majorHAnsi" w:cstheme="majorHAnsi"/>
        </w:rPr>
        <w:t>j</w:t>
      </w:r>
      <w:r w:rsidRPr="00720FF1">
        <w:rPr>
          <w:rFonts w:asciiTheme="majorHAnsi" w:hAnsiTheme="majorHAnsi" w:cstheme="majorHAnsi"/>
        </w:rPr>
        <w:t>e pred enim od največjih izzivov v dolgoletni zgodovini</w:t>
      </w:r>
      <w:r w:rsidR="00805AD7">
        <w:rPr>
          <w:rFonts w:asciiTheme="majorHAnsi" w:hAnsiTheme="majorHAnsi" w:cstheme="majorHAnsi"/>
        </w:rPr>
        <w:t>,</w:t>
      </w:r>
      <w:r w:rsidRPr="00720FF1">
        <w:rPr>
          <w:rFonts w:asciiTheme="majorHAnsi" w:hAnsiTheme="majorHAnsi" w:cstheme="majorHAnsi"/>
        </w:rPr>
        <w:t xml:space="preserve"> in sicer kako postati podnebno nevtralno, zeleno, trajnostno in krožno. Ta izziv posega na vsa področja razvoja </w:t>
      </w:r>
      <w:r w:rsidR="00AF3BA7">
        <w:rPr>
          <w:rFonts w:asciiTheme="majorHAnsi" w:hAnsiTheme="majorHAnsi" w:cstheme="majorHAnsi"/>
        </w:rPr>
        <w:t>–</w:t>
      </w:r>
      <w:r w:rsidR="00AF3BA7" w:rsidRPr="00720FF1">
        <w:rPr>
          <w:rFonts w:asciiTheme="majorHAnsi" w:hAnsiTheme="majorHAnsi" w:cstheme="majorHAnsi"/>
        </w:rPr>
        <w:t xml:space="preserve"> </w:t>
      </w:r>
      <w:r w:rsidR="00AD5211" w:rsidRPr="00720FF1">
        <w:rPr>
          <w:rFonts w:asciiTheme="majorHAnsi" w:hAnsiTheme="majorHAnsi" w:cstheme="majorHAnsi"/>
        </w:rPr>
        <w:t>tehnološk</w:t>
      </w:r>
      <w:r w:rsidRPr="00720FF1">
        <w:rPr>
          <w:rFonts w:asciiTheme="majorHAnsi" w:hAnsiTheme="majorHAnsi" w:cstheme="majorHAnsi"/>
        </w:rPr>
        <w:t>o</w:t>
      </w:r>
      <w:r w:rsidR="00AD5211" w:rsidRPr="00720FF1">
        <w:rPr>
          <w:rFonts w:asciiTheme="majorHAnsi" w:hAnsiTheme="majorHAnsi" w:cstheme="majorHAnsi"/>
        </w:rPr>
        <w:t>, razvojn</w:t>
      </w:r>
      <w:r w:rsidRPr="00720FF1">
        <w:rPr>
          <w:rFonts w:asciiTheme="majorHAnsi" w:hAnsiTheme="majorHAnsi" w:cstheme="majorHAnsi"/>
        </w:rPr>
        <w:t>o</w:t>
      </w:r>
      <w:r w:rsidR="00AD5211" w:rsidRPr="00720FF1">
        <w:rPr>
          <w:rFonts w:asciiTheme="majorHAnsi" w:hAnsiTheme="majorHAnsi" w:cstheme="majorHAnsi"/>
        </w:rPr>
        <w:t>, finančn</w:t>
      </w:r>
      <w:r w:rsidRPr="00720FF1">
        <w:rPr>
          <w:rFonts w:asciiTheme="majorHAnsi" w:hAnsiTheme="majorHAnsi" w:cstheme="majorHAnsi"/>
        </w:rPr>
        <w:t>o,</w:t>
      </w:r>
      <w:r w:rsidR="00AD5211" w:rsidRPr="00720FF1">
        <w:rPr>
          <w:rFonts w:asciiTheme="majorHAnsi" w:hAnsiTheme="majorHAnsi" w:cstheme="majorHAnsi"/>
        </w:rPr>
        <w:t xml:space="preserve"> kadrovsk</w:t>
      </w:r>
      <w:r w:rsidRPr="00720FF1">
        <w:rPr>
          <w:rFonts w:asciiTheme="majorHAnsi" w:hAnsiTheme="majorHAnsi" w:cstheme="majorHAnsi"/>
        </w:rPr>
        <w:t>o in še ka</w:t>
      </w:r>
      <w:r w:rsidR="00AF3BA7">
        <w:rPr>
          <w:rFonts w:asciiTheme="majorHAnsi" w:hAnsiTheme="majorHAnsi" w:cstheme="majorHAnsi"/>
        </w:rPr>
        <w:t>ter</w:t>
      </w:r>
      <w:r w:rsidRPr="00720FF1">
        <w:rPr>
          <w:rFonts w:asciiTheme="majorHAnsi" w:hAnsiTheme="majorHAnsi" w:cstheme="majorHAnsi"/>
        </w:rPr>
        <w:t>o drugo</w:t>
      </w:r>
      <w:r w:rsidR="00AD5211" w:rsidRPr="00720FF1">
        <w:rPr>
          <w:rFonts w:asciiTheme="majorHAnsi" w:hAnsiTheme="majorHAnsi" w:cstheme="majorHAnsi"/>
        </w:rPr>
        <w:t xml:space="preserve">. </w:t>
      </w:r>
      <w:r w:rsidRPr="00720FF1">
        <w:rPr>
          <w:rFonts w:asciiTheme="majorHAnsi" w:hAnsiTheme="majorHAnsi" w:cstheme="majorHAnsi"/>
        </w:rPr>
        <w:t xml:space="preserve">V ospredje stopata potreba po razogljičenju in učinkoviti rabi energije. </w:t>
      </w:r>
    </w:p>
    <w:p w14:paraId="211B79BE" w14:textId="08BE5CD4" w:rsidR="00AD5211" w:rsidRPr="00720FF1" w:rsidRDefault="00D14044" w:rsidP="00D14044">
      <w:pPr>
        <w:jc w:val="both"/>
        <w:rPr>
          <w:rFonts w:asciiTheme="majorHAnsi" w:hAnsiTheme="majorHAnsi" w:cstheme="majorHAnsi"/>
        </w:rPr>
      </w:pPr>
      <w:r w:rsidRPr="00720FF1">
        <w:rPr>
          <w:rFonts w:asciiTheme="majorHAnsi" w:hAnsiTheme="majorHAnsi" w:cstheme="majorHAnsi"/>
        </w:rPr>
        <w:t xml:space="preserve">Ta akcijski načrt se nanaša predvsem na učinkovito rabo energije v gospodarstvu. Da bi pravilno opredelili potrebe gospodarstva </w:t>
      </w:r>
      <w:r w:rsidR="00AF3BA7">
        <w:rPr>
          <w:rFonts w:asciiTheme="majorHAnsi" w:hAnsiTheme="majorHAnsi" w:cstheme="majorHAnsi"/>
        </w:rPr>
        <w:t>s tega vidika</w:t>
      </w:r>
      <w:r w:rsidRPr="00720FF1">
        <w:rPr>
          <w:rFonts w:asciiTheme="majorHAnsi" w:hAnsiTheme="majorHAnsi" w:cstheme="majorHAnsi"/>
        </w:rPr>
        <w:t xml:space="preserve">, je Gospodarska zbornica Slovenije pripravila študijo </w:t>
      </w:r>
      <w:r w:rsidRPr="00720FF1">
        <w:rPr>
          <w:rFonts w:asciiTheme="majorHAnsi" w:hAnsiTheme="majorHAnsi" w:cstheme="majorHAnsi"/>
          <w:i/>
          <w:iCs/>
        </w:rPr>
        <w:t>»</w:t>
      </w:r>
      <w:r w:rsidR="00AD5211" w:rsidRPr="00720FF1">
        <w:rPr>
          <w:rFonts w:asciiTheme="majorHAnsi" w:hAnsiTheme="majorHAnsi" w:cstheme="majorHAnsi"/>
          <w:i/>
          <w:iCs/>
        </w:rPr>
        <w:t>Analiza potencialov industrije</w:t>
      </w:r>
      <w:r w:rsidRPr="00720FF1">
        <w:rPr>
          <w:rFonts w:asciiTheme="majorHAnsi" w:hAnsiTheme="majorHAnsi" w:cstheme="majorHAnsi"/>
          <w:i/>
          <w:iCs/>
        </w:rPr>
        <w:t>, s poudarkom na energetsko intenzivni industriji, za razogljičenje in zeleni prehod«</w:t>
      </w:r>
      <w:r w:rsidR="00AF3BA7">
        <w:rPr>
          <w:rFonts w:asciiTheme="majorHAnsi" w:hAnsiTheme="majorHAnsi" w:cstheme="majorHAnsi"/>
        </w:rPr>
        <w:t>,</w:t>
      </w:r>
      <w:r w:rsidRPr="00720FF1">
        <w:rPr>
          <w:rStyle w:val="Sprotnaopomba-sklic"/>
          <w:rFonts w:asciiTheme="majorHAnsi" w:hAnsiTheme="majorHAnsi" w:cstheme="majorHAnsi"/>
        </w:rPr>
        <w:footnoteReference w:id="3"/>
      </w:r>
      <w:r w:rsidRPr="00720FF1">
        <w:rPr>
          <w:rFonts w:asciiTheme="majorHAnsi" w:hAnsiTheme="majorHAnsi" w:cstheme="majorHAnsi"/>
        </w:rPr>
        <w:t xml:space="preserve"> v kateri </w:t>
      </w:r>
      <w:r w:rsidR="00AD5211" w:rsidRPr="00720FF1">
        <w:rPr>
          <w:rFonts w:asciiTheme="majorHAnsi" w:hAnsiTheme="majorHAnsi" w:cstheme="majorHAnsi"/>
        </w:rPr>
        <w:t>je prepoznala tri ključne poti za prehod industrije v EU v industrijo neto ničelnih emisij, in sicer:</w:t>
      </w:r>
    </w:p>
    <w:p w14:paraId="24449482" w14:textId="77777777" w:rsidR="00AD5211" w:rsidRPr="00720FF1" w:rsidRDefault="00AD5211" w:rsidP="00D14044">
      <w:pPr>
        <w:pStyle w:val="Odstavekseznama"/>
        <w:numPr>
          <w:ilvl w:val="0"/>
          <w:numId w:val="7"/>
        </w:numPr>
        <w:rPr>
          <w:rFonts w:asciiTheme="majorHAnsi" w:hAnsiTheme="majorHAnsi" w:cstheme="majorHAnsi"/>
        </w:rPr>
      </w:pPr>
      <w:r w:rsidRPr="00720FF1">
        <w:rPr>
          <w:rFonts w:asciiTheme="majorHAnsi" w:hAnsiTheme="majorHAnsi" w:cstheme="majorHAnsi"/>
        </w:rPr>
        <w:t>prenovo procesov in nove procese z elektrifikacijo;</w:t>
      </w:r>
    </w:p>
    <w:p w14:paraId="7602110C" w14:textId="77777777" w:rsidR="00AD5211" w:rsidRPr="00720FF1" w:rsidRDefault="00AD5211" w:rsidP="00D14044">
      <w:pPr>
        <w:pStyle w:val="Odstavekseznama"/>
        <w:numPr>
          <w:ilvl w:val="0"/>
          <w:numId w:val="7"/>
        </w:numPr>
        <w:rPr>
          <w:rFonts w:asciiTheme="majorHAnsi" w:hAnsiTheme="majorHAnsi" w:cstheme="majorHAnsi"/>
        </w:rPr>
      </w:pPr>
      <w:r w:rsidRPr="00720FF1">
        <w:rPr>
          <w:rFonts w:asciiTheme="majorHAnsi" w:hAnsiTheme="majorHAnsi" w:cstheme="majorHAnsi"/>
        </w:rPr>
        <w:t>krožno gospodarjenje;</w:t>
      </w:r>
    </w:p>
    <w:p w14:paraId="3F435FDD" w14:textId="1B66CACC" w:rsidR="00AD5211" w:rsidRPr="00720FF1" w:rsidRDefault="00AD5211" w:rsidP="00D14044">
      <w:pPr>
        <w:pStyle w:val="Odstavekseznama"/>
        <w:numPr>
          <w:ilvl w:val="0"/>
          <w:numId w:val="7"/>
        </w:numPr>
        <w:rPr>
          <w:rFonts w:asciiTheme="majorHAnsi" w:hAnsiTheme="majorHAnsi" w:cstheme="majorHAnsi"/>
        </w:rPr>
      </w:pPr>
      <w:r w:rsidRPr="00720FF1">
        <w:rPr>
          <w:rFonts w:asciiTheme="majorHAnsi" w:hAnsiTheme="majorHAnsi" w:cstheme="majorHAnsi"/>
        </w:rPr>
        <w:t>zajemanje</w:t>
      </w:r>
      <w:r w:rsidR="00AF1404">
        <w:rPr>
          <w:rFonts w:asciiTheme="majorHAnsi" w:hAnsiTheme="majorHAnsi" w:cstheme="majorHAnsi"/>
        </w:rPr>
        <w:t>, uporabo</w:t>
      </w:r>
      <w:r w:rsidRPr="00720FF1">
        <w:rPr>
          <w:rFonts w:asciiTheme="majorHAnsi" w:hAnsiTheme="majorHAnsi" w:cstheme="majorHAnsi"/>
        </w:rPr>
        <w:t xml:space="preserve"> in shranjevanje ogljika</w:t>
      </w:r>
      <w:r w:rsidR="00AF1404">
        <w:rPr>
          <w:rFonts w:asciiTheme="majorHAnsi" w:hAnsiTheme="majorHAnsi" w:cstheme="majorHAnsi"/>
        </w:rPr>
        <w:t xml:space="preserve"> (CCU/CCS)</w:t>
      </w:r>
      <w:r w:rsidRPr="00720FF1">
        <w:rPr>
          <w:rFonts w:asciiTheme="majorHAnsi" w:hAnsiTheme="majorHAnsi" w:cstheme="majorHAnsi"/>
        </w:rPr>
        <w:t>.</w:t>
      </w:r>
    </w:p>
    <w:p w14:paraId="3CA5814B" w14:textId="4B57F11E" w:rsidR="00D14044" w:rsidRPr="00720FF1" w:rsidRDefault="00AF3BA7" w:rsidP="0006220A">
      <w:pPr>
        <w:jc w:val="both"/>
        <w:rPr>
          <w:rFonts w:asciiTheme="majorHAnsi" w:hAnsiTheme="majorHAnsi" w:cstheme="majorHAnsi"/>
        </w:rPr>
      </w:pPr>
      <w:r>
        <w:rPr>
          <w:rFonts w:asciiTheme="majorHAnsi" w:hAnsiTheme="majorHAnsi" w:cstheme="majorHAnsi"/>
        </w:rPr>
        <w:t>Ob tem</w:t>
      </w:r>
      <w:r w:rsidR="0006220A" w:rsidRPr="00720FF1">
        <w:rPr>
          <w:rFonts w:asciiTheme="majorHAnsi" w:hAnsiTheme="majorHAnsi" w:cstheme="majorHAnsi"/>
        </w:rPr>
        <w:t xml:space="preserve"> je Strateško razvojno-inovacijsko partnerstvo za krožno gospodarstvo (v nadaljevanju</w:t>
      </w:r>
      <w:r w:rsidR="00805AD7">
        <w:rPr>
          <w:rFonts w:asciiTheme="majorHAnsi" w:hAnsiTheme="majorHAnsi" w:cstheme="majorHAnsi"/>
        </w:rPr>
        <w:t>:</w:t>
      </w:r>
      <w:r w:rsidR="0006220A" w:rsidRPr="00720FF1">
        <w:rPr>
          <w:rFonts w:asciiTheme="majorHAnsi" w:hAnsiTheme="majorHAnsi" w:cstheme="majorHAnsi"/>
        </w:rPr>
        <w:t xml:space="preserve"> SRIP Krožno gospodarstvo) </w:t>
      </w:r>
      <w:r w:rsidR="009E20FB">
        <w:rPr>
          <w:rFonts w:asciiTheme="majorHAnsi" w:hAnsiTheme="majorHAnsi" w:cstheme="majorHAnsi"/>
        </w:rPr>
        <w:t>pripravilo</w:t>
      </w:r>
      <w:r w:rsidR="009E20FB" w:rsidRPr="00720FF1">
        <w:rPr>
          <w:rFonts w:asciiTheme="majorHAnsi" w:hAnsiTheme="majorHAnsi" w:cstheme="majorHAnsi"/>
        </w:rPr>
        <w:t xml:space="preserve"> </w:t>
      </w:r>
      <w:r w:rsidR="009E20FB">
        <w:rPr>
          <w:rFonts w:asciiTheme="majorHAnsi" w:hAnsiTheme="majorHAnsi" w:cstheme="majorHAnsi"/>
        </w:rPr>
        <w:t>p</w:t>
      </w:r>
      <w:r w:rsidR="0006220A" w:rsidRPr="00720FF1">
        <w:rPr>
          <w:rFonts w:asciiTheme="majorHAnsi" w:hAnsiTheme="majorHAnsi" w:cstheme="majorHAnsi"/>
        </w:rPr>
        <w:t>redlog tehnološko-razvojnega programa za energetsko intenzivno industrijo, ki temelji na štirih ključnih stebrih</w:t>
      </w:r>
      <w:r w:rsidR="00F7414F" w:rsidRPr="00720FF1">
        <w:rPr>
          <w:rFonts w:asciiTheme="majorHAnsi" w:hAnsiTheme="majorHAnsi" w:cstheme="majorHAnsi"/>
        </w:rPr>
        <w:t xml:space="preserve">: 1. </w:t>
      </w:r>
      <w:r w:rsidR="009E20FB">
        <w:rPr>
          <w:rFonts w:asciiTheme="majorHAnsi" w:hAnsiTheme="majorHAnsi" w:cstheme="majorHAnsi"/>
        </w:rPr>
        <w:t>v</w:t>
      </w:r>
      <w:r w:rsidR="00F7414F" w:rsidRPr="00720FF1">
        <w:rPr>
          <w:rFonts w:asciiTheme="majorHAnsi" w:hAnsiTheme="majorHAnsi" w:cstheme="majorHAnsi"/>
        </w:rPr>
        <w:t>arna in zanesljiva oskrba z obnovljivo energijo, 2.</w:t>
      </w:r>
      <w:r w:rsidR="009E20FB">
        <w:rPr>
          <w:rFonts w:asciiTheme="majorHAnsi" w:hAnsiTheme="majorHAnsi" w:cstheme="majorHAnsi"/>
        </w:rPr>
        <w:t> s</w:t>
      </w:r>
      <w:r w:rsidR="00F7414F" w:rsidRPr="00720FF1">
        <w:rPr>
          <w:rFonts w:asciiTheme="majorHAnsi" w:hAnsiTheme="majorHAnsi" w:cstheme="majorHAnsi"/>
        </w:rPr>
        <w:t xml:space="preserve">istemsko podprta in učinkovita raba, upravljanje in shranjevanje energije, 3. </w:t>
      </w:r>
      <w:r w:rsidR="009E20FB">
        <w:rPr>
          <w:rFonts w:asciiTheme="majorHAnsi" w:hAnsiTheme="majorHAnsi" w:cstheme="majorHAnsi"/>
        </w:rPr>
        <w:t>d</w:t>
      </w:r>
      <w:r w:rsidR="00F7414F" w:rsidRPr="00720FF1">
        <w:rPr>
          <w:rFonts w:asciiTheme="majorHAnsi" w:hAnsiTheme="majorHAnsi" w:cstheme="majorHAnsi"/>
        </w:rPr>
        <w:t xml:space="preserve">igitalizacija, pametni sistemi vodenja procesov in </w:t>
      </w:r>
      <w:r w:rsidR="00D362E5" w:rsidRPr="00720FF1">
        <w:rPr>
          <w:rFonts w:asciiTheme="majorHAnsi" w:hAnsiTheme="majorHAnsi" w:cstheme="majorHAnsi"/>
        </w:rPr>
        <w:t>vrednotenje</w:t>
      </w:r>
      <w:r w:rsidR="00F7414F" w:rsidRPr="00720FF1">
        <w:rPr>
          <w:rFonts w:asciiTheme="majorHAnsi" w:hAnsiTheme="majorHAnsi" w:cstheme="majorHAnsi"/>
        </w:rPr>
        <w:t xml:space="preserve">, 4. </w:t>
      </w:r>
      <w:r w:rsidR="009E20FB">
        <w:rPr>
          <w:rFonts w:asciiTheme="majorHAnsi" w:hAnsiTheme="majorHAnsi" w:cstheme="majorHAnsi"/>
        </w:rPr>
        <w:t>i</w:t>
      </w:r>
      <w:r w:rsidR="00F7414F" w:rsidRPr="00720FF1">
        <w:rPr>
          <w:rFonts w:asciiTheme="majorHAnsi" w:hAnsiTheme="majorHAnsi" w:cstheme="majorHAnsi"/>
        </w:rPr>
        <w:t>ndustrijska simbioza in snovna učinkovitost,</w:t>
      </w:r>
      <w:r w:rsidR="0006220A" w:rsidRPr="00720FF1">
        <w:rPr>
          <w:rFonts w:asciiTheme="majorHAnsi" w:hAnsiTheme="majorHAnsi" w:cstheme="majorHAnsi"/>
        </w:rPr>
        <w:t xml:space="preserve"> kot je razvidno s </w:t>
      </w:r>
      <w:r w:rsidR="009E20FB">
        <w:rPr>
          <w:rFonts w:asciiTheme="majorHAnsi" w:hAnsiTheme="majorHAnsi" w:cstheme="majorHAnsi"/>
        </w:rPr>
        <w:t>s</w:t>
      </w:r>
      <w:r w:rsidR="0006220A" w:rsidRPr="00720FF1">
        <w:rPr>
          <w:rFonts w:asciiTheme="majorHAnsi" w:hAnsiTheme="majorHAnsi" w:cstheme="majorHAnsi"/>
        </w:rPr>
        <w:t>like 1</w:t>
      </w:r>
      <w:r w:rsidR="00805AD7">
        <w:rPr>
          <w:rFonts w:asciiTheme="majorHAnsi" w:hAnsiTheme="majorHAnsi" w:cstheme="majorHAnsi"/>
        </w:rPr>
        <w:t>.</w:t>
      </w:r>
    </w:p>
    <w:p w14:paraId="12CEC136" w14:textId="2F54107D" w:rsidR="0006220A" w:rsidRPr="00720FF1" w:rsidRDefault="0006220A" w:rsidP="00D14044">
      <w:pPr>
        <w:rPr>
          <w:rFonts w:asciiTheme="majorHAnsi" w:hAnsiTheme="majorHAnsi" w:cstheme="majorHAnsi"/>
        </w:rPr>
      </w:pPr>
      <w:r w:rsidRPr="00720FF1">
        <w:rPr>
          <w:rFonts w:asciiTheme="majorHAnsi" w:hAnsiTheme="majorHAnsi" w:cstheme="majorHAnsi"/>
        </w:rPr>
        <w:t xml:space="preserve">Slika 1: </w:t>
      </w:r>
      <w:r w:rsidR="00F7414F" w:rsidRPr="00720FF1">
        <w:rPr>
          <w:rFonts w:asciiTheme="majorHAnsi" w:hAnsiTheme="majorHAnsi" w:cstheme="majorHAnsi"/>
        </w:rPr>
        <w:t>Predlog tehnološko-razvojnega programa za energetsko intenzivno industrijo</w:t>
      </w:r>
    </w:p>
    <w:p w14:paraId="081C2730" w14:textId="57981C7D" w:rsidR="00D14044" w:rsidRPr="00720FF1" w:rsidRDefault="00D14044" w:rsidP="00D14044">
      <w:pPr>
        <w:rPr>
          <w:rFonts w:asciiTheme="majorHAnsi" w:hAnsiTheme="majorHAnsi" w:cstheme="majorHAnsi"/>
        </w:rPr>
      </w:pPr>
      <w:r w:rsidRPr="00720FF1">
        <w:rPr>
          <w:rFonts w:asciiTheme="majorHAnsi" w:hAnsiTheme="majorHAnsi" w:cstheme="majorHAnsi"/>
          <w:noProof/>
          <w:lang w:eastAsia="sl-SI"/>
        </w:rPr>
        <w:drawing>
          <wp:inline distT="0" distB="0" distL="0" distR="0" wp14:anchorId="363F82D3" wp14:editId="33FD3A41">
            <wp:extent cx="5760720" cy="2497455"/>
            <wp:effectExtent l="0" t="0" r="0" b="0"/>
            <wp:docPr id="1" name="Slika 1" descr="Predlog tehnološko - razvojnega programa za energetsko intenzivno industr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redlog tehnološko - razvojnega programa za energetsko intenzivno industrijo"/>
                    <pic:cNvPicPr/>
                  </pic:nvPicPr>
                  <pic:blipFill>
                    <a:blip r:embed="rId10"/>
                    <a:stretch>
                      <a:fillRect/>
                    </a:stretch>
                  </pic:blipFill>
                  <pic:spPr>
                    <a:xfrm>
                      <a:off x="0" y="0"/>
                      <a:ext cx="5760720" cy="2497455"/>
                    </a:xfrm>
                    <a:prstGeom prst="rect">
                      <a:avLst/>
                    </a:prstGeom>
                  </pic:spPr>
                </pic:pic>
              </a:graphicData>
            </a:graphic>
          </wp:inline>
        </w:drawing>
      </w:r>
    </w:p>
    <w:p w14:paraId="20B6ADD9" w14:textId="77419E75" w:rsidR="0006220A" w:rsidRPr="00720FF1" w:rsidRDefault="0006220A" w:rsidP="0006220A">
      <w:pPr>
        <w:rPr>
          <w:rFonts w:asciiTheme="majorHAnsi" w:hAnsiTheme="majorHAnsi" w:cstheme="majorHAnsi"/>
          <w:sz w:val="18"/>
          <w:szCs w:val="18"/>
        </w:rPr>
      </w:pPr>
      <w:r w:rsidRPr="00720FF1">
        <w:rPr>
          <w:rFonts w:asciiTheme="majorHAnsi" w:hAnsiTheme="majorHAnsi" w:cstheme="majorHAnsi"/>
          <w:sz w:val="18"/>
          <w:szCs w:val="18"/>
        </w:rPr>
        <w:t>Vir: SRIP K</w:t>
      </w:r>
      <w:r w:rsidR="00805AD7">
        <w:rPr>
          <w:rFonts w:asciiTheme="majorHAnsi" w:hAnsiTheme="majorHAnsi" w:cstheme="majorHAnsi"/>
          <w:sz w:val="18"/>
          <w:szCs w:val="18"/>
        </w:rPr>
        <w:t>rožno gospodarstvo</w:t>
      </w:r>
      <w:r w:rsidR="009E20FB">
        <w:rPr>
          <w:rFonts w:asciiTheme="majorHAnsi" w:hAnsiTheme="majorHAnsi" w:cstheme="majorHAnsi"/>
          <w:sz w:val="18"/>
          <w:szCs w:val="18"/>
        </w:rPr>
        <w:t>.</w:t>
      </w:r>
    </w:p>
    <w:p w14:paraId="52D44029" w14:textId="4869BF59" w:rsidR="0006220A" w:rsidRPr="00720FF1" w:rsidRDefault="0006220A" w:rsidP="0006220A">
      <w:pPr>
        <w:jc w:val="both"/>
        <w:rPr>
          <w:rFonts w:asciiTheme="majorHAnsi" w:hAnsiTheme="majorHAnsi" w:cstheme="majorHAnsi"/>
        </w:rPr>
      </w:pPr>
      <w:r w:rsidRPr="00720FF1">
        <w:rPr>
          <w:rFonts w:asciiTheme="majorHAnsi" w:hAnsiTheme="majorHAnsi" w:cstheme="majorHAnsi"/>
        </w:rPr>
        <w:t>Gospodarstvo, predvsem industrijo, je treba podpreti pri zelenem prehodu, katerega ključni vidik je</w:t>
      </w:r>
      <w:r w:rsidR="009E20FB">
        <w:rPr>
          <w:rFonts w:asciiTheme="majorHAnsi" w:hAnsiTheme="majorHAnsi" w:cstheme="majorHAnsi"/>
        </w:rPr>
        <w:t>,</w:t>
      </w:r>
      <w:r w:rsidRPr="00720FF1">
        <w:rPr>
          <w:rFonts w:asciiTheme="majorHAnsi" w:hAnsiTheme="majorHAnsi" w:cstheme="majorHAnsi"/>
        </w:rPr>
        <w:t xml:space="preserve"> kot že </w:t>
      </w:r>
      <w:r w:rsidR="009E20FB">
        <w:rPr>
          <w:rFonts w:asciiTheme="majorHAnsi" w:hAnsiTheme="majorHAnsi" w:cstheme="majorHAnsi"/>
        </w:rPr>
        <w:t>opozorjeno</w:t>
      </w:r>
      <w:r w:rsidR="009E20FB" w:rsidRPr="00720FF1">
        <w:rPr>
          <w:rFonts w:asciiTheme="majorHAnsi" w:hAnsiTheme="majorHAnsi" w:cstheme="majorHAnsi"/>
        </w:rPr>
        <w:t xml:space="preserve"> </w:t>
      </w:r>
      <w:r w:rsidR="009E20FB">
        <w:rPr>
          <w:rFonts w:asciiTheme="majorHAnsi" w:hAnsiTheme="majorHAnsi" w:cstheme="majorHAnsi"/>
        </w:rPr>
        <w:t xml:space="preserve">pri </w:t>
      </w:r>
      <w:r w:rsidRPr="00720FF1">
        <w:rPr>
          <w:rFonts w:asciiTheme="majorHAnsi" w:hAnsiTheme="majorHAnsi" w:cstheme="majorHAnsi"/>
        </w:rPr>
        <w:t>URE, digitalizacij</w:t>
      </w:r>
      <w:r w:rsidR="009E20FB">
        <w:rPr>
          <w:rFonts w:asciiTheme="majorHAnsi" w:hAnsiTheme="majorHAnsi" w:cstheme="majorHAnsi"/>
        </w:rPr>
        <w:t>a</w:t>
      </w:r>
      <w:r w:rsidRPr="00720FF1">
        <w:rPr>
          <w:rFonts w:asciiTheme="majorHAnsi" w:hAnsiTheme="majorHAnsi" w:cstheme="majorHAnsi"/>
        </w:rPr>
        <w:t xml:space="preserve"> tako na ravni podjetij kot na ravni upravnih organov, ki bdijo nad tem področjem (npr. Agencij</w:t>
      </w:r>
      <w:r w:rsidR="00805AD7">
        <w:rPr>
          <w:rFonts w:asciiTheme="majorHAnsi" w:hAnsiTheme="majorHAnsi" w:cstheme="majorHAnsi"/>
        </w:rPr>
        <w:t>a</w:t>
      </w:r>
      <w:r w:rsidRPr="00720FF1">
        <w:rPr>
          <w:rFonts w:asciiTheme="majorHAnsi" w:hAnsiTheme="majorHAnsi" w:cstheme="majorHAnsi"/>
        </w:rPr>
        <w:t xml:space="preserve"> </w:t>
      </w:r>
      <w:r w:rsidR="009E20FB">
        <w:rPr>
          <w:rFonts w:asciiTheme="majorHAnsi" w:hAnsiTheme="majorHAnsi" w:cstheme="majorHAnsi"/>
        </w:rPr>
        <w:t xml:space="preserve">Republike Slovenije </w:t>
      </w:r>
      <w:r w:rsidRPr="00720FF1">
        <w:rPr>
          <w:rFonts w:asciiTheme="majorHAnsi" w:hAnsiTheme="majorHAnsi" w:cstheme="majorHAnsi"/>
        </w:rPr>
        <w:t xml:space="preserve">za energijo).  </w:t>
      </w:r>
    </w:p>
    <w:p w14:paraId="61CD48CB" w14:textId="77777777" w:rsidR="006C2FD5" w:rsidRPr="00720FF1" w:rsidRDefault="006C2FD5">
      <w:pPr>
        <w:rPr>
          <w:rFonts w:asciiTheme="majorHAnsi" w:eastAsiaTheme="majorEastAsia" w:hAnsiTheme="majorHAnsi" w:cstheme="majorHAnsi"/>
          <w:color w:val="2F5496" w:themeColor="accent1" w:themeShade="BF"/>
          <w:sz w:val="32"/>
          <w:szCs w:val="32"/>
        </w:rPr>
      </w:pPr>
      <w:r w:rsidRPr="00720FF1">
        <w:rPr>
          <w:rFonts w:asciiTheme="majorHAnsi" w:hAnsiTheme="majorHAnsi" w:cstheme="majorHAnsi"/>
        </w:rPr>
        <w:br w:type="page"/>
      </w:r>
    </w:p>
    <w:p w14:paraId="478E0BB8" w14:textId="31F1C8A6" w:rsidR="003F7A11" w:rsidRPr="00720FF1" w:rsidRDefault="003F7A11" w:rsidP="003F7A11">
      <w:pPr>
        <w:pStyle w:val="Naslov1"/>
        <w:numPr>
          <w:ilvl w:val="0"/>
          <w:numId w:val="2"/>
        </w:numPr>
        <w:ind w:left="426" w:hanging="284"/>
        <w:rPr>
          <w:rFonts w:cstheme="majorHAnsi"/>
        </w:rPr>
      </w:pPr>
      <w:bookmarkStart w:id="3" w:name="_Toc184114160"/>
      <w:r w:rsidRPr="00720FF1">
        <w:rPr>
          <w:rFonts w:cstheme="majorHAnsi"/>
        </w:rPr>
        <w:lastRenderedPageBreak/>
        <w:t>Ukrepi</w:t>
      </w:r>
      <w:r w:rsidR="00AE2951" w:rsidRPr="00720FF1">
        <w:rPr>
          <w:rFonts w:cstheme="majorHAnsi"/>
        </w:rPr>
        <w:t xml:space="preserve"> za URE v gospodarstvu</w:t>
      </w:r>
      <w:bookmarkEnd w:id="3"/>
    </w:p>
    <w:p w14:paraId="2ACF4431" w14:textId="083E3D10" w:rsidR="003F7A11" w:rsidRPr="00720FF1" w:rsidRDefault="003F7A11" w:rsidP="003F7A11">
      <w:pPr>
        <w:rPr>
          <w:rFonts w:asciiTheme="majorHAnsi" w:hAnsiTheme="majorHAnsi" w:cstheme="majorHAnsi"/>
        </w:rPr>
      </w:pPr>
    </w:p>
    <w:p w14:paraId="04F8B29D" w14:textId="72308003" w:rsidR="00837BDF" w:rsidRPr="00720FF1" w:rsidRDefault="00837BDF" w:rsidP="00837BDF">
      <w:pPr>
        <w:jc w:val="both"/>
        <w:rPr>
          <w:rFonts w:asciiTheme="majorHAnsi" w:hAnsiTheme="majorHAnsi" w:cstheme="majorHAnsi"/>
        </w:rPr>
      </w:pPr>
      <w:r w:rsidRPr="00720FF1">
        <w:rPr>
          <w:rFonts w:asciiTheme="majorHAnsi" w:hAnsiTheme="majorHAnsi" w:cstheme="majorHAnsi"/>
        </w:rPr>
        <w:t xml:space="preserve">V Evropski uniji velja načelo </w:t>
      </w:r>
      <w:r w:rsidR="009E20FB">
        <w:rPr>
          <w:rFonts w:asciiTheme="majorHAnsi" w:hAnsiTheme="majorHAnsi" w:cstheme="majorHAnsi"/>
        </w:rPr>
        <w:t>»</w:t>
      </w:r>
      <w:r w:rsidRPr="00720FF1">
        <w:rPr>
          <w:rFonts w:asciiTheme="majorHAnsi" w:hAnsiTheme="majorHAnsi" w:cstheme="majorHAnsi"/>
          <w:i/>
          <w:iCs/>
        </w:rPr>
        <w:t>energetska učinkovitost na prvem mestu</w:t>
      </w:r>
      <w:r w:rsidR="009E20FB">
        <w:rPr>
          <w:rFonts w:asciiTheme="majorHAnsi" w:hAnsiTheme="majorHAnsi" w:cstheme="majorHAnsi"/>
          <w:i/>
          <w:iCs/>
        </w:rPr>
        <w:t>«</w:t>
      </w:r>
      <w:r w:rsidRPr="00720FF1">
        <w:rPr>
          <w:rFonts w:asciiTheme="majorHAnsi" w:hAnsiTheme="majorHAnsi" w:cstheme="majorHAnsi"/>
        </w:rPr>
        <w:t>, kar pomeni čim večje upoštevanje stroškovno učinkovitih ukrepov za energetsko učinkovitost pri energetskem načrtovanju ter pri odločitvah o politikah in naložbah, da bi povpraševanje po energiji in dobava energije postal</w:t>
      </w:r>
      <w:r w:rsidR="009E20FB">
        <w:rPr>
          <w:rFonts w:asciiTheme="majorHAnsi" w:hAnsiTheme="majorHAnsi" w:cstheme="majorHAnsi"/>
        </w:rPr>
        <w:t>a</w:t>
      </w:r>
      <w:r w:rsidRPr="00720FF1">
        <w:rPr>
          <w:rFonts w:asciiTheme="majorHAnsi" w:hAnsiTheme="majorHAnsi" w:cstheme="majorHAnsi"/>
        </w:rPr>
        <w:t xml:space="preserve"> učinkovitejš</w:t>
      </w:r>
      <w:r w:rsidR="009E20FB">
        <w:rPr>
          <w:rFonts w:asciiTheme="majorHAnsi" w:hAnsiTheme="majorHAnsi" w:cstheme="majorHAnsi"/>
        </w:rPr>
        <w:t>a</w:t>
      </w:r>
      <w:r w:rsidRPr="00720FF1">
        <w:rPr>
          <w:rFonts w:asciiTheme="majorHAnsi" w:hAnsiTheme="majorHAnsi" w:cstheme="majorHAnsi"/>
        </w:rPr>
        <w:t>, zlasti s stroškovno učinkovitimi prihranki končne energije.</w:t>
      </w:r>
    </w:p>
    <w:p w14:paraId="1D5451F7" w14:textId="542C0C8C" w:rsidR="00453EF7" w:rsidRPr="00720FF1" w:rsidRDefault="007A4F39" w:rsidP="007A4F39">
      <w:pPr>
        <w:jc w:val="both"/>
        <w:rPr>
          <w:rFonts w:asciiTheme="majorHAnsi" w:hAnsiTheme="majorHAnsi" w:cstheme="majorHAnsi"/>
        </w:rPr>
      </w:pPr>
      <w:r w:rsidRPr="00720FF1">
        <w:rPr>
          <w:rFonts w:asciiTheme="majorHAnsi" w:hAnsiTheme="majorHAnsi" w:cstheme="majorHAnsi"/>
        </w:rPr>
        <w:t xml:space="preserve">Akcijski načrt za URE v gospodarstvu zajema ukrepe, ki se </w:t>
      </w:r>
      <w:r w:rsidR="009E20FB">
        <w:rPr>
          <w:rFonts w:asciiTheme="majorHAnsi" w:hAnsiTheme="majorHAnsi" w:cstheme="majorHAnsi"/>
        </w:rPr>
        <w:t>na prvem mestu</w:t>
      </w:r>
      <w:r w:rsidR="009E20FB" w:rsidRPr="00720FF1">
        <w:rPr>
          <w:rFonts w:asciiTheme="majorHAnsi" w:hAnsiTheme="majorHAnsi" w:cstheme="majorHAnsi"/>
        </w:rPr>
        <w:t xml:space="preserve"> </w:t>
      </w:r>
      <w:r w:rsidRPr="00720FF1">
        <w:rPr>
          <w:rFonts w:asciiTheme="majorHAnsi" w:hAnsiTheme="majorHAnsi" w:cstheme="majorHAnsi"/>
        </w:rPr>
        <w:t>nanašajo na učinkovito rabo energije v gospodarstvu.</w:t>
      </w:r>
      <w:r w:rsidR="00F7414F" w:rsidRPr="00720FF1">
        <w:rPr>
          <w:rFonts w:asciiTheme="majorHAnsi" w:hAnsiTheme="majorHAnsi" w:cstheme="majorHAnsi"/>
        </w:rPr>
        <w:t xml:space="preserve"> </w:t>
      </w:r>
      <w:r w:rsidR="002C3772" w:rsidRPr="00720FF1">
        <w:rPr>
          <w:rFonts w:asciiTheme="majorHAnsi" w:hAnsiTheme="majorHAnsi" w:cstheme="majorHAnsi"/>
        </w:rPr>
        <w:t>Cilj</w:t>
      </w:r>
      <w:r w:rsidR="00C97A02" w:rsidRPr="00720FF1">
        <w:rPr>
          <w:rFonts w:asciiTheme="majorHAnsi" w:hAnsiTheme="majorHAnsi" w:cstheme="majorHAnsi"/>
        </w:rPr>
        <w:t xml:space="preserve"> je </w:t>
      </w:r>
      <w:r w:rsidR="009E20FB">
        <w:rPr>
          <w:rFonts w:asciiTheme="majorHAnsi" w:hAnsiTheme="majorHAnsi" w:cstheme="majorHAnsi"/>
        </w:rPr>
        <w:t>obču</w:t>
      </w:r>
      <w:r w:rsidR="00C97A02" w:rsidRPr="00720FF1">
        <w:rPr>
          <w:rFonts w:asciiTheme="majorHAnsi" w:hAnsiTheme="majorHAnsi" w:cstheme="majorHAnsi"/>
        </w:rPr>
        <w:t>tno zmanjšati porabo energije, kar pomeni tudi zmanjšanje stroškov energij</w:t>
      </w:r>
      <w:r w:rsidR="009E20FB">
        <w:rPr>
          <w:rFonts w:asciiTheme="majorHAnsi" w:hAnsiTheme="majorHAnsi" w:cstheme="majorHAnsi"/>
        </w:rPr>
        <w:t>e</w:t>
      </w:r>
      <w:r w:rsidR="00C97A02" w:rsidRPr="00720FF1">
        <w:rPr>
          <w:rFonts w:asciiTheme="majorHAnsi" w:hAnsiTheme="majorHAnsi" w:cstheme="majorHAnsi"/>
        </w:rPr>
        <w:t xml:space="preserve">. </w:t>
      </w:r>
      <w:r w:rsidR="002C3772" w:rsidRPr="00720FF1">
        <w:rPr>
          <w:rFonts w:asciiTheme="majorHAnsi" w:hAnsiTheme="majorHAnsi" w:cstheme="majorHAnsi"/>
        </w:rPr>
        <w:t>P</w:t>
      </w:r>
      <w:r w:rsidR="009E20FB">
        <w:rPr>
          <w:rFonts w:asciiTheme="majorHAnsi" w:hAnsiTheme="majorHAnsi" w:cstheme="majorHAnsi"/>
        </w:rPr>
        <w:t>oleg tega</w:t>
      </w:r>
      <w:r w:rsidR="002C3772" w:rsidRPr="00720FF1">
        <w:rPr>
          <w:rFonts w:asciiTheme="majorHAnsi" w:hAnsiTheme="majorHAnsi" w:cstheme="majorHAnsi"/>
        </w:rPr>
        <w:t xml:space="preserve"> to</w:t>
      </w:r>
      <w:r w:rsidR="00C97A02" w:rsidRPr="00720FF1">
        <w:rPr>
          <w:rFonts w:asciiTheme="majorHAnsi" w:hAnsiTheme="majorHAnsi" w:cstheme="majorHAnsi"/>
        </w:rPr>
        <w:t xml:space="preserve"> prispeva k povečani zanesljivosti oskrbe z energijo, povečani konkurenčnosti gospodarstva</w:t>
      </w:r>
      <w:r w:rsidR="002C3772" w:rsidRPr="00720FF1">
        <w:rPr>
          <w:rFonts w:asciiTheme="majorHAnsi" w:hAnsiTheme="majorHAnsi" w:cstheme="majorHAnsi"/>
        </w:rPr>
        <w:t xml:space="preserve"> in prek investicij na tem področju tudi k</w:t>
      </w:r>
      <w:r w:rsidR="00C97A02" w:rsidRPr="00720FF1">
        <w:rPr>
          <w:rFonts w:asciiTheme="majorHAnsi" w:hAnsiTheme="majorHAnsi" w:cstheme="majorHAnsi"/>
        </w:rPr>
        <w:t xml:space="preserve"> novim delovnim mestom.</w:t>
      </w:r>
    </w:p>
    <w:p w14:paraId="55954C46" w14:textId="1D5B9E4B" w:rsidR="002C3772" w:rsidRDefault="002C3772" w:rsidP="002C3772">
      <w:pPr>
        <w:jc w:val="both"/>
        <w:rPr>
          <w:rFonts w:asciiTheme="majorHAnsi" w:hAnsiTheme="majorHAnsi" w:cstheme="majorHAnsi"/>
        </w:rPr>
      </w:pPr>
      <w:r w:rsidRPr="00720FF1">
        <w:rPr>
          <w:rFonts w:asciiTheme="majorHAnsi" w:hAnsiTheme="majorHAnsi" w:cstheme="majorHAnsi"/>
        </w:rPr>
        <w:t>Velik</w:t>
      </w:r>
      <w:r w:rsidR="009E20FB">
        <w:rPr>
          <w:rFonts w:asciiTheme="majorHAnsi" w:hAnsiTheme="majorHAnsi" w:cstheme="majorHAnsi"/>
        </w:rPr>
        <w:t>o možnosti</w:t>
      </w:r>
      <w:r w:rsidRPr="00720FF1">
        <w:rPr>
          <w:rFonts w:asciiTheme="majorHAnsi" w:hAnsiTheme="majorHAnsi" w:cstheme="majorHAnsi"/>
        </w:rPr>
        <w:t xml:space="preserve"> za učinkovito rabo energije je v industriji, npr. z uvajanjem energetsko učinkovite industrijske opreme, boljšim zagotavljanjem informacij za mala in srednje velika podjetja</w:t>
      </w:r>
      <w:r w:rsidR="0034671F">
        <w:rPr>
          <w:rFonts w:asciiTheme="majorHAnsi" w:hAnsiTheme="majorHAnsi" w:cstheme="majorHAnsi"/>
        </w:rPr>
        <w:t xml:space="preserve"> (v nadaljevanju: MSP)</w:t>
      </w:r>
      <w:r w:rsidRPr="00720FF1">
        <w:rPr>
          <w:rFonts w:asciiTheme="majorHAnsi" w:hAnsiTheme="majorHAnsi" w:cstheme="majorHAnsi"/>
        </w:rPr>
        <w:t xml:space="preserve"> ter </w:t>
      </w:r>
      <w:r w:rsidR="009E20FB">
        <w:rPr>
          <w:rFonts w:asciiTheme="majorHAnsi" w:hAnsiTheme="majorHAnsi" w:cstheme="majorHAnsi"/>
        </w:rPr>
        <w:t xml:space="preserve">z </w:t>
      </w:r>
      <w:r w:rsidRPr="00720FF1">
        <w:rPr>
          <w:rFonts w:asciiTheme="majorHAnsi" w:hAnsiTheme="majorHAnsi" w:cstheme="majorHAnsi"/>
        </w:rPr>
        <w:t xml:space="preserve">uvedbo sistemov za energetske preglede in upravljanje. </w:t>
      </w:r>
    </w:p>
    <w:p w14:paraId="5FB6D05D" w14:textId="7251F87C" w:rsidR="0081051F" w:rsidRDefault="00D5473E" w:rsidP="002C3772">
      <w:pPr>
        <w:jc w:val="both"/>
        <w:rPr>
          <w:rFonts w:asciiTheme="majorHAnsi" w:hAnsiTheme="majorHAnsi" w:cstheme="majorHAnsi"/>
        </w:rPr>
      </w:pPr>
      <w:r>
        <w:rPr>
          <w:rFonts w:asciiTheme="majorHAnsi" w:hAnsiTheme="majorHAnsi" w:cstheme="majorHAnsi"/>
        </w:rPr>
        <w:t>Akcijski načrt velja za ukrepe, ki se bodo izvajali od leta 2024 do leta 2030.</w:t>
      </w:r>
    </w:p>
    <w:p w14:paraId="38503A5F" w14:textId="77777777" w:rsidR="00D5473E" w:rsidRPr="00720FF1" w:rsidRDefault="00D5473E" w:rsidP="002C3772">
      <w:pPr>
        <w:jc w:val="both"/>
        <w:rPr>
          <w:rFonts w:asciiTheme="majorHAnsi" w:hAnsiTheme="majorHAnsi" w:cstheme="majorHAnsi"/>
        </w:rPr>
      </w:pPr>
    </w:p>
    <w:p w14:paraId="6C742BA9" w14:textId="56BDF6A5" w:rsidR="00AE2951" w:rsidRPr="00720FF1" w:rsidRDefault="00AE2951" w:rsidP="00AE2951">
      <w:pPr>
        <w:pStyle w:val="Naslov2"/>
        <w:numPr>
          <w:ilvl w:val="0"/>
          <w:numId w:val="4"/>
        </w:numPr>
        <w:ind w:left="426"/>
        <w:rPr>
          <w:rFonts w:cstheme="majorHAnsi"/>
        </w:rPr>
      </w:pPr>
      <w:bookmarkStart w:id="4" w:name="_Toc184114161"/>
      <w:r w:rsidRPr="00720FF1">
        <w:rPr>
          <w:rFonts w:cstheme="majorHAnsi"/>
        </w:rPr>
        <w:t xml:space="preserve">Digitalizacija </w:t>
      </w:r>
      <w:r w:rsidRPr="00720FF1">
        <w:rPr>
          <w:rFonts w:cstheme="majorHAnsi"/>
          <w:color w:val="2F5496"/>
        </w:rPr>
        <w:t>energetskih</w:t>
      </w:r>
      <w:r w:rsidRPr="00720FF1">
        <w:rPr>
          <w:rFonts w:cstheme="majorHAnsi"/>
        </w:rPr>
        <w:t xml:space="preserve"> pregledov</w:t>
      </w:r>
      <w:bookmarkEnd w:id="4"/>
    </w:p>
    <w:p w14:paraId="09EC66C3" w14:textId="77777777" w:rsidR="00453EF7" w:rsidRPr="00720FF1" w:rsidRDefault="00453EF7" w:rsidP="00AE2951">
      <w:pPr>
        <w:jc w:val="both"/>
        <w:rPr>
          <w:rFonts w:asciiTheme="majorHAnsi" w:hAnsiTheme="majorHAnsi" w:cstheme="majorHAnsi"/>
        </w:rPr>
      </w:pPr>
    </w:p>
    <w:p w14:paraId="7B02A978" w14:textId="7ED7155A" w:rsidR="00F7414F" w:rsidRPr="00720FF1" w:rsidRDefault="00F7414F" w:rsidP="00AE2951">
      <w:pPr>
        <w:jc w:val="both"/>
        <w:rPr>
          <w:rFonts w:asciiTheme="majorHAnsi" w:hAnsiTheme="majorHAnsi" w:cstheme="majorHAnsi"/>
        </w:rPr>
      </w:pPr>
      <w:r w:rsidRPr="00720FF1">
        <w:rPr>
          <w:rFonts w:asciiTheme="majorHAnsi" w:hAnsiTheme="majorHAnsi" w:cstheme="majorHAnsi"/>
        </w:rPr>
        <w:t xml:space="preserve">Ukrep bo omogočil uvedbo digitaliziranega načina </w:t>
      </w:r>
      <w:r w:rsidR="00F47B64">
        <w:rPr>
          <w:rFonts w:asciiTheme="majorHAnsi" w:hAnsiTheme="majorHAnsi" w:cstheme="majorHAnsi"/>
        </w:rPr>
        <w:t>s</w:t>
      </w:r>
      <w:r w:rsidRPr="00720FF1">
        <w:rPr>
          <w:rFonts w:asciiTheme="majorHAnsi" w:hAnsiTheme="majorHAnsi" w:cstheme="majorHAnsi"/>
        </w:rPr>
        <w:t xml:space="preserve">poročanja podatkov o energetskih pregledih podjetij ter spremljanje </w:t>
      </w:r>
      <w:r w:rsidR="00F47B64">
        <w:rPr>
          <w:rFonts w:asciiTheme="majorHAnsi" w:hAnsiTheme="majorHAnsi" w:cstheme="majorHAnsi"/>
        </w:rPr>
        <w:t>mož</w:t>
      </w:r>
      <w:r w:rsidRPr="00720FF1">
        <w:rPr>
          <w:rFonts w:asciiTheme="majorHAnsi" w:hAnsiTheme="majorHAnsi" w:cstheme="majorHAnsi"/>
        </w:rPr>
        <w:t>nih in doseženih prihrankov energije. Digitaliziran</w:t>
      </w:r>
      <w:r w:rsidR="00F47B64">
        <w:rPr>
          <w:rFonts w:asciiTheme="majorHAnsi" w:hAnsiTheme="majorHAnsi" w:cstheme="majorHAnsi"/>
        </w:rPr>
        <w:t>i</w:t>
      </w:r>
      <w:r w:rsidRPr="00720FF1">
        <w:rPr>
          <w:rFonts w:asciiTheme="majorHAnsi" w:hAnsiTheme="majorHAnsi" w:cstheme="majorHAnsi"/>
        </w:rPr>
        <w:t xml:space="preserve"> način poročanja bodo uporabljala </w:t>
      </w:r>
      <w:r w:rsidRPr="009803D0">
        <w:rPr>
          <w:rFonts w:asciiTheme="majorHAnsi" w:hAnsiTheme="majorHAnsi" w:cstheme="majorHAnsi"/>
        </w:rPr>
        <w:t xml:space="preserve">podjetja, zavezana izvajanju energetskih pregledov po Zakonu o </w:t>
      </w:r>
      <w:r w:rsidR="00162FE7" w:rsidRPr="009803D0">
        <w:rPr>
          <w:rFonts w:asciiTheme="majorHAnsi" w:hAnsiTheme="majorHAnsi" w:cstheme="majorHAnsi"/>
        </w:rPr>
        <w:t>učinkoviti rabi energije</w:t>
      </w:r>
      <w:r w:rsidR="00A25F1F" w:rsidRPr="009803D0">
        <w:rPr>
          <w:rFonts w:asciiTheme="majorHAnsi" w:hAnsiTheme="majorHAnsi" w:cstheme="majorHAnsi"/>
        </w:rPr>
        <w:t xml:space="preserve">. Kasneje </w:t>
      </w:r>
      <w:r w:rsidR="009803D0" w:rsidRPr="009803D0">
        <w:rPr>
          <w:rFonts w:asciiTheme="majorHAnsi" w:hAnsiTheme="majorHAnsi" w:cstheme="majorHAnsi"/>
        </w:rPr>
        <w:t xml:space="preserve">se bo zahteva za digitalizirano poročanje podjetij o izvedbi energetskih pregledov širila, kot je navedeno </w:t>
      </w:r>
      <w:r w:rsidR="001A33DE">
        <w:rPr>
          <w:rFonts w:asciiTheme="majorHAnsi" w:hAnsiTheme="majorHAnsi" w:cstheme="majorHAnsi"/>
        </w:rPr>
        <w:t>v nadaljevanju</w:t>
      </w:r>
      <w:r w:rsidRPr="009803D0">
        <w:rPr>
          <w:rFonts w:asciiTheme="majorHAnsi" w:hAnsiTheme="majorHAnsi" w:cstheme="majorHAnsi"/>
        </w:rPr>
        <w:t>.</w:t>
      </w:r>
    </w:p>
    <w:p w14:paraId="3F8995AB" w14:textId="62C871DA" w:rsidR="00AE2951" w:rsidRPr="00720FF1" w:rsidRDefault="00AE2951" w:rsidP="00AE2951">
      <w:pPr>
        <w:jc w:val="both"/>
        <w:rPr>
          <w:rFonts w:asciiTheme="majorHAnsi" w:hAnsiTheme="majorHAnsi" w:cstheme="majorHAnsi"/>
        </w:rPr>
      </w:pPr>
      <w:r w:rsidRPr="00720FF1">
        <w:rPr>
          <w:rFonts w:asciiTheme="majorHAnsi" w:hAnsiTheme="majorHAnsi" w:cstheme="majorHAnsi"/>
        </w:rPr>
        <w:t>V okviru tega ukrepa se določa</w:t>
      </w:r>
      <w:r w:rsidR="00F47B64">
        <w:rPr>
          <w:rFonts w:asciiTheme="majorHAnsi" w:hAnsiTheme="majorHAnsi" w:cstheme="majorHAnsi"/>
        </w:rPr>
        <w:t>jo</w:t>
      </w:r>
      <w:r w:rsidRPr="00720FF1">
        <w:rPr>
          <w:rFonts w:asciiTheme="majorHAnsi" w:hAnsiTheme="majorHAnsi" w:cstheme="majorHAnsi"/>
        </w:rPr>
        <w:t>:</w:t>
      </w:r>
    </w:p>
    <w:p w14:paraId="1F024CF2" w14:textId="6D94BD2B" w:rsidR="00AE2951" w:rsidRPr="00720FF1" w:rsidRDefault="00AE2951" w:rsidP="00AE2951">
      <w:pPr>
        <w:pStyle w:val="Odstavekseznama"/>
        <w:numPr>
          <w:ilvl w:val="0"/>
          <w:numId w:val="8"/>
        </w:numPr>
        <w:jc w:val="both"/>
        <w:rPr>
          <w:rFonts w:asciiTheme="majorHAnsi" w:hAnsiTheme="majorHAnsi" w:cstheme="majorHAnsi"/>
        </w:rPr>
      </w:pPr>
      <w:r w:rsidRPr="00720FF1">
        <w:rPr>
          <w:rFonts w:asciiTheme="majorHAnsi" w:hAnsiTheme="majorHAnsi" w:cstheme="majorHAnsi"/>
        </w:rPr>
        <w:t xml:space="preserve">uvedba digitaliziranega načina poročanja podjetij o izvedbi energetskih pregledov, </w:t>
      </w:r>
    </w:p>
    <w:p w14:paraId="022DF5D6" w14:textId="30F7BAF4" w:rsidR="00AE2951" w:rsidRPr="00720FF1" w:rsidRDefault="00AE2951" w:rsidP="00AE2951">
      <w:pPr>
        <w:pStyle w:val="Odstavekseznama"/>
        <w:numPr>
          <w:ilvl w:val="0"/>
          <w:numId w:val="8"/>
        </w:numPr>
        <w:jc w:val="both"/>
        <w:rPr>
          <w:rFonts w:asciiTheme="majorHAnsi" w:hAnsiTheme="majorHAnsi" w:cstheme="majorHAnsi"/>
        </w:rPr>
      </w:pPr>
      <w:r w:rsidRPr="00720FF1">
        <w:rPr>
          <w:rFonts w:asciiTheme="majorHAnsi" w:hAnsiTheme="majorHAnsi" w:cstheme="majorHAnsi"/>
        </w:rPr>
        <w:t xml:space="preserve">digitalizacija spremljanja izvedbe energetskih pregledov, </w:t>
      </w:r>
    </w:p>
    <w:p w14:paraId="68466A14" w14:textId="0D64B373" w:rsidR="00AE2951" w:rsidRPr="00720FF1" w:rsidRDefault="00DD23FD" w:rsidP="00AE2951">
      <w:pPr>
        <w:pStyle w:val="Odstavekseznama"/>
        <w:numPr>
          <w:ilvl w:val="0"/>
          <w:numId w:val="8"/>
        </w:numPr>
        <w:jc w:val="both"/>
        <w:rPr>
          <w:rFonts w:asciiTheme="majorHAnsi" w:hAnsiTheme="majorHAnsi" w:cstheme="majorHAnsi"/>
        </w:rPr>
      </w:pPr>
      <w:r>
        <w:rPr>
          <w:rFonts w:asciiTheme="majorHAnsi" w:hAnsiTheme="majorHAnsi" w:cstheme="majorHAnsi"/>
        </w:rPr>
        <w:t>spremljanje</w:t>
      </w:r>
      <w:r w:rsidR="00AE2951" w:rsidRPr="00720FF1">
        <w:rPr>
          <w:rFonts w:asciiTheme="majorHAnsi" w:hAnsiTheme="majorHAnsi" w:cstheme="majorHAnsi"/>
        </w:rPr>
        <w:t xml:space="preserve"> priporočenih</w:t>
      </w:r>
      <w:r>
        <w:rPr>
          <w:rFonts w:asciiTheme="majorHAnsi" w:hAnsiTheme="majorHAnsi" w:cstheme="majorHAnsi"/>
        </w:rPr>
        <w:t xml:space="preserve"> in izv</w:t>
      </w:r>
      <w:r w:rsidR="00D0581A">
        <w:rPr>
          <w:rFonts w:asciiTheme="majorHAnsi" w:hAnsiTheme="majorHAnsi" w:cstheme="majorHAnsi"/>
        </w:rPr>
        <w:t>e</w:t>
      </w:r>
      <w:r>
        <w:rPr>
          <w:rFonts w:asciiTheme="majorHAnsi" w:hAnsiTheme="majorHAnsi" w:cstheme="majorHAnsi"/>
        </w:rPr>
        <w:t>denih</w:t>
      </w:r>
      <w:r w:rsidR="00AE2951" w:rsidRPr="00720FF1">
        <w:rPr>
          <w:rFonts w:asciiTheme="majorHAnsi" w:hAnsiTheme="majorHAnsi" w:cstheme="majorHAnsi"/>
        </w:rPr>
        <w:t xml:space="preserve"> ukrepov iz energetskih pregledov </w:t>
      </w:r>
      <w:r w:rsidR="00F47B64">
        <w:rPr>
          <w:rFonts w:asciiTheme="majorHAnsi" w:hAnsiTheme="majorHAnsi" w:cstheme="majorHAnsi"/>
        </w:rPr>
        <w:t>ter</w:t>
      </w:r>
      <w:r w:rsidR="00F47B64" w:rsidRPr="00720FF1">
        <w:rPr>
          <w:rFonts w:asciiTheme="majorHAnsi" w:hAnsiTheme="majorHAnsi" w:cstheme="majorHAnsi"/>
        </w:rPr>
        <w:t xml:space="preserve"> </w:t>
      </w:r>
      <w:r w:rsidR="00AE2951" w:rsidRPr="00720FF1">
        <w:rPr>
          <w:rFonts w:asciiTheme="majorHAnsi" w:hAnsiTheme="majorHAnsi" w:cstheme="majorHAnsi"/>
        </w:rPr>
        <w:t xml:space="preserve">s tem tudi spremljanje </w:t>
      </w:r>
      <w:r w:rsidR="00F47B64">
        <w:rPr>
          <w:rFonts w:asciiTheme="majorHAnsi" w:hAnsiTheme="majorHAnsi" w:cstheme="majorHAnsi"/>
        </w:rPr>
        <w:t>mož</w:t>
      </w:r>
      <w:r w:rsidR="00AE2951" w:rsidRPr="00720FF1">
        <w:rPr>
          <w:rFonts w:asciiTheme="majorHAnsi" w:hAnsiTheme="majorHAnsi" w:cstheme="majorHAnsi"/>
        </w:rPr>
        <w:t xml:space="preserve">nih </w:t>
      </w:r>
      <w:r w:rsidR="00F47B64">
        <w:rPr>
          <w:rFonts w:asciiTheme="majorHAnsi" w:hAnsiTheme="majorHAnsi" w:cstheme="majorHAnsi"/>
        </w:rPr>
        <w:t>in</w:t>
      </w:r>
      <w:r w:rsidR="00AE2951" w:rsidRPr="00720FF1">
        <w:rPr>
          <w:rFonts w:asciiTheme="majorHAnsi" w:hAnsiTheme="majorHAnsi" w:cstheme="majorHAnsi"/>
        </w:rPr>
        <w:t xml:space="preserve"> doseženih prihrankov energije. </w:t>
      </w:r>
    </w:p>
    <w:p w14:paraId="70607447" w14:textId="6B0165AE" w:rsidR="00AE2951" w:rsidRPr="00720FF1" w:rsidRDefault="00BF2656" w:rsidP="00141F2C">
      <w:pPr>
        <w:jc w:val="both"/>
        <w:rPr>
          <w:rFonts w:asciiTheme="majorHAnsi" w:hAnsiTheme="majorHAnsi" w:cstheme="majorHAnsi"/>
        </w:rPr>
      </w:pPr>
      <w:r>
        <w:rPr>
          <w:rFonts w:asciiTheme="majorHAnsi" w:hAnsiTheme="majorHAnsi" w:cstheme="majorHAnsi"/>
        </w:rPr>
        <w:t xml:space="preserve">V okviru prenovljenega </w:t>
      </w:r>
      <w:r w:rsidR="00F47B64">
        <w:rPr>
          <w:rFonts w:asciiTheme="majorHAnsi" w:hAnsiTheme="majorHAnsi" w:cstheme="majorHAnsi"/>
        </w:rPr>
        <w:t>n</w:t>
      </w:r>
      <w:r>
        <w:rPr>
          <w:rFonts w:asciiTheme="majorHAnsi" w:hAnsiTheme="majorHAnsi" w:cstheme="majorHAnsi"/>
        </w:rPr>
        <w:t>acionalnega načrta za okrevanje in odpornost (mejniki in cilji) je določeno, da akcijski načrt predvidi, da u</w:t>
      </w:r>
      <w:r w:rsidR="00141F2C" w:rsidRPr="00141F2C">
        <w:rPr>
          <w:rFonts w:asciiTheme="majorHAnsi" w:hAnsiTheme="majorHAnsi" w:cstheme="majorHAnsi"/>
        </w:rPr>
        <w:t>strezne institucije vključijo zahtevo za poročanje in izvajanje energetskih pregledov za podjetja, ki prejemajo podporo za izboljšanje energetske</w:t>
      </w:r>
      <w:r>
        <w:rPr>
          <w:rFonts w:asciiTheme="majorHAnsi" w:hAnsiTheme="majorHAnsi" w:cstheme="majorHAnsi"/>
        </w:rPr>
        <w:t xml:space="preserve"> učinkovitosti</w:t>
      </w:r>
      <w:r w:rsidR="00141F2C">
        <w:rPr>
          <w:rFonts w:asciiTheme="majorHAnsi" w:hAnsiTheme="majorHAnsi" w:cstheme="majorHAnsi"/>
        </w:rPr>
        <w:t xml:space="preserve">. </w:t>
      </w:r>
      <w:r w:rsidR="00A25F1F">
        <w:rPr>
          <w:rFonts w:asciiTheme="majorHAnsi" w:hAnsiTheme="majorHAnsi" w:cstheme="majorHAnsi"/>
        </w:rPr>
        <w:t>Pri javnih razpisih</w:t>
      </w:r>
      <w:r w:rsidR="00F47B64">
        <w:rPr>
          <w:rFonts w:asciiTheme="majorHAnsi" w:hAnsiTheme="majorHAnsi" w:cstheme="majorHAnsi"/>
        </w:rPr>
        <w:t>,</w:t>
      </w:r>
      <w:r w:rsidR="00A25F1F">
        <w:rPr>
          <w:rFonts w:asciiTheme="majorHAnsi" w:hAnsiTheme="majorHAnsi" w:cstheme="majorHAnsi"/>
        </w:rPr>
        <w:t xml:space="preserve"> namenjenih podjetjem </w:t>
      </w:r>
      <w:r w:rsidR="00141F2C">
        <w:rPr>
          <w:rFonts w:asciiTheme="majorHAnsi" w:hAnsiTheme="majorHAnsi" w:cstheme="majorHAnsi"/>
        </w:rPr>
        <w:t xml:space="preserve">za </w:t>
      </w:r>
      <w:r w:rsidR="00A25F1F">
        <w:rPr>
          <w:rFonts w:asciiTheme="majorHAnsi" w:hAnsiTheme="majorHAnsi" w:cstheme="majorHAnsi"/>
        </w:rPr>
        <w:t>podpor</w:t>
      </w:r>
      <w:r w:rsidR="00141F2C">
        <w:rPr>
          <w:rFonts w:asciiTheme="majorHAnsi" w:hAnsiTheme="majorHAnsi" w:cstheme="majorHAnsi"/>
        </w:rPr>
        <w:t>o</w:t>
      </w:r>
      <w:r w:rsidR="00A25F1F">
        <w:rPr>
          <w:rFonts w:asciiTheme="majorHAnsi" w:hAnsiTheme="majorHAnsi" w:cstheme="majorHAnsi"/>
        </w:rPr>
        <w:t xml:space="preserve"> izboljšanj</w:t>
      </w:r>
      <w:r w:rsidR="00FA0954">
        <w:rPr>
          <w:rFonts w:asciiTheme="majorHAnsi" w:hAnsiTheme="majorHAnsi" w:cstheme="majorHAnsi"/>
        </w:rPr>
        <w:t>u</w:t>
      </w:r>
      <w:r w:rsidR="00A25F1F">
        <w:rPr>
          <w:rFonts w:asciiTheme="majorHAnsi" w:hAnsiTheme="majorHAnsi" w:cstheme="majorHAnsi"/>
        </w:rPr>
        <w:t xml:space="preserve"> energetske učinkovitosti</w:t>
      </w:r>
      <w:r w:rsidR="00F47B64">
        <w:rPr>
          <w:rFonts w:asciiTheme="majorHAnsi" w:hAnsiTheme="majorHAnsi" w:cstheme="majorHAnsi"/>
        </w:rPr>
        <w:t>,</w:t>
      </w:r>
      <w:r w:rsidR="00A25F1F">
        <w:rPr>
          <w:rFonts w:asciiTheme="majorHAnsi" w:hAnsiTheme="majorHAnsi" w:cstheme="majorHAnsi"/>
        </w:rPr>
        <w:t xml:space="preserve"> mora</w:t>
      </w:r>
      <w:r w:rsidR="00F47B64">
        <w:rPr>
          <w:rFonts w:asciiTheme="majorHAnsi" w:hAnsiTheme="majorHAnsi" w:cstheme="majorHAnsi"/>
        </w:rPr>
        <w:t>jo</w:t>
      </w:r>
      <w:r>
        <w:rPr>
          <w:rFonts w:asciiTheme="majorHAnsi" w:hAnsiTheme="majorHAnsi" w:cstheme="majorHAnsi"/>
        </w:rPr>
        <w:t xml:space="preserve"> tako</w:t>
      </w:r>
      <w:r w:rsidR="00A25F1F">
        <w:rPr>
          <w:rFonts w:asciiTheme="majorHAnsi" w:hAnsiTheme="majorHAnsi" w:cstheme="majorHAnsi"/>
        </w:rPr>
        <w:t xml:space="preserve"> zahtev</w:t>
      </w:r>
      <w:r w:rsidR="00FA0954">
        <w:rPr>
          <w:rFonts w:asciiTheme="majorHAnsi" w:hAnsiTheme="majorHAnsi" w:cstheme="majorHAnsi"/>
        </w:rPr>
        <w:t>e</w:t>
      </w:r>
      <w:r w:rsidR="00A25F1F">
        <w:rPr>
          <w:rFonts w:asciiTheme="majorHAnsi" w:hAnsiTheme="majorHAnsi" w:cstheme="majorHAnsi"/>
        </w:rPr>
        <w:t xml:space="preserve"> </w:t>
      </w:r>
      <w:r w:rsidR="00F47B64">
        <w:rPr>
          <w:rFonts w:asciiTheme="majorHAnsi" w:hAnsiTheme="majorHAnsi" w:cstheme="majorHAnsi"/>
        </w:rPr>
        <w:t xml:space="preserve">vsebovati </w:t>
      </w:r>
      <w:r w:rsidR="00A25F1F">
        <w:rPr>
          <w:rFonts w:asciiTheme="majorHAnsi" w:hAnsiTheme="majorHAnsi" w:cstheme="majorHAnsi"/>
        </w:rPr>
        <w:t>tudi analiz</w:t>
      </w:r>
      <w:r w:rsidR="00F47B64">
        <w:rPr>
          <w:rFonts w:asciiTheme="majorHAnsi" w:hAnsiTheme="majorHAnsi" w:cstheme="majorHAnsi"/>
        </w:rPr>
        <w:t>o</w:t>
      </w:r>
      <w:r w:rsidR="00A25F1F">
        <w:rPr>
          <w:rFonts w:asciiTheme="majorHAnsi" w:hAnsiTheme="majorHAnsi" w:cstheme="majorHAnsi"/>
        </w:rPr>
        <w:t xml:space="preserve"> in </w:t>
      </w:r>
      <w:r w:rsidR="00F47B64">
        <w:rPr>
          <w:rFonts w:asciiTheme="majorHAnsi" w:hAnsiTheme="majorHAnsi" w:cstheme="majorHAnsi"/>
        </w:rPr>
        <w:t xml:space="preserve">opredelitev </w:t>
      </w:r>
      <w:r w:rsidR="00A25F1F">
        <w:rPr>
          <w:rFonts w:asciiTheme="majorHAnsi" w:hAnsiTheme="majorHAnsi" w:cstheme="majorHAnsi"/>
        </w:rPr>
        <w:t xml:space="preserve">ukrepov energetske </w:t>
      </w:r>
      <w:r w:rsidR="00141F2C">
        <w:rPr>
          <w:rFonts w:asciiTheme="majorHAnsi" w:hAnsiTheme="majorHAnsi" w:cstheme="majorHAnsi"/>
        </w:rPr>
        <w:t>učinkovitosti</w:t>
      </w:r>
      <w:r w:rsidR="00A25F1F">
        <w:rPr>
          <w:rFonts w:asciiTheme="majorHAnsi" w:hAnsiTheme="majorHAnsi" w:cstheme="majorHAnsi"/>
        </w:rPr>
        <w:t xml:space="preserve">, </w:t>
      </w:r>
      <w:r w:rsidR="00F47B64">
        <w:rPr>
          <w:rFonts w:asciiTheme="majorHAnsi" w:hAnsiTheme="majorHAnsi" w:cstheme="majorHAnsi"/>
        </w:rPr>
        <w:t>za katere</w:t>
      </w:r>
      <w:r w:rsidR="00A25F1F">
        <w:rPr>
          <w:rFonts w:asciiTheme="majorHAnsi" w:hAnsiTheme="majorHAnsi" w:cstheme="majorHAnsi"/>
        </w:rPr>
        <w:t xml:space="preserve"> podjetje</w:t>
      </w:r>
      <w:r w:rsidR="00F47B64" w:rsidRPr="00F47B64">
        <w:rPr>
          <w:rFonts w:asciiTheme="majorHAnsi" w:hAnsiTheme="majorHAnsi" w:cstheme="majorHAnsi"/>
        </w:rPr>
        <w:t xml:space="preserve"> </w:t>
      </w:r>
      <w:r w:rsidR="00F47B64">
        <w:rPr>
          <w:rFonts w:asciiTheme="majorHAnsi" w:hAnsiTheme="majorHAnsi" w:cstheme="majorHAnsi"/>
        </w:rPr>
        <w:t>želi doseči</w:t>
      </w:r>
      <w:r w:rsidR="00A25F1F">
        <w:rPr>
          <w:rFonts w:asciiTheme="majorHAnsi" w:hAnsiTheme="majorHAnsi" w:cstheme="majorHAnsi"/>
        </w:rPr>
        <w:t xml:space="preserve"> sofinancira</w:t>
      </w:r>
      <w:r w:rsidR="00F47B64">
        <w:rPr>
          <w:rFonts w:asciiTheme="majorHAnsi" w:hAnsiTheme="majorHAnsi" w:cstheme="majorHAnsi"/>
        </w:rPr>
        <w:t>nje</w:t>
      </w:r>
      <w:r w:rsidR="00A25F1F">
        <w:rPr>
          <w:rFonts w:asciiTheme="majorHAnsi" w:hAnsiTheme="majorHAnsi" w:cstheme="majorHAnsi"/>
        </w:rPr>
        <w:t>. Ta vsebina je običajno vsebina energetskih pregledov.</w:t>
      </w:r>
      <w:r w:rsidR="00C11558" w:rsidRPr="00C11558">
        <w:rPr>
          <w:rFonts w:asciiTheme="majorHAnsi" w:hAnsiTheme="majorHAnsi" w:cstheme="majorHAnsi"/>
        </w:rPr>
        <w:t xml:space="preserve"> </w:t>
      </w:r>
      <w:r w:rsidR="00A307B0">
        <w:rPr>
          <w:rFonts w:asciiTheme="majorHAnsi" w:hAnsiTheme="majorHAnsi" w:cstheme="majorHAnsi"/>
        </w:rPr>
        <w:t>V skladu s tem bodo pristojne institucije</w:t>
      </w:r>
      <w:r w:rsidR="00AE2951" w:rsidRPr="00720FF1">
        <w:rPr>
          <w:rFonts w:asciiTheme="majorHAnsi" w:hAnsiTheme="majorHAnsi" w:cstheme="majorHAnsi"/>
        </w:rPr>
        <w:t>, ki dodeljujejo javna sredstva za sofinanciranje projektov podjetij</w:t>
      </w:r>
      <w:r w:rsidR="00A307B0">
        <w:rPr>
          <w:rFonts w:asciiTheme="majorHAnsi" w:hAnsiTheme="majorHAnsi" w:cstheme="majorHAnsi"/>
        </w:rPr>
        <w:t xml:space="preserve"> </w:t>
      </w:r>
      <w:r w:rsidR="00AE2951" w:rsidRPr="00720FF1">
        <w:rPr>
          <w:rFonts w:asciiTheme="majorHAnsi" w:hAnsiTheme="majorHAnsi" w:cstheme="majorHAnsi"/>
        </w:rPr>
        <w:t xml:space="preserve">na področju učinkovite rabe energije, </w:t>
      </w:r>
      <w:r w:rsidR="00B7066B" w:rsidRPr="00B7066B">
        <w:rPr>
          <w:rFonts w:asciiTheme="majorHAnsi" w:hAnsiTheme="majorHAnsi" w:cstheme="majorHAnsi"/>
        </w:rPr>
        <w:t xml:space="preserve">v javne razpise </w:t>
      </w:r>
      <w:r w:rsidR="00A307B0">
        <w:rPr>
          <w:rFonts w:asciiTheme="majorHAnsi" w:hAnsiTheme="majorHAnsi" w:cstheme="majorHAnsi"/>
        </w:rPr>
        <w:t xml:space="preserve">kot pogoj </w:t>
      </w:r>
      <w:r w:rsidR="00B7066B" w:rsidRPr="00B7066B">
        <w:rPr>
          <w:rFonts w:asciiTheme="majorHAnsi" w:hAnsiTheme="majorHAnsi" w:cstheme="majorHAnsi"/>
        </w:rPr>
        <w:t>vključi</w:t>
      </w:r>
      <w:r w:rsidR="00A307B0">
        <w:rPr>
          <w:rFonts w:asciiTheme="majorHAnsi" w:hAnsiTheme="majorHAnsi" w:cstheme="majorHAnsi"/>
        </w:rPr>
        <w:t>le zahtevo po</w:t>
      </w:r>
      <w:r w:rsidR="00B7066B" w:rsidRPr="00B7066B">
        <w:rPr>
          <w:rFonts w:asciiTheme="majorHAnsi" w:hAnsiTheme="majorHAnsi" w:cstheme="majorHAnsi"/>
        </w:rPr>
        <w:t xml:space="preserve"> digitaliziran</w:t>
      </w:r>
      <w:r w:rsidR="00A307B0">
        <w:rPr>
          <w:rFonts w:asciiTheme="majorHAnsi" w:hAnsiTheme="majorHAnsi" w:cstheme="majorHAnsi"/>
        </w:rPr>
        <w:t>em</w:t>
      </w:r>
      <w:r w:rsidR="00B7066B" w:rsidRPr="00B7066B">
        <w:rPr>
          <w:rFonts w:asciiTheme="majorHAnsi" w:hAnsiTheme="majorHAnsi" w:cstheme="majorHAnsi"/>
        </w:rPr>
        <w:t xml:space="preserve"> način</w:t>
      </w:r>
      <w:r w:rsidR="00A307B0">
        <w:rPr>
          <w:rFonts w:asciiTheme="majorHAnsi" w:hAnsiTheme="majorHAnsi" w:cstheme="majorHAnsi"/>
        </w:rPr>
        <w:t>u</w:t>
      </w:r>
      <w:r w:rsidR="00B7066B" w:rsidRPr="00B7066B">
        <w:rPr>
          <w:rFonts w:asciiTheme="majorHAnsi" w:hAnsiTheme="majorHAnsi" w:cstheme="majorHAnsi"/>
        </w:rPr>
        <w:t xml:space="preserve"> poročanja o energetskih pregledih</w:t>
      </w:r>
      <w:r w:rsidR="00A25F1F">
        <w:rPr>
          <w:rFonts w:asciiTheme="majorHAnsi" w:hAnsiTheme="majorHAnsi" w:cstheme="majorHAnsi"/>
        </w:rPr>
        <w:t>, kjer je obvezno izvajanje energetskih pregledov skladno z veljavn</w:t>
      </w:r>
      <w:r w:rsidR="00FA0954">
        <w:rPr>
          <w:rFonts w:asciiTheme="majorHAnsi" w:hAnsiTheme="majorHAnsi" w:cstheme="majorHAnsi"/>
        </w:rPr>
        <w:t>im</w:t>
      </w:r>
      <w:r w:rsidR="00A25F1F">
        <w:rPr>
          <w:rFonts w:asciiTheme="majorHAnsi" w:hAnsiTheme="majorHAnsi" w:cstheme="majorHAnsi"/>
        </w:rPr>
        <w:t xml:space="preserve"> </w:t>
      </w:r>
      <w:bookmarkStart w:id="5" w:name="_Hlk180393012"/>
      <w:r w:rsidR="00A25F1F">
        <w:rPr>
          <w:rFonts w:asciiTheme="majorHAnsi" w:hAnsiTheme="majorHAnsi" w:cstheme="majorHAnsi"/>
        </w:rPr>
        <w:t>Zakon</w:t>
      </w:r>
      <w:r w:rsidR="00FA0954">
        <w:rPr>
          <w:rFonts w:asciiTheme="majorHAnsi" w:hAnsiTheme="majorHAnsi" w:cstheme="majorHAnsi"/>
        </w:rPr>
        <w:t>om</w:t>
      </w:r>
      <w:r w:rsidR="00A25F1F">
        <w:rPr>
          <w:rFonts w:asciiTheme="majorHAnsi" w:hAnsiTheme="majorHAnsi" w:cstheme="majorHAnsi"/>
        </w:rPr>
        <w:t xml:space="preserve"> o učinkoviti rabi energije</w:t>
      </w:r>
      <w:bookmarkEnd w:id="5"/>
      <w:r w:rsidR="00F47B64">
        <w:rPr>
          <w:rFonts w:asciiTheme="majorHAnsi" w:hAnsiTheme="majorHAnsi" w:cstheme="majorHAnsi"/>
        </w:rPr>
        <w:t>.</w:t>
      </w:r>
      <w:r>
        <w:rPr>
          <w:rStyle w:val="Sprotnaopomba-sklic"/>
          <w:rFonts w:asciiTheme="majorHAnsi" w:hAnsiTheme="majorHAnsi" w:cstheme="majorHAnsi"/>
        </w:rPr>
        <w:footnoteReference w:id="4"/>
      </w:r>
      <w:r w:rsidR="00A25F1F">
        <w:rPr>
          <w:rFonts w:asciiTheme="majorHAnsi" w:hAnsiTheme="majorHAnsi" w:cstheme="majorHAnsi"/>
        </w:rPr>
        <w:t xml:space="preserve"> Kasneje bo pr</w:t>
      </w:r>
      <w:r w:rsidR="00F47B64">
        <w:rPr>
          <w:rFonts w:asciiTheme="majorHAnsi" w:hAnsiTheme="majorHAnsi" w:cstheme="majorHAnsi"/>
        </w:rPr>
        <w:t>o</w:t>
      </w:r>
      <w:r w:rsidR="00A25F1F">
        <w:rPr>
          <w:rFonts w:asciiTheme="majorHAnsi" w:hAnsiTheme="majorHAnsi" w:cstheme="majorHAnsi"/>
        </w:rPr>
        <w:t>učen</w:t>
      </w:r>
      <w:r w:rsidR="00DD35D6">
        <w:rPr>
          <w:rFonts w:asciiTheme="majorHAnsi" w:hAnsiTheme="majorHAnsi" w:cstheme="majorHAnsi"/>
        </w:rPr>
        <w:t xml:space="preserve">a potreba </w:t>
      </w:r>
      <w:r w:rsidR="00F47B64">
        <w:rPr>
          <w:rFonts w:asciiTheme="majorHAnsi" w:hAnsiTheme="majorHAnsi" w:cstheme="majorHAnsi"/>
        </w:rPr>
        <w:t xml:space="preserve">po </w:t>
      </w:r>
      <w:r w:rsidR="00DD35D6">
        <w:rPr>
          <w:rFonts w:asciiTheme="majorHAnsi" w:hAnsiTheme="majorHAnsi" w:cstheme="majorHAnsi"/>
        </w:rPr>
        <w:t>razširitv</w:t>
      </w:r>
      <w:r w:rsidR="00F47B64">
        <w:rPr>
          <w:rFonts w:asciiTheme="majorHAnsi" w:hAnsiTheme="majorHAnsi" w:cstheme="majorHAnsi"/>
        </w:rPr>
        <w:t>i</w:t>
      </w:r>
      <w:r w:rsidR="00DD35D6">
        <w:rPr>
          <w:rFonts w:asciiTheme="majorHAnsi" w:hAnsiTheme="majorHAnsi" w:cstheme="majorHAnsi"/>
        </w:rPr>
        <w:t xml:space="preserve"> obveznosti energetskih pregledov v tistih sektorjih </w:t>
      </w:r>
      <w:r w:rsidR="004B2F7A">
        <w:rPr>
          <w:rFonts w:asciiTheme="majorHAnsi" w:hAnsiTheme="majorHAnsi" w:cstheme="majorHAnsi"/>
        </w:rPr>
        <w:lastRenderedPageBreak/>
        <w:t xml:space="preserve">in </w:t>
      </w:r>
      <w:r w:rsidR="00DD35D6">
        <w:rPr>
          <w:rFonts w:asciiTheme="majorHAnsi" w:hAnsiTheme="majorHAnsi" w:cstheme="majorHAnsi"/>
        </w:rPr>
        <w:t>podjetji</w:t>
      </w:r>
      <w:r w:rsidR="004B2F7A">
        <w:rPr>
          <w:rFonts w:asciiTheme="majorHAnsi" w:hAnsiTheme="majorHAnsi" w:cstheme="majorHAnsi"/>
        </w:rPr>
        <w:t>h</w:t>
      </w:r>
      <w:r w:rsidR="00DD35D6">
        <w:rPr>
          <w:rFonts w:asciiTheme="majorHAnsi" w:hAnsiTheme="majorHAnsi" w:cstheme="majorHAnsi"/>
        </w:rPr>
        <w:t xml:space="preserve"> (</w:t>
      </w:r>
      <w:r w:rsidR="00AE2951" w:rsidRPr="00720FF1">
        <w:rPr>
          <w:rFonts w:asciiTheme="majorHAnsi" w:hAnsiTheme="majorHAnsi" w:cstheme="majorHAnsi"/>
        </w:rPr>
        <w:t>predvsem MSP</w:t>
      </w:r>
      <w:r w:rsidR="00DD35D6">
        <w:rPr>
          <w:rFonts w:asciiTheme="majorHAnsi" w:hAnsiTheme="majorHAnsi" w:cstheme="majorHAnsi"/>
        </w:rPr>
        <w:t>)</w:t>
      </w:r>
      <w:r w:rsidR="00AE2951" w:rsidRPr="00720FF1">
        <w:rPr>
          <w:rFonts w:asciiTheme="majorHAnsi" w:hAnsiTheme="majorHAnsi" w:cstheme="majorHAnsi"/>
        </w:rPr>
        <w:t xml:space="preserve">, </w:t>
      </w:r>
      <w:r w:rsidR="00A25F1F">
        <w:rPr>
          <w:rFonts w:asciiTheme="majorHAnsi" w:hAnsiTheme="majorHAnsi" w:cstheme="majorHAnsi"/>
        </w:rPr>
        <w:t xml:space="preserve">kjer bi se </w:t>
      </w:r>
      <w:r w:rsidR="00F47B64">
        <w:rPr>
          <w:rFonts w:asciiTheme="majorHAnsi" w:hAnsiTheme="majorHAnsi" w:cstheme="majorHAnsi"/>
        </w:rPr>
        <w:t>po</w:t>
      </w:r>
      <w:r w:rsidR="00A25F1F">
        <w:rPr>
          <w:rFonts w:asciiTheme="majorHAnsi" w:hAnsiTheme="majorHAnsi" w:cstheme="majorHAnsi"/>
        </w:rPr>
        <w:t xml:space="preserve">kazalo, da </w:t>
      </w:r>
      <w:r w:rsidR="00DD35D6">
        <w:rPr>
          <w:rFonts w:asciiTheme="majorHAnsi" w:hAnsiTheme="majorHAnsi" w:cstheme="majorHAnsi"/>
        </w:rPr>
        <w:t xml:space="preserve">obvezna </w:t>
      </w:r>
      <w:r w:rsidR="00A25F1F">
        <w:rPr>
          <w:rFonts w:asciiTheme="majorHAnsi" w:hAnsiTheme="majorHAnsi" w:cstheme="majorHAnsi"/>
        </w:rPr>
        <w:t xml:space="preserve">izvedba energetskega pregleda </w:t>
      </w:r>
      <w:r w:rsidR="00F47B64">
        <w:rPr>
          <w:rFonts w:asciiTheme="majorHAnsi" w:hAnsiTheme="majorHAnsi" w:cstheme="majorHAnsi"/>
        </w:rPr>
        <w:t>u</w:t>
      </w:r>
      <w:r w:rsidR="00A25F1F">
        <w:rPr>
          <w:rFonts w:asciiTheme="majorHAnsi" w:hAnsiTheme="majorHAnsi" w:cstheme="majorHAnsi"/>
        </w:rPr>
        <w:t>praviči obveznost njene izvedbe</w:t>
      </w:r>
      <w:r w:rsidR="00DD35D6">
        <w:rPr>
          <w:rFonts w:asciiTheme="majorHAnsi" w:hAnsiTheme="majorHAnsi" w:cstheme="majorHAnsi"/>
        </w:rPr>
        <w:t xml:space="preserve"> tako </w:t>
      </w:r>
      <w:r w:rsidR="00F47B64">
        <w:rPr>
          <w:rFonts w:asciiTheme="majorHAnsi" w:hAnsiTheme="majorHAnsi" w:cstheme="majorHAnsi"/>
        </w:rPr>
        <w:t xml:space="preserve">s </w:t>
      </w:r>
      <w:r w:rsidR="00DD35D6">
        <w:rPr>
          <w:rFonts w:asciiTheme="majorHAnsi" w:hAnsiTheme="majorHAnsi" w:cstheme="majorHAnsi"/>
        </w:rPr>
        <w:t xml:space="preserve">finančnega kot </w:t>
      </w:r>
      <w:r w:rsidR="00F47B64">
        <w:rPr>
          <w:rFonts w:asciiTheme="majorHAnsi" w:hAnsiTheme="majorHAnsi" w:cstheme="majorHAnsi"/>
        </w:rPr>
        <w:t xml:space="preserve">z </w:t>
      </w:r>
      <w:proofErr w:type="spellStart"/>
      <w:r w:rsidR="00DD35D6">
        <w:rPr>
          <w:rFonts w:asciiTheme="majorHAnsi" w:hAnsiTheme="majorHAnsi" w:cstheme="majorHAnsi"/>
        </w:rPr>
        <w:t>okoljskega</w:t>
      </w:r>
      <w:proofErr w:type="spellEnd"/>
      <w:r w:rsidR="00DD35D6">
        <w:rPr>
          <w:rFonts w:asciiTheme="majorHAnsi" w:hAnsiTheme="majorHAnsi" w:cstheme="majorHAnsi"/>
        </w:rPr>
        <w:t xml:space="preserve"> vidika</w:t>
      </w:r>
      <w:r w:rsidR="00A25F1F">
        <w:rPr>
          <w:rFonts w:asciiTheme="majorHAnsi" w:hAnsiTheme="majorHAnsi" w:cstheme="majorHAnsi"/>
        </w:rPr>
        <w:t>.</w:t>
      </w:r>
      <w:r w:rsidR="00DD35D6">
        <w:rPr>
          <w:rFonts w:asciiTheme="majorHAnsi" w:hAnsiTheme="majorHAnsi" w:cstheme="majorHAnsi"/>
        </w:rPr>
        <w:t xml:space="preserve"> Z digitalizacijo poročanja bo takšna </w:t>
      </w:r>
      <w:r w:rsidR="00FA0954">
        <w:rPr>
          <w:rFonts w:asciiTheme="majorHAnsi" w:hAnsiTheme="majorHAnsi" w:cstheme="majorHAnsi"/>
        </w:rPr>
        <w:t>iz</w:t>
      </w:r>
      <w:r w:rsidR="00DD35D6">
        <w:rPr>
          <w:rFonts w:asciiTheme="majorHAnsi" w:hAnsiTheme="majorHAnsi" w:cstheme="majorHAnsi"/>
        </w:rPr>
        <w:t>vedba stroškovno učinkovit</w:t>
      </w:r>
      <w:r w:rsidR="00F47B64">
        <w:rPr>
          <w:rFonts w:asciiTheme="majorHAnsi" w:hAnsiTheme="majorHAnsi" w:cstheme="majorHAnsi"/>
        </w:rPr>
        <w:t>ejš</w:t>
      </w:r>
      <w:r w:rsidR="00DD35D6">
        <w:rPr>
          <w:rFonts w:asciiTheme="majorHAnsi" w:hAnsiTheme="majorHAnsi" w:cstheme="majorHAnsi"/>
        </w:rPr>
        <w:t>a in tudi pregledn</w:t>
      </w:r>
      <w:r w:rsidR="00F47B64">
        <w:rPr>
          <w:rFonts w:asciiTheme="majorHAnsi" w:hAnsiTheme="majorHAnsi" w:cstheme="majorHAnsi"/>
        </w:rPr>
        <w:t>ej</w:t>
      </w:r>
      <w:r w:rsidR="00C74D6C">
        <w:rPr>
          <w:rFonts w:asciiTheme="majorHAnsi" w:hAnsiTheme="majorHAnsi" w:cstheme="majorHAnsi"/>
        </w:rPr>
        <w:t>š</w:t>
      </w:r>
      <w:r w:rsidR="00DD35D6">
        <w:rPr>
          <w:rFonts w:asciiTheme="majorHAnsi" w:hAnsiTheme="majorHAnsi" w:cstheme="majorHAnsi"/>
        </w:rPr>
        <w:t>a.</w:t>
      </w:r>
    </w:p>
    <w:p w14:paraId="6DDE5526" w14:textId="7187E5D7" w:rsidR="00AE2951" w:rsidRDefault="00453EF7" w:rsidP="00AE2951">
      <w:pPr>
        <w:jc w:val="both"/>
        <w:rPr>
          <w:rFonts w:asciiTheme="majorHAnsi" w:hAnsiTheme="majorHAnsi" w:cstheme="majorHAnsi"/>
        </w:rPr>
      </w:pPr>
      <w:r w:rsidRPr="00720FF1">
        <w:rPr>
          <w:rFonts w:asciiTheme="majorHAnsi" w:hAnsiTheme="majorHAnsi" w:cstheme="majorHAnsi"/>
        </w:rPr>
        <w:t>Z ukrepom bo</w:t>
      </w:r>
      <w:r w:rsidR="00F7414F" w:rsidRPr="00720FF1">
        <w:rPr>
          <w:rFonts w:asciiTheme="majorHAnsi" w:hAnsiTheme="majorHAnsi" w:cstheme="majorHAnsi"/>
        </w:rPr>
        <w:t xml:space="preserve"> podjetjem </w:t>
      </w:r>
      <w:r w:rsidRPr="00720FF1">
        <w:rPr>
          <w:rFonts w:asciiTheme="majorHAnsi" w:hAnsiTheme="majorHAnsi" w:cstheme="majorHAnsi"/>
        </w:rPr>
        <w:t>prek</w:t>
      </w:r>
      <w:r w:rsidR="00F7414F" w:rsidRPr="00720FF1">
        <w:rPr>
          <w:rFonts w:asciiTheme="majorHAnsi" w:hAnsiTheme="majorHAnsi" w:cstheme="majorHAnsi"/>
        </w:rPr>
        <w:t xml:space="preserve"> digitalizacij</w:t>
      </w:r>
      <w:r w:rsidRPr="00720FF1">
        <w:rPr>
          <w:rFonts w:asciiTheme="majorHAnsi" w:hAnsiTheme="majorHAnsi" w:cstheme="majorHAnsi"/>
        </w:rPr>
        <w:t>e</w:t>
      </w:r>
      <w:r w:rsidR="00F7414F" w:rsidRPr="00720FF1">
        <w:rPr>
          <w:rFonts w:asciiTheme="majorHAnsi" w:hAnsiTheme="majorHAnsi" w:cstheme="majorHAnsi"/>
        </w:rPr>
        <w:t xml:space="preserve"> </w:t>
      </w:r>
      <w:r w:rsidRPr="00720FF1">
        <w:rPr>
          <w:rFonts w:asciiTheme="majorHAnsi" w:hAnsiTheme="majorHAnsi" w:cstheme="majorHAnsi"/>
        </w:rPr>
        <w:t>olajšano</w:t>
      </w:r>
      <w:r w:rsidR="00F7414F" w:rsidRPr="00720FF1">
        <w:rPr>
          <w:rFonts w:asciiTheme="majorHAnsi" w:hAnsiTheme="majorHAnsi" w:cstheme="majorHAnsi"/>
        </w:rPr>
        <w:t xml:space="preserve"> sporočanje podatkov</w:t>
      </w:r>
      <w:r w:rsidRPr="00720FF1">
        <w:rPr>
          <w:rFonts w:asciiTheme="majorHAnsi" w:hAnsiTheme="majorHAnsi" w:cstheme="majorHAnsi"/>
        </w:rPr>
        <w:t>, hkrati pa se bo</w:t>
      </w:r>
      <w:r w:rsidR="00711BD4">
        <w:rPr>
          <w:rFonts w:asciiTheme="majorHAnsi" w:hAnsiTheme="majorHAnsi" w:cstheme="majorHAnsi"/>
        </w:rPr>
        <w:t>sta</w:t>
      </w:r>
      <w:r w:rsidRPr="00720FF1">
        <w:rPr>
          <w:rFonts w:asciiTheme="majorHAnsi" w:hAnsiTheme="majorHAnsi" w:cstheme="majorHAnsi"/>
        </w:rPr>
        <w:t xml:space="preserve"> i</w:t>
      </w:r>
      <w:r w:rsidR="00F7414F" w:rsidRPr="00720FF1">
        <w:rPr>
          <w:rFonts w:asciiTheme="majorHAnsi" w:hAnsiTheme="majorHAnsi" w:cstheme="majorHAnsi"/>
        </w:rPr>
        <w:t>zboljša</w:t>
      </w:r>
      <w:r w:rsidRPr="00720FF1">
        <w:rPr>
          <w:rFonts w:asciiTheme="majorHAnsi" w:hAnsiTheme="majorHAnsi" w:cstheme="majorHAnsi"/>
        </w:rPr>
        <w:t>l</w:t>
      </w:r>
      <w:r w:rsidR="00711BD4">
        <w:rPr>
          <w:rFonts w:asciiTheme="majorHAnsi" w:hAnsiTheme="majorHAnsi" w:cstheme="majorHAnsi"/>
        </w:rPr>
        <w:t>a</w:t>
      </w:r>
      <w:r w:rsidR="00F7414F" w:rsidRPr="00720FF1">
        <w:rPr>
          <w:rFonts w:asciiTheme="majorHAnsi" w:hAnsiTheme="majorHAnsi" w:cstheme="majorHAnsi"/>
        </w:rPr>
        <w:t xml:space="preserve"> in usklad</w:t>
      </w:r>
      <w:r w:rsidRPr="00720FF1">
        <w:rPr>
          <w:rFonts w:asciiTheme="majorHAnsi" w:hAnsiTheme="majorHAnsi" w:cstheme="majorHAnsi"/>
        </w:rPr>
        <w:t>il</w:t>
      </w:r>
      <w:r w:rsidR="00711BD4">
        <w:rPr>
          <w:rFonts w:asciiTheme="majorHAnsi" w:hAnsiTheme="majorHAnsi" w:cstheme="majorHAnsi"/>
        </w:rPr>
        <w:t>a</w:t>
      </w:r>
      <w:r w:rsidR="00F7414F" w:rsidRPr="00720FF1">
        <w:rPr>
          <w:rFonts w:asciiTheme="majorHAnsi" w:hAnsiTheme="majorHAnsi" w:cstheme="majorHAnsi"/>
        </w:rPr>
        <w:t xml:space="preserve"> </w:t>
      </w:r>
      <w:r w:rsidR="00711BD4">
        <w:rPr>
          <w:rFonts w:asciiTheme="majorHAnsi" w:hAnsiTheme="majorHAnsi" w:cstheme="majorHAnsi"/>
        </w:rPr>
        <w:t>s</w:t>
      </w:r>
      <w:r w:rsidR="00F7414F" w:rsidRPr="00720FF1">
        <w:rPr>
          <w:rFonts w:asciiTheme="majorHAnsi" w:hAnsiTheme="majorHAnsi" w:cstheme="majorHAnsi"/>
        </w:rPr>
        <w:t xml:space="preserve">poročanje </w:t>
      </w:r>
      <w:r w:rsidR="00711BD4">
        <w:rPr>
          <w:rFonts w:asciiTheme="majorHAnsi" w:hAnsiTheme="majorHAnsi" w:cstheme="majorHAnsi"/>
        </w:rPr>
        <w:t>in</w:t>
      </w:r>
      <w:r w:rsidR="00711BD4" w:rsidRPr="00720FF1">
        <w:rPr>
          <w:rFonts w:asciiTheme="majorHAnsi" w:hAnsiTheme="majorHAnsi" w:cstheme="majorHAnsi"/>
        </w:rPr>
        <w:t xml:space="preserve"> </w:t>
      </w:r>
      <w:r w:rsidRPr="00720FF1">
        <w:rPr>
          <w:rFonts w:asciiTheme="majorHAnsi" w:hAnsiTheme="majorHAnsi" w:cstheme="majorHAnsi"/>
        </w:rPr>
        <w:t>tudi</w:t>
      </w:r>
      <w:r w:rsidR="00F7414F" w:rsidRPr="00720FF1">
        <w:rPr>
          <w:rFonts w:asciiTheme="majorHAnsi" w:hAnsiTheme="majorHAnsi" w:cstheme="majorHAnsi"/>
        </w:rPr>
        <w:t xml:space="preserve"> spremljanje podatkov na področju energetske učinkovitosti, kar bo omogočilo boljše vrednotenje učinkov ukrepov </w:t>
      </w:r>
      <w:r w:rsidR="00711BD4">
        <w:rPr>
          <w:rFonts w:asciiTheme="majorHAnsi" w:hAnsiTheme="majorHAnsi" w:cstheme="majorHAnsi"/>
        </w:rPr>
        <w:t xml:space="preserve">za </w:t>
      </w:r>
      <w:r w:rsidR="00F7414F" w:rsidRPr="00720FF1">
        <w:rPr>
          <w:rFonts w:asciiTheme="majorHAnsi" w:hAnsiTheme="majorHAnsi" w:cstheme="majorHAnsi"/>
        </w:rPr>
        <w:t>energetsk</w:t>
      </w:r>
      <w:r w:rsidR="00711BD4">
        <w:rPr>
          <w:rFonts w:asciiTheme="majorHAnsi" w:hAnsiTheme="majorHAnsi" w:cstheme="majorHAnsi"/>
        </w:rPr>
        <w:t>o</w:t>
      </w:r>
      <w:r w:rsidR="00F7414F" w:rsidRPr="00720FF1">
        <w:rPr>
          <w:rFonts w:asciiTheme="majorHAnsi" w:hAnsiTheme="majorHAnsi" w:cstheme="majorHAnsi"/>
        </w:rPr>
        <w:t xml:space="preserve"> učinkovitost.</w:t>
      </w:r>
    </w:p>
    <w:p w14:paraId="377A3EF0" w14:textId="2EA57648" w:rsidR="00F23E70" w:rsidRDefault="00F23E70" w:rsidP="00AE2951">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Rok za izvedbo</w:t>
      </w:r>
      <w:r w:rsidRPr="00D362E5">
        <w:rPr>
          <w:rFonts w:asciiTheme="majorHAnsi" w:hAnsiTheme="majorHAnsi" w:cstheme="majorHAnsi"/>
          <w:color w:val="1F3864" w:themeColor="accent1" w:themeShade="80"/>
          <w:u w:val="single"/>
        </w:rPr>
        <w:t xml:space="preserve">: </w:t>
      </w:r>
      <w:r w:rsidR="00B7066B" w:rsidRPr="00253AB5">
        <w:rPr>
          <w:rFonts w:asciiTheme="majorHAnsi" w:hAnsiTheme="majorHAnsi" w:cstheme="majorHAnsi"/>
          <w:color w:val="1F3864" w:themeColor="accent1" w:themeShade="80"/>
          <w:u w:val="single"/>
        </w:rPr>
        <w:t>2025</w:t>
      </w:r>
      <w:r w:rsidR="00D0581A" w:rsidRPr="00253AB5">
        <w:rPr>
          <w:rFonts w:asciiTheme="majorHAnsi" w:hAnsiTheme="majorHAnsi" w:cstheme="majorHAnsi"/>
          <w:color w:val="1F3864" w:themeColor="accent1" w:themeShade="80"/>
          <w:u w:val="single"/>
        </w:rPr>
        <w:t xml:space="preserve"> (vzpostavitev </w:t>
      </w:r>
      <w:r w:rsidR="00D362E5" w:rsidRPr="00253AB5">
        <w:rPr>
          <w:rFonts w:asciiTheme="majorHAnsi" w:hAnsiTheme="majorHAnsi" w:cstheme="majorHAnsi"/>
          <w:color w:val="1F3864" w:themeColor="accent1" w:themeShade="80"/>
          <w:u w:val="single"/>
        </w:rPr>
        <w:t>digitaliziranega načina</w:t>
      </w:r>
      <w:r w:rsidR="00D0581A" w:rsidRPr="00253AB5">
        <w:rPr>
          <w:rFonts w:asciiTheme="majorHAnsi" w:hAnsiTheme="majorHAnsi" w:cstheme="majorHAnsi"/>
          <w:color w:val="1F3864" w:themeColor="accent1" w:themeShade="80"/>
          <w:u w:val="single"/>
        </w:rPr>
        <w:t xml:space="preserve"> poročanj</w:t>
      </w:r>
      <w:r w:rsidR="00D362E5" w:rsidRPr="00253AB5">
        <w:rPr>
          <w:rFonts w:asciiTheme="majorHAnsi" w:hAnsiTheme="majorHAnsi" w:cstheme="majorHAnsi"/>
          <w:color w:val="1F3864" w:themeColor="accent1" w:themeShade="80"/>
          <w:u w:val="single"/>
        </w:rPr>
        <w:t>a</w:t>
      </w:r>
      <w:r w:rsidR="00D0581A" w:rsidRPr="00253AB5">
        <w:rPr>
          <w:rFonts w:asciiTheme="majorHAnsi" w:hAnsiTheme="majorHAnsi" w:cstheme="majorHAnsi"/>
          <w:color w:val="1F3864" w:themeColor="accent1" w:themeShade="80"/>
          <w:u w:val="single"/>
        </w:rPr>
        <w:t xml:space="preserve"> podjetij o izvedenih energetskih pregledih)</w:t>
      </w:r>
    </w:p>
    <w:p w14:paraId="4A207FDE" w14:textId="1FBBF3AF" w:rsidR="00B37816" w:rsidRPr="00BF3AAC" w:rsidRDefault="00B37816" w:rsidP="00AE2951">
      <w:pPr>
        <w:jc w:val="both"/>
        <w:rPr>
          <w:rFonts w:asciiTheme="majorHAnsi" w:hAnsiTheme="majorHAnsi" w:cstheme="majorHAnsi"/>
          <w:color w:val="1F3864" w:themeColor="accent1" w:themeShade="80"/>
          <w:u w:val="single"/>
        </w:rPr>
      </w:pPr>
      <w:r>
        <w:rPr>
          <w:rFonts w:asciiTheme="majorHAnsi" w:hAnsiTheme="majorHAnsi" w:cstheme="majorHAnsi"/>
          <w:color w:val="1F3864" w:themeColor="accent1" w:themeShade="80"/>
          <w:u w:val="single"/>
        </w:rPr>
        <w:t>Predvidena finančna sredstva: 200.000 EUR</w:t>
      </w:r>
      <w:r w:rsidR="00BC0490">
        <w:rPr>
          <w:rFonts w:asciiTheme="majorHAnsi" w:hAnsiTheme="majorHAnsi" w:cstheme="majorHAnsi"/>
          <w:color w:val="1F3864" w:themeColor="accent1" w:themeShade="80"/>
          <w:u w:val="single"/>
        </w:rPr>
        <w:t xml:space="preserve"> (vir sredstev: </w:t>
      </w:r>
      <w:r w:rsidR="00711BD4">
        <w:rPr>
          <w:rFonts w:asciiTheme="majorHAnsi" w:hAnsiTheme="majorHAnsi" w:cstheme="majorHAnsi"/>
          <w:color w:val="1F3864" w:themeColor="accent1" w:themeShade="80"/>
          <w:u w:val="single"/>
        </w:rPr>
        <w:t>n</w:t>
      </w:r>
      <w:r w:rsidR="00BC0490">
        <w:rPr>
          <w:rFonts w:asciiTheme="majorHAnsi" w:hAnsiTheme="majorHAnsi" w:cstheme="majorHAnsi"/>
          <w:color w:val="1F3864" w:themeColor="accent1" w:themeShade="80"/>
          <w:u w:val="single"/>
        </w:rPr>
        <w:t>acionalni načrt za okrevanje in odpornost</w:t>
      </w:r>
      <w:r w:rsidR="000A1180">
        <w:rPr>
          <w:rFonts w:asciiTheme="majorHAnsi" w:hAnsiTheme="majorHAnsi" w:cstheme="majorHAnsi"/>
          <w:color w:val="1F3864" w:themeColor="accent1" w:themeShade="80"/>
          <w:u w:val="single"/>
        </w:rPr>
        <w:t xml:space="preserve">; </w:t>
      </w:r>
      <w:r w:rsidR="00105296">
        <w:rPr>
          <w:rFonts w:asciiTheme="majorHAnsi" w:hAnsiTheme="majorHAnsi" w:cstheme="majorHAnsi"/>
          <w:color w:val="1F3864" w:themeColor="accent1" w:themeShade="80"/>
          <w:u w:val="single"/>
        </w:rPr>
        <w:t>ni še o</w:t>
      </w:r>
      <w:r w:rsidR="00D0581A">
        <w:rPr>
          <w:rFonts w:asciiTheme="majorHAnsi" w:hAnsiTheme="majorHAnsi" w:cstheme="majorHAnsi"/>
          <w:color w:val="1F3864" w:themeColor="accent1" w:themeShade="80"/>
          <w:u w:val="single"/>
        </w:rPr>
        <w:t>d</w:t>
      </w:r>
      <w:r w:rsidR="00105296">
        <w:rPr>
          <w:rFonts w:asciiTheme="majorHAnsi" w:hAnsiTheme="majorHAnsi" w:cstheme="majorHAnsi"/>
          <w:color w:val="1F3864" w:themeColor="accent1" w:themeShade="80"/>
          <w:u w:val="single"/>
        </w:rPr>
        <w:t>prtih PP</w:t>
      </w:r>
      <w:r w:rsidR="00BC0490">
        <w:rPr>
          <w:rFonts w:asciiTheme="majorHAnsi" w:hAnsiTheme="majorHAnsi" w:cstheme="majorHAnsi"/>
          <w:color w:val="1F3864" w:themeColor="accent1" w:themeShade="80"/>
          <w:u w:val="single"/>
        </w:rPr>
        <w:t>)</w:t>
      </w:r>
    </w:p>
    <w:p w14:paraId="5A47CFFF" w14:textId="65BE6164" w:rsidR="00F23E70" w:rsidRDefault="00F23E70" w:rsidP="00AE2951">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 xml:space="preserve">Nosilec: MGTŠ v sodelovanju z MOPE in Agencijo </w:t>
      </w:r>
      <w:r w:rsidR="00711BD4">
        <w:rPr>
          <w:rFonts w:asciiTheme="majorHAnsi" w:hAnsiTheme="majorHAnsi" w:cstheme="majorHAnsi"/>
          <w:color w:val="1F3864" w:themeColor="accent1" w:themeShade="80"/>
          <w:u w:val="single"/>
        </w:rPr>
        <w:t xml:space="preserve">RS </w:t>
      </w:r>
      <w:r w:rsidRPr="00BF3AAC">
        <w:rPr>
          <w:rFonts w:asciiTheme="majorHAnsi" w:hAnsiTheme="majorHAnsi" w:cstheme="majorHAnsi"/>
          <w:color w:val="1F3864" w:themeColor="accent1" w:themeShade="80"/>
          <w:u w:val="single"/>
        </w:rPr>
        <w:t>za energijo</w:t>
      </w:r>
    </w:p>
    <w:p w14:paraId="3C4B4683" w14:textId="77777777" w:rsidR="00D218FC" w:rsidRPr="00BF3AAC" w:rsidRDefault="00D218FC" w:rsidP="00AE2951">
      <w:pPr>
        <w:jc w:val="both"/>
        <w:rPr>
          <w:rFonts w:asciiTheme="majorHAnsi" w:hAnsiTheme="majorHAnsi" w:cstheme="majorHAnsi"/>
          <w:color w:val="1F3864" w:themeColor="accent1" w:themeShade="80"/>
          <w:u w:val="single"/>
        </w:rPr>
      </w:pPr>
    </w:p>
    <w:p w14:paraId="6ECDB64C" w14:textId="1CF396AA" w:rsidR="00837BDF" w:rsidRPr="00720FF1" w:rsidRDefault="00837BDF" w:rsidP="00837BDF">
      <w:pPr>
        <w:pStyle w:val="Naslov2"/>
        <w:numPr>
          <w:ilvl w:val="0"/>
          <w:numId w:val="4"/>
        </w:numPr>
        <w:ind w:left="426"/>
        <w:rPr>
          <w:rFonts w:cstheme="majorHAnsi"/>
        </w:rPr>
      </w:pPr>
      <w:bookmarkStart w:id="6" w:name="_Toc184114162"/>
      <w:r w:rsidRPr="00720FF1">
        <w:rPr>
          <w:rFonts w:cstheme="majorHAnsi"/>
        </w:rPr>
        <w:t>Finančne spodbude</w:t>
      </w:r>
      <w:bookmarkEnd w:id="6"/>
    </w:p>
    <w:p w14:paraId="4ABBC2C9" w14:textId="202C7077" w:rsidR="00F23E70" w:rsidRPr="00720FF1" w:rsidRDefault="00F23E70" w:rsidP="00F23E70">
      <w:pPr>
        <w:rPr>
          <w:rFonts w:asciiTheme="majorHAnsi" w:hAnsiTheme="majorHAnsi" w:cstheme="majorHAnsi"/>
        </w:rPr>
      </w:pPr>
    </w:p>
    <w:p w14:paraId="3845F536" w14:textId="2A4A5F63" w:rsidR="00837BDF" w:rsidRPr="00720FF1" w:rsidRDefault="00F23E70" w:rsidP="0081051F">
      <w:pPr>
        <w:pStyle w:val="Odstavekseznama"/>
        <w:numPr>
          <w:ilvl w:val="1"/>
          <w:numId w:val="4"/>
        </w:numPr>
        <w:ind w:left="426"/>
        <w:jc w:val="both"/>
        <w:rPr>
          <w:rFonts w:asciiTheme="majorHAnsi" w:hAnsiTheme="majorHAnsi" w:cstheme="majorHAnsi"/>
          <w:color w:val="2F5496"/>
        </w:rPr>
      </w:pPr>
      <w:r w:rsidRPr="00720FF1">
        <w:rPr>
          <w:rFonts w:asciiTheme="majorHAnsi" w:hAnsiTheme="majorHAnsi" w:cstheme="majorHAnsi"/>
          <w:color w:val="2F5496"/>
        </w:rPr>
        <w:t>URE in razogljičenje v industriji</w:t>
      </w:r>
    </w:p>
    <w:p w14:paraId="26549B4B" w14:textId="3D3781E6" w:rsidR="0081051F" w:rsidRPr="00720FF1" w:rsidRDefault="00F51B88" w:rsidP="0081051F">
      <w:pPr>
        <w:jc w:val="both"/>
        <w:rPr>
          <w:rFonts w:asciiTheme="majorHAnsi" w:hAnsiTheme="majorHAnsi" w:cstheme="majorHAnsi"/>
        </w:rPr>
      </w:pPr>
      <w:r>
        <w:rPr>
          <w:rFonts w:asciiTheme="majorHAnsi" w:hAnsiTheme="majorHAnsi" w:cstheme="majorHAnsi"/>
        </w:rPr>
        <w:t>MGTŠ</w:t>
      </w:r>
      <w:r w:rsidR="00BC3C55" w:rsidRPr="00720FF1">
        <w:rPr>
          <w:rFonts w:asciiTheme="majorHAnsi" w:hAnsiTheme="majorHAnsi" w:cstheme="majorHAnsi"/>
        </w:rPr>
        <w:t xml:space="preserve"> </w:t>
      </w:r>
      <w:r w:rsidR="0081051F" w:rsidRPr="00720FF1">
        <w:rPr>
          <w:rFonts w:asciiTheme="majorHAnsi" w:hAnsiTheme="majorHAnsi" w:cstheme="majorHAnsi"/>
        </w:rPr>
        <w:t xml:space="preserve">bo objavilo </w:t>
      </w:r>
      <w:r w:rsidR="00711BD4">
        <w:rPr>
          <w:rFonts w:asciiTheme="majorHAnsi" w:hAnsiTheme="majorHAnsi" w:cstheme="majorHAnsi"/>
        </w:rPr>
        <w:t>j</w:t>
      </w:r>
      <w:r w:rsidR="0081051F" w:rsidRPr="00720FF1">
        <w:rPr>
          <w:rFonts w:asciiTheme="majorHAnsi" w:hAnsiTheme="majorHAnsi" w:cstheme="majorHAnsi"/>
        </w:rPr>
        <w:t xml:space="preserve">avni razpis za URE in razogljičenje v industriji v višini 42,17 mio EUR, sredstva pa izhajajo iz </w:t>
      </w:r>
      <w:r w:rsidR="00711BD4">
        <w:rPr>
          <w:rFonts w:asciiTheme="majorHAnsi" w:hAnsiTheme="majorHAnsi" w:cstheme="majorHAnsi"/>
        </w:rPr>
        <w:t>n</w:t>
      </w:r>
      <w:r w:rsidR="0081051F" w:rsidRPr="00720FF1">
        <w:rPr>
          <w:rFonts w:asciiTheme="majorHAnsi" w:hAnsiTheme="majorHAnsi" w:cstheme="majorHAnsi"/>
        </w:rPr>
        <w:t xml:space="preserve">ačrta za okrevanje in odpornost, </w:t>
      </w:r>
      <w:r w:rsidR="00711BD4">
        <w:rPr>
          <w:rFonts w:asciiTheme="majorHAnsi" w:hAnsiTheme="majorHAnsi" w:cstheme="majorHAnsi"/>
        </w:rPr>
        <w:t>d</w:t>
      </w:r>
      <w:r w:rsidR="0081051F" w:rsidRPr="00720FF1">
        <w:rPr>
          <w:rFonts w:asciiTheme="majorHAnsi" w:hAnsiTheme="majorHAnsi" w:cstheme="majorHAnsi"/>
        </w:rPr>
        <w:t xml:space="preserve">odatka </w:t>
      </w:r>
      <w:proofErr w:type="spellStart"/>
      <w:r w:rsidR="0081051F" w:rsidRPr="00720FF1">
        <w:rPr>
          <w:rFonts w:asciiTheme="majorHAnsi" w:hAnsiTheme="majorHAnsi" w:cstheme="majorHAnsi"/>
        </w:rPr>
        <w:t>REPowerEU</w:t>
      </w:r>
      <w:proofErr w:type="spellEnd"/>
      <w:r w:rsidR="0081051F" w:rsidRPr="00720FF1">
        <w:rPr>
          <w:rFonts w:asciiTheme="majorHAnsi" w:hAnsiTheme="majorHAnsi" w:cstheme="majorHAnsi"/>
        </w:rPr>
        <w:t xml:space="preserve">. Namen javnega razpisa je spodbujanje naložb v ukrepe </w:t>
      </w:r>
      <w:r w:rsidR="00711BD4">
        <w:rPr>
          <w:rFonts w:asciiTheme="majorHAnsi" w:hAnsiTheme="majorHAnsi" w:cstheme="majorHAnsi"/>
        </w:rPr>
        <w:t xml:space="preserve">za </w:t>
      </w:r>
      <w:r w:rsidR="0081051F" w:rsidRPr="00720FF1">
        <w:rPr>
          <w:rFonts w:asciiTheme="majorHAnsi" w:hAnsiTheme="majorHAnsi" w:cstheme="majorHAnsi"/>
        </w:rPr>
        <w:t>učinkovit</w:t>
      </w:r>
      <w:r w:rsidR="00711BD4">
        <w:rPr>
          <w:rFonts w:asciiTheme="majorHAnsi" w:hAnsiTheme="majorHAnsi" w:cstheme="majorHAnsi"/>
        </w:rPr>
        <w:t>o</w:t>
      </w:r>
      <w:r w:rsidR="0081051F" w:rsidRPr="00720FF1">
        <w:rPr>
          <w:rFonts w:asciiTheme="majorHAnsi" w:hAnsiTheme="majorHAnsi" w:cstheme="majorHAnsi"/>
        </w:rPr>
        <w:t xml:space="preserve"> rab</w:t>
      </w:r>
      <w:r w:rsidR="00711BD4">
        <w:rPr>
          <w:rFonts w:asciiTheme="majorHAnsi" w:hAnsiTheme="majorHAnsi" w:cstheme="majorHAnsi"/>
        </w:rPr>
        <w:t>o</w:t>
      </w:r>
      <w:r w:rsidR="0081051F" w:rsidRPr="00720FF1">
        <w:rPr>
          <w:rFonts w:asciiTheme="majorHAnsi" w:hAnsiTheme="majorHAnsi" w:cstheme="majorHAnsi"/>
        </w:rPr>
        <w:t xml:space="preserve"> energije in razogljičenje v industriji, s čimer se doseže</w:t>
      </w:r>
      <w:r w:rsidR="00711BD4">
        <w:rPr>
          <w:rFonts w:asciiTheme="majorHAnsi" w:hAnsiTheme="majorHAnsi" w:cstheme="majorHAnsi"/>
        </w:rPr>
        <w:t>jo</w:t>
      </w:r>
      <w:r w:rsidR="0081051F" w:rsidRPr="00720FF1">
        <w:rPr>
          <w:rFonts w:asciiTheme="majorHAnsi" w:hAnsiTheme="majorHAnsi" w:cstheme="majorHAnsi"/>
        </w:rPr>
        <w:t xml:space="preserve"> prihrank</w:t>
      </w:r>
      <w:r w:rsidR="00711BD4">
        <w:rPr>
          <w:rFonts w:asciiTheme="majorHAnsi" w:hAnsiTheme="majorHAnsi" w:cstheme="majorHAnsi"/>
        </w:rPr>
        <w:t>i</w:t>
      </w:r>
      <w:r w:rsidR="0081051F" w:rsidRPr="00720FF1">
        <w:rPr>
          <w:rFonts w:asciiTheme="majorHAnsi" w:hAnsiTheme="majorHAnsi" w:cstheme="majorHAnsi"/>
        </w:rPr>
        <w:t xml:space="preserve"> pri porabi energije in zmanjšanje izpustov TGP. </w:t>
      </w:r>
    </w:p>
    <w:p w14:paraId="39A9F094" w14:textId="398159B9" w:rsidR="0081051F" w:rsidRPr="00720FF1" w:rsidRDefault="0081051F" w:rsidP="0081051F">
      <w:pPr>
        <w:jc w:val="both"/>
        <w:rPr>
          <w:rFonts w:asciiTheme="majorHAnsi" w:hAnsiTheme="majorHAnsi" w:cstheme="majorHAnsi"/>
        </w:rPr>
      </w:pPr>
      <w:r w:rsidRPr="00720FF1">
        <w:rPr>
          <w:rFonts w:asciiTheme="majorHAnsi" w:hAnsiTheme="majorHAnsi" w:cstheme="majorHAnsi"/>
        </w:rPr>
        <w:t xml:space="preserve">Spodbude za izvedbo projektov bodo prispevale k </w:t>
      </w:r>
      <w:r w:rsidR="007B6AF7">
        <w:rPr>
          <w:rFonts w:asciiTheme="majorHAnsi" w:hAnsiTheme="majorHAnsi" w:cstheme="majorHAnsi"/>
        </w:rPr>
        <w:t xml:space="preserve">doseganju </w:t>
      </w:r>
      <w:r w:rsidRPr="00720FF1">
        <w:rPr>
          <w:rFonts w:asciiTheme="majorHAnsi" w:hAnsiTheme="majorHAnsi" w:cstheme="majorHAnsi"/>
        </w:rPr>
        <w:t>cilje</w:t>
      </w:r>
      <w:r w:rsidR="007B6AF7">
        <w:rPr>
          <w:rFonts w:asciiTheme="majorHAnsi" w:hAnsiTheme="majorHAnsi" w:cstheme="majorHAnsi"/>
        </w:rPr>
        <w:t>v</w:t>
      </w:r>
      <w:r w:rsidRPr="00720FF1">
        <w:rPr>
          <w:rFonts w:asciiTheme="majorHAnsi" w:hAnsiTheme="majorHAnsi" w:cstheme="majorHAnsi"/>
        </w:rPr>
        <w:t xml:space="preserve"> pobude </w:t>
      </w:r>
      <w:proofErr w:type="spellStart"/>
      <w:r w:rsidRPr="00720FF1">
        <w:rPr>
          <w:rFonts w:asciiTheme="majorHAnsi" w:hAnsiTheme="majorHAnsi" w:cstheme="majorHAnsi"/>
        </w:rPr>
        <w:t>REPowerEU</w:t>
      </w:r>
      <w:proofErr w:type="spellEnd"/>
      <w:r w:rsidRPr="00720FF1">
        <w:rPr>
          <w:rFonts w:asciiTheme="majorHAnsi" w:hAnsiTheme="majorHAnsi" w:cstheme="majorHAnsi"/>
        </w:rPr>
        <w:t xml:space="preserve">, in sicer k zmanjšanju odvisnosti od fosilnih goriv ter k pospeševanju zelenega prehoda z izboljšanjem energetske učinkovitosti, razogljičenjem in povečanjem rabe OVE. </w:t>
      </w:r>
      <w:r w:rsidR="00711BD4">
        <w:rPr>
          <w:rFonts w:asciiTheme="majorHAnsi" w:hAnsiTheme="majorHAnsi" w:cstheme="majorHAnsi"/>
        </w:rPr>
        <w:t>S</w:t>
      </w:r>
      <w:r w:rsidRPr="00720FF1">
        <w:rPr>
          <w:rFonts w:asciiTheme="majorHAnsi" w:hAnsiTheme="majorHAnsi" w:cstheme="majorHAnsi"/>
        </w:rPr>
        <w:t xml:space="preserve">podbude </w:t>
      </w:r>
      <w:r w:rsidR="00711BD4">
        <w:rPr>
          <w:rFonts w:asciiTheme="majorHAnsi" w:hAnsiTheme="majorHAnsi" w:cstheme="majorHAnsi"/>
        </w:rPr>
        <w:t xml:space="preserve">bodo </w:t>
      </w:r>
      <w:r w:rsidRPr="00720FF1">
        <w:rPr>
          <w:rFonts w:asciiTheme="majorHAnsi" w:hAnsiTheme="majorHAnsi" w:cstheme="majorHAnsi"/>
        </w:rPr>
        <w:t xml:space="preserve">prispevale </w:t>
      </w:r>
      <w:r w:rsidR="00711BD4">
        <w:rPr>
          <w:rFonts w:asciiTheme="majorHAnsi" w:hAnsiTheme="majorHAnsi" w:cstheme="majorHAnsi"/>
        </w:rPr>
        <w:t xml:space="preserve">tudi </w:t>
      </w:r>
      <w:r w:rsidRPr="00720FF1">
        <w:rPr>
          <w:rFonts w:asciiTheme="majorHAnsi" w:hAnsiTheme="majorHAnsi" w:cstheme="majorHAnsi"/>
        </w:rPr>
        <w:t>k uresničevanju ciljev NEPN.</w:t>
      </w:r>
    </w:p>
    <w:p w14:paraId="2E96B101" w14:textId="7CFE9690" w:rsidR="0081051F" w:rsidRPr="00720FF1" w:rsidRDefault="0081051F" w:rsidP="0081051F">
      <w:pPr>
        <w:jc w:val="both"/>
        <w:rPr>
          <w:rFonts w:asciiTheme="majorHAnsi" w:hAnsiTheme="majorHAnsi" w:cstheme="majorHAnsi"/>
        </w:rPr>
      </w:pPr>
      <w:r w:rsidRPr="00720FF1">
        <w:rPr>
          <w:rFonts w:asciiTheme="majorHAnsi" w:hAnsiTheme="majorHAnsi" w:cstheme="majorHAnsi"/>
        </w:rPr>
        <w:t>Cilj javnega razpisa je podpreti</w:t>
      </w:r>
      <w:r w:rsidR="00D67AC3">
        <w:rPr>
          <w:rFonts w:asciiTheme="majorHAnsi" w:hAnsiTheme="majorHAnsi" w:cstheme="majorHAnsi"/>
        </w:rPr>
        <w:t xml:space="preserve"> učinkovito rabo energije in</w:t>
      </w:r>
      <w:r w:rsidR="00D67AC3" w:rsidRPr="00720FF1">
        <w:rPr>
          <w:rFonts w:asciiTheme="majorHAnsi" w:hAnsiTheme="majorHAnsi" w:cstheme="majorHAnsi"/>
        </w:rPr>
        <w:t xml:space="preserve"> </w:t>
      </w:r>
      <w:r w:rsidR="00D67AC3">
        <w:rPr>
          <w:rFonts w:asciiTheme="majorHAnsi" w:hAnsiTheme="majorHAnsi" w:cstheme="majorHAnsi"/>
        </w:rPr>
        <w:t xml:space="preserve">razogljičenje </w:t>
      </w:r>
      <w:r w:rsidR="00711BD4">
        <w:rPr>
          <w:rFonts w:asciiTheme="majorHAnsi" w:hAnsiTheme="majorHAnsi" w:cstheme="majorHAnsi"/>
        </w:rPr>
        <w:t xml:space="preserve">v okviru </w:t>
      </w:r>
      <w:r w:rsidRPr="00720FF1">
        <w:rPr>
          <w:rFonts w:asciiTheme="majorHAnsi" w:hAnsiTheme="majorHAnsi" w:cstheme="majorHAnsi"/>
        </w:rPr>
        <w:t xml:space="preserve">najmanj 22 projektov podjetij </w:t>
      </w:r>
      <w:r w:rsidR="00D67AC3">
        <w:rPr>
          <w:rFonts w:asciiTheme="majorHAnsi" w:hAnsiTheme="majorHAnsi" w:cstheme="majorHAnsi"/>
        </w:rPr>
        <w:t>z vrsto možnih ukrepov, kot so</w:t>
      </w:r>
      <w:r w:rsidRPr="00720FF1">
        <w:rPr>
          <w:rFonts w:asciiTheme="majorHAnsi" w:hAnsiTheme="majorHAnsi" w:cstheme="majorHAnsi"/>
        </w:rPr>
        <w:t>:</w:t>
      </w:r>
    </w:p>
    <w:p w14:paraId="480A548D" w14:textId="2903FA06" w:rsidR="00D67AC3" w:rsidRDefault="00D67AC3" w:rsidP="00F51B88">
      <w:pPr>
        <w:pStyle w:val="Odstavekseznama"/>
        <w:numPr>
          <w:ilvl w:val="0"/>
          <w:numId w:val="8"/>
        </w:numPr>
        <w:jc w:val="both"/>
        <w:rPr>
          <w:rFonts w:asciiTheme="majorHAnsi" w:hAnsiTheme="majorHAnsi" w:cstheme="majorHAnsi"/>
        </w:rPr>
      </w:pPr>
      <w:r>
        <w:rPr>
          <w:rFonts w:asciiTheme="majorHAnsi" w:hAnsiTheme="majorHAnsi" w:cstheme="majorHAnsi"/>
        </w:rPr>
        <w:t>uvajanje obnovljivih virov energije, elektrifikacija proizvodnih procesov,</w:t>
      </w:r>
    </w:p>
    <w:p w14:paraId="09084473" w14:textId="794A5F0D" w:rsidR="00D67AC3" w:rsidRDefault="00D67AC3" w:rsidP="00D67AC3">
      <w:pPr>
        <w:pStyle w:val="Odstavekseznama"/>
        <w:numPr>
          <w:ilvl w:val="0"/>
          <w:numId w:val="8"/>
        </w:numPr>
        <w:jc w:val="both"/>
        <w:rPr>
          <w:rFonts w:asciiTheme="majorHAnsi" w:hAnsiTheme="majorHAnsi" w:cstheme="majorHAnsi"/>
        </w:rPr>
      </w:pPr>
      <w:r>
        <w:rPr>
          <w:rFonts w:asciiTheme="majorHAnsi" w:hAnsiTheme="majorHAnsi" w:cstheme="majorHAnsi"/>
        </w:rPr>
        <w:t>uvajanje hranilnikov energije in toplote ter</w:t>
      </w:r>
    </w:p>
    <w:p w14:paraId="28BE5EDF" w14:textId="12F2D5FF" w:rsidR="00F23E70" w:rsidRPr="00D67AC3" w:rsidRDefault="00D67AC3" w:rsidP="00D67AC3">
      <w:pPr>
        <w:pStyle w:val="Odstavekseznama"/>
        <w:numPr>
          <w:ilvl w:val="0"/>
          <w:numId w:val="8"/>
        </w:numPr>
        <w:jc w:val="both"/>
        <w:rPr>
          <w:rFonts w:asciiTheme="majorHAnsi" w:hAnsiTheme="majorHAnsi" w:cstheme="majorHAnsi"/>
        </w:rPr>
      </w:pPr>
      <w:r>
        <w:rPr>
          <w:rFonts w:asciiTheme="majorHAnsi" w:hAnsiTheme="majorHAnsi" w:cstheme="majorHAnsi"/>
        </w:rPr>
        <w:t>izboljšanje energetske učinkovitosti</w:t>
      </w:r>
      <w:r w:rsidR="0081051F" w:rsidRPr="00D67AC3">
        <w:rPr>
          <w:rFonts w:asciiTheme="majorHAnsi" w:hAnsiTheme="majorHAnsi" w:cstheme="majorHAnsi"/>
        </w:rPr>
        <w:t>.</w:t>
      </w:r>
    </w:p>
    <w:p w14:paraId="2BC529BF" w14:textId="72FA8E30" w:rsidR="00F51B88" w:rsidRPr="00F51B88" w:rsidRDefault="00F51B88" w:rsidP="00F51B88">
      <w:pPr>
        <w:jc w:val="both"/>
        <w:rPr>
          <w:rFonts w:asciiTheme="majorHAnsi" w:hAnsiTheme="majorHAnsi" w:cstheme="majorHAnsi"/>
        </w:rPr>
      </w:pPr>
      <w:r>
        <w:rPr>
          <w:rFonts w:asciiTheme="majorHAnsi" w:hAnsiTheme="majorHAnsi" w:cstheme="majorHAnsi"/>
        </w:rPr>
        <w:t>R</w:t>
      </w:r>
      <w:r w:rsidRPr="00F51B88">
        <w:rPr>
          <w:rFonts w:asciiTheme="majorHAnsi" w:hAnsiTheme="majorHAnsi" w:cstheme="majorHAnsi"/>
        </w:rPr>
        <w:t>ezultati projektov morajo zagotavljati:</w:t>
      </w:r>
    </w:p>
    <w:p w14:paraId="45DF4161" w14:textId="2191A12E" w:rsidR="00F51B88" w:rsidRPr="00F51B88" w:rsidRDefault="00711BD4" w:rsidP="00F51B88">
      <w:pPr>
        <w:pStyle w:val="Odstavekseznama"/>
        <w:numPr>
          <w:ilvl w:val="0"/>
          <w:numId w:val="8"/>
        </w:numPr>
        <w:jc w:val="both"/>
        <w:rPr>
          <w:rFonts w:asciiTheme="majorHAnsi" w:hAnsiTheme="majorHAnsi" w:cstheme="majorHAnsi"/>
        </w:rPr>
      </w:pPr>
      <w:r>
        <w:rPr>
          <w:rFonts w:asciiTheme="majorHAnsi" w:hAnsiTheme="majorHAnsi" w:cstheme="majorHAnsi"/>
        </w:rPr>
        <w:t>n</w:t>
      </w:r>
      <w:r w:rsidR="009C66C1">
        <w:rPr>
          <w:rFonts w:asciiTheme="majorHAnsi" w:hAnsiTheme="majorHAnsi" w:cstheme="majorHAnsi"/>
        </w:rPr>
        <w:t>ajmanj</w:t>
      </w:r>
      <w:r w:rsidR="00F51B88" w:rsidRPr="00F51B88">
        <w:rPr>
          <w:rFonts w:asciiTheme="majorHAnsi" w:hAnsiTheme="majorHAnsi" w:cstheme="majorHAnsi"/>
        </w:rPr>
        <w:t xml:space="preserve"> 10 % prihrank</w:t>
      </w:r>
      <w:r>
        <w:rPr>
          <w:rFonts w:asciiTheme="majorHAnsi" w:hAnsiTheme="majorHAnsi" w:cstheme="majorHAnsi"/>
        </w:rPr>
        <w:t>ov</w:t>
      </w:r>
      <w:r w:rsidR="00F51B88" w:rsidRPr="00F51B88">
        <w:rPr>
          <w:rFonts w:asciiTheme="majorHAnsi" w:hAnsiTheme="majorHAnsi" w:cstheme="majorHAnsi"/>
        </w:rPr>
        <w:t xml:space="preserve"> porabe končne energije pri investicijah, ki se nanašajo na področje energetske učinkovitosti v industrijskih procesih</w:t>
      </w:r>
      <w:r>
        <w:rPr>
          <w:rFonts w:asciiTheme="majorHAnsi" w:hAnsiTheme="majorHAnsi" w:cstheme="majorHAnsi"/>
        </w:rPr>
        <w:t>,</w:t>
      </w:r>
    </w:p>
    <w:p w14:paraId="20DBFA89" w14:textId="2345E203" w:rsidR="00F51B88" w:rsidRPr="00F51B88" w:rsidRDefault="00711BD4" w:rsidP="00F51B88">
      <w:pPr>
        <w:pStyle w:val="Odstavekseznama"/>
        <w:numPr>
          <w:ilvl w:val="0"/>
          <w:numId w:val="8"/>
        </w:numPr>
        <w:jc w:val="both"/>
        <w:rPr>
          <w:rFonts w:asciiTheme="majorHAnsi" w:hAnsiTheme="majorHAnsi" w:cstheme="majorHAnsi"/>
        </w:rPr>
      </w:pPr>
      <w:r>
        <w:rPr>
          <w:rFonts w:asciiTheme="majorHAnsi" w:hAnsiTheme="majorHAnsi" w:cstheme="majorHAnsi"/>
        </w:rPr>
        <w:t>n</w:t>
      </w:r>
      <w:r w:rsidR="009C66C1">
        <w:rPr>
          <w:rFonts w:asciiTheme="majorHAnsi" w:hAnsiTheme="majorHAnsi" w:cstheme="majorHAnsi"/>
        </w:rPr>
        <w:t>ajmanj</w:t>
      </w:r>
      <w:r w:rsidR="00F51B88" w:rsidRPr="00F51B88">
        <w:rPr>
          <w:rFonts w:asciiTheme="majorHAnsi" w:hAnsiTheme="majorHAnsi" w:cstheme="majorHAnsi"/>
        </w:rPr>
        <w:t xml:space="preserve"> 20 % prihrank</w:t>
      </w:r>
      <w:r>
        <w:rPr>
          <w:rFonts w:asciiTheme="majorHAnsi" w:hAnsiTheme="majorHAnsi" w:cstheme="majorHAnsi"/>
        </w:rPr>
        <w:t>ov</w:t>
      </w:r>
      <w:r w:rsidR="00F51B88" w:rsidRPr="00F51B88">
        <w:rPr>
          <w:rFonts w:asciiTheme="majorHAnsi" w:hAnsiTheme="majorHAnsi" w:cstheme="majorHAnsi"/>
        </w:rPr>
        <w:t xml:space="preserve"> porabe končne energije pri investicijah, ki se nanašajo na področje energetske učinkovitosti v industrijskih stavbah</w:t>
      </w:r>
      <w:r>
        <w:rPr>
          <w:rFonts w:asciiTheme="majorHAnsi" w:hAnsiTheme="majorHAnsi" w:cstheme="majorHAnsi"/>
        </w:rPr>
        <w:t>,</w:t>
      </w:r>
    </w:p>
    <w:p w14:paraId="0E517C3F" w14:textId="733D2F23" w:rsidR="00F51B88" w:rsidRPr="00F51B88" w:rsidRDefault="00711BD4" w:rsidP="00F51B88">
      <w:pPr>
        <w:pStyle w:val="Odstavekseznama"/>
        <w:numPr>
          <w:ilvl w:val="0"/>
          <w:numId w:val="8"/>
        </w:numPr>
        <w:jc w:val="both"/>
        <w:rPr>
          <w:rFonts w:asciiTheme="majorHAnsi" w:hAnsiTheme="majorHAnsi" w:cstheme="majorHAnsi"/>
        </w:rPr>
      </w:pPr>
      <w:r>
        <w:rPr>
          <w:rFonts w:asciiTheme="majorHAnsi" w:hAnsiTheme="majorHAnsi" w:cstheme="majorHAnsi"/>
        </w:rPr>
        <w:t>n</w:t>
      </w:r>
      <w:r w:rsidR="009C66C1">
        <w:rPr>
          <w:rFonts w:asciiTheme="majorHAnsi" w:hAnsiTheme="majorHAnsi" w:cstheme="majorHAnsi"/>
        </w:rPr>
        <w:t>ajmanj</w:t>
      </w:r>
      <w:r w:rsidR="00F51B88" w:rsidRPr="00F51B88">
        <w:rPr>
          <w:rFonts w:asciiTheme="majorHAnsi" w:hAnsiTheme="majorHAnsi" w:cstheme="majorHAnsi"/>
        </w:rPr>
        <w:t xml:space="preserve"> 10</w:t>
      </w:r>
      <w:r>
        <w:rPr>
          <w:rFonts w:asciiTheme="majorHAnsi" w:hAnsiTheme="majorHAnsi" w:cstheme="majorHAnsi"/>
        </w:rPr>
        <w:t>-odstotno</w:t>
      </w:r>
      <w:r w:rsidR="00F51B88" w:rsidRPr="00F51B88">
        <w:rPr>
          <w:rFonts w:asciiTheme="majorHAnsi" w:hAnsiTheme="majorHAnsi" w:cstheme="majorHAnsi"/>
        </w:rPr>
        <w:t xml:space="preserve"> z</w:t>
      </w:r>
      <w:r>
        <w:rPr>
          <w:rFonts w:asciiTheme="majorHAnsi" w:hAnsiTheme="majorHAnsi" w:cstheme="majorHAnsi"/>
        </w:rPr>
        <w:t>manjš</w:t>
      </w:r>
      <w:r w:rsidR="00F51B88" w:rsidRPr="00F51B88">
        <w:rPr>
          <w:rFonts w:asciiTheme="majorHAnsi" w:hAnsiTheme="majorHAnsi" w:cstheme="majorHAnsi"/>
        </w:rPr>
        <w:t>anje porabe fosilnih virov energije v primarni energiji pri investicijah, ki se nanašajo na razogljičenje.</w:t>
      </w:r>
    </w:p>
    <w:p w14:paraId="131556C9" w14:textId="4B7F3CCA" w:rsidR="0081051F" w:rsidRDefault="0081051F" w:rsidP="0081051F">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Rok za izvedbo: 2024</w:t>
      </w:r>
      <w:r w:rsidR="00242471">
        <w:rPr>
          <w:rFonts w:asciiTheme="majorHAnsi" w:hAnsiTheme="majorHAnsi" w:cstheme="majorHAnsi"/>
          <w:color w:val="1F3864" w:themeColor="accent1" w:themeShade="80"/>
          <w:u w:val="single"/>
        </w:rPr>
        <w:t xml:space="preserve"> </w:t>
      </w:r>
      <w:r w:rsidR="00D218FC">
        <w:rPr>
          <w:rFonts w:asciiTheme="majorHAnsi" w:hAnsiTheme="majorHAnsi" w:cstheme="majorHAnsi"/>
          <w:color w:val="1F3864" w:themeColor="accent1" w:themeShade="80"/>
          <w:u w:val="single"/>
        </w:rPr>
        <w:t>(objava javnega razpisa)</w:t>
      </w:r>
    </w:p>
    <w:p w14:paraId="24260D75" w14:textId="794F27C3" w:rsidR="00B37816" w:rsidRPr="00BF3AAC" w:rsidRDefault="00B37816" w:rsidP="0081051F">
      <w:pPr>
        <w:jc w:val="both"/>
        <w:rPr>
          <w:rFonts w:asciiTheme="majorHAnsi" w:hAnsiTheme="majorHAnsi" w:cstheme="majorHAnsi"/>
          <w:color w:val="1F3864" w:themeColor="accent1" w:themeShade="80"/>
          <w:u w:val="single"/>
        </w:rPr>
      </w:pPr>
      <w:r>
        <w:rPr>
          <w:rFonts w:asciiTheme="majorHAnsi" w:hAnsiTheme="majorHAnsi" w:cstheme="majorHAnsi"/>
          <w:color w:val="1F3864" w:themeColor="accent1" w:themeShade="80"/>
          <w:u w:val="single"/>
        </w:rPr>
        <w:t>Predvidena finančna sredstva: 42,17 mio EUR</w:t>
      </w:r>
      <w:r w:rsidR="00BC0490">
        <w:rPr>
          <w:rFonts w:asciiTheme="majorHAnsi" w:hAnsiTheme="majorHAnsi" w:cstheme="majorHAnsi"/>
          <w:color w:val="1F3864" w:themeColor="accent1" w:themeShade="80"/>
          <w:u w:val="single"/>
        </w:rPr>
        <w:t xml:space="preserve"> (vir sredstev: </w:t>
      </w:r>
      <w:r w:rsidR="00711BD4">
        <w:rPr>
          <w:rFonts w:asciiTheme="majorHAnsi" w:hAnsiTheme="majorHAnsi" w:cstheme="majorHAnsi"/>
          <w:color w:val="1F3864" w:themeColor="accent1" w:themeShade="80"/>
          <w:u w:val="single"/>
        </w:rPr>
        <w:t>n</w:t>
      </w:r>
      <w:r w:rsidR="00BC0490">
        <w:rPr>
          <w:rFonts w:asciiTheme="majorHAnsi" w:hAnsiTheme="majorHAnsi" w:cstheme="majorHAnsi"/>
          <w:color w:val="1F3864" w:themeColor="accent1" w:themeShade="80"/>
          <w:u w:val="single"/>
        </w:rPr>
        <w:t>acionalni načrt za okrevanje in odpornost</w:t>
      </w:r>
      <w:r w:rsidR="000A1180">
        <w:rPr>
          <w:rFonts w:asciiTheme="majorHAnsi" w:hAnsiTheme="majorHAnsi" w:cstheme="majorHAnsi"/>
          <w:color w:val="1F3864" w:themeColor="accent1" w:themeShade="80"/>
          <w:u w:val="single"/>
        </w:rPr>
        <w:t>, PP</w:t>
      </w:r>
      <w:r w:rsidR="00242471">
        <w:rPr>
          <w:rFonts w:asciiTheme="majorHAnsi" w:hAnsiTheme="majorHAnsi" w:cstheme="majorHAnsi"/>
          <w:color w:val="1F3864" w:themeColor="accent1" w:themeShade="80"/>
          <w:u w:val="single"/>
        </w:rPr>
        <w:t>: 230367</w:t>
      </w:r>
      <w:r w:rsidR="00BC0490">
        <w:rPr>
          <w:rFonts w:asciiTheme="majorHAnsi" w:hAnsiTheme="majorHAnsi" w:cstheme="majorHAnsi"/>
          <w:color w:val="1F3864" w:themeColor="accent1" w:themeShade="80"/>
          <w:u w:val="single"/>
        </w:rPr>
        <w:t>)</w:t>
      </w:r>
    </w:p>
    <w:p w14:paraId="34AF1CA2" w14:textId="6DEAEB28" w:rsidR="0081051F" w:rsidRDefault="0081051F" w:rsidP="0081051F">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 xml:space="preserve">Nosilec: MGTŠ v sodelovanju z MOPE in </w:t>
      </w:r>
      <w:r w:rsidR="00711BD4">
        <w:rPr>
          <w:rFonts w:asciiTheme="majorHAnsi" w:hAnsiTheme="majorHAnsi" w:cstheme="majorHAnsi"/>
          <w:color w:val="1F3864" w:themeColor="accent1" w:themeShade="80"/>
          <w:u w:val="single"/>
        </w:rPr>
        <w:t>a</w:t>
      </w:r>
      <w:r w:rsidRPr="00BF3AAC">
        <w:rPr>
          <w:rFonts w:asciiTheme="majorHAnsi" w:hAnsiTheme="majorHAnsi" w:cstheme="majorHAnsi"/>
          <w:color w:val="1F3864" w:themeColor="accent1" w:themeShade="80"/>
          <w:u w:val="single"/>
        </w:rPr>
        <w:t>gencijo SPIRIT</w:t>
      </w:r>
    </w:p>
    <w:p w14:paraId="55A15BE8" w14:textId="2A4FAC99" w:rsidR="00F51B88" w:rsidRDefault="00F51B88" w:rsidP="0081051F">
      <w:pPr>
        <w:jc w:val="both"/>
        <w:rPr>
          <w:rFonts w:asciiTheme="majorHAnsi" w:hAnsiTheme="majorHAnsi" w:cstheme="majorHAnsi"/>
          <w:color w:val="1F3864" w:themeColor="accent1" w:themeShade="80"/>
          <w:u w:val="single"/>
        </w:rPr>
      </w:pPr>
    </w:p>
    <w:p w14:paraId="4D9D30D7" w14:textId="018C54D9" w:rsidR="00F51B88" w:rsidRPr="00F51B88" w:rsidRDefault="00F51B88" w:rsidP="00F51B88">
      <w:pPr>
        <w:pStyle w:val="Odstavekseznama"/>
        <w:numPr>
          <w:ilvl w:val="1"/>
          <w:numId w:val="4"/>
        </w:numPr>
        <w:ind w:left="426"/>
        <w:jc w:val="both"/>
        <w:rPr>
          <w:rFonts w:asciiTheme="majorHAnsi" w:hAnsiTheme="majorHAnsi" w:cstheme="majorHAnsi"/>
          <w:color w:val="2F5496"/>
        </w:rPr>
      </w:pPr>
      <w:r w:rsidRPr="00F51B88">
        <w:rPr>
          <w:rFonts w:asciiTheme="majorHAnsi" w:hAnsiTheme="majorHAnsi" w:cstheme="majorHAnsi"/>
          <w:color w:val="2F5496"/>
        </w:rPr>
        <w:t>Pilotno</w:t>
      </w:r>
      <w:r w:rsidR="007D0F79">
        <w:rPr>
          <w:rFonts w:asciiTheme="majorHAnsi" w:hAnsiTheme="majorHAnsi" w:cstheme="majorHAnsi"/>
          <w:color w:val="2F5496"/>
        </w:rPr>
        <w:t>-</w:t>
      </w:r>
      <w:r w:rsidRPr="00F51B88">
        <w:rPr>
          <w:rFonts w:asciiTheme="majorHAnsi" w:hAnsiTheme="majorHAnsi" w:cstheme="majorHAnsi"/>
          <w:color w:val="2F5496"/>
        </w:rPr>
        <w:t>demonstracijski projekti</w:t>
      </w:r>
    </w:p>
    <w:p w14:paraId="2D5FE49C" w14:textId="3DBAFF90" w:rsidR="00F51B88" w:rsidRDefault="00F51B88" w:rsidP="00F51B88">
      <w:pPr>
        <w:jc w:val="both"/>
        <w:rPr>
          <w:rFonts w:asciiTheme="majorHAnsi" w:hAnsiTheme="majorHAnsi" w:cstheme="majorHAnsi"/>
        </w:rPr>
      </w:pPr>
      <w:r>
        <w:rPr>
          <w:rFonts w:asciiTheme="majorHAnsi" w:hAnsiTheme="majorHAnsi" w:cstheme="majorHAnsi"/>
        </w:rPr>
        <w:t xml:space="preserve">MGTŠ bo iz naslova </w:t>
      </w:r>
      <w:r w:rsidR="00711BD4">
        <w:rPr>
          <w:rFonts w:asciiTheme="majorHAnsi" w:hAnsiTheme="majorHAnsi" w:cstheme="majorHAnsi"/>
        </w:rPr>
        <w:t>k</w:t>
      </w:r>
      <w:r>
        <w:rPr>
          <w:rFonts w:asciiTheme="majorHAnsi" w:hAnsiTheme="majorHAnsi" w:cstheme="majorHAnsi"/>
        </w:rPr>
        <w:t>ohezijske politike v obdobju 2021</w:t>
      </w:r>
      <w:r w:rsidR="00711BD4">
        <w:rPr>
          <w:rFonts w:asciiTheme="majorHAnsi" w:hAnsiTheme="majorHAnsi" w:cstheme="majorHAnsi"/>
        </w:rPr>
        <w:t>–</w:t>
      </w:r>
      <w:r>
        <w:rPr>
          <w:rFonts w:asciiTheme="majorHAnsi" w:hAnsiTheme="majorHAnsi" w:cstheme="majorHAnsi"/>
        </w:rPr>
        <w:t>2030 namenilo 30 mio EUR za pilotno</w:t>
      </w:r>
      <w:r w:rsidR="007D0F79">
        <w:rPr>
          <w:rFonts w:asciiTheme="majorHAnsi" w:hAnsiTheme="majorHAnsi" w:cstheme="majorHAnsi"/>
        </w:rPr>
        <w:t>-</w:t>
      </w:r>
      <w:r>
        <w:rPr>
          <w:rFonts w:asciiTheme="majorHAnsi" w:hAnsiTheme="majorHAnsi" w:cstheme="majorHAnsi"/>
        </w:rPr>
        <w:t xml:space="preserve">demonstracijske projekte, ki </w:t>
      </w:r>
      <w:r w:rsidRPr="00F51B88">
        <w:rPr>
          <w:rFonts w:asciiTheme="majorHAnsi" w:hAnsiTheme="majorHAnsi" w:cstheme="majorHAnsi"/>
        </w:rPr>
        <w:t xml:space="preserve">so usmerjeni v </w:t>
      </w:r>
      <w:r>
        <w:rPr>
          <w:rFonts w:asciiTheme="majorHAnsi" w:hAnsiTheme="majorHAnsi" w:cstheme="majorHAnsi"/>
        </w:rPr>
        <w:t>razogljičenje, URE, krožno gospodarstvo in druga področja, ključna za zeleni prehod</w:t>
      </w:r>
      <w:r w:rsidRPr="00F51B88">
        <w:rPr>
          <w:rFonts w:asciiTheme="majorHAnsi" w:hAnsiTheme="majorHAnsi" w:cstheme="majorHAnsi"/>
        </w:rPr>
        <w:t xml:space="preserve">. </w:t>
      </w:r>
    </w:p>
    <w:p w14:paraId="45803C31" w14:textId="52BACAF9" w:rsidR="00B81C43" w:rsidRPr="00B81C43" w:rsidRDefault="00B81C43" w:rsidP="00B81C43">
      <w:pPr>
        <w:jc w:val="both"/>
        <w:rPr>
          <w:rFonts w:asciiTheme="majorHAnsi" w:hAnsiTheme="majorHAnsi" w:cstheme="majorHAnsi"/>
        </w:rPr>
      </w:pPr>
      <w:r>
        <w:rPr>
          <w:rFonts w:asciiTheme="majorHAnsi" w:hAnsiTheme="majorHAnsi" w:cstheme="majorHAnsi"/>
        </w:rPr>
        <w:t>P</w:t>
      </w:r>
      <w:r w:rsidRPr="00B81C43">
        <w:rPr>
          <w:rFonts w:asciiTheme="majorHAnsi" w:hAnsiTheme="majorHAnsi" w:cstheme="majorHAnsi"/>
        </w:rPr>
        <w:t>ilotn</w:t>
      </w:r>
      <w:r w:rsidR="007D0F79">
        <w:rPr>
          <w:rFonts w:asciiTheme="majorHAnsi" w:hAnsiTheme="majorHAnsi" w:cstheme="majorHAnsi"/>
        </w:rPr>
        <w:t>o-</w:t>
      </w:r>
      <w:r w:rsidRPr="00B81C43">
        <w:rPr>
          <w:rFonts w:asciiTheme="majorHAnsi" w:hAnsiTheme="majorHAnsi" w:cstheme="majorHAnsi"/>
        </w:rPr>
        <w:t xml:space="preserve">demonstracijski projekti </w:t>
      </w:r>
      <w:r>
        <w:rPr>
          <w:rFonts w:asciiTheme="majorHAnsi" w:hAnsiTheme="majorHAnsi" w:cstheme="majorHAnsi"/>
        </w:rPr>
        <w:t>so namreč ključni</w:t>
      </w:r>
      <w:r w:rsidRPr="00B81C43">
        <w:rPr>
          <w:rFonts w:asciiTheme="majorHAnsi" w:hAnsiTheme="majorHAnsi" w:cstheme="majorHAnsi"/>
        </w:rPr>
        <w:t xml:space="preserve"> pri spodbujanju prehoda </w:t>
      </w:r>
      <w:r w:rsidR="007D0F79">
        <w:rPr>
          <w:rFonts w:asciiTheme="majorHAnsi" w:hAnsiTheme="majorHAnsi" w:cstheme="majorHAnsi"/>
        </w:rPr>
        <w:t>v</w:t>
      </w:r>
      <w:r w:rsidR="007D0F79" w:rsidRPr="00B81C43">
        <w:rPr>
          <w:rFonts w:asciiTheme="majorHAnsi" w:hAnsiTheme="majorHAnsi" w:cstheme="majorHAnsi"/>
        </w:rPr>
        <w:t xml:space="preserve"> </w:t>
      </w:r>
      <w:r w:rsidRPr="00B81C43">
        <w:rPr>
          <w:rFonts w:asciiTheme="majorHAnsi" w:hAnsiTheme="majorHAnsi" w:cstheme="majorHAnsi"/>
        </w:rPr>
        <w:t>trajnostno in zeleno gospodarstvo</w:t>
      </w:r>
      <w:r w:rsidR="007D0F79">
        <w:rPr>
          <w:rFonts w:asciiTheme="majorHAnsi" w:hAnsiTheme="majorHAnsi" w:cstheme="majorHAnsi"/>
        </w:rPr>
        <w:t>,</w:t>
      </w:r>
      <w:r w:rsidRPr="00B81C43">
        <w:rPr>
          <w:rFonts w:asciiTheme="majorHAnsi" w:hAnsiTheme="majorHAnsi" w:cstheme="majorHAnsi"/>
        </w:rPr>
        <w:t xml:space="preserve"> </w:t>
      </w:r>
      <w:r>
        <w:rPr>
          <w:rFonts w:asciiTheme="majorHAnsi" w:hAnsiTheme="majorHAnsi" w:cstheme="majorHAnsi"/>
        </w:rPr>
        <w:t>saj omogočajo:</w:t>
      </w:r>
    </w:p>
    <w:p w14:paraId="72353453" w14:textId="6A6B5EFF" w:rsidR="00B81C43" w:rsidRDefault="007D0F79" w:rsidP="00B81C43">
      <w:pPr>
        <w:pStyle w:val="Odstavekseznama"/>
        <w:numPr>
          <w:ilvl w:val="0"/>
          <w:numId w:val="8"/>
        </w:numPr>
        <w:jc w:val="both"/>
        <w:rPr>
          <w:rFonts w:asciiTheme="majorHAnsi" w:hAnsiTheme="majorHAnsi" w:cstheme="majorHAnsi"/>
        </w:rPr>
      </w:pPr>
      <w:r>
        <w:rPr>
          <w:rFonts w:asciiTheme="majorHAnsi" w:hAnsiTheme="majorHAnsi" w:cstheme="majorHAnsi"/>
        </w:rPr>
        <w:t>t</w:t>
      </w:r>
      <w:r w:rsidR="00B81C43" w:rsidRPr="00B81C43">
        <w:rPr>
          <w:rFonts w:asciiTheme="majorHAnsi" w:hAnsiTheme="majorHAnsi" w:cstheme="majorHAnsi"/>
        </w:rPr>
        <w:t xml:space="preserve">estiranje inovacij: </w:t>
      </w:r>
      <w:r>
        <w:rPr>
          <w:rFonts w:asciiTheme="majorHAnsi" w:hAnsiTheme="majorHAnsi" w:cstheme="majorHAnsi"/>
        </w:rPr>
        <w:t>o</w:t>
      </w:r>
      <w:r w:rsidR="00B81C43" w:rsidRPr="00B81C43">
        <w:rPr>
          <w:rFonts w:asciiTheme="majorHAnsi" w:hAnsiTheme="majorHAnsi" w:cstheme="majorHAnsi"/>
        </w:rPr>
        <w:t xml:space="preserve">mogočajo testiranje inovativnih tehnologij, procesov in poslovnih modelov v realnem okolju. To omogoča </w:t>
      </w:r>
      <w:r>
        <w:rPr>
          <w:rFonts w:asciiTheme="majorHAnsi" w:hAnsiTheme="majorHAnsi" w:cstheme="majorHAnsi"/>
        </w:rPr>
        <w:t>opredelitev morebitnih</w:t>
      </w:r>
      <w:r w:rsidR="00B81C43" w:rsidRPr="00B81C43">
        <w:rPr>
          <w:rFonts w:asciiTheme="majorHAnsi" w:hAnsiTheme="majorHAnsi" w:cstheme="majorHAnsi"/>
        </w:rPr>
        <w:t xml:space="preserve"> ovir, izboljšave in prilagoditve pred </w:t>
      </w:r>
      <w:r>
        <w:rPr>
          <w:rFonts w:asciiTheme="majorHAnsi" w:hAnsiTheme="majorHAnsi" w:cstheme="majorHAnsi"/>
        </w:rPr>
        <w:t xml:space="preserve">njihovo </w:t>
      </w:r>
      <w:r w:rsidR="00B81C43" w:rsidRPr="00B81C43">
        <w:rPr>
          <w:rFonts w:asciiTheme="majorHAnsi" w:hAnsiTheme="majorHAnsi" w:cstheme="majorHAnsi"/>
        </w:rPr>
        <w:t xml:space="preserve">polno </w:t>
      </w:r>
      <w:r>
        <w:rPr>
          <w:rFonts w:asciiTheme="majorHAnsi" w:hAnsiTheme="majorHAnsi" w:cstheme="majorHAnsi"/>
        </w:rPr>
        <w:t>uveljavitvijo;</w:t>
      </w:r>
    </w:p>
    <w:p w14:paraId="7E2555C6" w14:textId="0DB07C0D" w:rsidR="00B81C43" w:rsidRDefault="007D0F79" w:rsidP="00B81C43">
      <w:pPr>
        <w:pStyle w:val="Odstavekseznama"/>
        <w:numPr>
          <w:ilvl w:val="0"/>
          <w:numId w:val="8"/>
        </w:numPr>
        <w:jc w:val="both"/>
        <w:rPr>
          <w:rFonts w:asciiTheme="majorHAnsi" w:hAnsiTheme="majorHAnsi" w:cstheme="majorHAnsi"/>
        </w:rPr>
      </w:pPr>
      <w:r>
        <w:rPr>
          <w:rFonts w:asciiTheme="majorHAnsi" w:hAnsiTheme="majorHAnsi" w:cstheme="majorHAnsi"/>
        </w:rPr>
        <w:t>z</w:t>
      </w:r>
      <w:r w:rsidR="00B81C43" w:rsidRPr="00B81C43">
        <w:rPr>
          <w:rFonts w:asciiTheme="majorHAnsi" w:hAnsiTheme="majorHAnsi" w:cstheme="majorHAnsi"/>
        </w:rPr>
        <w:t xml:space="preserve">manjševanje tveganj: </w:t>
      </w:r>
      <w:r>
        <w:rPr>
          <w:rFonts w:asciiTheme="majorHAnsi" w:hAnsiTheme="majorHAnsi" w:cstheme="majorHAnsi"/>
        </w:rPr>
        <w:t>p</w:t>
      </w:r>
      <w:r w:rsidR="00B81C43" w:rsidRPr="00B81C43">
        <w:rPr>
          <w:rFonts w:asciiTheme="majorHAnsi" w:hAnsiTheme="majorHAnsi" w:cstheme="majorHAnsi"/>
        </w:rPr>
        <w:t xml:space="preserve">ilotni projekti pomagajo zmanjšati tveganja, povezana z uvajanjem novih zelenih tehnologij in </w:t>
      </w:r>
      <w:r>
        <w:rPr>
          <w:rFonts w:asciiTheme="majorHAnsi" w:hAnsiTheme="majorHAnsi" w:cstheme="majorHAnsi"/>
        </w:rPr>
        <w:t>metod</w:t>
      </w:r>
      <w:r w:rsidR="00B81C43" w:rsidRPr="00B81C43">
        <w:rPr>
          <w:rFonts w:asciiTheme="majorHAnsi" w:hAnsiTheme="majorHAnsi" w:cstheme="majorHAnsi"/>
        </w:rPr>
        <w:t>. S tem se zmanjšujejo finančna tveganja za investitorje in izvajalce ter povečuje zaupanje v uspeh projekta</w:t>
      </w:r>
      <w:r>
        <w:rPr>
          <w:rFonts w:asciiTheme="majorHAnsi" w:hAnsiTheme="majorHAnsi" w:cstheme="majorHAnsi"/>
        </w:rPr>
        <w:t>;</w:t>
      </w:r>
    </w:p>
    <w:p w14:paraId="7958966C" w14:textId="36A8F4A1" w:rsidR="00B81C43" w:rsidRDefault="007D0F79" w:rsidP="00B81C43">
      <w:pPr>
        <w:pStyle w:val="Odstavekseznama"/>
        <w:numPr>
          <w:ilvl w:val="0"/>
          <w:numId w:val="8"/>
        </w:numPr>
        <w:jc w:val="both"/>
        <w:rPr>
          <w:rFonts w:asciiTheme="majorHAnsi" w:hAnsiTheme="majorHAnsi" w:cstheme="majorHAnsi"/>
        </w:rPr>
      </w:pPr>
      <w:r>
        <w:rPr>
          <w:rFonts w:asciiTheme="majorHAnsi" w:hAnsiTheme="majorHAnsi" w:cstheme="majorHAnsi"/>
        </w:rPr>
        <w:t>o</w:t>
      </w:r>
      <w:r w:rsidR="00B81C43">
        <w:rPr>
          <w:rFonts w:asciiTheme="majorHAnsi" w:hAnsiTheme="majorHAnsi" w:cstheme="majorHAnsi"/>
        </w:rPr>
        <w:t>zaveščanje in izobraževanje</w:t>
      </w:r>
      <w:r w:rsidR="00B81C43" w:rsidRPr="00B81C43">
        <w:rPr>
          <w:rFonts w:asciiTheme="majorHAnsi" w:hAnsiTheme="majorHAnsi" w:cstheme="majorHAnsi"/>
        </w:rPr>
        <w:t xml:space="preserve">: </w:t>
      </w:r>
      <w:r>
        <w:rPr>
          <w:rFonts w:asciiTheme="majorHAnsi" w:hAnsiTheme="majorHAnsi" w:cstheme="majorHAnsi"/>
        </w:rPr>
        <w:t>d</w:t>
      </w:r>
      <w:r w:rsidR="00B81C43" w:rsidRPr="00B81C43">
        <w:rPr>
          <w:rFonts w:asciiTheme="majorHAnsi" w:hAnsiTheme="majorHAnsi" w:cstheme="majorHAnsi"/>
        </w:rPr>
        <w:t>emonstracijski projekti prispevajo k ozaveščanju javnosti in izobraževanju o pomenu zelenih tehnologij ter trajnostnem razvoju. Prikazujejo praktične primere in rezultate, kar lahko spodbudi širše sprejemanje in podporo</w:t>
      </w:r>
      <w:r>
        <w:rPr>
          <w:rFonts w:asciiTheme="majorHAnsi" w:hAnsiTheme="majorHAnsi" w:cstheme="majorHAnsi"/>
        </w:rPr>
        <w:t>;</w:t>
      </w:r>
    </w:p>
    <w:p w14:paraId="568F9310" w14:textId="0F76EF12" w:rsidR="00B81C43" w:rsidRPr="00B81C43" w:rsidRDefault="007D0F79" w:rsidP="00B81C43">
      <w:pPr>
        <w:pStyle w:val="Odstavekseznama"/>
        <w:numPr>
          <w:ilvl w:val="0"/>
          <w:numId w:val="8"/>
        </w:numPr>
        <w:jc w:val="both"/>
        <w:rPr>
          <w:rFonts w:asciiTheme="majorHAnsi" w:hAnsiTheme="majorHAnsi" w:cstheme="majorHAnsi"/>
        </w:rPr>
      </w:pPr>
      <w:r>
        <w:rPr>
          <w:rFonts w:asciiTheme="majorHAnsi" w:hAnsiTheme="majorHAnsi" w:cstheme="majorHAnsi"/>
        </w:rPr>
        <w:t>p</w:t>
      </w:r>
      <w:r w:rsidR="00B81C43" w:rsidRPr="00B81C43">
        <w:rPr>
          <w:rFonts w:asciiTheme="majorHAnsi" w:hAnsiTheme="majorHAnsi" w:cstheme="majorHAnsi"/>
        </w:rPr>
        <w:t xml:space="preserve">renosljivost znanja: </w:t>
      </w:r>
      <w:r>
        <w:rPr>
          <w:rFonts w:asciiTheme="majorHAnsi" w:hAnsiTheme="majorHAnsi" w:cstheme="majorHAnsi"/>
        </w:rPr>
        <w:t>i</w:t>
      </w:r>
      <w:r w:rsidR="00B81C43" w:rsidRPr="00B81C43">
        <w:rPr>
          <w:rFonts w:asciiTheme="majorHAnsi" w:hAnsiTheme="majorHAnsi" w:cstheme="majorHAnsi"/>
        </w:rPr>
        <w:t>zkušnje, pridobljene iz pilotnih projektov, se lahko uporabijo za razvoj smernic, standardov in politik ter se prenesejo na drug</w:t>
      </w:r>
      <w:r>
        <w:rPr>
          <w:rFonts w:asciiTheme="majorHAnsi" w:hAnsiTheme="majorHAnsi" w:cstheme="majorHAnsi"/>
        </w:rPr>
        <w:t xml:space="preserve">a področja </w:t>
      </w:r>
      <w:r w:rsidR="00B81C43" w:rsidRPr="00B81C43">
        <w:rPr>
          <w:rFonts w:asciiTheme="majorHAnsi" w:hAnsiTheme="majorHAnsi" w:cstheme="majorHAnsi"/>
        </w:rPr>
        <w:t>in</w:t>
      </w:r>
      <w:r>
        <w:rPr>
          <w:rFonts w:asciiTheme="majorHAnsi" w:hAnsiTheme="majorHAnsi" w:cstheme="majorHAnsi"/>
        </w:rPr>
        <w:t xml:space="preserve"> v druge</w:t>
      </w:r>
      <w:r w:rsidR="00B81C43" w:rsidRPr="00B81C43">
        <w:rPr>
          <w:rFonts w:asciiTheme="majorHAnsi" w:hAnsiTheme="majorHAnsi" w:cstheme="majorHAnsi"/>
        </w:rPr>
        <w:t xml:space="preserve"> regije. To omogoča hitrejšo in učinkovitejšo </w:t>
      </w:r>
      <w:r>
        <w:rPr>
          <w:rFonts w:asciiTheme="majorHAnsi" w:hAnsiTheme="majorHAnsi" w:cstheme="majorHAnsi"/>
        </w:rPr>
        <w:t>uvedbo</w:t>
      </w:r>
      <w:r w:rsidRPr="00B81C43">
        <w:rPr>
          <w:rFonts w:asciiTheme="majorHAnsi" w:hAnsiTheme="majorHAnsi" w:cstheme="majorHAnsi"/>
        </w:rPr>
        <w:t xml:space="preserve"> </w:t>
      </w:r>
      <w:r w:rsidR="00B81C43" w:rsidRPr="00B81C43">
        <w:rPr>
          <w:rFonts w:asciiTheme="majorHAnsi" w:hAnsiTheme="majorHAnsi" w:cstheme="majorHAnsi"/>
        </w:rPr>
        <w:t xml:space="preserve">zelenih rešitev </w:t>
      </w:r>
      <w:r>
        <w:rPr>
          <w:rFonts w:asciiTheme="majorHAnsi" w:hAnsiTheme="majorHAnsi" w:cstheme="majorHAnsi"/>
        </w:rPr>
        <w:t>v</w:t>
      </w:r>
      <w:r w:rsidRPr="00B81C43">
        <w:rPr>
          <w:rFonts w:asciiTheme="majorHAnsi" w:hAnsiTheme="majorHAnsi" w:cstheme="majorHAnsi"/>
        </w:rPr>
        <w:t xml:space="preserve"> </w:t>
      </w:r>
      <w:r w:rsidR="00B81C43" w:rsidRPr="00B81C43">
        <w:rPr>
          <w:rFonts w:asciiTheme="majorHAnsi" w:hAnsiTheme="majorHAnsi" w:cstheme="majorHAnsi"/>
        </w:rPr>
        <w:t>večjem obsegu</w:t>
      </w:r>
      <w:r>
        <w:rPr>
          <w:rFonts w:asciiTheme="majorHAnsi" w:hAnsiTheme="majorHAnsi" w:cstheme="majorHAnsi"/>
        </w:rPr>
        <w:t>;</w:t>
      </w:r>
    </w:p>
    <w:p w14:paraId="63EC4E9E" w14:textId="1C62EAA6" w:rsidR="00B81C43" w:rsidRDefault="007D0F79" w:rsidP="00C74D6C">
      <w:pPr>
        <w:pStyle w:val="Odstavekseznama"/>
        <w:numPr>
          <w:ilvl w:val="0"/>
          <w:numId w:val="8"/>
        </w:numPr>
        <w:jc w:val="both"/>
        <w:rPr>
          <w:rFonts w:asciiTheme="majorHAnsi" w:hAnsiTheme="majorHAnsi" w:cstheme="majorHAnsi"/>
        </w:rPr>
      </w:pPr>
      <w:r>
        <w:rPr>
          <w:rFonts w:asciiTheme="majorHAnsi" w:hAnsiTheme="majorHAnsi" w:cstheme="majorHAnsi"/>
        </w:rPr>
        <w:t>p</w:t>
      </w:r>
      <w:r w:rsidR="00B81C43" w:rsidRPr="00B81C43">
        <w:rPr>
          <w:rFonts w:asciiTheme="majorHAnsi" w:hAnsiTheme="majorHAnsi" w:cstheme="majorHAnsi"/>
        </w:rPr>
        <w:t xml:space="preserve">rivabljanje investicij: </w:t>
      </w:r>
      <w:r>
        <w:rPr>
          <w:rFonts w:asciiTheme="majorHAnsi" w:hAnsiTheme="majorHAnsi" w:cstheme="majorHAnsi"/>
        </w:rPr>
        <w:t>u</w:t>
      </w:r>
      <w:r w:rsidR="00B81C43" w:rsidRPr="00B81C43">
        <w:rPr>
          <w:rFonts w:asciiTheme="majorHAnsi" w:hAnsiTheme="majorHAnsi" w:cstheme="majorHAnsi"/>
        </w:rPr>
        <w:t>spešni pilotni projekti lahko privabijo zasebne invest</w:t>
      </w:r>
      <w:r>
        <w:rPr>
          <w:rFonts w:asciiTheme="majorHAnsi" w:hAnsiTheme="majorHAnsi" w:cstheme="majorHAnsi"/>
        </w:rPr>
        <w:t>itorje</w:t>
      </w:r>
      <w:r w:rsidR="00B81C43" w:rsidRPr="00B81C43">
        <w:rPr>
          <w:rFonts w:asciiTheme="majorHAnsi" w:hAnsiTheme="majorHAnsi" w:cstheme="majorHAnsi"/>
        </w:rPr>
        <w:t xml:space="preserve"> in </w:t>
      </w:r>
      <w:r>
        <w:rPr>
          <w:rFonts w:asciiTheme="majorHAnsi" w:hAnsiTheme="majorHAnsi" w:cstheme="majorHAnsi"/>
        </w:rPr>
        <w:t xml:space="preserve">pridobijo </w:t>
      </w:r>
      <w:r w:rsidR="00B81C43" w:rsidRPr="00B81C43">
        <w:rPr>
          <w:rFonts w:asciiTheme="majorHAnsi" w:hAnsiTheme="majorHAnsi" w:cstheme="majorHAnsi"/>
        </w:rPr>
        <w:t xml:space="preserve">javna sredstva za nadaljnji razvoj in širitev zelenih tehnologij. </w:t>
      </w:r>
    </w:p>
    <w:p w14:paraId="0F10E420" w14:textId="77777777" w:rsidR="00B81C43" w:rsidRPr="00B81C43" w:rsidRDefault="00B81C43" w:rsidP="00B81C43">
      <w:pPr>
        <w:pStyle w:val="Odstavekseznama"/>
        <w:ind w:left="360"/>
        <w:jc w:val="both"/>
        <w:rPr>
          <w:rFonts w:asciiTheme="majorHAnsi" w:hAnsiTheme="majorHAnsi" w:cstheme="majorHAnsi"/>
        </w:rPr>
      </w:pPr>
    </w:p>
    <w:p w14:paraId="4F5773D4" w14:textId="226F1599" w:rsidR="00F51B88" w:rsidRDefault="00F51B88" w:rsidP="00F51B88">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Rok za izvedbo: 2025</w:t>
      </w:r>
      <w:r w:rsidR="00BC0490">
        <w:rPr>
          <w:rFonts w:asciiTheme="majorHAnsi" w:hAnsiTheme="majorHAnsi" w:cstheme="majorHAnsi"/>
          <w:color w:val="1F3864" w:themeColor="accent1" w:themeShade="80"/>
          <w:u w:val="single"/>
        </w:rPr>
        <w:t xml:space="preserve"> (objava javnega razpisa)</w:t>
      </w:r>
    </w:p>
    <w:p w14:paraId="51393C25" w14:textId="1BAACC8C" w:rsidR="00B37816" w:rsidRPr="00BF3AAC" w:rsidRDefault="00B37816" w:rsidP="00F51B88">
      <w:pPr>
        <w:jc w:val="both"/>
        <w:rPr>
          <w:rFonts w:asciiTheme="majorHAnsi" w:hAnsiTheme="majorHAnsi" w:cstheme="majorHAnsi"/>
          <w:color w:val="1F3864" w:themeColor="accent1" w:themeShade="80"/>
          <w:u w:val="single"/>
        </w:rPr>
      </w:pPr>
      <w:r>
        <w:rPr>
          <w:rFonts w:asciiTheme="majorHAnsi" w:hAnsiTheme="majorHAnsi" w:cstheme="majorHAnsi"/>
          <w:color w:val="1F3864" w:themeColor="accent1" w:themeShade="80"/>
          <w:u w:val="single"/>
        </w:rPr>
        <w:t>Predvidena finančna sredstva: 30 mio EUR</w:t>
      </w:r>
      <w:r w:rsidR="00BC0490">
        <w:rPr>
          <w:rFonts w:asciiTheme="majorHAnsi" w:hAnsiTheme="majorHAnsi" w:cstheme="majorHAnsi"/>
          <w:color w:val="1F3864" w:themeColor="accent1" w:themeShade="80"/>
          <w:u w:val="single"/>
        </w:rPr>
        <w:t xml:space="preserve"> (vir sredstev: </w:t>
      </w:r>
      <w:r w:rsidR="007F354E">
        <w:rPr>
          <w:rFonts w:asciiTheme="majorHAnsi" w:hAnsiTheme="majorHAnsi" w:cstheme="majorHAnsi"/>
          <w:color w:val="1F3864" w:themeColor="accent1" w:themeShade="80"/>
          <w:u w:val="single"/>
        </w:rPr>
        <w:t>p</w:t>
      </w:r>
      <w:r w:rsidR="00BC0490" w:rsidRPr="00BC0490">
        <w:rPr>
          <w:rFonts w:asciiTheme="majorHAnsi" w:hAnsiTheme="majorHAnsi" w:cstheme="majorHAnsi"/>
          <w:color w:val="1F3864" w:themeColor="accent1" w:themeShade="80"/>
          <w:u w:val="single"/>
        </w:rPr>
        <w:t>rogram evropske kohezijske politike 2021</w:t>
      </w:r>
      <w:r w:rsidR="007D0F79">
        <w:rPr>
          <w:rFonts w:asciiTheme="majorHAnsi" w:hAnsiTheme="majorHAnsi" w:cstheme="majorHAnsi"/>
          <w:color w:val="1F3864" w:themeColor="accent1" w:themeShade="80"/>
          <w:u w:val="single"/>
        </w:rPr>
        <w:t>–</w:t>
      </w:r>
      <w:r w:rsidR="00BC0490" w:rsidRPr="00BC0490">
        <w:rPr>
          <w:rFonts w:asciiTheme="majorHAnsi" w:hAnsiTheme="majorHAnsi" w:cstheme="majorHAnsi"/>
          <w:color w:val="1F3864" w:themeColor="accent1" w:themeShade="80"/>
          <w:u w:val="single"/>
        </w:rPr>
        <w:t>2027</w:t>
      </w:r>
      <w:r w:rsidR="000A1180">
        <w:rPr>
          <w:rFonts w:asciiTheme="majorHAnsi" w:hAnsiTheme="majorHAnsi" w:cstheme="majorHAnsi"/>
          <w:color w:val="1F3864" w:themeColor="accent1" w:themeShade="80"/>
          <w:u w:val="single"/>
        </w:rPr>
        <w:t>; ni še odprtih PP</w:t>
      </w:r>
      <w:r w:rsidR="00BC0490">
        <w:rPr>
          <w:rFonts w:asciiTheme="majorHAnsi" w:hAnsiTheme="majorHAnsi" w:cstheme="majorHAnsi"/>
          <w:color w:val="1F3864" w:themeColor="accent1" w:themeShade="80"/>
          <w:u w:val="single"/>
        </w:rPr>
        <w:t>)</w:t>
      </w:r>
    </w:p>
    <w:p w14:paraId="77979378" w14:textId="63B63DE7" w:rsidR="00F51B88" w:rsidRPr="00F51B88" w:rsidRDefault="00F51B88" w:rsidP="00F51B88">
      <w:pPr>
        <w:jc w:val="both"/>
        <w:rPr>
          <w:rFonts w:asciiTheme="majorHAnsi" w:hAnsiTheme="majorHAnsi" w:cstheme="majorHAnsi"/>
        </w:rPr>
      </w:pPr>
      <w:r w:rsidRPr="00BF3AAC">
        <w:rPr>
          <w:rFonts w:asciiTheme="majorHAnsi" w:hAnsiTheme="majorHAnsi" w:cstheme="majorHAnsi"/>
          <w:color w:val="1F3864" w:themeColor="accent1" w:themeShade="80"/>
          <w:u w:val="single"/>
        </w:rPr>
        <w:t xml:space="preserve">Nosilec: MGTŠ v sodelovanju </w:t>
      </w:r>
      <w:r>
        <w:rPr>
          <w:rFonts w:asciiTheme="majorHAnsi" w:hAnsiTheme="majorHAnsi" w:cstheme="majorHAnsi"/>
          <w:color w:val="1F3864" w:themeColor="accent1" w:themeShade="80"/>
          <w:u w:val="single"/>
        </w:rPr>
        <w:t>z ARIS</w:t>
      </w:r>
    </w:p>
    <w:p w14:paraId="6EDCDFCC" w14:textId="31F1C15C" w:rsidR="00837BDF" w:rsidRDefault="00837BDF" w:rsidP="00837BDF">
      <w:pPr>
        <w:pStyle w:val="Odstavekseznama"/>
        <w:ind w:left="360"/>
        <w:rPr>
          <w:rFonts w:asciiTheme="majorHAnsi" w:hAnsiTheme="majorHAnsi" w:cstheme="majorHAnsi"/>
          <w:sz w:val="24"/>
          <w:szCs w:val="24"/>
        </w:rPr>
      </w:pPr>
    </w:p>
    <w:p w14:paraId="2A828461" w14:textId="77777777" w:rsidR="00837BDF" w:rsidRPr="00720FF1" w:rsidRDefault="00837BDF" w:rsidP="0081051F">
      <w:pPr>
        <w:pStyle w:val="Odstavekseznama"/>
        <w:numPr>
          <w:ilvl w:val="1"/>
          <w:numId w:val="4"/>
        </w:numPr>
        <w:ind w:left="426"/>
        <w:jc w:val="both"/>
        <w:rPr>
          <w:rFonts w:asciiTheme="majorHAnsi" w:hAnsiTheme="majorHAnsi" w:cstheme="majorHAnsi"/>
          <w:color w:val="2F5496"/>
        </w:rPr>
      </w:pPr>
      <w:r w:rsidRPr="00720FF1">
        <w:rPr>
          <w:rFonts w:asciiTheme="majorHAnsi" w:hAnsiTheme="majorHAnsi" w:cstheme="majorHAnsi"/>
          <w:color w:val="2F5496"/>
        </w:rPr>
        <w:t>Finančni instrumenti, vključno z »</w:t>
      </w:r>
      <w:proofErr w:type="spellStart"/>
      <w:r w:rsidRPr="00720FF1">
        <w:rPr>
          <w:rFonts w:asciiTheme="majorHAnsi" w:hAnsiTheme="majorHAnsi" w:cstheme="majorHAnsi"/>
          <w:color w:val="2F5496"/>
        </w:rPr>
        <w:t>blendingom</w:t>
      </w:r>
      <w:proofErr w:type="spellEnd"/>
      <w:r w:rsidRPr="00720FF1">
        <w:rPr>
          <w:rFonts w:asciiTheme="majorHAnsi" w:hAnsiTheme="majorHAnsi" w:cstheme="majorHAnsi"/>
          <w:color w:val="2F5496"/>
        </w:rPr>
        <w:t>«</w:t>
      </w:r>
    </w:p>
    <w:p w14:paraId="2C046967" w14:textId="2304FCB4" w:rsidR="00BC3C55" w:rsidRPr="00720FF1" w:rsidRDefault="00BC3C55" w:rsidP="00BC3C55">
      <w:pPr>
        <w:jc w:val="both"/>
        <w:rPr>
          <w:rFonts w:asciiTheme="majorHAnsi" w:hAnsiTheme="majorHAnsi" w:cstheme="majorHAnsi"/>
        </w:rPr>
      </w:pPr>
      <w:r w:rsidRPr="00720FF1">
        <w:rPr>
          <w:rFonts w:asciiTheme="majorHAnsi" w:hAnsiTheme="majorHAnsi" w:cstheme="majorHAnsi"/>
        </w:rPr>
        <w:t>Ugotovitve</w:t>
      </w:r>
      <w:r w:rsidR="007D0F79">
        <w:rPr>
          <w:rFonts w:asciiTheme="majorHAnsi" w:hAnsiTheme="majorHAnsi" w:cstheme="majorHAnsi"/>
        </w:rPr>
        <w:t xml:space="preserve"> </w:t>
      </w:r>
      <w:r w:rsidR="007F354E">
        <w:rPr>
          <w:rFonts w:asciiTheme="majorHAnsi" w:hAnsiTheme="majorHAnsi" w:cstheme="majorHAnsi"/>
        </w:rPr>
        <w:t>iz</w:t>
      </w:r>
      <w:r w:rsidRPr="00720FF1">
        <w:rPr>
          <w:rFonts w:asciiTheme="majorHAnsi" w:hAnsiTheme="majorHAnsi" w:cstheme="majorHAnsi"/>
        </w:rPr>
        <w:t xml:space="preserve"> »</w:t>
      </w:r>
      <w:r w:rsidR="0081051F" w:rsidRPr="00720FF1">
        <w:rPr>
          <w:rFonts w:asciiTheme="majorHAnsi" w:hAnsiTheme="majorHAnsi" w:cstheme="majorHAnsi"/>
        </w:rPr>
        <w:t>Analiz</w:t>
      </w:r>
      <w:r w:rsidR="007F354E">
        <w:rPr>
          <w:rFonts w:asciiTheme="majorHAnsi" w:hAnsiTheme="majorHAnsi" w:cstheme="majorHAnsi"/>
        </w:rPr>
        <w:t>e</w:t>
      </w:r>
      <w:r w:rsidR="0081051F" w:rsidRPr="00720FF1">
        <w:rPr>
          <w:rFonts w:asciiTheme="majorHAnsi" w:hAnsiTheme="majorHAnsi" w:cstheme="majorHAnsi"/>
        </w:rPr>
        <w:t xml:space="preserve"> potencialov industrije, s poudarkom na energetsko intenzivni industriji, za razogljičenje in zeleni prehod</w:t>
      </w:r>
      <w:r w:rsidRPr="00720FF1">
        <w:rPr>
          <w:rFonts w:asciiTheme="majorHAnsi" w:hAnsiTheme="majorHAnsi" w:cstheme="majorHAnsi"/>
        </w:rPr>
        <w:t>«</w:t>
      </w:r>
      <w:r w:rsidR="007D0F79">
        <w:rPr>
          <w:rFonts w:asciiTheme="majorHAnsi" w:hAnsiTheme="majorHAnsi" w:cstheme="majorHAnsi"/>
        </w:rPr>
        <w:t xml:space="preserve"> s</w:t>
      </w:r>
      <w:r w:rsidRPr="00720FF1">
        <w:rPr>
          <w:rFonts w:asciiTheme="majorHAnsi" w:hAnsiTheme="majorHAnsi" w:cstheme="majorHAnsi"/>
        </w:rPr>
        <w:t>o,</w:t>
      </w:r>
      <w:r w:rsidR="0081051F" w:rsidRPr="00720FF1">
        <w:rPr>
          <w:rFonts w:asciiTheme="majorHAnsi" w:hAnsiTheme="majorHAnsi" w:cstheme="majorHAnsi"/>
        </w:rPr>
        <w:t xml:space="preserve"> da</w:t>
      </w:r>
      <w:r w:rsidRPr="00720FF1">
        <w:rPr>
          <w:rFonts w:asciiTheme="majorHAnsi" w:hAnsiTheme="majorHAnsi" w:cstheme="majorHAnsi"/>
        </w:rPr>
        <w:t xml:space="preserve"> so tehnologije in investicije v zeleni prehod drage ter zahtevajo aktivno udeležbo države na lokalni in državni ravni. </w:t>
      </w:r>
    </w:p>
    <w:p w14:paraId="639B005C" w14:textId="466046B6" w:rsidR="00DA6819" w:rsidRPr="00DA6819" w:rsidRDefault="00DA6819" w:rsidP="00DA6819">
      <w:pPr>
        <w:jc w:val="both"/>
        <w:rPr>
          <w:rFonts w:asciiTheme="majorHAnsi" w:hAnsiTheme="majorHAnsi" w:cstheme="majorHAnsi"/>
        </w:rPr>
      </w:pPr>
      <w:r w:rsidRPr="00DA6819">
        <w:rPr>
          <w:rFonts w:asciiTheme="majorHAnsi" w:hAnsiTheme="majorHAnsi" w:cstheme="majorHAnsi"/>
        </w:rPr>
        <w:t>Odpravljanje vrzeli v financiranju za zeleni prehod včasih zahteva več kot le odobritev ugodnejših pogojev financiranja, kot jih lahko ponudijo poslovne banke (npr. daljša zapadlost, moratorij, subvencioniranje obrestnih mer), saj je gospodarski izziv projekta prevladujoč in pogosto ne vodi v pozitivn</w:t>
      </w:r>
      <w:r w:rsidR="00091FA9">
        <w:rPr>
          <w:rFonts w:asciiTheme="majorHAnsi" w:hAnsiTheme="majorHAnsi" w:cstheme="majorHAnsi"/>
        </w:rPr>
        <w:t>i</w:t>
      </w:r>
      <w:r w:rsidRPr="00DA6819">
        <w:rPr>
          <w:rFonts w:asciiTheme="majorHAnsi" w:hAnsiTheme="majorHAnsi" w:cstheme="majorHAnsi"/>
        </w:rPr>
        <w:t xml:space="preserve"> končni rezultat. </w:t>
      </w:r>
      <w:r w:rsidR="002B61AB" w:rsidRPr="00DA6819">
        <w:rPr>
          <w:rFonts w:asciiTheme="majorHAnsi" w:hAnsiTheme="majorHAnsi" w:cstheme="majorHAnsi"/>
        </w:rPr>
        <w:t>Zato del stroškov zelenega prehoda pri projektih</w:t>
      </w:r>
      <w:r w:rsidR="002B61AB">
        <w:rPr>
          <w:rFonts w:asciiTheme="majorHAnsi" w:hAnsiTheme="majorHAnsi" w:cstheme="majorHAnsi"/>
        </w:rPr>
        <w:t xml:space="preserve"> podjetij</w:t>
      </w:r>
      <w:r w:rsidR="002B61AB" w:rsidRPr="00DA6819">
        <w:rPr>
          <w:rFonts w:asciiTheme="majorHAnsi" w:hAnsiTheme="majorHAnsi" w:cstheme="majorHAnsi"/>
        </w:rPr>
        <w:t xml:space="preserve"> včasih ne sme biti del neposredno subvencioniranih sredstev, ki jih država dodeli nekaterim</w:t>
      </w:r>
      <w:r w:rsidR="002B61AB">
        <w:rPr>
          <w:rFonts w:asciiTheme="majorHAnsi" w:hAnsiTheme="majorHAnsi" w:cstheme="majorHAnsi"/>
        </w:rPr>
        <w:t xml:space="preserve"> t</w:t>
      </w:r>
      <w:r w:rsidR="007F354E">
        <w:rPr>
          <w:rFonts w:asciiTheme="majorHAnsi" w:hAnsiTheme="majorHAnsi" w:cstheme="majorHAnsi"/>
        </w:rPr>
        <w:t>aki</w:t>
      </w:r>
      <w:r w:rsidR="002B61AB">
        <w:rPr>
          <w:rFonts w:asciiTheme="majorHAnsi" w:hAnsiTheme="majorHAnsi" w:cstheme="majorHAnsi"/>
        </w:rPr>
        <w:t>m</w:t>
      </w:r>
      <w:r w:rsidR="002B61AB" w:rsidRPr="00DA6819">
        <w:rPr>
          <w:rFonts w:asciiTheme="majorHAnsi" w:hAnsiTheme="majorHAnsi" w:cstheme="majorHAnsi"/>
        </w:rPr>
        <w:t xml:space="preserve"> projektom, da bi pospešili preobrazbo </w:t>
      </w:r>
      <w:r w:rsidR="00091FA9">
        <w:rPr>
          <w:rFonts w:asciiTheme="majorHAnsi" w:hAnsiTheme="majorHAnsi" w:cstheme="majorHAnsi"/>
        </w:rPr>
        <w:t xml:space="preserve">na podlagi </w:t>
      </w:r>
      <w:r w:rsidR="002B61AB" w:rsidRPr="00DA6819">
        <w:rPr>
          <w:rFonts w:asciiTheme="majorHAnsi" w:hAnsiTheme="majorHAnsi" w:cstheme="majorHAnsi"/>
        </w:rPr>
        <w:t>zelenega prehoda</w:t>
      </w:r>
      <w:r w:rsidR="002B61AB">
        <w:rPr>
          <w:rFonts w:asciiTheme="majorHAnsi" w:hAnsiTheme="majorHAnsi" w:cstheme="majorHAnsi"/>
        </w:rPr>
        <w:t>.</w:t>
      </w:r>
      <w:r w:rsidR="002B61AB" w:rsidRPr="00DA6819">
        <w:rPr>
          <w:rFonts w:asciiTheme="majorHAnsi" w:hAnsiTheme="majorHAnsi" w:cstheme="majorHAnsi"/>
        </w:rPr>
        <w:t xml:space="preserve"> </w:t>
      </w:r>
    </w:p>
    <w:p w14:paraId="7F814B82" w14:textId="3E52E250" w:rsidR="002B61AB" w:rsidRDefault="002B61AB" w:rsidP="002B61AB">
      <w:pPr>
        <w:jc w:val="both"/>
        <w:rPr>
          <w:rFonts w:asciiTheme="majorHAnsi" w:hAnsiTheme="majorHAnsi" w:cstheme="majorHAnsi"/>
        </w:rPr>
      </w:pPr>
      <w:r w:rsidRPr="00DA6819">
        <w:rPr>
          <w:rFonts w:asciiTheme="majorHAnsi" w:hAnsiTheme="majorHAnsi" w:cstheme="majorHAnsi"/>
        </w:rPr>
        <w:t>Za</w:t>
      </w:r>
      <w:r w:rsidR="00797874">
        <w:rPr>
          <w:rFonts w:asciiTheme="majorHAnsi" w:hAnsiTheme="majorHAnsi" w:cstheme="majorHAnsi"/>
        </w:rPr>
        <w:t>radi navedenega</w:t>
      </w:r>
      <w:r w:rsidRPr="00DA6819">
        <w:rPr>
          <w:rFonts w:asciiTheme="majorHAnsi" w:hAnsiTheme="majorHAnsi" w:cstheme="majorHAnsi"/>
        </w:rPr>
        <w:t xml:space="preserve"> je treba obstoječe finančne instrumente, ki jih že izvajajo SID banka, Slovenski podjetniški sklad in druge finančne institucije, okrepiti za nekatere projekte, </w:t>
      </w:r>
      <w:r>
        <w:rPr>
          <w:rFonts w:asciiTheme="majorHAnsi" w:hAnsiTheme="majorHAnsi" w:cstheme="majorHAnsi"/>
        </w:rPr>
        <w:t xml:space="preserve">ki pomembno prispevajo k izboljšanju energetske učinkovitosti in </w:t>
      </w:r>
      <w:r w:rsidRPr="00DA6819">
        <w:rPr>
          <w:rFonts w:asciiTheme="majorHAnsi" w:hAnsiTheme="majorHAnsi" w:cstheme="majorHAnsi"/>
        </w:rPr>
        <w:t>ki se</w:t>
      </w:r>
      <w:r>
        <w:rPr>
          <w:rFonts w:asciiTheme="majorHAnsi" w:hAnsiTheme="majorHAnsi" w:cstheme="majorHAnsi"/>
        </w:rPr>
        <w:t xml:space="preserve"> lahko</w:t>
      </w:r>
      <w:r w:rsidRPr="00DA6819">
        <w:rPr>
          <w:rFonts w:asciiTheme="majorHAnsi" w:hAnsiTheme="majorHAnsi" w:cstheme="majorHAnsi"/>
        </w:rPr>
        <w:t xml:space="preserve"> </w:t>
      </w:r>
      <w:r>
        <w:rPr>
          <w:rFonts w:asciiTheme="majorHAnsi" w:hAnsiTheme="majorHAnsi" w:cstheme="majorHAnsi"/>
        </w:rPr>
        <w:t>podprejo</w:t>
      </w:r>
      <w:r w:rsidRPr="00DA6819">
        <w:rPr>
          <w:rFonts w:asciiTheme="majorHAnsi" w:hAnsiTheme="majorHAnsi" w:cstheme="majorHAnsi"/>
        </w:rPr>
        <w:t xml:space="preserve"> s t. i. kombiniranjem</w:t>
      </w:r>
      <w:r>
        <w:rPr>
          <w:rFonts w:asciiTheme="majorHAnsi" w:hAnsiTheme="majorHAnsi" w:cstheme="majorHAnsi"/>
        </w:rPr>
        <w:t xml:space="preserve"> finančnih virov</w:t>
      </w:r>
      <w:r w:rsidRPr="00DA6819">
        <w:rPr>
          <w:rFonts w:asciiTheme="majorHAnsi" w:hAnsiTheme="majorHAnsi" w:cstheme="majorHAnsi"/>
        </w:rPr>
        <w:t xml:space="preserve">, kar pomeni, da je treba del stroškov zelenega prehoda projekta kriti </w:t>
      </w:r>
      <w:r>
        <w:rPr>
          <w:rFonts w:asciiTheme="majorHAnsi" w:hAnsiTheme="majorHAnsi" w:cstheme="majorHAnsi"/>
        </w:rPr>
        <w:t xml:space="preserve">s </w:t>
      </w:r>
      <w:r w:rsidRPr="00DA6819">
        <w:rPr>
          <w:rFonts w:asciiTheme="majorHAnsi" w:hAnsiTheme="majorHAnsi" w:cstheme="majorHAnsi"/>
        </w:rPr>
        <w:t xml:space="preserve">povratnimi sredstvi, </w:t>
      </w:r>
      <w:r>
        <w:rPr>
          <w:rFonts w:asciiTheme="majorHAnsi" w:hAnsiTheme="majorHAnsi" w:cstheme="majorHAnsi"/>
        </w:rPr>
        <w:t>tem pa dodamo tudi nepovratna sredstva (t.</w:t>
      </w:r>
      <w:r w:rsidR="00091FA9">
        <w:rPr>
          <w:rFonts w:asciiTheme="majorHAnsi" w:hAnsiTheme="majorHAnsi" w:cstheme="majorHAnsi"/>
        </w:rPr>
        <w:t> </w:t>
      </w:r>
      <w:r>
        <w:rPr>
          <w:rFonts w:asciiTheme="majorHAnsi" w:hAnsiTheme="majorHAnsi" w:cstheme="majorHAnsi"/>
        </w:rPr>
        <w:t xml:space="preserve">i. </w:t>
      </w:r>
      <w:proofErr w:type="spellStart"/>
      <w:r>
        <w:rPr>
          <w:rFonts w:asciiTheme="majorHAnsi" w:hAnsiTheme="majorHAnsi" w:cstheme="majorHAnsi"/>
        </w:rPr>
        <w:t>blending</w:t>
      </w:r>
      <w:proofErr w:type="spellEnd"/>
      <w:r>
        <w:rPr>
          <w:rFonts w:asciiTheme="majorHAnsi" w:hAnsiTheme="majorHAnsi" w:cstheme="majorHAnsi"/>
        </w:rPr>
        <w:t xml:space="preserve">) z namenom, da se doseže večja učinkovitost financiranja in </w:t>
      </w:r>
      <w:r>
        <w:rPr>
          <w:rFonts w:asciiTheme="majorHAnsi" w:hAnsiTheme="majorHAnsi" w:cstheme="majorHAnsi"/>
        </w:rPr>
        <w:lastRenderedPageBreak/>
        <w:t>ugodnejši vir za podjetja</w:t>
      </w:r>
      <w:r w:rsidRPr="00DA6819">
        <w:rPr>
          <w:rFonts w:asciiTheme="majorHAnsi" w:hAnsiTheme="majorHAnsi" w:cstheme="majorHAnsi"/>
        </w:rPr>
        <w:t xml:space="preserve">. Ta ukrep </w:t>
      </w:r>
      <w:r w:rsidR="007F354E">
        <w:rPr>
          <w:rFonts w:asciiTheme="majorHAnsi" w:hAnsiTheme="majorHAnsi" w:cstheme="majorHAnsi"/>
        </w:rPr>
        <w:t>se nanaša na</w:t>
      </w:r>
      <w:r w:rsidR="007F354E" w:rsidRPr="00DA6819">
        <w:rPr>
          <w:rFonts w:asciiTheme="majorHAnsi" w:hAnsiTheme="majorHAnsi" w:cstheme="majorHAnsi"/>
        </w:rPr>
        <w:t xml:space="preserve"> </w:t>
      </w:r>
      <w:r w:rsidRPr="00DA6819">
        <w:rPr>
          <w:rFonts w:asciiTheme="majorHAnsi" w:hAnsiTheme="majorHAnsi" w:cstheme="majorHAnsi"/>
        </w:rPr>
        <w:t>razvoj prav takšnih kombiniranih finančnih instrumentov, ki bi omogočili pospešitev zelenega prehoda.</w:t>
      </w:r>
    </w:p>
    <w:p w14:paraId="1C318B1E" w14:textId="74D51346" w:rsidR="00BC3C55" w:rsidRDefault="00BC3C55" w:rsidP="00BC3C55">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Rok za izvedbo: 2025</w:t>
      </w:r>
    </w:p>
    <w:p w14:paraId="05C3160D" w14:textId="2CB8C3FE" w:rsidR="00BC0490" w:rsidRPr="00BF3AAC" w:rsidRDefault="00B37816" w:rsidP="00BC0490">
      <w:pPr>
        <w:jc w:val="both"/>
        <w:rPr>
          <w:rFonts w:asciiTheme="majorHAnsi" w:hAnsiTheme="majorHAnsi" w:cstheme="majorHAnsi"/>
          <w:color w:val="1F3864" w:themeColor="accent1" w:themeShade="80"/>
          <w:u w:val="single"/>
        </w:rPr>
      </w:pPr>
      <w:r>
        <w:rPr>
          <w:rFonts w:asciiTheme="majorHAnsi" w:hAnsiTheme="majorHAnsi" w:cstheme="majorHAnsi"/>
          <w:color w:val="1F3864" w:themeColor="accent1" w:themeShade="80"/>
          <w:u w:val="single"/>
        </w:rPr>
        <w:t>Predvidena finančna sredstva: 20 mio EUR (10 mio EUR nepovratn</w:t>
      </w:r>
      <w:r w:rsidR="00091FA9">
        <w:rPr>
          <w:rFonts w:asciiTheme="majorHAnsi" w:hAnsiTheme="majorHAnsi" w:cstheme="majorHAnsi"/>
          <w:color w:val="1F3864" w:themeColor="accent1" w:themeShade="80"/>
          <w:u w:val="single"/>
        </w:rPr>
        <w:t>ih</w:t>
      </w:r>
      <w:r>
        <w:rPr>
          <w:rFonts w:asciiTheme="majorHAnsi" w:hAnsiTheme="majorHAnsi" w:cstheme="majorHAnsi"/>
          <w:color w:val="1F3864" w:themeColor="accent1" w:themeShade="80"/>
          <w:u w:val="single"/>
        </w:rPr>
        <w:t xml:space="preserve"> sredst</w:t>
      </w:r>
      <w:r w:rsidR="00091FA9">
        <w:rPr>
          <w:rFonts w:asciiTheme="majorHAnsi" w:hAnsiTheme="majorHAnsi" w:cstheme="majorHAnsi"/>
          <w:color w:val="1F3864" w:themeColor="accent1" w:themeShade="80"/>
          <w:u w:val="single"/>
        </w:rPr>
        <w:t>e</w:t>
      </w:r>
      <w:r>
        <w:rPr>
          <w:rFonts w:asciiTheme="majorHAnsi" w:hAnsiTheme="majorHAnsi" w:cstheme="majorHAnsi"/>
          <w:color w:val="1F3864" w:themeColor="accent1" w:themeShade="80"/>
          <w:u w:val="single"/>
        </w:rPr>
        <w:t>v, 10 mio EUR povratn</w:t>
      </w:r>
      <w:r w:rsidR="00091FA9">
        <w:rPr>
          <w:rFonts w:asciiTheme="majorHAnsi" w:hAnsiTheme="majorHAnsi" w:cstheme="majorHAnsi"/>
          <w:color w:val="1F3864" w:themeColor="accent1" w:themeShade="80"/>
          <w:u w:val="single"/>
        </w:rPr>
        <w:t>ih</w:t>
      </w:r>
      <w:r>
        <w:rPr>
          <w:rFonts w:asciiTheme="majorHAnsi" w:hAnsiTheme="majorHAnsi" w:cstheme="majorHAnsi"/>
          <w:color w:val="1F3864" w:themeColor="accent1" w:themeShade="80"/>
          <w:u w:val="single"/>
        </w:rPr>
        <w:t xml:space="preserve"> sredst</w:t>
      </w:r>
      <w:r w:rsidR="00091FA9">
        <w:rPr>
          <w:rFonts w:asciiTheme="majorHAnsi" w:hAnsiTheme="majorHAnsi" w:cstheme="majorHAnsi"/>
          <w:color w:val="1F3864" w:themeColor="accent1" w:themeShade="80"/>
          <w:u w:val="single"/>
        </w:rPr>
        <w:t>e</w:t>
      </w:r>
      <w:r>
        <w:rPr>
          <w:rFonts w:asciiTheme="majorHAnsi" w:hAnsiTheme="majorHAnsi" w:cstheme="majorHAnsi"/>
          <w:color w:val="1F3864" w:themeColor="accent1" w:themeShade="80"/>
          <w:u w:val="single"/>
        </w:rPr>
        <w:t>v)</w:t>
      </w:r>
      <w:r w:rsidR="00BC0490" w:rsidRPr="00BC0490">
        <w:rPr>
          <w:rFonts w:asciiTheme="majorHAnsi" w:hAnsiTheme="majorHAnsi" w:cstheme="majorHAnsi"/>
          <w:color w:val="1F3864" w:themeColor="accent1" w:themeShade="80"/>
          <w:u w:val="single"/>
        </w:rPr>
        <w:t xml:space="preserve"> </w:t>
      </w:r>
      <w:r w:rsidR="00BC0490">
        <w:rPr>
          <w:rFonts w:asciiTheme="majorHAnsi" w:hAnsiTheme="majorHAnsi" w:cstheme="majorHAnsi"/>
          <w:color w:val="1F3864" w:themeColor="accent1" w:themeShade="80"/>
          <w:u w:val="single"/>
        </w:rPr>
        <w:t xml:space="preserve">(vir sredstev: </w:t>
      </w:r>
      <w:r w:rsidR="007F354E">
        <w:rPr>
          <w:rFonts w:asciiTheme="majorHAnsi" w:hAnsiTheme="majorHAnsi" w:cstheme="majorHAnsi"/>
          <w:color w:val="1F3864" w:themeColor="accent1" w:themeShade="80"/>
          <w:u w:val="single"/>
        </w:rPr>
        <w:t>p</w:t>
      </w:r>
      <w:r w:rsidR="00BC0490" w:rsidRPr="00BC0490">
        <w:rPr>
          <w:rFonts w:asciiTheme="majorHAnsi" w:hAnsiTheme="majorHAnsi" w:cstheme="majorHAnsi"/>
          <w:color w:val="1F3864" w:themeColor="accent1" w:themeShade="80"/>
          <w:u w:val="single"/>
        </w:rPr>
        <w:t>rogram evropske kohezijske politike 2021</w:t>
      </w:r>
      <w:r w:rsidR="00091FA9">
        <w:rPr>
          <w:rFonts w:asciiTheme="majorHAnsi" w:hAnsiTheme="majorHAnsi" w:cstheme="majorHAnsi"/>
          <w:color w:val="1F3864" w:themeColor="accent1" w:themeShade="80"/>
          <w:u w:val="single"/>
        </w:rPr>
        <w:t>–</w:t>
      </w:r>
      <w:r w:rsidR="00BC0490" w:rsidRPr="00BC0490">
        <w:rPr>
          <w:rFonts w:asciiTheme="majorHAnsi" w:hAnsiTheme="majorHAnsi" w:cstheme="majorHAnsi"/>
          <w:color w:val="1F3864" w:themeColor="accent1" w:themeShade="80"/>
          <w:u w:val="single"/>
        </w:rPr>
        <w:t>2027</w:t>
      </w:r>
      <w:r w:rsidR="000A1180">
        <w:rPr>
          <w:rFonts w:asciiTheme="majorHAnsi" w:hAnsiTheme="majorHAnsi" w:cstheme="majorHAnsi"/>
          <w:color w:val="1F3864" w:themeColor="accent1" w:themeShade="80"/>
          <w:u w:val="single"/>
        </w:rPr>
        <w:t>, ni še odprtih PP</w:t>
      </w:r>
      <w:r w:rsidR="00BC0490">
        <w:rPr>
          <w:rFonts w:asciiTheme="majorHAnsi" w:hAnsiTheme="majorHAnsi" w:cstheme="majorHAnsi"/>
          <w:color w:val="1F3864" w:themeColor="accent1" w:themeShade="80"/>
          <w:u w:val="single"/>
        </w:rPr>
        <w:t>)</w:t>
      </w:r>
    </w:p>
    <w:p w14:paraId="33B2BAAB" w14:textId="34559B68" w:rsidR="00BC3C55" w:rsidRDefault="00BC3C55" w:rsidP="00BC3C55">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Nosilec: MGTŠ v sodelovanju s SID banko in</w:t>
      </w:r>
      <w:r w:rsidR="002B61AB">
        <w:rPr>
          <w:rFonts w:asciiTheme="majorHAnsi" w:hAnsiTheme="majorHAnsi" w:cstheme="majorHAnsi"/>
          <w:color w:val="1F3864" w:themeColor="accent1" w:themeShade="80"/>
          <w:u w:val="single"/>
        </w:rPr>
        <w:t>/ali</w:t>
      </w:r>
      <w:r w:rsidRPr="00BF3AAC">
        <w:rPr>
          <w:rFonts w:asciiTheme="majorHAnsi" w:hAnsiTheme="majorHAnsi" w:cstheme="majorHAnsi"/>
          <w:color w:val="1F3864" w:themeColor="accent1" w:themeShade="80"/>
          <w:u w:val="single"/>
        </w:rPr>
        <w:t xml:space="preserve"> drugimi finančnimi institucijami</w:t>
      </w:r>
    </w:p>
    <w:p w14:paraId="7F1F1D6E" w14:textId="77777777" w:rsidR="008541EF" w:rsidRPr="00BF3AAC" w:rsidRDefault="008541EF" w:rsidP="00BC3C55">
      <w:pPr>
        <w:jc w:val="both"/>
        <w:rPr>
          <w:rFonts w:asciiTheme="majorHAnsi" w:hAnsiTheme="majorHAnsi" w:cstheme="majorHAnsi"/>
          <w:color w:val="1F3864" w:themeColor="accent1" w:themeShade="80"/>
          <w:u w:val="single"/>
        </w:rPr>
      </w:pPr>
    </w:p>
    <w:p w14:paraId="2C696BB3" w14:textId="247A362D" w:rsidR="00BC3C55" w:rsidRPr="008541EF" w:rsidRDefault="008541EF" w:rsidP="008541EF">
      <w:pPr>
        <w:pStyle w:val="Odstavekseznama"/>
        <w:numPr>
          <w:ilvl w:val="1"/>
          <w:numId w:val="4"/>
        </w:numPr>
        <w:ind w:left="426"/>
        <w:jc w:val="both"/>
        <w:rPr>
          <w:rFonts w:asciiTheme="majorHAnsi" w:hAnsiTheme="majorHAnsi" w:cstheme="majorHAnsi"/>
          <w:color w:val="2F5496"/>
        </w:rPr>
      </w:pPr>
      <w:r>
        <w:rPr>
          <w:rFonts w:asciiTheme="majorHAnsi" w:hAnsiTheme="majorHAnsi" w:cstheme="majorHAnsi"/>
          <w:color w:val="2F5496"/>
        </w:rPr>
        <w:t>Spodbude malih vrednosti (vavčerji) v podporo zelenemu prehodu</w:t>
      </w:r>
    </w:p>
    <w:p w14:paraId="0CF13A08" w14:textId="5ABC6D72" w:rsidR="008541EF" w:rsidRDefault="008541EF" w:rsidP="008541EF">
      <w:pPr>
        <w:jc w:val="both"/>
        <w:rPr>
          <w:rFonts w:asciiTheme="majorHAnsi" w:hAnsiTheme="majorHAnsi" w:cstheme="majorHAnsi"/>
        </w:rPr>
      </w:pPr>
      <w:r>
        <w:rPr>
          <w:rFonts w:asciiTheme="majorHAnsi" w:hAnsiTheme="majorHAnsi" w:cstheme="majorHAnsi"/>
        </w:rPr>
        <w:t>MGTŠ v sodelovanju s Slovenskim podjetniškim skladom izvaja t.</w:t>
      </w:r>
      <w:r w:rsidR="00460848">
        <w:rPr>
          <w:rFonts w:asciiTheme="majorHAnsi" w:hAnsiTheme="majorHAnsi" w:cstheme="majorHAnsi"/>
        </w:rPr>
        <w:t> </w:t>
      </w:r>
      <w:r>
        <w:rPr>
          <w:rFonts w:asciiTheme="majorHAnsi" w:hAnsiTheme="majorHAnsi" w:cstheme="majorHAnsi"/>
        </w:rPr>
        <w:t xml:space="preserve">i. </w:t>
      </w:r>
      <w:proofErr w:type="spellStart"/>
      <w:r>
        <w:rPr>
          <w:rFonts w:asciiTheme="majorHAnsi" w:hAnsiTheme="majorHAnsi" w:cstheme="majorHAnsi"/>
        </w:rPr>
        <w:t>vavčersko</w:t>
      </w:r>
      <w:proofErr w:type="spellEnd"/>
      <w:r>
        <w:rPr>
          <w:rFonts w:asciiTheme="majorHAnsi" w:hAnsiTheme="majorHAnsi" w:cstheme="majorHAnsi"/>
        </w:rPr>
        <w:t xml:space="preserve"> podporo </w:t>
      </w:r>
      <w:proofErr w:type="spellStart"/>
      <w:r w:rsidRPr="008541EF">
        <w:rPr>
          <w:rFonts w:asciiTheme="majorHAnsi" w:hAnsiTheme="majorHAnsi" w:cstheme="majorHAnsi"/>
        </w:rPr>
        <w:t>mikro</w:t>
      </w:r>
      <w:proofErr w:type="spellEnd"/>
      <w:r w:rsidRPr="008541EF">
        <w:rPr>
          <w:rFonts w:asciiTheme="majorHAnsi" w:hAnsiTheme="majorHAnsi" w:cstheme="majorHAnsi"/>
        </w:rPr>
        <w:t>, malim in srednje velikim podjetjem</w:t>
      </w:r>
      <w:r>
        <w:rPr>
          <w:rFonts w:asciiTheme="majorHAnsi" w:hAnsiTheme="majorHAnsi" w:cstheme="majorHAnsi"/>
        </w:rPr>
        <w:t>.</w:t>
      </w:r>
      <w:r w:rsidRPr="008541EF">
        <w:rPr>
          <w:rFonts w:asciiTheme="majorHAnsi" w:hAnsiTheme="majorHAnsi" w:cstheme="majorHAnsi"/>
        </w:rPr>
        <w:t xml:space="preserve"> Vavčerji so spodbude manjših vrednosti, ki MSP</w:t>
      </w:r>
      <w:r>
        <w:rPr>
          <w:rFonts w:asciiTheme="majorHAnsi" w:hAnsiTheme="majorHAnsi" w:cstheme="majorHAnsi"/>
        </w:rPr>
        <w:t>-jem</w:t>
      </w:r>
      <w:r w:rsidRPr="008541EF">
        <w:rPr>
          <w:rFonts w:asciiTheme="majorHAnsi" w:hAnsiTheme="majorHAnsi" w:cstheme="majorHAnsi"/>
        </w:rPr>
        <w:t xml:space="preserve"> omogočajo bistveno poenostavljen dostop do sofinanciranja posameznih storitev, s pomočjo katerih lahko podjetja krepijo svojo konkurenčnost in kompetence.</w:t>
      </w:r>
      <w:r>
        <w:rPr>
          <w:rFonts w:asciiTheme="majorHAnsi" w:hAnsiTheme="majorHAnsi" w:cstheme="majorHAnsi"/>
        </w:rPr>
        <w:t xml:space="preserve"> Nekateri vavčerji so namenjeni prav krepitvi zelenega prehoda – npr. za certifikate kakovosti (tudi na področju okolja, energije in krožnega gospodarstva), </w:t>
      </w:r>
      <w:r w:rsidR="00D5473E">
        <w:rPr>
          <w:rFonts w:asciiTheme="majorHAnsi" w:hAnsiTheme="majorHAnsi" w:cstheme="majorHAnsi"/>
        </w:rPr>
        <w:t xml:space="preserve">za LCA analizo, v pripravi pa je tudi vavčer za podporo trajnostnemu poročanju MSP. </w:t>
      </w:r>
    </w:p>
    <w:p w14:paraId="538C9B75" w14:textId="2BA03020" w:rsidR="008541EF" w:rsidRDefault="008541EF" w:rsidP="008541EF">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 xml:space="preserve">Rok za izvedbo: </w:t>
      </w:r>
      <w:r w:rsidR="00D5473E">
        <w:rPr>
          <w:rFonts w:asciiTheme="majorHAnsi" w:hAnsiTheme="majorHAnsi" w:cstheme="majorHAnsi"/>
          <w:color w:val="1F3864" w:themeColor="accent1" w:themeShade="80"/>
          <w:u w:val="single"/>
        </w:rPr>
        <w:t>2024/</w:t>
      </w:r>
      <w:r w:rsidRPr="00BF3AAC">
        <w:rPr>
          <w:rFonts w:asciiTheme="majorHAnsi" w:hAnsiTheme="majorHAnsi" w:cstheme="majorHAnsi"/>
          <w:color w:val="1F3864" w:themeColor="accent1" w:themeShade="80"/>
          <w:u w:val="single"/>
        </w:rPr>
        <w:t>2025</w:t>
      </w:r>
    </w:p>
    <w:p w14:paraId="5434C5F3" w14:textId="7363E3D0" w:rsidR="008541EF" w:rsidRPr="00BF3AAC" w:rsidRDefault="008541EF" w:rsidP="000A1180">
      <w:pPr>
        <w:jc w:val="both"/>
        <w:rPr>
          <w:rFonts w:asciiTheme="majorHAnsi" w:hAnsiTheme="majorHAnsi" w:cstheme="majorHAnsi"/>
          <w:color w:val="1F3864" w:themeColor="accent1" w:themeShade="80"/>
          <w:u w:val="single"/>
        </w:rPr>
      </w:pPr>
      <w:r>
        <w:rPr>
          <w:rFonts w:asciiTheme="majorHAnsi" w:hAnsiTheme="majorHAnsi" w:cstheme="majorHAnsi"/>
          <w:color w:val="1F3864" w:themeColor="accent1" w:themeShade="80"/>
          <w:u w:val="single"/>
        </w:rPr>
        <w:t xml:space="preserve">Predvidena okvirna finančna sredstva: 5 mio EUR </w:t>
      </w:r>
      <w:r w:rsidR="0049474F">
        <w:rPr>
          <w:rFonts w:asciiTheme="majorHAnsi" w:hAnsiTheme="majorHAnsi" w:cstheme="majorHAnsi"/>
          <w:color w:val="1F3864" w:themeColor="accent1" w:themeShade="80"/>
          <w:u w:val="single"/>
        </w:rPr>
        <w:t xml:space="preserve">(vir sredstev: </w:t>
      </w:r>
      <w:r w:rsidR="007F354E">
        <w:rPr>
          <w:rFonts w:asciiTheme="majorHAnsi" w:hAnsiTheme="majorHAnsi" w:cstheme="majorHAnsi"/>
          <w:color w:val="1F3864" w:themeColor="accent1" w:themeShade="80"/>
          <w:u w:val="single"/>
        </w:rPr>
        <w:t>p</w:t>
      </w:r>
      <w:r w:rsidR="0049474F" w:rsidRPr="00BC0490">
        <w:rPr>
          <w:rFonts w:asciiTheme="majorHAnsi" w:hAnsiTheme="majorHAnsi" w:cstheme="majorHAnsi"/>
          <w:color w:val="1F3864" w:themeColor="accent1" w:themeShade="80"/>
          <w:u w:val="single"/>
        </w:rPr>
        <w:t>rogram evropske kohezijske politike 2021</w:t>
      </w:r>
      <w:r w:rsidR="00460848">
        <w:rPr>
          <w:rFonts w:asciiTheme="majorHAnsi" w:hAnsiTheme="majorHAnsi" w:cstheme="majorHAnsi"/>
          <w:color w:val="1F3864" w:themeColor="accent1" w:themeShade="80"/>
          <w:u w:val="single"/>
        </w:rPr>
        <w:t>–</w:t>
      </w:r>
      <w:r w:rsidR="0049474F" w:rsidRPr="00BC0490">
        <w:rPr>
          <w:rFonts w:asciiTheme="majorHAnsi" w:hAnsiTheme="majorHAnsi" w:cstheme="majorHAnsi"/>
          <w:color w:val="1F3864" w:themeColor="accent1" w:themeShade="80"/>
          <w:u w:val="single"/>
        </w:rPr>
        <w:t>2027</w:t>
      </w:r>
      <w:r w:rsidR="00460848">
        <w:rPr>
          <w:rFonts w:asciiTheme="majorHAnsi" w:hAnsiTheme="majorHAnsi" w:cstheme="majorHAnsi"/>
          <w:color w:val="1F3864" w:themeColor="accent1" w:themeShade="80"/>
          <w:u w:val="single"/>
        </w:rPr>
        <w:t>:</w:t>
      </w:r>
      <w:r w:rsidR="00242471">
        <w:rPr>
          <w:rFonts w:asciiTheme="majorHAnsi" w:hAnsiTheme="majorHAnsi" w:cstheme="majorHAnsi"/>
          <w:color w:val="1F3864" w:themeColor="accent1" w:themeShade="80"/>
          <w:u w:val="single"/>
        </w:rPr>
        <w:t xml:space="preserve"> PP: </w:t>
      </w:r>
      <w:r w:rsidR="00242471" w:rsidRPr="000A1180">
        <w:rPr>
          <w:rFonts w:asciiTheme="majorHAnsi" w:hAnsiTheme="majorHAnsi" w:cstheme="majorHAnsi"/>
          <w:color w:val="1F3864" w:themeColor="accent1" w:themeShade="80"/>
          <w:u w:val="single"/>
        </w:rPr>
        <w:t>230139</w:t>
      </w:r>
      <w:r w:rsidR="00242471">
        <w:rPr>
          <w:rFonts w:asciiTheme="majorHAnsi" w:hAnsiTheme="majorHAnsi" w:cstheme="majorHAnsi"/>
          <w:color w:val="1F3864" w:themeColor="accent1" w:themeShade="80"/>
          <w:u w:val="single"/>
        </w:rPr>
        <w:t xml:space="preserve">, </w:t>
      </w:r>
      <w:r w:rsidR="00242471" w:rsidRPr="000A1180">
        <w:rPr>
          <w:rFonts w:asciiTheme="majorHAnsi" w:hAnsiTheme="majorHAnsi" w:cstheme="majorHAnsi"/>
          <w:color w:val="1F3864" w:themeColor="accent1" w:themeShade="80"/>
          <w:u w:val="single"/>
        </w:rPr>
        <w:t>230140</w:t>
      </w:r>
      <w:r w:rsidR="00242471">
        <w:rPr>
          <w:rFonts w:asciiTheme="majorHAnsi" w:hAnsiTheme="majorHAnsi" w:cstheme="majorHAnsi"/>
          <w:color w:val="1F3864" w:themeColor="accent1" w:themeShade="80"/>
          <w:u w:val="single"/>
        </w:rPr>
        <w:t xml:space="preserve">, </w:t>
      </w:r>
      <w:r w:rsidR="00242471" w:rsidRPr="000A1180">
        <w:rPr>
          <w:rFonts w:asciiTheme="majorHAnsi" w:hAnsiTheme="majorHAnsi" w:cstheme="majorHAnsi"/>
          <w:color w:val="1F3864" w:themeColor="accent1" w:themeShade="80"/>
          <w:u w:val="single"/>
        </w:rPr>
        <w:t>230141</w:t>
      </w:r>
      <w:r w:rsidR="00242471">
        <w:rPr>
          <w:rFonts w:asciiTheme="majorHAnsi" w:hAnsiTheme="majorHAnsi" w:cstheme="majorHAnsi"/>
          <w:color w:val="1F3864" w:themeColor="accent1" w:themeShade="80"/>
          <w:u w:val="single"/>
        </w:rPr>
        <w:t xml:space="preserve">, </w:t>
      </w:r>
      <w:r w:rsidR="00242471" w:rsidRPr="000A1180">
        <w:rPr>
          <w:rFonts w:asciiTheme="majorHAnsi" w:hAnsiTheme="majorHAnsi" w:cstheme="majorHAnsi"/>
          <w:color w:val="1F3864" w:themeColor="accent1" w:themeShade="80"/>
          <w:u w:val="single"/>
        </w:rPr>
        <w:t>230142</w:t>
      </w:r>
      <w:r w:rsidR="00242471">
        <w:rPr>
          <w:rFonts w:asciiTheme="majorHAnsi" w:hAnsiTheme="majorHAnsi" w:cstheme="majorHAnsi"/>
          <w:color w:val="1F3864" w:themeColor="accent1" w:themeShade="80"/>
          <w:u w:val="single"/>
        </w:rPr>
        <w:t xml:space="preserve"> </w:t>
      </w:r>
      <w:r w:rsidR="0049474F">
        <w:rPr>
          <w:rFonts w:asciiTheme="majorHAnsi" w:hAnsiTheme="majorHAnsi" w:cstheme="majorHAnsi"/>
          <w:color w:val="1F3864" w:themeColor="accent1" w:themeShade="80"/>
          <w:u w:val="single"/>
        </w:rPr>
        <w:t xml:space="preserve">in </w:t>
      </w:r>
      <w:r w:rsidR="007F354E">
        <w:rPr>
          <w:rFonts w:asciiTheme="majorHAnsi" w:hAnsiTheme="majorHAnsi" w:cstheme="majorHAnsi"/>
          <w:color w:val="1F3864" w:themeColor="accent1" w:themeShade="80"/>
          <w:u w:val="single"/>
        </w:rPr>
        <w:t>s</w:t>
      </w:r>
      <w:r w:rsidR="0049474F">
        <w:rPr>
          <w:rFonts w:asciiTheme="majorHAnsi" w:hAnsiTheme="majorHAnsi" w:cstheme="majorHAnsi"/>
          <w:color w:val="1F3864" w:themeColor="accent1" w:themeShade="80"/>
          <w:u w:val="single"/>
        </w:rPr>
        <w:t>klad za podnebne spremembe)</w:t>
      </w:r>
    </w:p>
    <w:p w14:paraId="1AD070B9" w14:textId="01545276" w:rsidR="0049474F" w:rsidRPr="00BF3AAC" w:rsidRDefault="008541EF" w:rsidP="0049474F">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 xml:space="preserve">Nosilec: MGTŠ v sodelovanju s </w:t>
      </w:r>
      <w:r>
        <w:rPr>
          <w:rFonts w:asciiTheme="majorHAnsi" w:hAnsiTheme="majorHAnsi" w:cstheme="majorHAnsi"/>
          <w:color w:val="1F3864" w:themeColor="accent1" w:themeShade="80"/>
          <w:u w:val="single"/>
        </w:rPr>
        <w:t>Slovenskim podjetniškim skladom (SPS)</w:t>
      </w:r>
      <w:r w:rsidR="0049474F">
        <w:rPr>
          <w:rFonts w:asciiTheme="majorHAnsi" w:hAnsiTheme="majorHAnsi" w:cstheme="majorHAnsi"/>
          <w:color w:val="1F3864" w:themeColor="accent1" w:themeShade="80"/>
          <w:u w:val="single"/>
        </w:rPr>
        <w:t xml:space="preserve"> </w:t>
      </w:r>
    </w:p>
    <w:p w14:paraId="079AD68B" w14:textId="49812A2B" w:rsidR="008541EF" w:rsidRDefault="008541EF" w:rsidP="008541EF">
      <w:pPr>
        <w:jc w:val="both"/>
        <w:rPr>
          <w:rFonts w:asciiTheme="majorHAnsi" w:hAnsiTheme="majorHAnsi" w:cstheme="majorHAnsi"/>
          <w:color w:val="1F3864" w:themeColor="accent1" w:themeShade="80"/>
          <w:u w:val="single"/>
        </w:rPr>
      </w:pPr>
    </w:p>
    <w:p w14:paraId="01C1DAE6" w14:textId="2863D226" w:rsidR="000155E0" w:rsidRDefault="000155E0" w:rsidP="000155E0">
      <w:pPr>
        <w:pStyle w:val="Odstavekseznama"/>
        <w:numPr>
          <w:ilvl w:val="1"/>
          <w:numId w:val="4"/>
        </w:numPr>
        <w:ind w:left="426"/>
        <w:jc w:val="both"/>
        <w:rPr>
          <w:rFonts w:asciiTheme="majorHAnsi" w:hAnsiTheme="majorHAnsi" w:cstheme="majorHAnsi"/>
          <w:color w:val="2F5496"/>
        </w:rPr>
      </w:pPr>
      <w:r>
        <w:rPr>
          <w:rFonts w:asciiTheme="majorHAnsi" w:hAnsiTheme="majorHAnsi" w:cstheme="majorHAnsi"/>
          <w:color w:val="2F5496"/>
        </w:rPr>
        <w:t xml:space="preserve">Ukrepi v okviru Uredbe EU o vzpostavitvi platforme za strateške tehnologije za Evropo (platforma </w:t>
      </w:r>
      <w:r w:rsidR="00577A49" w:rsidRPr="00577A49">
        <w:rPr>
          <w:rFonts w:asciiTheme="majorHAnsi" w:hAnsiTheme="majorHAnsi" w:cstheme="majorHAnsi"/>
          <w:color w:val="2F5496"/>
        </w:rPr>
        <w:t>STEP</w:t>
      </w:r>
      <w:r>
        <w:rPr>
          <w:rFonts w:asciiTheme="majorHAnsi" w:hAnsiTheme="majorHAnsi" w:cstheme="majorHAnsi"/>
          <w:color w:val="2F5496"/>
        </w:rPr>
        <w:t>)</w:t>
      </w:r>
      <w:r>
        <w:rPr>
          <w:rStyle w:val="Sprotnaopomba-sklic"/>
          <w:rFonts w:asciiTheme="majorHAnsi" w:hAnsiTheme="majorHAnsi" w:cstheme="majorHAnsi"/>
          <w:color w:val="2F5496"/>
        </w:rPr>
        <w:footnoteReference w:id="5"/>
      </w:r>
    </w:p>
    <w:p w14:paraId="681D21A8" w14:textId="3360AD17" w:rsidR="000155E0" w:rsidRPr="000155E0" w:rsidRDefault="000155E0" w:rsidP="000155E0">
      <w:pPr>
        <w:jc w:val="both"/>
        <w:rPr>
          <w:rFonts w:asciiTheme="majorHAnsi" w:hAnsiTheme="majorHAnsi" w:cstheme="majorHAnsi"/>
        </w:rPr>
      </w:pPr>
      <w:r w:rsidRPr="000155E0">
        <w:rPr>
          <w:rFonts w:asciiTheme="majorHAnsi" w:hAnsiTheme="majorHAnsi" w:cstheme="majorHAnsi"/>
        </w:rPr>
        <w:t>EU je vzpostavila platformo za strateške tehnologije za Evropo (STEP), da bi podprla evropsko industrijo in spodbudila naložbe v k</w:t>
      </w:r>
      <w:r w:rsidR="00460848">
        <w:rPr>
          <w:rFonts w:asciiTheme="majorHAnsi" w:hAnsiTheme="majorHAnsi" w:cstheme="majorHAnsi"/>
        </w:rPr>
        <w:t>ljuč</w:t>
      </w:r>
      <w:r w:rsidRPr="000155E0">
        <w:rPr>
          <w:rFonts w:asciiTheme="majorHAnsi" w:hAnsiTheme="majorHAnsi" w:cstheme="majorHAnsi"/>
        </w:rPr>
        <w:t>ne tehnologije v Evropi. </w:t>
      </w:r>
      <w:r>
        <w:rPr>
          <w:rFonts w:asciiTheme="majorHAnsi" w:hAnsiTheme="majorHAnsi" w:cstheme="majorHAnsi"/>
        </w:rPr>
        <w:t xml:space="preserve">Platforma STEP </w:t>
      </w:r>
      <w:r w:rsidRPr="000155E0">
        <w:rPr>
          <w:rFonts w:asciiTheme="majorHAnsi" w:hAnsiTheme="majorHAnsi" w:cstheme="majorHAnsi"/>
        </w:rPr>
        <w:t>bo povečal</w:t>
      </w:r>
      <w:r>
        <w:rPr>
          <w:rFonts w:asciiTheme="majorHAnsi" w:hAnsiTheme="majorHAnsi" w:cstheme="majorHAnsi"/>
        </w:rPr>
        <w:t>a</w:t>
      </w:r>
      <w:r w:rsidRPr="000155E0">
        <w:rPr>
          <w:rFonts w:asciiTheme="majorHAnsi" w:hAnsiTheme="majorHAnsi" w:cstheme="majorHAnsi"/>
        </w:rPr>
        <w:t xml:space="preserve"> in usmerjal</w:t>
      </w:r>
      <w:r>
        <w:rPr>
          <w:rFonts w:asciiTheme="majorHAnsi" w:hAnsiTheme="majorHAnsi" w:cstheme="majorHAnsi"/>
        </w:rPr>
        <w:t>a</w:t>
      </w:r>
      <w:r w:rsidRPr="000155E0">
        <w:rPr>
          <w:rFonts w:asciiTheme="majorHAnsi" w:hAnsiTheme="majorHAnsi" w:cstheme="majorHAnsi"/>
        </w:rPr>
        <w:t xml:space="preserve"> financiranje v 11 programih EU </w:t>
      </w:r>
      <w:r w:rsidR="00460848">
        <w:rPr>
          <w:rFonts w:asciiTheme="majorHAnsi" w:hAnsiTheme="majorHAnsi" w:cstheme="majorHAnsi"/>
        </w:rPr>
        <w:t>v</w:t>
      </w:r>
      <w:r w:rsidR="00460848" w:rsidRPr="000155E0">
        <w:rPr>
          <w:rFonts w:asciiTheme="majorHAnsi" w:hAnsiTheme="majorHAnsi" w:cstheme="majorHAnsi"/>
        </w:rPr>
        <w:t xml:space="preserve"> </w:t>
      </w:r>
      <w:r w:rsidRPr="000155E0">
        <w:rPr>
          <w:rFonts w:asciiTheme="majorHAnsi" w:hAnsiTheme="majorHAnsi" w:cstheme="majorHAnsi"/>
        </w:rPr>
        <w:t xml:space="preserve">tri ciljna naložbena področja:  </w:t>
      </w:r>
    </w:p>
    <w:p w14:paraId="00C45E26" w14:textId="604C0EC4" w:rsidR="000155E0" w:rsidRPr="000155E0" w:rsidRDefault="00460848" w:rsidP="000155E0">
      <w:pPr>
        <w:pStyle w:val="Odstavekseznama"/>
        <w:numPr>
          <w:ilvl w:val="0"/>
          <w:numId w:val="20"/>
        </w:numPr>
        <w:jc w:val="both"/>
        <w:rPr>
          <w:rFonts w:asciiTheme="majorHAnsi" w:hAnsiTheme="majorHAnsi" w:cstheme="majorHAnsi"/>
        </w:rPr>
      </w:pPr>
      <w:r>
        <w:rPr>
          <w:rFonts w:asciiTheme="majorHAnsi" w:hAnsiTheme="majorHAnsi" w:cstheme="majorHAnsi"/>
        </w:rPr>
        <w:t>d</w:t>
      </w:r>
      <w:r w:rsidR="000155E0" w:rsidRPr="000155E0">
        <w:rPr>
          <w:rFonts w:asciiTheme="majorHAnsi" w:hAnsiTheme="majorHAnsi" w:cstheme="majorHAnsi"/>
        </w:rPr>
        <w:t xml:space="preserve">igitalne tehnologije in </w:t>
      </w:r>
      <w:proofErr w:type="spellStart"/>
      <w:r w:rsidR="000155E0" w:rsidRPr="000155E0">
        <w:rPr>
          <w:rFonts w:asciiTheme="majorHAnsi" w:hAnsiTheme="majorHAnsi" w:cstheme="majorHAnsi"/>
        </w:rPr>
        <w:t>globokotehnološke</w:t>
      </w:r>
      <w:proofErr w:type="spellEnd"/>
      <w:r w:rsidR="000155E0" w:rsidRPr="000155E0">
        <w:rPr>
          <w:rFonts w:asciiTheme="majorHAnsi" w:hAnsiTheme="majorHAnsi" w:cstheme="majorHAnsi"/>
        </w:rPr>
        <w:t xml:space="preserve"> inovacije</w:t>
      </w:r>
      <w:r w:rsidR="007F354E">
        <w:rPr>
          <w:rFonts w:asciiTheme="majorHAnsi" w:hAnsiTheme="majorHAnsi" w:cstheme="majorHAnsi"/>
        </w:rPr>
        <w:t>,</w:t>
      </w:r>
    </w:p>
    <w:p w14:paraId="085C78B4" w14:textId="350A9997" w:rsidR="000155E0" w:rsidRPr="000155E0" w:rsidRDefault="00460848" w:rsidP="000155E0">
      <w:pPr>
        <w:pStyle w:val="Odstavekseznama"/>
        <w:numPr>
          <w:ilvl w:val="0"/>
          <w:numId w:val="20"/>
        </w:numPr>
        <w:jc w:val="both"/>
        <w:rPr>
          <w:rFonts w:asciiTheme="majorHAnsi" w:hAnsiTheme="majorHAnsi" w:cstheme="majorHAnsi"/>
        </w:rPr>
      </w:pPr>
      <w:r>
        <w:rPr>
          <w:rFonts w:asciiTheme="majorHAnsi" w:hAnsiTheme="majorHAnsi" w:cstheme="majorHAnsi"/>
        </w:rPr>
        <w:t>č</w:t>
      </w:r>
      <w:r w:rsidR="000155E0" w:rsidRPr="000155E0">
        <w:rPr>
          <w:rFonts w:asciiTheme="majorHAnsi" w:hAnsiTheme="majorHAnsi" w:cstheme="majorHAnsi"/>
        </w:rPr>
        <w:t>iste in z viri gospodarne tehnologije</w:t>
      </w:r>
      <w:r w:rsidR="007F354E">
        <w:rPr>
          <w:rFonts w:asciiTheme="majorHAnsi" w:hAnsiTheme="majorHAnsi" w:cstheme="majorHAnsi"/>
        </w:rPr>
        <w:t>,</w:t>
      </w:r>
    </w:p>
    <w:p w14:paraId="5E8F3AE7" w14:textId="6A37297C" w:rsidR="000155E0" w:rsidRPr="000155E0" w:rsidRDefault="00460848" w:rsidP="000155E0">
      <w:pPr>
        <w:pStyle w:val="Odstavekseznama"/>
        <w:numPr>
          <w:ilvl w:val="0"/>
          <w:numId w:val="20"/>
        </w:numPr>
        <w:jc w:val="both"/>
        <w:rPr>
          <w:rFonts w:asciiTheme="majorHAnsi" w:hAnsiTheme="majorHAnsi" w:cstheme="majorHAnsi"/>
        </w:rPr>
      </w:pPr>
      <w:r>
        <w:rPr>
          <w:rFonts w:asciiTheme="majorHAnsi" w:hAnsiTheme="majorHAnsi" w:cstheme="majorHAnsi"/>
        </w:rPr>
        <w:t>b</w:t>
      </w:r>
      <w:r w:rsidR="000155E0" w:rsidRPr="000155E0">
        <w:rPr>
          <w:rFonts w:asciiTheme="majorHAnsi" w:hAnsiTheme="majorHAnsi" w:cstheme="majorHAnsi"/>
        </w:rPr>
        <w:t>iotehnologije</w:t>
      </w:r>
      <w:r w:rsidR="007F354E">
        <w:rPr>
          <w:rFonts w:asciiTheme="majorHAnsi" w:hAnsiTheme="majorHAnsi" w:cstheme="majorHAnsi"/>
        </w:rPr>
        <w:t>.</w:t>
      </w:r>
    </w:p>
    <w:p w14:paraId="2253DB17" w14:textId="00A22B93" w:rsidR="000155E0" w:rsidRPr="000155E0" w:rsidRDefault="000155E0" w:rsidP="000155E0">
      <w:pPr>
        <w:jc w:val="both"/>
        <w:rPr>
          <w:rFonts w:asciiTheme="majorHAnsi" w:hAnsiTheme="majorHAnsi" w:cstheme="majorHAnsi"/>
        </w:rPr>
      </w:pPr>
      <w:r>
        <w:rPr>
          <w:rFonts w:asciiTheme="majorHAnsi" w:hAnsiTheme="majorHAnsi" w:cstheme="majorHAnsi"/>
        </w:rPr>
        <w:t>Uredba</w:t>
      </w:r>
      <w:r w:rsidRPr="000155E0">
        <w:rPr>
          <w:rFonts w:asciiTheme="majorHAnsi" w:hAnsiTheme="majorHAnsi" w:cstheme="majorHAnsi"/>
        </w:rPr>
        <w:t xml:space="preserve"> uvaja nov pečat STEP – znak EU za visokokakovostne projekte</w:t>
      </w:r>
      <w:r w:rsidR="00460848">
        <w:rPr>
          <w:rFonts w:asciiTheme="majorHAnsi" w:hAnsiTheme="majorHAnsi" w:cstheme="majorHAnsi"/>
        </w:rPr>
        <w:t>,</w:t>
      </w:r>
      <w:r w:rsidRPr="000155E0">
        <w:rPr>
          <w:rFonts w:asciiTheme="majorHAnsi" w:hAnsiTheme="majorHAnsi" w:cstheme="majorHAnsi"/>
        </w:rPr>
        <w:t xml:space="preserve"> ki zagotavlja prepoznavnost projektov STEP in olajšuje njihov dostop do drugih možnih virov financiranja.</w:t>
      </w:r>
    </w:p>
    <w:p w14:paraId="74AA16D0" w14:textId="4A1D53BF" w:rsidR="00577A49" w:rsidRDefault="000155E0" w:rsidP="00BC3C55">
      <w:pPr>
        <w:jc w:val="both"/>
        <w:rPr>
          <w:rFonts w:asciiTheme="majorHAnsi" w:hAnsiTheme="majorHAnsi" w:cstheme="majorHAnsi"/>
        </w:rPr>
      </w:pPr>
      <w:r>
        <w:rPr>
          <w:rFonts w:asciiTheme="majorHAnsi" w:hAnsiTheme="majorHAnsi" w:cstheme="majorHAnsi"/>
        </w:rPr>
        <w:t>V</w:t>
      </w:r>
      <w:r w:rsidR="00577A49" w:rsidRPr="00577A49">
        <w:rPr>
          <w:rFonts w:asciiTheme="majorHAnsi" w:hAnsiTheme="majorHAnsi" w:cstheme="majorHAnsi"/>
        </w:rPr>
        <w:t xml:space="preserve"> povezavi </w:t>
      </w:r>
      <w:r w:rsidR="00460848">
        <w:rPr>
          <w:rFonts w:asciiTheme="majorHAnsi" w:hAnsiTheme="majorHAnsi" w:cstheme="majorHAnsi"/>
        </w:rPr>
        <w:t xml:space="preserve">z </w:t>
      </w:r>
      <w:r w:rsidR="00577A49" w:rsidRPr="00577A49">
        <w:rPr>
          <w:rFonts w:asciiTheme="majorHAnsi" w:hAnsiTheme="majorHAnsi" w:cstheme="majorHAnsi"/>
        </w:rPr>
        <w:t>uredbo</w:t>
      </w:r>
      <w:r>
        <w:rPr>
          <w:rFonts w:asciiTheme="majorHAnsi" w:hAnsiTheme="majorHAnsi" w:cstheme="majorHAnsi"/>
        </w:rPr>
        <w:t xml:space="preserve"> </w:t>
      </w:r>
      <w:r w:rsidR="00460848" w:rsidRPr="00577A49">
        <w:rPr>
          <w:rFonts w:asciiTheme="majorHAnsi" w:hAnsiTheme="majorHAnsi" w:cstheme="majorHAnsi"/>
        </w:rPr>
        <w:t xml:space="preserve">STEP </w:t>
      </w:r>
      <w:r>
        <w:rPr>
          <w:rFonts w:asciiTheme="majorHAnsi" w:hAnsiTheme="majorHAnsi" w:cstheme="majorHAnsi"/>
        </w:rPr>
        <w:t>bomo</w:t>
      </w:r>
      <w:r w:rsidR="00577A49" w:rsidRPr="00577A49">
        <w:rPr>
          <w:rFonts w:asciiTheme="majorHAnsi" w:hAnsiTheme="majorHAnsi" w:cstheme="majorHAnsi"/>
        </w:rPr>
        <w:t xml:space="preserve"> promovirali in podpirali projekte</w:t>
      </w:r>
      <w:r>
        <w:rPr>
          <w:rFonts w:asciiTheme="majorHAnsi" w:hAnsiTheme="majorHAnsi" w:cstheme="majorHAnsi"/>
        </w:rPr>
        <w:t xml:space="preserve"> </w:t>
      </w:r>
      <w:r w:rsidR="00460848" w:rsidRPr="00577A49">
        <w:rPr>
          <w:rFonts w:asciiTheme="majorHAnsi" w:hAnsiTheme="majorHAnsi" w:cstheme="majorHAnsi"/>
        </w:rPr>
        <w:t xml:space="preserve">STEP </w:t>
      </w:r>
      <w:r>
        <w:rPr>
          <w:rFonts w:asciiTheme="majorHAnsi" w:hAnsiTheme="majorHAnsi" w:cstheme="majorHAnsi"/>
        </w:rPr>
        <w:t>z navedenih področij</w:t>
      </w:r>
      <w:r w:rsidR="00DD23FD">
        <w:rPr>
          <w:rFonts w:asciiTheme="majorHAnsi" w:hAnsiTheme="majorHAnsi" w:cstheme="majorHAnsi"/>
        </w:rPr>
        <w:t xml:space="preserve">, še zlasti </w:t>
      </w:r>
      <w:r w:rsidR="00460848">
        <w:rPr>
          <w:rFonts w:asciiTheme="majorHAnsi" w:hAnsiTheme="majorHAnsi" w:cstheme="majorHAnsi"/>
        </w:rPr>
        <w:t xml:space="preserve">s </w:t>
      </w:r>
      <w:r w:rsidR="00DD23FD">
        <w:rPr>
          <w:rFonts w:asciiTheme="majorHAnsi" w:hAnsiTheme="majorHAnsi" w:cstheme="majorHAnsi"/>
        </w:rPr>
        <w:t>spodbujanj</w:t>
      </w:r>
      <w:r w:rsidR="00460848">
        <w:rPr>
          <w:rFonts w:asciiTheme="majorHAnsi" w:hAnsiTheme="majorHAnsi" w:cstheme="majorHAnsi"/>
        </w:rPr>
        <w:t>em k</w:t>
      </w:r>
      <w:r w:rsidR="00DD23FD">
        <w:rPr>
          <w:rFonts w:asciiTheme="majorHAnsi" w:hAnsiTheme="majorHAnsi" w:cstheme="majorHAnsi"/>
        </w:rPr>
        <w:t xml:space="preserve"> prijav</w:t>
      </w:r>
      <w:r w:rsidR="00460848">
        <w:rPr>
          <w:rFonts w:asciiTheme="majorHAnsi" w:hAnsiTheme="majorHAnsi" w:cstheme="majorHAnsi"/>
        </w:rPr>
        <w:t>i</w:t>
      </w:r>
      <w:r w:rsidR="00DD23FD">
        <w:rPr>
          <w:rFonts w:asciiTheme="majorHAnsi" w:hAnsiTheme="majorHAnsi" w:cstheme="majorHAnsi"/>
        </w:rPr>
        <w:t xml:space="preserve"> na razpise v okviru </w:t>
      </w:r>
      <w:r w:rsidR="007F354E">
        <w:rPr>
          <w:rFonts w:asciiTheme="majorHAnsi" w:hAnsiTheme="majorHAnsi" w:cstheme="majorHAnsi"/>
        </w:rPr>
        <w:t>s</w:t>
      </w:r>
      <w:r w:rsidR="00DD23FD">
        <w:rPr>
          <w:rFonts w:asciiTheme="majorHAnsi" w:hAnsiTheme="majorHAnsi" w:cstheme="majorHAnsi"/>
        </w:rPr>
        <w:t>klada za inovacije</w:t>
      </w:r>
      <w:r w:rsidR="00460848" w:rsidRPr="00460848">
        <w:rPr>
          <w:rFonts w:asciiTheme="majorHAnsi" w:hAnsiTheme="majorHAnsi" w:cstheme="majorHAnsi"/>
        </w:rPr>
        <w:t xml:space="preserve"> </w:t>
      </w:r>
      <w:r w:rsidR="00460848">
        <w:rPr>
          <w:rFonts w:asciiTheme="majorHAnsi" w:hAnsiTheme="majorHAnsi" w:cstheme="majorHAnsi"/>
        </w:rPr>
        <w:t>EU</w:t>
      </w:r>
      <w:r w:rsidR="00577A49" w:rsidRPr="00577A49">
        <w:rPr>
          <w:rFonts w:asciiTheme="majorHAnsi" w:hAnsiTheme="majorHAnsi" w:cstheme="majorHAnsi"/>
        </w:rPr>
        <w:t>.</w:t>
      </w:r>
    </w:p>
    <w:p w14:paraId="65AF31A8" w14:textId="325DEBD8" w:rsidR="00C65D3C" w:rsidRDefault="00D910FE" w:rsidP="00BC3C55">
      <w:pPr>
        <w:jc w:val="both"/>
        <w:rPr>
          <w:rFonts w:asciiTheme="majorHAnsi" w:hAnsiTheme="majorHAnsi" w:cstheme="majorHAnsi"/>
        </w:rPr>
      </w:pPr>
      <w:r>
        <w:rPr>
          <w:rFonts w:asciiTheme="majorHAnsi" w:hAnsiTheme="majorHAnsi" w:cstheme="majorHAnsi"/>
        </w:rPr>
        <w:t>P</w:t>
      </w:r>
      <w:r w:rsidR="00460848">
        <w:rPr>
          <w:rFonts w:asciiTheme="majorHAnsi" w:hAnsiTheme="majorHAnsi" w:cstheme="majorHAnsi"/>
        </w:rPr>
        <w:t>oleg tega</w:t>
      </w:r>
      <w:r>
        <w:rPr>
          <w:rFonts w:asciiTheme="majorHAnsi" w:hAnsiTheme="majorHAnsi" w:cstheme="majorHAnsi"/>
        </w:rPr>
        <w:t xml:space="preserve"> bomo vzpostavili </w:t>
      </w:r>
      <w:r w:rsidR="00C65D3C" w:rsidRPr="00C65D3C">
        <w:rPr>
          <w:rFonts w:asciiTheme="majorHAnsi" w:hAnsiTheme="majorHAnsi" w:cstheme="majorHAnsi"/>
        </w:rPr>
        <w:t xml:space="preserve">sistem za podporo (pisarna/kontaktna točka) za prijavo podjetij na razpise za financiranje projektov (domače in EU – </w:t>
      </w:r>
      <w:r w:rsidR="00460848">
        <w:rPr>
          <w:rFonts w:asciiTheme="majorHAnsi" w:hAnsiTheme="majorHAnsi" w:cstheme="majorHAnsi"/>
        </w:rPr>
        <w:t>p</w:t>
      </w:r>
      <w:r w:rsidR="00C65D3C" w:rsidRPr="00C65D3C">
        <w:rPr>
          <w:rFonts w:asciiTheme="majorHAnsi" w:hAnsiTheme="majorHAnsi" w:cstheme="majorHAnsi"/>
        </w:rPr>
        <w:t xml:space="preserve">odnebni sklad, </w:t>
      </w:r>
      <w:r w:rsidR="00460848">
        <w:rPr>
          <w:rFonts w:asciiTheme="majorHAnsi" w:hAnsiTheme="majorHAnsi" w:cstheme="majorHAnsi"/>
        </w:rPr>
        <w:t>i</w:t>
      </w:r>
      <w:r w:rsidR="00C65D3C" w:rsidRPr="00C65D3C">
        <w:rPr>
          <w:rFonts w:asciiTheme="majorHAnsi" w:hAnsiTheme="majorHAnsi" w:cstheme="majorHAnsi"/>
        </w:rPr>
        <w:t xml:space="preserve">novacijski sklad, </w:t>
      </w:r>
      <w:proofErr w:type="spellStart"/>
      <w:r w:rsidR="00460848">
        <w:rPr>
          <w:rFonts w:asciiTheme="majorHAnsi" w:hAnsiTheme="majorHAnsi" w:cstheme="majorHAnsi"/>
        </w:rPr>
        <w:t>m</w:t>
      </w:r>
      <w:r w:rsidR="00C65D3C" w:rsidRPr="00C65D3C">
        <w:rPr>
          <w:rFonts w:asciiTheme="majorHAnsi" w:hAnsiTheme="majorHAnsi" w:cstheme="majorHAnsi"/>
        </w:rPr>
        <w:t>odernizacijski</w:t>
      </w:r>
      <w:proofErr w:type="spellEnd"/>
      <w:r w:rsidR="00C65D3C" w:rsidRPr="00C65D3C">
        <w:rPr>
          <w:rFonts w:asciiTheme="majorHAnsi" w:hAnsiTheme="majorHAnsi" w:cstheme="majorHAnsi"/>
        </w:rPr>
        <w:t xml:space="preserve"> sklad, Obzorje Evropa itn</w:t>
      </w:r>
      <w:r w:rsidR="00744AF0">
        <w:rPr>
          <w:rFonts w:asciiTheme="majorHAnsi" w:hAnsiTheme="majorHAnsi" w:cstheme="majorHAnsi"/>
        </w:rPr>
        <w:t>.</w:t>
      </w:r>
      <w:r w:rsidR="00C65D3C" w:rsidRPr="00C65D3C">
        <w:rPr>
          <w:rFonts w:asciiTheme="majorHAnsi" w:hAnsiTheme="majorHAnsi" w:cstheme="majorHAnsi"/>
        </w:rPr>
        <w:t>).</w:t>
      </w:r>
    </w:p>
    <w:p w14:paraId="7EE92400" w14:textId="2CB3900B" w:rsidR="000155E0" w:rsidRDefault="000155E0" w:rsidP="000155E0">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Rok za izvedbo: tekoče izvajanje</w:t>
      </w:r>
      <w:r>
        <w:rPr>
          <w:rFonts w:asciiTheme="majorHAnsi" w:hAnsiTheme="majorHAnsi" w:cstheme="majorHAnsi"/>
          <w:color w:val="1F3864" w:themeColor="accent1" w:themeShade="80"/>
          <w:u w:val="single"/>
        </w:rPr>
        <w:t xml:space="preserve"> do leta 2030</w:t>
      </w:r>
    </w:p>
    <w:p w14:paraId="7FA9C45E" w14:textId="05A9BEE0" w:rsidR="00AA7A1C" w:rsidRPr="00BF3AAC" w:rsidRDefault="00AA7A1C" w:rsidP="000155E0">
      <w:pPr>
        <w:jc w:val="both"/>
        <w:rPr>
          <w:rFonts w:asciiTheme="majorHAnsi" w:hAnsiTheme="majorHAnsi" w:cstheme="majorHAnsi"/>
          <w:color w:val="1F3864" w:themeColor="accent1" w:themeShade="80"/>
          <w:u w:val="single"/>
        </w:rPr>
      </w:pPr>
      <w:r>
        <w:rPr>
          <w:rFonts w:asciiTheme="majorHAnsi" w:hAnsiTheme="majorHAnsi" w:cstheme="majorHAnsi"/>
          <w:color w:val="1F3864" w:themeColor="accent1" w:themeShade="80"/>
          <w:u w:val="single"/>
        </w:rPr>
        <w:lastRenderedPageBreak/>
        <w:t>P</w:t>
      </w:r>
      <w:r w:rsidRPr="00AA7A1C">
        <w:rPr>
          <w:rFonts w:asciiTheme="majorHAnsi" w:hAnsiTheme="majorHAnsi" w:cstheme="majorHAnsi"/>
          <w:color w:val="1F3864" w:themeColor="accent1" w:themeShade="80"/>
          <w:u w:val="single"/>
        </w:rPr>
        <w:t xml:space="preserve">redvidena finančna sredstva: ukrep se bo izvedel, </w:t>
      </w:r>
      <w:r w:rsidR="00460848">
        <w:rPr>
          <w:rFonts w:asciiTheme="majorHAnsi" w:hAnsiTheme="majorHAnsi" w:cstheme="majorHAnsi"/>
          <w:color w:val="1F3864" w:themeColor="accent1" w:themeShade="80"/>
          <w:u w:val="single"/>
        </w:rPr>
        <w:t>če</w:t>
      </w:r>
      <w:r w:rsidRPr="00AA7A1C">
        <w:rPr>
          <w:rFonts w:asciiTheme="majorHAnsi" w:hAnsiTheme="majorHAnsi" w:cstheme="majorHAnsi"/>
          <w:color w:val="1F3864" w:themeColor="accent1" w:themeShade="80"/>
          <w:u w:val="single"/>
        </w:rPr>
        <w:t xml:space="preserve"> bodo zagotovljena finančna sredstva</w:t>
      </w:r>
      <w:r w:rsidR="0049474F">
        <w:rPr>
          <w:rFonts w:asciiTheme="majorHAnsi" w:hAnsiTheme="majorHAnsi" w:cstheme="majorHAnsi"/>
          <w:color w:val="1F3864" w:themeColor="accent1" w:themeShade="80"/>
          <w:u w:val="single"/>
        </w:rPr>
        <w:t xml:space="preserve"> v okviru spremembe</w:t>
      </w:r>
      <w:r w:rsidR="0049474F" w:rsidRPr="0049474F">
        <w:rPr>
          <w:rFonts w:asciiTheme="majorHAnsi" w:hAnsiTheme="majorHAnsi" w:cstheme="majorHAnsi"/>
          <w:color w:val="1F3864" w:themeColor="accent1" w:themeShade="80"/>
          <w:u w:val="single"/>
        </w:rPr>
        <w:t xml:space="preserve"> </w:t>
      </w:r>
      <w:r w:rsidR="007F354E">
        <w:rPr>
          <w:rFonts w:asciiTheme="majorHAnsi" w:hAnsiTheme="majorHAnsi" w:cstheme="majorHAnsi"/>
          <w:color w:val="1F3864" w:themeColor="accent1" w:themeShade="80"/>
          <w:u w:val="single"/>
        </w:rPr>
        <w:t>p</w:t>
      </w:r>
      <w:r w:rsidR="0049474F" w:rsidRPr="0049474F">
        <w:rPr>
          <w:rFonts w:asciiTheme="majorHAnsi" w:hAnsiTheme="majorHAnsi" w:cstheme="majorHAnsi"/>
          <w:color w:val="1F3864" w:themeColor="accent1" w:themeShade="80"/>
          <w:u w:val="single"/>
        </w:rPr>
        <w:t>rogram</w:t>
      </w:r>
      <w:r w:rsidR="0049474F">
        <w:rPr>
          <w:rFonts w:asciiTheme="majorHAnsi" w:hAnsiTheme="majorHAnsi" w:cstheme="majorHAnsi"/>
          <w:color w:val="1F3864" w:themeColor="accent1" w:themeShade="80"/>
          <w:u w:val="single"/>
        </w:rPr>
        <w:t>a</w:t>
      </w:r>
      <w:r w:rsidR="0049474F" w:rsidRPr="0049474F">
        <w:rPr>
          <w:rFonts w:asciiTheme="majorHAnsi" w:hAnsiTheme="majorHAnsi" w:cstheme="majorHAnsi"/>
          <w:color w:val="1F3864" w:themeColor="accent1" w:themeShade="80"/>
          <w:u w:val="single"/>
        </w:rPr>
        <w:t xml:space="preserve"> evropske kohezijske politike 2021</w:t>
      </w:r>
      <w:r w:rsidR="00460848">
        <w:rPr>
          <w:rFonts w:asciiTheme="majorHAnsi" w:hAnsiTheme="majorHAnsi" w:cstheme="majorHAnsi"/>
          <w:color w:val="1F3864" w:themeColor="accent1" w:themeShade="80"/>
          <w:u w:val="single"/>
        </w:rPr>
        <w:t>–</w:t>
      </w:r>
      <w:r w:rsidR="0049474F" w:rsidRPr="0049474F">
        <w:rPr>
          <w:rFonts w:asciiTheme="majorHAnsi" w:hAnsiTheme="majorHAnsi" w:cstheme="majorHAnsi"/>
          <w:color w:val="1F3864" w:themeColor="accent1" w:themeShade="80"/>
          <w:u w:val="single"/>
        </w:rPr>
        <w:t>2027</w:t>
      </w:r>
    </w:p>
    <w:p w14:paraId="51171A45" w14:textId="46F35DEF" w:rsidR="000155E0" w:rsidRDefault="000155E0" w:rsidP="000155E0">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 xml:space="preserve">Nosilec: MGTŠ, </w:t>
      </w:r>
      <w:r>
        <w:rPr>
          <w:rFonts w:asciiTheme="majorHAnsi" w:hAnsiTheme="majorHAnsi" w:cstheme="majorHAnsi"/>
          <w:color w:val="1F3864" w:themeColor="accent1" w:themeShade="80"/>
          <w:u w:val="single"/>
        </w:rPr>
        <w:t>MVZI</w:t>
      </w:r>
      <w:r w:rsidRPr="00BF3AAC">
        <w:rPr>
          <w:rFonts w:asciiTheme="majorHAnsi" w:hAnsiTheme="majorHAnsi" w:cstheme="majorHAnsi"/>
          <w:color w:val="1F3864" w:themeColor="accent1" w:themeShade="80"/>
          <w:u w:val="single"/>
        </w:rPr>
        <w:t xml:space="preserve"> in </w:t>
      </w:r>
      <w:r w:rsidR="00460848">
        <w:rPr>
          <w:rFonts w:asciiTheme="majorHAnsi" w:hAnsiTheme="majorHAnsi" w:cstheme="majorHAnsi"/>
          <w:color w:val="1F3864" w:themeColor="accent1" w:themeShade="80"/>
          <w:u w:val="single"/>
        </w:rPr>
        <w:t>drug</w:t>
      </w:r>
      <w:r w:rsidRPr="00BF3AAC">
        <w:rPr>
          <w:rFonts w:asciiTheme="majorHAnsi" w:hAnsiTheme="majorHAnsi" w:cstheme="majorHAnsi"/>
          <w:color w:val="1F3864" w:themeColor="accent1" w:themeShade="80"/>
          <w:u w:val="single"/>
        </w:rPr>
        <w:t xml:space="preserve">i </w:t>
      </w:r>
      <w:r w:rsidR="00460848">
        <w:rPr>
          <w:rFonts w:asciiTheme="majorHAnsi" w:hAnsiTheme="majorHAnsi" w:cstheme="majorHAnsi"/>
          <w:color w:val="1F3864" w:themeColor="accent1" w:themeShade="80"/>
          <w:u w:val="single"/>
        </w:rPr>
        <w:t>ust</w:t>
      </w:r>
      <w:r w:rsidRPr="00BF3AAC">
        <w:rPr>
          <w:rFonts w:asciiTheme="majorHAnsi" w:hAnsiTheme="majorHAnsi" w:cstheme="majorHAnsi"/>
          <w:color w:val="1F3864" w:themeColor="accent1" w:themeShade="80"/>
          <w:u w:val="single"/>
        </w:rPr>
        <w:t>re</w:t>
      </w:r>
      <w:r w:rsidR="00460848">
        <w:rPr>
          <w:rFonts w:asciiTheme="majorHAnsi" w:hAnsiTheme="majorHAnsi" w:cstheme="majorHAnsi"/>
          <w:color w:val="1F3864" w:themeColor="accent1" w:themeShade="80"/>
          <w:u w:val="single"/>
        </w:rPr>
        <w:t>zn</w:t>
      </w:r>
      <w:r w:rsidRPr="00BF3AAC">
        <w:rPr>
          <w:rFonts w:asciiTheme="majorHAnsi" w:hAnsiTheme="majorHAnsi" w:cstheme="majorHAnsi"/>
          <w:color w:val="1F3864" w:themeColor="accent1" w:themeShade="80"/>
          <w:u w:val="single"/>
        </w:rPr>
        <w:t>i resorji in izvajalske institucije</w:t>
      </w:r>
    </w:p>
    <w:p w14:paraId="76EB169B" w14:textId="77777777" w:rsidR="00FA31D0" w:rsidRPr="00BF3AAC" w:rsidRDefault="00FA31D0" w:rsidP="000155E0">
      <w:pPr>
        <w:jc w:val="both"/>
        <w:rPr>
          <w:rFonts w:asciiTheme="majorHAnsi" w:hAnsiTheme="majorHAnsi" w:cstheme="majorHAnsi"/>
          <w:color w:val="1F3864" w:themeColor="accent1" w:themeShade="80"/>
          <w:u w:val="single"/>
        </w:rPr>
      </w:pPr>
    </w:p>
    <w:p w14:paraId="3B213D45" w14:textId="77777777" w:rsidR="00837BDF" w:rsidRPr="00720FF1" w:rsidRDefault="00837BDF" w:rsidP="0081051F">
      <w:pPr>
        <w:pStyle w:val="Odstavekseznama"/>
        <w:numPr>
          <w:ilvl w:val="1"/>
          <w:numId w:val="4"/>
        </w:numPr>
        <w:ind w:left="426"/>
        <w:jc w:val="both"/>
        <w:rPr>
          <w:rFonts w:asciiTheme="majorHAnsi" w:hAnsiTheme="majorHAnsi" w:cstheme="majorHAnsi"/>
          <w:color w:val="2F5496"/>
        </w:rPr>
      </w:pPr>
      <w:r w:rsidRPr="00720FF1">
        <w:rPr>
          <w:rFonts w:asciiTheme="majorHAnsi" w:hAnsiTheme="majorHAnsi" w:cstheme="majorHAnsi"/>
          <w:color w:val="2F5496"/>
        </w:rPr>
        <w:t>Drugi ukrepi</w:t>
      </w:r>
    </w:p>
    <w:p w14:paraId="0538423B" w14:textId="791113E2" w:rsidR="00837BDF" w:rsidRPr="00720FF1" w:rsidRDefault="008541EF" w:rsidP="00BC3C55">
      <w:pPr>
        <w:jc w:val="both"/>
        <w:rPr>
          <w:rFonts w:asciiTheme="majorHAnsi" w:hAnsiTheme="majorHAnsi" w:cstheme="majorHAnsi"/>
        </w:rPr>
      </w:pPr>
      <w:r>
        <w:rPr>
          <w:rFonts w:asciiTheme="majorHAnsi" w:hAnsiTheme="majorHAnsi" w:cstheme="majorHAnsi"/>
        </w:rPr>
        <w:t xml:space="preserve">Poleg zgoraj navedenih ukrepov tudi drugi ukrepi prispevajo k višji energetski učinkovitosti. </w:t>
      </w:r>
      <w:r w:rsidR="00BC3C55" w:rsidRPr="00720FF1">
        <w:rPr>
          <w:rFonts w:asciiTheme="majorHAnsi" w:hAnsiTheme="majorHAnsi" w:cstheme="majorHAnsi"/>
        </w:rPr>
        <w:t>MGTŠ in drugi resorji, ki izvajajo ukrepe na področju spodbujanja investicij</w:t>
      </w:r>
      <w:r w:rsidR="00EA7F1F">
        <w:rPr>
          <w:rFonts w:asciiTheme="majorHAnsi" w:hAnsiTheme="majorHAnsi" w:cstheme="majorHAnsi"/>
        </w:rPr>
        <w:t>, naložb v OVE in URE,</w:t>
      </w:r>
      <w:r w:rsidR="00BC3C55" w:rsidRPr="00720FF1">
        <w:rPr>
          <w:rFonts w:asciiTheme="majorHAnsi" w:hAnsiTheme="majorHAnsi" w:cstheme="majorHAnsi"/>
        </w:rPr>
        <w:t xml:space="preserve"> raziskav, razvoja in inovacij v gospodarstvu</w:t>
      </w:r>
      <w:r w:rsidR="00EA7F1F">
        <w:rPr>
          <w:rFonts w:asciiTheme="majorHAnsi" w:hAnsiTheme="majorHAnsi" w:cstheme="majorHAnsi"/>
        </w:rPr>
        <w:t xml:space="preserve"> itn.</w:t>
      </w:r>
      <w:r w:rsidR="007F27CB">
        <w:rPr>
          <w:rFonts w:asciiTheme="majorHAnsi" w:hAnsiTheme="majorHAnsi" w:cstheme="majorHAnsi"/>
        </w:rPr>
        <w:t>,</w:t>
      </w:r>
      <w:r w:rsidR="00BC3C55" w:rsidRPr="00720FF1">
        <w:rPr>
          <w:rFonts w:asciiTheme="majorHAnsi" w:hAnsiTheme="majorHAnsi" w:cstheme="majorHAnsi"/>
        </w:rPr>
        <w:t xml:space="preserve"> so že do </w:t>
      </w:r>
      <w:r w:rsidR="007F27CB">
        <w:rPr>
          <w:rFonts w:asciiTheme="majorHAnsi" w:hAnsiTheme="majorHAnsi" w:cstheme="majorHAnsi"/>
        </w:rPr>
        <w:t>z</w:t>
      </w:r>
      <w:r w:rsidR="00BC3C55" w:rsidRPr="00720FF1">
        <w:rPr>
          <w:rFonts w:asciiTheme="majorHAnsi" w:hAnsiTheme="majorHAnsi" w:cstheme="majorHAnsi"/>
        </w:rPr>
        <w:t xml:space="preserve">daj </w:t>
      </w:r>
      <w:r w:rsidR="00644114" w:rsidRPr="00720FF1">
        <w:rPr>
          <w:rFonts w:asciiTheme="majorHAnsi" w:hAnsiTheme="majorHAnsi" w:cstheme="majorHAnsi"/>
        </w:rPr>
        <w:t xml:space="preserve">pri javnih razpisih </w:t>
      </w:r>
      <w:r w:rsidR="00BC3C55" w:rsidRPr="00720FF1">
        <w:rPr>
          <w:rFonts w:asciiTheme="majorHAnsi" w:hAnsiTheme="majorHAnsi" w:cstheme="majorHAnsi"/>
        </w:rPr>
        <w:t xml:space="preserve">med pogoje in merila vključevali tudi energetsko učinkovitost in druge </w:t>
      </w:r>
      <w:proofErr w:type="spellStart"/>
      <w:r w:rsidR="00BC3C55" w:rsidRPr="00720FF1">
        <w:rPr>
          <w:rFonts w:asciiTheme="majorHAnsi" w:hAnsiTheme="majorHAnsi" w:cstheme="majorHAnsi"/>
        </w:rPr>
        <w:t>okoljske</w:t>
      </w:r>
      <w:proofErr w:type="spellEnd"/>
      <w:r w:rsidR="00BC3C55" w:rsidRPr="00720FF1">
        <w:rPr>
          <w:rFonts w:asciiTheme="majorHAnsi" w:hAnsiTheme="majorHAnsi" w:cstheme="majorHAnsi"/>
        </w:rPr>
        <w:t xml:space="preserve"> elemente (npr. OVE, </w:t>
      </w:r>
      <w:r w:rsidR="00EA7F1F">
        <w:rPr>
          <w:rFonts w:asciiTheme="majorHAnsi" w:hAnsiTheme="majorHAnsi" w:cstheme="majorHAnsi"/>
        </w:rPr>
        <w:t xml:space="preserve">TGP, </w:t>
      </w:r>
      <w:r w:rsidR="00BC3C55" w:rsidRPr="00720FF1">
        <w:rPr>
          <w:rFonts w:asciiTheme="majorHAnsi" w:hAnsiTheme="majorHAnsi" w:cstheme="majorHAnsi"/>
        </w:rPr>
        <w:t xml:space="preserve">krožno gospodarstvo ipd.). </w:t>
      </w:r>
    </w:p>
    <w:p w14:paraId="32874044" w14:textId="084B2BCF" w:rsidR="00BC3C55" w:rsidRDefault="00BC3C55" w:rsidP="00BC3C55">
      <w:pPr>
        <w:jc w:val="both"/>
        <w:rPr>
          <w:rFonts w:asciiTheme="majorHAnsi" w:hAnsiTheme="majorHAnsi" w:cstheme="majorHAnsi"/>
        </w:rPr>
      </w:pPr>
      <w:r w:rsidRPr="00720FF1">
        <w:rPr>
          <w:rFonts w:asciiTheme="majorHAnsi" w:hAnsiTheme="majorHAnsi" w:cstheme="majorHAnsi"/>
        </w:rPr>
        <w:t xml:space="preserve">Glede na to, da je spodbujanje energetske učinkovitosti med najbolj optimalnimi ukrepi, se bo v skladu z načelom </w:t>
      </w:r>
      <w:r w:rsidR="007F27CB">
        <w:rPr>
          <w:rFonts w:asciiTheme="majorHAnsi" w:hAnsiTheme="majorHAnsi" w:cstheme="majorHAnsi"/>
        </w:rPr>
        <w:t>»</w:t>
      </w:r>
      <w:r w:rsidRPr="00720FF1">
        <w:rPr>
          <w:rFonts w:asciiTheme="majorHAnsi" w:hAnsiTheme="majorHAnsi" w:cstheme="majorHAnsi"/>
        </w:rPr>
        <w:t>energetska učinkovitost na prvem mestu</w:t>
      </w:r>
      <w:r w:rsidR="007F27CB">
        <w:rPr>
          <w:rFonts w:asciiTheme="majorHAnsi" w:hAnsiTheme="majorHAnsi" w:cstheme="majorHAnsi"/>
        </w:rPr>
        <w:t>«</w:t>
      </w:r>
      <w:r w:rsidRPr="00720FF1">
        <w:rPr>
          <w:rFonts w:asciiTheme="majorHAnsi" w:hAnsiTheme="majorHAnsi" w:cstheme="majorHAnsi"/>
        </w:rPr>
        <w:t xml:space="preserve"> </w:t>
      </w:r>
      <w:r w:rsidR="007F27CB">
        <w:rPr>
          <w:rFonts w:asciiTheme="majorHAnsi" w:hAnsiTheme="majorHAnsi" w:cstheme="majorHAnsi"/>
        </w:rPr>
        <w:t>pomen</w:t>
      </w:r>
      <w:r w:rsidR="007F27CB" w:rsidRPr="00720FF1">
        <w:rPr>
          <w:rFonts w:asciiTheme="majorHAnsi" w:hAnsiTheme="majorHAnsi" w:cstheme="majorHAnsi"/>
        </w:rPr>
        <w:t xml:space="preserve"> </w:t>
      </w:r>
      <w:r w:rsidR="007B4E90" w:rsidRPr="00720FF1">
        <w:rPr>
          <w:rFonts w:asciiTheme="majorHAnsi" w:hAnsiTheme="majorHAnsi" w:cstheme="majorHAnsi"/>
        </w:rPr>
        <w:t xml:space="preserve">teh meril v prihodnjih razpisih še krepil. </w:t>
      </w:r>
    </w:p>
    <w:p w14:paraId="29D46F1C" w14:textId="72649AB4" w:rsidR="00EA7F1F" w:rsidRPr="00720FF1" w:rsidRDefault="00EA7F1F" w:rsidP="00BC3C55">
      <w:pPr>
        <w:jc w:val="both"/>
        <w:rPr>
          <w:rFonts w:asciiTheme="majorHAnsi" w:hAnsiTheme="majorHAnsi" w:cstheme="majorHAnsi"/>
        </w:rPr>
      </w:pPr>
      <w:r>
        <w:rPr>
          <w:rFonts w:asciiTheme="majorHAnsi" w:hAnsiTheme="majorHAnsi" w:cstheme="majorHAnsi"/>
        </w:rPr>
        <w:t>To velja tudi za obstoječe</w:t>
      </w:r>
      <w:r w:rsidR="005C1F19">
        <w:rPr>
          <w:rFonts w:asciiTheme="majorHAnsi" w:hAnsiTheme="majorHAnsi" w:cstheme="majorHAnsi"/>
        </w:rPr>
        <w:t xml:space="preserve"> in prihodnje</w:t>
      </w:r>
      <w:r>
        <w:rPr>
          <w:rFonts w:asciiTheme="majorHAnsi" w:hAnsiTheme="majorHAnsi" w:cstheme="majorHAnsi"/>
        </w:rPr>
        <w:t xml:space="preserve"> ukrepe in instrumente, ki se izvajajo v okviru Zakona o spodbujanju investicij. </w:t>
      </w:r>
      <w:r w:rsidR="00E328A1" w:rsidRPr="00E328A1">
        <w:rPr>
          <w:rFonts w:asciiTheme="majorHAnsi" w:hAnsiTheme="majorHAnsi" w:cstheme="majorHAnsi"/>
        </w:rPr>
        <w:t xml:space="preserve">Ob naslednji noveli tega zakona (predvidoma do leta 2026) se bodo </w:t>
      </w:r>
      <w:proofErr w:type="spellStart"/>
      <w:r w:rsidR="00E328A1" w:rsidRPr="00E328A1">
        <w:rPr>
          <w:rFonts w:asciiTheme="majorHAnsi" w:hAnsiTheme="majorHAnsi" w:cstheme="majorHAnsi"/>
        </w:rPr>
        <w:t>okoljska</w:t>
      </w:r>
      <w:proofErr w:type="spellEnd"/>
      <w:r w:rsidR="00E328A1" w:rsidRPr="00E328A1">
        <w:rPr>
          <w:rFonts w:asciiTheme="majorHAnsi" w:hAnsiTheme="majorHAnsi" w:cstheme="majorHAnsi"/>
        </w:rPr>
        <w:t xml:space="preserve"> merila, ki so se pilotno uporabljala v okviru </w:t>
      </w:r>
      <w:r w:rsidR="007F27CB">
        <w:rPr>
          <w:rFonts w:asciiTheme="majorHAnsi" w:hAnsiTheme="majorHAnsi" w:cstheme="majorHAnsi"/>
        </w:rPr>
        <w:t>n</w:t>
      </w:r>
      <w:r w:rsidR="00E328A1">
        <w:rPr>
          <w:rFonts w:asciiTheme="majorHAnsi" w:hAnsiTheme="majorHAnsi" w:cstheme="majorHAnsi"/>
        </w:rPr>
        <w:t>ačrta za okrevanje in odpornost</w:t>
      </w:r>
      <w:r w:rsidR="00E328A1" w:rsidRPr="00E328A1">
        <w:rPr>
          <w:rFonts w:asciiTheme="majorHAnsi" w:hAnsiTheme="majorHAnsi" w:cstheme="majorHAnsi"/>
        </w:rPr>
        <w:t xml:space="preserve">, uporabila kot sistemska merila za </w:t>
      </w:r>
      <w:r w:rsidR="00E328A1">
        <w:rPr>
          <w:rFonts w:asciiTheme="majorHAnsi" w:hAnsiTheme="majorHAnsi" w:cstheme="majorHAnsi"/>
        </w:rPr>
        <w:t xml:space="preserve">prihodnje </w:t>
      </w:r>
      <w:r w:rsidR="00E328A1" w:rsidRPr="00E328A1">
        <w:rPr>
          <w:rFonts w:asciiTheme="majorHAnsi" w:hAnsiTheme="majorHAnsi" w:cstheme="majorHAnsi"/>
        </w:rPr>
        <w:t>ukrepe spodbujanja investicij prek javn</w:t>
      </w:r>
      <w:r w:rsidR="00E328A1">
        <w:rPr>
          <w:rFonts w:asciiTheme="majorHAnsi" w:hAnsiTheme="majorHAnsi" w:cstheme="majorHAnsi"/>
        </w:rPr>
        <w:t>ih</w:t>
      </w:r>
      <w:r w:rsidR="00E328A1" w:rsidRPr="00E328A1">
        <w:rPr>
          <w:rFonts w:asciiTheme="majorHAnsi" w:hAnsiTheme="majorHAnsi" w:cstheme="majorHAnsi"/>
        </w:rPr>
        <w:t xml:space="preserve"> razpis</w:t>
      </w:r>
      <w:r w:rsidR="00E328A1">
        <w:rPr>
          <w:rFonts w:asciiTheme="majorHAnsi" w:hAnsiTheme="majorHAnsi" w:cstheme="majorHAnsi"/>
        </w:rPr>
        <w:t>ov</w:t>
      </w:r>
      <w:r w:rsidR="00E328A1" w:rsidRPr="00E328A1">
        <w:rPr>
          <w:rFonts w:asciiTheme="majorHAnsi" w:hAnsiTheme="majorHAnsi" w:cstheme="majorHAnsi"/>
        </w:rPr>
        <w:t xml:space="preserve"> oz</w:t>
      </w:r>
      <w:r w:rsidR="00E328A1">
        <w:rPr>
          <w:rFonts w:asciiTheme="majorHAnsi" w:hAnsiTheme="majorHAnsi" w:cstheme="majorHAnsi"/>
        </w:rPr>
        <w:t>iroma</w:t>
      </w:r>
      <w:r w:rsidR="00E328A1" w:rsidRPr="00E328A1">
        <w:rPr>
          <w:rFonts w:asciiTheme="majorHAnsi" w:hAnsiTheme="majorHAnsi" w:cstheme="majorHAnsi"/>
        </w:rPr>
        <w:t xml:space="preserve"> </w:t>
      </w:r>
      <w:r w:rsidR="007F27CB">
        <w:rPr>
          <w:rFonts w:asciiTheme="majorHAnsi" w:hAnsiTheme="majorHAnsi" w:cstheme="majorHAnsi"/>
        </w:rPr>
        <w:t xml:space="preserve">se bodo </w:t>
      </w:r>
      <w:r w:rsidR="00E328A1" w:rsidRPr="00E328A1">
        <w:rPr>
          <w:rFonts w:asciiTheme="majorHAnsi" w:hAnsiTheme="majorHAnsi" w:cstheme="majorHAnsi"/>
        </w:rPr>
        <w:t>za namenske vir</w:t>
      </w:r>
      <w:r w:rsidR="00E328A1">
        <w:rPr>
          <w:rFonts w:asciiTheme="majorHAnsi" w:hAnsiTheme="majorHAnsi" w:cstheme="majorHAnsi"/>
        </w:rPr>
        <w:t xml:space="preserve">e financiranja (npr. iz </w:t>
      </w:r>
      <w:r w:rsidR="00644114">
        <w:rPr>
          <w:rFonts w:asciiTheme="majorHAnsi" w:hAnsiTheme="majorHAnsi" w:cstheme="majorHAnsi"/>
        </w:rPr>
        <w:t>s</w:t>
      </w:r>
      <w:r w:rsidR="00CE1430" w:rsidRPr="00CE1430">
        <w:rPr>
          <w:rFonts w:asciiTheme="majorHAnsi" w:hAnsiTheme="majorHAnsi" w:cstheme="majorHAnsi"/>
        </w:rPr>
        <w:t>klada za podnebne spremembe</w:t>
      </w:r>
      <w:r w:rsidR="00E328A1">
        <w:rPr>
          <w:rFonts w:asciiTheme="majorHAnsi" w:hAnsiTheme="majorHAnsi" w:cstheme="majorHAnsi"/>
        </w:rPr>
        <w:t>)</w:t>
      </w:r>
      <w:r w:rsidR="00E328A1" w:rsidRPr="00E328A1">
        <w:rPr>
          <w:rFonts w:asciiTheme="majorHAnsi" w:hAnsiTheme="majorHAnsi" w:cstheme="majorHAnsi"/>
        </w:rPr>
        <w:t xml:space="preserve"> še nadgradila. Temu bo sledila tudi ustrezna prenova meril </w:t>
      </w:r>
      <w:r w:rsidR="007F27CB">
        <w:rPr>
          <w:rFonts w:asciiTheme="majorHAnsi" w:hAnsiTheme="majorHAnsi" w:cstheme="majorHAnsi"/>
        </w:rPr>
        <w:t>na podlagi</w:t>
      </w:r>
      <w:r w:rsidR="00E328A1" w:rsidRPr="00E328A1">
        <w:rPr>
          <w:rFonts w:asciiTheme="majorHAnsi" w:hAnsiTheme="majorHAnsi" w:cstheme="majorHAnsi"/>
        </w:rPr>
        <w:t xml:space="preserve"> podzakonskega predpisa, to je pripadajoče </w:t>
      </w:r>
      <w:r w:rsidR="006C751F">
        <w:rPr>
          <w:rFonts w:asciiTheme="majorHAnsi" w:hAnsiTheme="majorHAnsi" w:cstheme="majorHAnsi"/>
        </w:rPr>
        <w:t>u</w:t>
      </w:r>
      <w:r w:rsidR="00E328A1" w:rsidRPr="00E328A1">
        <w:rPr>
          <w:rFonts w:asciiTheme="majorHAnsi" w:hAnsiTheme="majorHAnsi" w:cstheme="majorHAnsi"/>
        </w:rPr>
        <w:t>redbe.</w:t>
      </w:r>
    </w:p>
    <w:p w14:paraId="0E64C6CE" w14:textId="5AC9A96A" w:rsidR="007B4E90" w:rsidRPr="00BF3AAC" w:rsidRDefault="007B4E90" w:rsidP="007B4E90">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Rok za izvedbo: tekoče izvajanje</w:t>
      </w:r>
      <w:r w:rsidR="00D5473E">
        <w:rPr>
          <w:rFonts w:asciiTheme="majorHAnsi" w:hAnsiTheme="majorHAnsi" w:cstheme="majorHAnsi"/>
          <w:color w:val="1F3864" w:themeColor="accent1" w:themeShade="80"/>
          <w:u w:val="single"/>
        </w:rPr>
        <w:t xml:space="preserve"> do leta 2030</w:t>
      </w:r>
    </w:p>
    <w:p w14:paraId="4B2B784B" w14:textId="738AA779" w:rsidR="007B4E90" w:rsidRPr="00BF3AAC" w:rsidRDefault="007B4E90" w:rsidP="007B4E90">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Nosilec: MGTŠ, MOPE</w:t>
      </w:r>
      <w:r w:rsidR="00F51B88">
        <w:rPr>
          <w:rFonts w:asciiTheme="majorHAnsi" w:hAnsiTheme="majorHAnsi" w:cstheme="majorHAnsi"/>
          <w:color w:val="1F3864" w:themeColor="accent1" w:themeShade="80"/>
          <w:u w:val="single"/>
        </w:rPr>
        <w:t>, MVZI</w:t>
      </w:r>
      <w:r w:rsidRPr="00BF3AAC">
        <w:rPr>
          <w:rFonts w:asciiTheme="majorHAnsi" w:hAnsiTheme="majorHAnsi" w:cstheme="majorHAnsi"/>
          <w:color w:val="1F3864" w:themeColor="accent1" w:themeShade="80"/>
          <w:u w:val="single"/>
        </w:rPr>
        <w:t xml:space="preserve"> in </w:t>
      </w:r>
      <w:r w:rsidR="007F27CB">
        <w:rPr>
          <w:rFonts w:asciiTheme="majorHAnsi" w:hAnsiTheme="majorHAnsi" w:cstheme="majorHAnsi"/>
          <w:color w:val="1F3864" w:themeColor="accent1" w:themeShade="80"/>
          <w:u w:val="single"/>
        </w:rPr>
        <w:t>drug</w:t>
      </w:r>
      <w:r w:rsidRPr="00BF3AAC">
        <w:rPr>
          <w:rFonts w:asciiTheme="majorHAnsi" w:hAnsiTheme="majorHAnsi" w:cstheme="majorHAnsi"/>
          <w:color w:val="1F3864" w:themeColor="accent1" w:themeShade="80"/>
          <w:u w:val="single"/>
        </w:rPr>
        <w:t xml:space="preserve">i </w:t>
      </w:r>
      <w:r w:rsidR="007F27CB">
        <w:rPr>
          <w:rFonts w:asciiTheme="majorHAnsi" w:hAnsiTheme="majorHAnsi" w:cstheme="majorHAnsi"/>
          <w:color w:val="1F3864" w:themeColor="accent1" w:themeShade="80"/>
          <w:u w:val="single"/>
        </w:rPr>
        <w:t>ustrez</w:t>
      </w:r>
      <w:r w:rsidRPr="00BF3AAC">
        <w:rPr>
          <w:rFonts w:asciiTheme="majorHAnsi" w:hAnsiTheme="majorHAnsi" w:cstheme="majorHAnsi"/>
          <w:color w:val="1F3864" w:themeColor="accent1" w:themeShade="80"/>
          <w:u w:val="single"/>
        </w:rPr>
        <w:t>ni resorji in izvajalske institucije</w:t>
      </w:r>
    </w:p>
    <w:p w14:paraId="13601627" w14:textId="3B10DDAB" w:rsidR="00453EF7" w:rsidRDefault="00453EF7" w:rsidP="00AE2951">
      <w:pPr>
        <w:jc w:val="both"/>
        <w:rPr>
          <w:rFonts w:asciiTheme="majorHAnsi" w:hAnsiTheme="majorHAnsi" w:cstheme="majorHAnsi"/>
        </w:rPr>
      </w:pPr>
    </w:p>
    <w:p w14:paraId="3F2D301A" w14:textId="5EA54C9A" w:rsidR="003F7A11" w:rsidRPr="00720FF1" w:rsidRDefault="00C97A02" w:rsidP="003F7A11">
      <w:pPr>
        <w:pStyle w:val="Naslov2"/>
        <w:numPr>
          <w:ilvl w:val="0"/>
          <w:numId w:val="4"/>
        </w:numPr>
        <w:ind w:left="426"/>
        <w:rPr>
          <w:rFonts w:cstheme="majorHAnsi"/>
        </w:rPr>
      </w:pPr>
      <w:bookmarkStart w:id="7" w:name="_Toc184114163"/>
      <w:r w:rsidRPr="00720FF1">
        <w:rPr>
          <w:rFonts w:cstheme="majorHAnsi"/>
        </w:rPr>
        <w:t>Zakonodaja s področja učinkovite rabe energije</w:t>
      </w:r>
      <w:bookmarkEnd w:id="7"/>
    </w:p>
    <w:p w14:paraId="37795D97" w14:textId="77777777" w:rsidR="00E223C7" w:rsidRDefault="00E223C7" w:rsidP="00E223C7">
      <w:pPr>
        <w:rPr>
          <w:rFonts w:asciiTheme="majorHAnsi" w:hAnsiTheme="majorHAnsi" w:cstheme="majorHAnsi"/>
          <w:sz w:val="24"/>
          <w:szCs w:val="24"/>
        </w:rPr>
      </w:pPr>
    </w:p>
    <w:p w14:paraId="1F382607" w14:textId="3F84C048" w:rsidR="00E223C7" w:rsidRPr="00E223C7" w:rsidRDefault="00E223C7" w:rsidP="00E223C7">
      <w:pPr>
        <w:jc w:val="both"/>
        <w:rPr>
          <w:rFonts w:asciiTheme="majorHAnsi" w:hAnsiTheme="majorHAnsi" w:cstheme="majorHAnsi"/>
        </w:rPr>
      </w:pPr>
      <w:r>
        <w:rPr>
          <w:rFonts w:asciiTheme="majorHAnsi" w:hAnsiTheme="majorHAnsi" w:cstheme="majorHAnsi"/>
        </w:rPr>
        <w:t xml:space="preserve">Na področju energetske učinkovitosti posodobljeni NEPN predvideva </w:t>
      </w:r>
      <w:r w:rsidRPr="00E223C7">
        <w:rPr>
          <w:rFonts w:asciiTheme="majorHAnsi" w:hAnsiTheme="majorHAnsi" w:cstheme="majorHAnsi"/>
        </w:rPr>
        <w:t>pospešeno izboljšanje energetske in snovne učinkovitosti v vseh sektorjih (tudi pri oskrbi z energijo) kot ključni dejavnik uspešnega izhoda iz energetske krize in učinkovite izvedbe zelenega prehoda (in torej zmanjšanje porabe energije in drugih naravnih virov) po načelu »energetska učinkovitosti na prvem mestu«, kar je pr</w:t>
      </w:r>
      <w:r w:rsidR="005B7769">
        <w:rPr>
          <w:rFonts w:asciiTheme="majorHAnsi" w:hAnsiTheme="majorHAnsi" w:cstheme="majorHAnsi"/>
        </w:rPr>
        <w:t xml:space="preserve">vi </w:t>
      </w:r>
      <w:r w:rsidRPr="00E223C7">
        <w:rPr>
          <w:rFonts w:asciiTheme="majorHAnsi" w:hAnsiTheme="majorHAnsi" w:cstheme="majorHAnsi"/>
        </w:rPr>
        <w:t>pogoj za uspešen in konkurenčen prehod v podnebno nevtralno družbo</w:t>
      </w:r>
      <w:r>
        <w:rPr>
          <w:rFonts w:asciiTheme="majorHAnsi" w:hAnsiTheme="majorHAnsi" w:cstheme="majorHAnsi"/>
        </w:rPr>
        <w:t>.</w:t>
      </w:r>
    </w:p>
    <w:p w14:paraId="6E6BBAEA" w14:textId="1BCF1CC3" w:rsidR="003F7A11" w:rsidRPr="00E223C7" w:rsidRDefault="00E223C7" w:rsidP="00E223C7">
      <w:pPr>
        <w:jc w:val="both"/>
        <w:rPr>
          <w:rFonts w:asciiTheme="majorHAnsi" w:hAnsiTheme="majorHAnsi" w:cstheme="majorHAnsi"/>
        </w:rPr>
      </w:pPr>
      <w:r>
        <w:rPr>
          <w:rFonts w:asciiTheme="majorHAnsi" w:hAnsiTheme="majorHAnsi" w:cstheme="majorHAnsi"/>
        </w:rPr>
        <w:t xml:space="preserve">Poleg tega predvideva </w:t>
      </w:r>
      <w:r w:rsidRPr="00E223C7">
        <w:rPr>
          <w:rFonts w:asciiTheme="majorHAnsi" w:hAnsiTheme="majorHAnsi" w:cstheme="majorHAnsi"/>
        </w:rPr>
        <w:t xml:space="preserve">do leta 2030 izboljšati energetsko učinkovitost in obseg letnih prihrankov v okviru sheme obveznega doseganja prihrankov </w:t>
      </w:r>
      <w:r w:rsidR="009C66C1">
        <w:rPr>
          <w:rFonts w:asciiTheme="majorHAnsi" w:hAnsiTheme="majorHAnsi" w:cstheme="majorHAnsi"/>
        </w:rPr>
        <w:t>najmanj</w:t>
      </w:r>
      <w:r w:rsidRPr="00E223C7">
        <w:rPr>
          <w:rFonts w:asciiTheme="majorHAnsi" w:hAnsiTheme="majorHAnsi" w:cstheme="majorHAnsi"/>
        </w:rPr>
        <w:t xml:space="preserve"> skladno z indikativnim ciljem, določenim v novi </w:t>
      </w:r>
      <w:r w:rsidR="00BD420F">
        <w:rPr>
          <w:rFonts w:asciiTheme="majorHAnsi" w:hAnsiTheme="majorHAnsi" w:cstheme="majorHAnsi"/>
        </w:rPr>
        <w:t>d</w:t>
      </w:r>
      <w:r w:rsidRPr="00E223C7">
        <w:rPr>
          <w:rFonts w:asciiTheme="majorHAnsi" w:hAnsiTheme="majorHAnsi" w:cstheme="majorHAnsi"/>
        </w:rPr>
        <w:t>irektivi o energetski učinkovitosti</w:t>
      </w:r>
      <w:r w:rsidR="00BD420F">
        <w:rPr>
          <w:rFonts w:asciiTheme="majorHAnsi" w:hAnsiTheme="majorHAnsi" w:cstheme="majorHAnsi"/>
        </w:rPr>
        <w:t>,</w:t>
      </w:r>
      <w:r>
        <w:rPr>
          <w:rFonts w:asciiTheme="majorHAnsi" w:hAnsiTheme="majorHAnsi" w:cstheme="majorHAnsi"/>
        </w:rPr>
        <w:t xml:space="preserve"> </w:t>
      </w:r>
      <w:r w:rsidR="005B7769">
        <w:rPr>
          <w:rFonts w:asciiTheme="majorHAnsi" w:hAnsiTheme="majorHAnsi" w:cstheme="majorHAnsi"/>
        </w:rPr>
        <w:t xml:space="preserve">ter </w:t>
      </w:r>
      <w:r w:rsidRPr="00E223C7">
        <w:rPr>
          <w:rFonts w:asciiTheme="majorHAnsi" w:hAnsiTheme="majorHAnsi" w:cstheme="majorHAnsi"/>
        </w:rPr>
        <w:t xml:space="preserve">zagotoviti sistematično izvajanje sprejetih politik in ukrepov, da raba končne energije ne bo presegla 50,2 </w:t>
      </w:r>
      <w:proofErr w:type="spellStart"/>
      <w:r w:rsidRPr="00E223C7">
        <w:rPr>
          <w:rFonts w:asciiTheme="majorHAnsi" w:hAnsiTheme="majorHAnsi" w:cstheme="majorHAnsi"/>
        </w:rPr>
        <w:t>TWh</w:t>
      </w:r>
      <w:proofErr w:type="spellEnd"/>
      <w:r w:rsidRPr="00E223C7">
        <w:rPr>
          <w:rFonts w:asciiTheme="majorHAnsi" w:hAnsiTheme="majorHAnsi" w:cstheme="majorHAnsi"/>
        </w:rPr>
        <w:t xml:space="preserve"> (4.320 </w:t>
      </w:r>
      <w:proofErr w:type="spellStart"/>
      <w:r w:rsidRPr="00E223C7">
        <w:rPr>
          <w:rFonts w:asciiTheme="majorHAnsi" w:hAnsiTheme="majorHAnsi" w:cstheme="majorHAnsi"/>
        </w:rPr>
        <w:t>ktoe</w:t>
      </w:r>
      <w:proofErr w:type="spellEnd"/>
      <w:r w:rsidRPr="00E223C7">
        <w:rPr>
          <w:rFonts w:asciiTheme="majorHAnsi" w:hAnsiTheme="majorHAnsi" w:cstheme="majorHAnsi"/>
        </w:rPr>
        <w:t>)</w:t>
      </w:r>
      <w:r>
        <w:rPr>
          <w:rFonts w:asciiTheme="majorHAnsi" w:hAnsiTheme="majorHAnsi" w:cstheme="majorHAnsi"/>
        </w:rPr>
        <w:t>.</w:t>
      </w:r>
    </w:p>
    <w:p w14:paraId="174C8644" w14:textId="2E7BBE22" w:rsidR="00C97A02" w:rsidRPr="00720FF1" w:rsidRDefault="00453EF7" w:rsidP="00C97A02">
      <w:pPr>
        <w:jc w:val="both"/>
        <w:rPr>
          <w:rFonts w:asciiTheme="majorHAnsi" w:hAnsiTheme="majorHAnsi" w:cstheme="majorHAnsi"/>
        </w:rPr>
      </w:pPr>
      <w:r w:rsidRPr="00720FF1">
        <w:rPr>
          <w:rFonts w:asciiTheme="majorHAnsi" w:hAnsiTheme="majorHAnsi" w:cstheme="majorHAnsi"/>
        </w:rPr>
        <w:t>Cilj</w:t>
      </w:r>
      <w:r w:rsidR="00BD420F">
        <w:rPr>
          <w:rFonts w:asciiTheme="majorHAnsi" w:hAnsiTheme="majorHAnsi" w:cstheme="majorHAnsi"/>
        </w:rPr>
        <w:t>i</w:t>
      </w:r>
      <w:r w:rsidRPr="00720FF1">
        <w:rPr>
          <w:rFonts w:asciiTheme="majorHAnsi" w:hAnsiTheme="majorHAnsi" w:cstheme="majorHAnsi"/>
        </w:rPr>
        <w:t xml:space="preserve"> na področju URE se skuša</w:t>
      </w:r>
      <w:r w:rsidR="00BD420F">
        <w:rPr>
          <w:rFonts w:asciiTheme="majorHAnsi" w:hAnsiTheme="majorHAnsi" w:cstheme="majorHAnsi"/>
        </w:rPr>
        <w:t>jo</w:t>
      </w:r>
      <w:r w:rsidRPr="00720FF1">
        <w:rPr>
          <w:rFonts w:asciiTheme="majorHAnsi" w:hAnsiTheme="majorHAnsi" w:cstheme="majorHAnsi"/>
        </w:rPr>
        <w:t xml:space="preserve"> doseči </w:t>
      </w:r>
      <w:r w:rsidR="00BD420F">
        <w:rPr>
          <w:rFonts w:asciiTheme="majorHAnsi" w:hAnsiTheme="majorHAnsi" w:cstheme="majorHAnsi"/>
        </w:rPr>
        <w:t>z</w:t>
      </w:r>
      <w:r w:rsidR="00BD420F" w:rsidRPr="00720FF1">
        <w:rPr>
          <w:rFonts w:asciiTheme="majorHAnsi" w:hAnsiTheme="majorHAnsi" w:cstheme="majorHAnsi"/>
        </w:rPr>
        <w:t xml:space="preserve"> </w:t>
      </w:r>
      <w:r w:rsidRPr="00720FF1">
        <w:rPr>
          <w:rFonts w:asciiTheme="majorHAnsi" w:hAnsiTheme="majorHAnsi" w:cstheme="majorHAnsi"/>
        </w:rPr>
        <w:t>zakonodaj</w:t>
      </w:r>
      <w:r w:rsidR="00BD420F">
        <w:rPr>
          <w:rFonts w:asciiTheme="majorHAnsi" w:hAnsiTheme="majorHAnsi" w:cstheme="majorHAnsi"/>
        </w:rPr>
        <w:t>o</w:t>
      </w:r>
      <w:r w:rsidRPr="00720FF1">
        <w:rPr>
          <w:rFonts w:asciiTheme="majorHAnsi" w:hAnsiTheme="majorHAnsi" w:cstheme="majorHAnsi"/>
        </w:rPr>
        <w:t xml:space="preserve">, </w:t>
      </w:r>
      <w:bookmarkStart w:id="8" w:name="_Hlk180391517"/>
      <w:r w:rsidR="00BD420F">
        <w:rPr>
          <w:rFonts w:asciiTheme="majorHAnsi" w:hAnsiTheme="majorHAnsi" w:cstheme="majorHAnsi"/>
        </w:rPr>
        <w:t>pri čemer</w:t>
      </w:r>
      <w:r w:rsidR="00BD420F" w:rsidRPr="00720FF1">
        <w:rPr>
          <w:rFonts w:asciiTheme="majorHAnsi" w:hAnsiTheme="majorHAnsi" w:cstheme="majorHAnsi"/>
        </w:rPr>
        <w:t xml:space="preserve"> </w:t>
      </w:r>
      <w:r w:rsidRPr="009803D0">
        <w:rPr>
          <w:rFonts w:asciiTheme="majorHAnsi" w:hAnsiTheme="majorHAnsi" w:cstheme="majorHAnsi"/>
        </w:rPr>
        <w:t>Zakon o učinkoviti rabi energije</w:t>
      </w:r>
      <w:r w:rsidRPr="00720FF1">
        <w:rPr>
          <w:rFonts w:asciiTheme="majorHAnsi" w:hAnsiTheme="majorHAnsi" w:cstheme="majorHAnsi"/>
          <w:b/>
          <w:bCs/>
        </w:rPr>
        <w:t xml:space="preserve"> </w:t>
      </w:r>
      <w:bookmarkEnd w:id="8"/>
      <w:r w:rsidRPr="00720FF1">
        <w:rPr>
          <w:rFonts w:asciiTheme="majorHAnsi" w:hAnsiTheme="majorHAnsi" w:cstheme="majorHAnsi"/>
        </w:rPr>
        <w:t xml:space="preserve">ureja splošne ukrepe za spodbujanje energetske učinkovitosti, ukrepe za povečanje učinkovite rabe energije, zahteve energetske učinkovitosti za proizvode ter zagotavljanje energetske učinkovitosti stavb. </w:t>
      </w:r>
    </w:p>
    <w:p w14:paraId="619053D8" w14:textId="1F3BF764" w:rsidR="00453EF7" w:rsidRPr="00720FF1" w:rsidRDefault="00C97A02" w:rsidP="00C97A02">
      <w:pPr>
        <w:jc w:val="both"/>
        <w:rPr>
          <w:rFonts w:asciiTheme="majorHAnsi" w:hAnsiTheme="majorHAnsi" w:cstheme="majorHAnsi"/>
        </w:rPr>
      </w:pPr>
      <w:r w:rsidRPr="00720FF1">
        <w:rPr>
          <w:rFonts w:asciiTheme="majorHAnsi" w:hAnsiTheme="majorHAnsi" w:cstheme="majorHAnsi"/>
        </w:rPr>
        <w:t>Poleg Z</w:t>
      </w:r>
      <w:r w:rsidR="00AC3263" w:rsidRPr="00AC3263">
        <w:rPr>
          <w:rFonts w:asciiTheme="majorHAnsi" w:hAnsiTheme="majorHAnsi" w:cstheme="majorHAnsi"/>
        </w:rPr>
        <w:t>akon</w:t>
      </w:r>
      <w:r w:rsidR="0034671F">
        <w:rPr>
          <w:rFonts w:asciiTheme="majorHAnsi" w:hAnsiTheme="majorHAnsi" w:cstheme="majorHAnsi"/>
        </w:rPr>
        <w:t>a</w:t>
      </w:r>
      <w:r w:rsidR="00AC3263" w:rsidRPr="00AC3263">
        <w:rPr>
          <w:rFonts w:asciiTheme="majorHAnsi" w:hAnsiTheme="majorHAnsi" w:cstheme="majorHAnsi"/>
        </w:rPr>
        <w:t xml:space="preserve"> o učinkoviti rabi energije </w:t>
      </w:r>
      <w:r w:rsidRPr="00720FF1">
        <w:rPr>
          <w:rFonts w:asciiTheme="majorHAnsi" w:hAnsiTheme="majorHAnsi" w:cstheme="majorHAnsi"/>
        </w:rPr>
        <w:t xml:space="preserve">je ključnega pomena </w:t>
      </w:r>
      <w:r w:rsidR="00453EF7" w:rsidRPr="009803D0">
        <w:rPr>
          <w:rFonts w:asciiTheme="majorHAnsi" w:hAnsiTheme="majorHAnsi" w:cstheme="majorHAnsi"/>
        </w:rPr>
        <w:t>Uredba o zagotavljanju prihrankov energije</w:t>
      </w:r>
      <w:r w:rsidR="00453EF7" w:rsidRPr="00720FF1">
        <w:rPr>
          <w:rFonts w:asciiTheme="majorHAnsi" w:hAnsiTheme="majorHAnsi" w:cstheme="majorHAnsi"/>
        </w:rPr>
        <w:t>,</w:t>
      </w:r>
      <w:r w:rsidRPr="00720FF1">
        <w:rPr>
          <w:rFonts w:asciiTheme="majorHAnsi" w:hAnsiTheme="majorHAnsi" w:cstheme="majorHAnsi"/>
        </w:rPr>
        <w:t xml:space="preserve"> ki določa višino prispevka za energetsko učinkovitost, ki ga plačuje</w:t>
      </w:r>
      <w:r w:rsidR="005B7769">
        <w:rPr>
          <w:rFonts w:asciiTheme="majorHAnsi" w:hAnsiTheme="majorHAnsi" w:cstheme="majorHAnsi"/>
        </w:rPr>
        <w:t>ta</w:t>
      </w:r>
      <w:r w:rsidRPr="00720FF1">
        <w:rPr>
          <w:rFonts w:asciiTheme="majorHAnsi" w:hAnsiTheme="majorHAnsi" w:cstheme="majorHAnsi"/>
        </w:rPr>
        <w:t xml:space="preserve"> končni odjemalec električne energije, zemeljskega plina in toplote iz omrežja ter končni odjemalec trdnih, tekočih in plinastih </w:t>
      </w:r>
      <w:r w:rsidR="00BD420F">
        <w:rPr>
          <w:rFonts w:asciiTheme="majorHAnsi" w:hAnsiTheme="majorHAnsi" w:cstheme="majorHAnsi"/>
        </w:rPr>
        <w:t xml:space="preserve">vrst </w:t>
      </w:r>
      <w:r w:rsidRPr="00720FF1">
        <w:rPr>
          <w:rFonts w:asciiTheme="majorHAnsi" w:hAnsiTheme="majorHAnsi" w:cstheme="majorHAnsi"/>
        </w:rPr>
        <w:t>goriv.</w:t>
      </w:r>
    </w:p>
    <w:p w14:paraId="135EC2C2" w14:textId="307F419C" w:rsidR="00453EF7" w:rsidRPr="00AC3263" w:rsidRDefault="00C97A02" w:rsidP="00C97A02">
      <w:pPr>
        <w:jc w:val="both"/>
        <w:rPr>
          <w:rFonts w:asciiTheme="majorHAnsi" w:hAnsiTheme="majorHAnsi" w:cstheme="majorHAnsi"/>
        </w:rPr>
      </w:pPr>
      <w:r w:rsidRPr="00720FF1">
        <w:rPr>
          <w:rFonts w:asciiTheme="majorHAnsi" w:hAnsiTheme="majorHAnsi" w:cstheme="majorHAnsi"/>
        </w:rPr>
        <w:lastRenderedPageBreak/>
        <w:t xml:space="preserve">Glede stavb je </w:t>
      </w:r>
      <w:r w:rsidRPr="00AC3263">
        <w:rPr>
          <w:rFonts w:asciiTheme="majorHAnsi" w:hAnsiTheme="majorHAnsi" w:cstheme="majorHAnsi"/>
        </w:rPr>
        <w:t xml:space="preserve">ključen </w:t>
      </w:r>
      <w:r w:rsidRPr="009803D0">
        <w:rPr>
          <w:rFonts w:asciiTheme="majorHAnsi" w:hAnsiTheme="majorHAnsi" w:cstheme="majorHAnsi"/>
        </w:rPr>
        <w:t xml:space="preserve">Pravilnik o učinkoviti rabi energije v stavbah </w:t>
      </w:r>
      <w:r w:rsidRPr="00AC3263">
        <w:rPr>
          <w:rFonts w:asciiTheme="majorHAnsi" w:hAnsiTheme="majorHAnsi" w:cstheme="majorHAnsi"/>
        </w:rPr>
        <w:t>(Ur</w:t>
      </w:r>
      <w:r w:rsidR="00BD420F">
        <w:rPr>
          <w:rFonts w:asciiTheme="majorHAnsi" w:hAnsiTheme="majorHAnsi" w:cstheme="majorHAnsi"/>
        </w:rPr>
        <w:t>adni</w:t>
      </w:r>
      <w:r w:rsidRPr="00AC3263">
        <w:rPr>
          <w:rFonts w:asciiTheme="majorHAnsi" w:hAnsiTheme="majorHAnsi" w:cstheme="majorHAnsi"/>
        </w:rPr>
        <w:t xml:space="preserve"> l</w:t>
      </w:r>
      <w:r w:rsidR="00BD420F">
        <w:rPr>
          <w:rFonts w:asciiTheme="majorHAnsi" w:hAnsiTheme="majorHAnsi" w:cstheme="majorHAnsi"/>
        </w:rPr>
        <w:t>ist</w:t>
      </w:r>
      <w:r w:rsidRPr="00AC3263">
        <w:rPr>
          <w:rFonts w:asciiTheme="majorHAnsi" w:hAnsiTheme="majorHAnsi" w:cstheme="majorHAnsi"/>
        </w:rPr>
        <w:t xml:space="preserve"> RS, št. 70/22, 161/22</w:t>
      </w:r>
      <w:r w:rsidR="00253AB5" w:rsidRPr="00AC3263">
        <w:rPr>
          <w:rFonts w:asciiTheme="majorHAnsi" w:hAnsiTheme="majorHAnsi" w:cstheme="majorHAnsi"/>
        </w:rPr>
        <w:t xml:space="preserve"> </w:t>
      </w:r>
      <w:bookmarkStart w:id="9" w:name="_Hlk173427514"/>
      <w:r w:rsidR="00253AB5" w:rsidRPr="00AC3263">
        <w:rPr>
          <w:rFonts w:asciiTheme="majorHAnsi" w:hAnsiTheme="majorHAnsi" w:cstheme="majorHAnsi"/>
        </w:rPr>
        <w:t>in 129/23</w:t>
      </w:r>
      <w:bookmarkEnd w:id="9"/>
      <w:r w:rsidR="00BD420F">
        <w:rPr>
          <w:rFonts w:asciiTheme="majorHAnsi" w:hAnsiTheme="majorHAnsi" w:cstheme="majorHAnsi"/>
        </w:rPr>
        <w:t>;</w:t>
      </w:r>
      <w:r w:rsidR="0034671F">
        <w:rPr>
          <w:rFonts w:asciiTheme="majorHAnsi" w:hAnsiTheme="majorHAnsi" w:cstheme="majorHAnsi"/>
        </w:rPr>
        <w:t xml:space="preserve"> v nadaljevanju: </w:t>
      </w:r>
      <w:r w:rsidR="00BD420F">
        <w:rPr>
          <w:rFonts w:asciiTheme="majorHAnsi" w:hAnsiTheme="majorHAnsi" w:cstheme="majorHAnsi"/>
        </w:rPr>
        <w:t>p</w:t>
      </w:r>
      <w:r w:rsidR="0034671F">
        <w:rPr>
          <w:rFonts w:asciiTheme="majorHAnsi" w:hAnsiTheme="majorHAnsi" w:cstheme="majorHAnsi"/>
        </w:rPr>
        <w:t>ravilnik</w:t>
      </w:r>
      <w:r w:rsidRPr="00AC3263">
        <w:rPr>
          <w:rFonts w:asciiTheme="majorHAnsi" w:hAnsiTheme="majorHAnsi" w:cstheme="majorHAnsi"/>
        </w:rPr>
        <w:t xml:space="preserve">). Pravilnik določa tehnične zahteve za graditev skoraj </w:t>
      </w:r>
      <w:proofErr w:type="spellStart"/>
      <w:r w:rsidRPr="00AC3263">
        <w:rPr>
          <w:rFonts w:asciiTheme="majorHAnsi" w:hAnsiTheme="majorHAnsi" w:cstheme="majorHAnsi"/>
        </w:rPr>
        <w:t>ničenergijskih</w:t>
      </w:r>
      <w:proofErr w:type="spellEnd"/>
      <w:r w:rsidRPr="00AC3263">
        <w:rPr>
          <w:rFonts w:asciiTheme="majorHAnsi" w:hAnsiTheme="majorHAnsi" w:cstheme="majorHAnsi"/>
        </w:rPr>
        <w:t xml:space="preserve"> stavb in se uporablja pri projektiranju in gradnji novih stavb, rekonstrukciji obstoječih stavb ali njihovih delov in pri vzdrževanju stavb ter spremembi namembnosti.</w:t>
      </w:r>
    </w:p>
    <w:p w14:paraId="1DD6EBE9" w14:textId="6182C0D8" w:rsidR="00453EF7" w:rsidRPr="00AC3263" w:rsidRDefault="00C97A02" w:rsidP="00453EF7">
      <w:pPr>
        <w:jc w:val="both"/>
        <w:rPr>
          <w:rFonts w:asciiTheme="majorHAnsi" w:hAnsiTheme="majorHAnsi" w:cstheme="majorHAnsi"/>
        </w:rPr>
      </w:pPr>
      <w:r w:rsidRPr="00AC3263">
        <w:rPr>
          <w:rFonts w:asciiTheme="majorHAnsi" w:hAnsiTheme="majorHAnsi" w:cstheme="majorHAnsi"/>
        </w:rPr>
        <w:t>Zakonodaja</w:t>
      </w:r>
      <w:r w:rsidR="00837BDF" w:rsidRPr="00AC3263">
        <w:rPr>
          <w:rFonts w:asciiTheme="majorHAnsi" w:hAnsiTheme="majorHAnsi" w:cstheme="majorHAnsi"/>
        </w:rPr>
        <w:t xml:space="preserve"> integrira načelo</w:t>
      </w:r>
      <w:r w:rsidRPr="00AC3263">
        <w:rPr>
          <w:rFonts w:asciiTheme="majorHAnsi" w:hAnsiTheme="majorHAnsi" w:cstheme="majorHAnsi"/>
        </w:rPr>
        <w:t xml:space="preserve"> </w:t>
      </w:r>
      <w:r w:rsidR="00837BDF" w:rsidRPr="00AC3263">
        <w:rPr>
          <w:rFonts w:asciiTheme="majorHAnsi" w:hAnsiTheme="majorHAnsi" w:cstheme="majorHAnsi"/>
        </w:rPr>
        <w:t>»</w:t>
      </w:r>
      <w:r w:rsidR="00837BDF" w:rsidRPr="00AC3263">
        <w:rPr>
          <w:rFonts w:asciiTheme="majorHAnsi" w:hAnsiTheme="majorHAnsi" w:cstheme="majorHAnsi"/>
          <w:i/>
          <w:iCs/>
        </w:rPr>
        <w:t xml:space="preserve">energetska učinkovitost na prvem mestu« </w:t>
      </w:r>
      <w:r w:rsidR="00837BDF" w:rsidRPr="00AC3263">
        <w:rPr>
          <w:rFonts w:asciiTheme="majorHAnsi" w:hAnsiTheme="majorHAnsi" w:cstheme="majorHAnsi"/>
        </w:rPr>
        <w:t xml:space="preserve">in bo tudi s prihodnjimi spremembami spodbujala krepitev tega področja, </w:t>
      </w:r>
      <w:r w:rsidR="009765E6">
        <w:rPr>
          <w:rFonts w:asciiTheme="majorHAnsi" w:hAnsiTheme="majorHAnsi" w:cstheme="majorHAnsi"/>
        </w:rPr>
        <w:t>s</w:t>
      </w:r>
      <w:r w:rsidR="009765E6" w:rsidRPr="00AC3263">
        <w:rPr>
          <w:rFonts w:asciiTheme="majorHAnsi" w:hAnsiTheme="majorHAnsi" w:cstheme="majorHAnsi"/>
        </w:rPr>
        <w:t xml:space="preserve"> </w:t>
      </w:r>
      <w:r w:rsidR="00BD420F">
        <w:rPr>
          <w:rFonts w:asciiTheme="majorHAnsi" w:hAnsiTheme="majorHAnsi" w:cstheme="majorHAnsi"/>
        </w:rPr>
        <w:t>sledenjem</w:t>
      </w:r>
      <w:r w:rsidR="00BD420F" w:rsidRPr="00AC3263">
        <w:rPr>
          <w:rFonts w:asciiTheme="majorHAnsi" w:hAnsiTheme="majorHAnsi" w:cstheme="majorHAnsi"/>
        </w:rPr>
        <w:t xml:space="preserve"> </w:t>
      </w:r>
      <w:r w:rsidR="00837BDF" w:rsidRPr="00AC3263">
        <w:rPr>
          <w:rFonts w:asciiTheme="majorHAnsi" w:hAnsiTheme="majorHAnsi" w:cstheme="majorHAnsi"/>
        </w:rPr>
        <w:t>krovne</w:t>
      </w:r>
      <w:r w:rsidR="009765E6">
        <w:rPr>
          <w:rFonts w:asciiTheme="majorHAnsi" w:hAnsiTheme="majorHAnsi" w:cstheme="majorHAnsi"/>
        </w:rPr>
        <w:t>mu</w:t>
      </w:r>
      <w:r w:rsidR="00837BDF" w:rsidRPr="00AC3263">
        <w:rPr>
          <w:rFonts w:asciiTheme="majorHAnsi" w:hAnsiTheme="majorHAnsi" w:cstheme="majorHAnsi"/>
        </w:rPr>
        <w:t xml:space="preserve"> cilj</w:t>
      </w:r>
      <w:r w:rsidR="009765E6">
        <w:rPr>
          <w:rFonts w:asciiTheme="majorHAnsi" w:hAnsiTheme="majorHAnsi" w:cstheme="majorHAnsi"/>
        </w:rPr>
        <w:t>u, tj.</w:t>
      </w:r>
      <w:r w:rsidR="00837BDF" w:rsidRPr="00AC3263">
        <w:rPr>
          <w:rFonts w:asciiTheme="majorHAnsi" w:hAnsiTheme="majorHAnsi" w:cstheme="majorHAnsi"/>
        </w:rPr>
        <w:t xml:space="preserve"> doseganj</w:t>
      </w:r>
      <w:r w:rsidR="009765E6">
        <w:rPr>
          <w:rFonts w:asciiTheme="majorHAnsi" w:hAnsiTheme="majorHAnsi" w:cstheme="majorHAnsi"/>
        </w:rPr>
        <w:t>e</w:t>
      </w:r>
      <w:r w:rsidR="00837BDF" w:rsidRPr="00AC3263">
        <w:rPr>
          <w:rFonts w:asciiTheme="majorHAnsi" w:hAnsiTheme="majorHAnsi" w:cstheme="majorHAnsi"/>
        </w:rPr>
        <w:t xml:space="preserve"> podnebne nevtralnosti do leta 2050</w:t>
      </w:r>
      <w:r w:rsidR="009765E6">
        <w:rPr>
          <w:rFonts w:asciiTheme="majorHAnsi" w:hAnsiTheme="majorHAnsi" w:cstheme="majorHAnsi"/>
        </w:rPr>
        <w:t>,</w:t>
      </w:r>
      <w:r w:rsidR="00837BDF" w:rsidRPr="00AC3263">
        <w:rPr>
          <w:rFonts w:asciiTheme="majorHAnsi" w:hAnsiTheme="majorHAnsi" w:cstheme="majorHAnsi"/>
        </w:rPr>
        <w:t xml:space="preserve"> ob upoštevanju spodbujanja konkurenčnosti gospodarstva. </w:t>
      </w:r>
    </w:p>
    <w:p w14:paraId="1A068D74" w14:textId="3B103FEC" w:rsidR="00DC0A0F" w:rsidRPr="00AC3263" w:rsidRDefault="009765E6" w:rsidP="00D67DE9">
      <w:pPr>
        <w:jc w:val="both"/>
        <w:rPr>
          <w:rFonts w:asciiTheme="majorHAnsi" w:hAnsiTheme="majorHAnsi" w:cstheme="majorHAnsi"/>
        </w:rPr>
      </w:pPr>
      <w:r>
        <w:rPr>
          <w:rFonts w:asciiTheme="majorHAnsi" w:hAnsiTheme="majorHAnsi" w:cstheme="majorHAnsi"/>
        </w:rPr>
        <w:t>Ob</w:t>
      </w:r>
      <w:r w:rsidR="00D67DE9" w:rsidRPr="00AC3263">
        <w:rPr>
          <w:rFonts w:asciiTheme="majorHAnsi" w:hAnsiTheme="majorHAnsi" w:cstheme="majorHAnsi"/>
        </w:rPr>
        <w:t xml:space="preserve"> domači zakonodaji je </w:t>
      </w:r>
      <w:r w:rsidR="00DC0A0F" w:rsidRPr="00AC3263">
        <w:rPr>
          <w:rFonts w:asciiTheme="majorHAnsi" w:hAnsiTheme="majorHAnsi" w:cstheme="majorHAnsi"/>
        </w:rPr>
        <w:t>bila na ravni</w:t>
      </w:r>
      <w:r w:rsidR="00AC3263">
        <w:rPr>
          <w:rFonts w:asciiTheme="majorHAnsi" w:hAnsiTheme="majorHAnsi" w:cstheme="majorHAnsi"/>
        </w:rPr>
        <w:t xml:space="preserve"> Evropske unije </w:t>
      </w:r>
      <w:r w:rsidR="00DC0A0F" w:rsidRPr="00AC3263">
        <w:rPr>
          <w:rFonts w:asciiTheme="majorHAnsi" w:hAnsiTheme="majorHAnsi" w:cstheme="majorHAnsi"/>
        </w:rPr>
        <w:t>konec junija 2024 sprejeta Uredba</w:t>
      </w:r>
      <w:r w:rsidR="00D67DE9" w:rsidRPr="00AC3263">
        <w:rPr>
          <w:rFonts w:asciiTheme="majorHAnsi" w:hAnsiTheme="majorHAnsi" w:cstheme="majorHAnsi"/>
        </w:rPr>
        <w:t xml:space="preserve"> </w:t>
      </w:r>
      <w:r w:rsidR="00DC0A0F" w:rsidRPr="009803D0">
        <w:rPr>
          <w:rFonts w:asciiTheme="majorHAnsi" w:hAnsiTheme="majorHAnsi" w:cstheme="majorHAnsi"/>
        </w:rPr>
        <w:t>o vzpostavitvi okvira ukrepov za krepitev ekosistema proizvodnje neto ničelnih tehnologij Evrope in spremembi Uredbe (EU) 2018/1724</w:t>
      </w:r>
      <w:r w:rsidR="006C751F">
        <w:rPr>
          <w:rFonts w:asciiTheme="majorHAnsi" w:hAnsiTheme="majorHAnsi" w:cstheme="majorHAnsi"/>
        </w:rPr>
        <w:t xml:space="preserve"> (v nadaljevanju: </w:t>
      </w:r>
      <w:r>
        <w:rPr>
          <w:rFonts w:asciiTheme="majorHAnsi" w:hAnsiTheme="majorHAnsi" w:cstheme="majorHAnsi"/>
        </w:rPr>
        <w:t>u</w:t>
      </w:r>
      <w:r w:rsidR="006C751F">
        <w:rPr>
          <w:rFonts w:asciiTheme="majorHAnsi" w:hAnsiTheme="majorHAnsi" w:cstheme="majorHAnsi"/>
        </w:rPr>
        <w:t>redba)</w:t>
      </w:r>
      <w:r w:rsidR="00D67DE9" w:rsidRPr="00AC3263">
        <w:rPr>
          <w:rFonts w:asciiTheme="majorHAnsi" w:hAnsiTheme="majorHAnsi" w:cstheme="majorHAnsi"/>
        </w:rPr>
        <w:t>,</w:t>
      </w:r>
      <w:r w:rsidR="00FD278C" w:rsidRPr="00AC3263">
        <w:rPr>
          <w:rFonts w:asciiTheme="majorHAnsi" w:hAnsiTheme="majorHAnsi" w:cstheme="majorHAnsi"/>
        </w:rPr>
        <w:t xml:space="preserve"> ki bo veljala v vseh državah članicah neposredno. </w:t>
      </w:r>
    </w:p>
    <w:p w14:paraId="36D3C40F" w14:textId="1CDA7DEF" w:rsidR="00DB01AD" w:rsidRDefault="00FD278C" w:rsidP="00DB01AD">
      <w:pPr>
        <w:jc w:val="both"/>
        <w:rPr>
          <w:rFonts w:asciiTheme="majorHAnsi" w:hAnsiTheme="majorHAnsi" w:cstheme="majorHAnsi"/>
        </w:rPr>
      </w:pPr>
      <w:r>
        <w:rPr>
          <w:rFonts w:asciiTheme="majorHAnsi" w:hAnsiTheme="majorHAnsi" w:cstheme="majorHAnsi"/>
        </w:rPr>
        <w:t>Uredba</w:t>
      </w:r>
      <w:r w:rsidR="00D67DE9">
        <w:rPr>
          <w:rFonts w:asciiTheme="majorHAnsi" w:hAnsiTheme="majorHAnsi" w:cstheme="majorHAnsi"/>
        </w:rPr>
        <w:t xml:space="preserve"> določa, </w:t>
      </w:r>
      <w:r w:rsidR="00DB01AD">
        <w:rPr>
          <w:rFonts w:asciiTheme="majorHAnsi" w:hAnsiTheme="majorHAnsi" w:cstheme="majorHAnsi"/>
        </w:rPr>
        <w:t xml:space="preserve">da </w:t>
      </w:r>
      <w:r w:rsidR="00ED03D9">
        <w:rPr>
          <w:rFonts w:asciiTheme="majorHAnsi" w:hAnsiTheme="majorHAnsi" w:cstheme="majorHAnsi"/>
        </w:rPr>
        <w:t>Evropska k</w:t>
      </w:r>
      <w:r w:rsidR="00DB01AD" w:rsidRPr="00DB01AD">
        <w:rPr>
          <w:rFonts w:asciiTheme="majorHAnsi" w:hAnsiTheme="majorHAnsi" w:cstheme="majorHAnsi"/>
        </w:rPr>
        <w:t>omisija in države članice podpirajo projekte za proizvodnjo neto ničelnih tehnologij, da bi zagotovil</w:t>
      </w:r>
      <w:r w:rsidR="00ED03D9">
        <w:rPr>
          <w:rFonts w:asciiTheme="majorHAnsi" w:hAnsiTheme="majorHAnsi" w:cstheme="majorHAnsi"/>
        </w:rPr>
        <w:t>e</w:t>
      </w:r>
      <w:r w:rsidR="00DB01AD" w:rsidRPr="00DB01AD">
        <w:rPr>
          <w:rFonts w:asciiTheme="majorHAnsi" w:hAnsiTheme="majorHAnsi" w:cstheme="majorHAnsi"/>
        </w:rPr>
        <w:t xml:space="preserve"> zmanjšanje strateške odvisnosti </w:t>
      </w:r>
      <w:r w:rsidR="00AC3263">
        <w:rPr>
          <w:rFonts w:asciiTheme="majorHAnsi" w:hAnsiTheme="majorHAnsi" w:cstheme="majorHAnsi"/>
        </w:rPr>
        <w:t>EU</w:t>
      </w:r>
      <w:r w:rsidR="00DB01AD" w:rsidRPr="00DB01AD">
        <w:rPr>
          <w:rFonts w:asciiTheme="majorHAnsi" w:hAnsiTheme="majorHAnsi" w:cstheme="majorHAnsi"/>
        </w:rPr>
        <w:t xml:space="preserve"> glede neto ničelnih tehnologij in njihovih dobavnih verig</w:t>
      </w:r>
      <w:r w:rsidR="00ED03D9">
        <w:rPr>
          <w:rFonts w:asciiTheme="majorHAnsi" w:hAnsiTheme="majorHAnsi" w:cstheme="majorHAnsi"/>
        </w:rPr>
        <w:t>,</w:t>
      </w:r>
      <w:r w:rsidR="00DB01AD">
        <w:rPr>
          <w:rFonts w:asciiTheme="majorHAnsi" w:hAnsiTheme="majorHAnsi" w:cstheme="majorHAnsi"/>
        </w:rPr>
        <w:t xml:space="preserve"> </w:t>
      </w:r>
      <w:r w:rsidR="00D92EC6">
        <w:rPr>
          <w:rFonts w:asciiTheme="majorHAnsi" w:hAnsiTheme="majorHAnsi" w:cstheme="majorHAnsi"/>
        </w:rPr>
        <w:t>ter</w:t>
      </w:r>
      <w:r w:rsidR="00D92EC6" w:rsidRPr="00DB01AD">
        <w:rPr>
          <w:rFonts w:asciiTheme="majorHAnsi" w:hAnsiTheme="majorHAnsi" w:cstheme="majorHAnsi"/>
        </w:rPr>
        <w:t xml:space="preserve"> </w:t>
      </w:r>
      <w:r w:rsidR="00DB01AD" w:rsidRPr="00DB01AD">
        <w:rPr>
          <w:rFonts w:asciiTheme="majorHAnsi" w:hAnsiTheme="majorHAnsi" w:cstheme="majorHAnsi"/>
        </w:rPr>
        <w:t>da se za te tehnologije doseže</w:t>
      </w:r>
      <w:r w:rsidR="00ED03D9">
        <w:rPr>
          <w:rFonts w:asciiTheme="majorHAnsi" w:hAnsiTheme="majorHAnsi" w:cstheme="majorHAnsi"/>
        </w:rPr>
        <w:t>ta</w:t>
      </w:r>
      <w:r w:rsidR="00DB01AD" w:rsidRPr="00DB01AD">
        <w:rPr>
          <w:rFonts w:asciiTheme="majorHAnsi" w:hAnsiTheme="majorHAnsi" w:cstheme="majorHAnsi"/>
        </w:rPr>
        <w:t xml:space="preserve"> </w:t>
      </w:r>
      <w:r w:rsidR="00DB01AD">
        <w:rPr>
          <w:rFonts w:asciiTheme="majorHAnsi" w:hAnsiTheme="majorHAnsi" w:cstheme="majorHAnsi"/>
        </w:rPr>
        <w:t>večja</w:t>
      </w:r>
      <w:r w:rsidR="00DB01AD" w:rsidRPr="00DB01AD">
        <w:rPr>
          <w:rFonts w:asciiTheme="majorHAnsi" w:hAnsiTheme="majorHAnsi" w:cstheme="majorHAnsi"/>
        </w:rPr>
        <w:t xml:space="preserve"> proizvodna zmogljivost</w:t>
      </w:r>
      <w:r w:rsidR="00D92EC6">
        <w:rPr>
          <w:rFonts w:asciiTheme="majorHAnsi" w:hAnsiTheme="majorHAnsi" w:cstheme="majorHAnsi"/>
        </w:rPr>
        <w:t>,</w:t>
      </w:r>
      <w:r w:rsidR="00DB01AD">
        <w:rPr>
          <w:rFonts w:asciiTheme="majorHAnsi" w:hAnsiTheme="majorHAnsi" w:cstheme="majorHAnsi"/>
        </w:rPr>
        <w:t xml:space="preserve"> in sicer</w:t>
      </w:r>
      <w:r w:rsidR="00DB01AD" w:rsidRPr="00DB01AD">
        <w:rPr>
          <w:rFonts w:asciiTheme="majorHAnsi" w:hAnsiTheme="majorHAnsi" w:cstheme="majorHAnsi"/>
        </w:rPr>
        <w:t xml:space="preserve"> </w:t>
      </w:r>
      <w:r w:rsidR="009C66C1">
        <w:rPr>
          <w:rFonts w:asciiTheme="majorHAnsi" w:hAnsiTheme="majorHAnsi" w:cstheme="majorHAnsi"/>
        </w:rPr>
        <w:t>najmanj</w:t>
      </w:r>
      <w:r w:rsidR="00DB01AD" w:rsidRPr="00DB01AD">
        <w:rPr>
          <w:rFonts w:asciiTheme="majorHAnsi" w:hAnsiTheme="majorHAnsi" w:cstheme="majorHAnsi"/>
        </w:rPr>
        <w:t xml:space="preserve"> 40 % letnih potreb </w:t>
      </w:r>
      <w:r w:rsidR="00AC3263">
        <w:rPr>
          <w:rFonts w:asciiTheme="majorHAnsi" w:hAnsiTheme="majorHAnsi" w:cstheme="majorHAnsi"/>
        </w:rPr>
        <w:t>EU</w:t>
      </w:r>
      <w:r w:rsidR="00DB01AD" w:rsidRPr="00DB01AD">
        <w:rPr>
          <w:rFonts w:asciiTheme="majorHAnsi" w:hAnsiTheme="majorHAnsi" w:cstheme="majorHAnsi"/>
        </w:rPr>
        <w:t xml:space="preserve"> po uvajanju zadevnih tehnologij, potrebnih za doseganje podnebnih in energetskih ciljev </w:t>
      </w:r>
      <w:r w:rsidR="00AC3263">
        <w:rPr>
          <w:rFonts w:asciiTheme="majorHAnsi" w:hAnsiTheme="majorHAnsi" w:cstheme="majorHAnsi"/>
        </w:rPr>
        <w:t>EU</w:t>
      </w:r>
      <w:r w:rsidR="006C751F">
        <w:rPr>
          <w:rFonts w:asciiTheme="majorHAnsi" w:hAnsiTheme="majorHAnsi" w:cstheme="majorHAnsi"/>
        </w:rPr>
        <w:t xml:space="preserve"> </w:t>
      </w:r>
      <w:r w:rsidR="00DB01AD" w:rsidRPr="00DB01AD">
        <w:rPr>
          <w:rFonts w:asciiTheme="majorHAnsi" w:hAnsiTheme="majorHAnsi" w:cstheme="majorHAnsi"/>
        </w:rPr>
        <w:t>za leto 2030</w:t>
      </w:r>
      <w:r w:rsidR="00D92EC6">
        <w:rPr>
          <w:rFonts w:asciiTheme="majorHAnsi" w:hAnsiTheme="majorHAnsi" w:cstheme="majorHAnsi"/>
        </w:rPr>
        <w:t>,</w:t>
      </w:r>
      <w:r w:rsidR="00DB01AD">
        <w:rPr>
          <w:rFonts w:asciiTheme="majorHAnsi" w:hAnsiTheme="majorHAnsi" w:cstheme="majorHAnsi"/>
        </w:rPr>
        <w:t xml:space="preserve"> ter </w:t>
      </w:r>
      <w:r w:rsidR="00DB01AD" w:rsidRPr="00DB01AD">
        <w:rPr>
          <w:rFonts w:asciiTheme="majorHAnsi" w:hAnsiTheme="majorHAnsi" w:cstheme="majorHAnsi"/>
        </w:rPr>
        <w:t xml:space="preserve">večji delež </w:t>
      </w:r>
      <w:r w:rsidR="00AC3263">
        <w:rPr>
          <w:rFonts w:asciiTheme="majorHAnsi" w:hAnsiTheme="majorHAnsi" w:cstheme="majorHAnsi"/>
        </w:rPr>
        <w:t>EU</w:t>
      </w:r>
      <w:r w:rsidR="00AC3263" w:rsidRPr="00DB01AD">
        <w:rPr>
          <w:rFonts w:asciiTheme="majorHAnsi" w:hAnsiTheme="majorHAnsi" w:cstheme="majorHAnsi"/>
        </w:rPr>
        <w:t xml:space="preserve"> </w:t>
      </w:r>
      <w:r w:rsidR="00DB01AD" w:rsidRPr="00DB01AD">
        <w:rPr>
          <w:rFonts w:asciiTheme="majorHAnsi" w:hAnsiTheme="majorHAnsi" w:cstheme="majorHAnsi"/>
        </w:rPr>
        <w:t>za ustrezne tehnologije, da bi do leta 2040 dosegli 15 % svetovne proizvodnje</w:t>
      </w:r>
      <w:r w:rsidR="00ED03D9">
        <w:rPr>
          <w:rFonts w:asciiTheme="majorHAnsi" w:hAnsiTheme="majorHAnsi" w:cstheme="majorHAnsi"/>
        </w:rPr>
        <w:t>.</w:t>
      </w:r>
      <w:r w:rsidR="00DB01AD" w:rsidRPr="00DB01AD">
        <w:rPr>
          <w:rFonts w:asciiTheme="majorHAnsi" w:hAnsiTheme="majorHAnsi" w:cstheme="majorHAnsi"/>
        </w:rPr>
        <w:t xml:space="preserve"> </w:t>
      </w:r>
    </w:p>
    <w:p w14:paraId="258F7CFB" w14:textId="3167098C" w:rsidR="00D67DE9" w:rsidRDefault="00665C18" w:rsidP="00DB01AD">
      <w:pPr>
        <w:jc w:val="both"/>
        <w:rPr>
          <w:rFonts w:asciiTheme="majorHAnsi" w:hAnsiTheme="majorHAnsi" w:cstheme="majorHAnsi"/>
        </w:rPr>
      </w:pPr>
      <w:r w:rsidRPr="00665C18">
        <w:rPr>
          <w:rFonts w:asciiTheme="majorHAnsi" w:hAnsiTheme="majorHAnsi" w:cstheme="majorHAnsi"/>
        </w:rPr>
        <w:t xml:space="preserve">Močna neto ničelna industrija v </w:t>
      </w:r>
      <w:r w:rsidR="00AC3263">
        <w:rPr>
          <w:rFonts w:asciiTheme="majorHAnsi" w:hAnsiTheme="majorHAnsi" w:cstheme="majorHAnsi"/>
        </w:rPr>
        <w:t>EU l</w:t>
      </w:r>
      <w:r w:rsidRPr="00665C18">
        <w:rPr>
          <w:rFonts w:asciiTheme="majorHAnsi" w:hAnsiTheme="majorHAnsi" w:cstheme="majorHAnsi"/>
        </w:rPr>
        <w:t xml:space="preserve">ahko precej pripomore k učinkovitemu doseganju podnebnih in energetskih ciljev </w:t>
      </w:r>
      <w:r w:rsidR="00AC3263">
        <w:rPr>
          <w:rFonts w:asciiTheme="majorHAnsi" w:hAnsiTheme="majorHAnsi" w:cstheme="majorHAnsi"/>
        </w:rPr>
        <w:t>E</w:t>
      </w:r>
      <w:r w:rsidRPr="00665C18">
        <w:rPr>
          <w:rFonts w:asciiTheme="majorHAnsi" w:hAnsiTheme="majorHAnsi" w:cstheme="majorHAnsi"/>
        </w:rPr>
        <w:t xml:space="preserve">U ter drugih ciljev zelenega dogovora, hkrati pa spodbuja industrijsko </w:t>
      </w:r>
      <w:r w:rsidR="00D92EC6">
        <w:rPr>
          <w:rFonts w:asciiTheme="majorHAnsi" w:hAnsiTheme="majorHAnsi" w:cstheme="majorHAnsi"/>
        </w:rPr>
        <w:t>področje</w:t>
      </w:r>
      <w:r w:rsidR="00D92EC6" w:rsidRPr="00665C18">
        <w:rPr>
          <w:rFonts w:asciiTheme="majorHAnsi" w:hAnsiTheme="majorHAnsi" w:cstheme="majorHAnsi"/>
        </w:rPr>
        <w:t xml:space="preserve"> </w:t>
      </w:r>
      <w:r w:rsidRPr="00665C18">
        <w:rPr>
          <w:rFonts w:asciiTheme="majorHAnsi" w:hAnsiTheme="majorHAnsi" w:cstheme="majorHAnsi"/>
        </w:rPr>
        <w:t>ter s tem ustvarja kakovostna delovna mesta in trajnostno rast.</w:t>
      </w:r>
      <w:r w:rsidR="00645398" w:rsidRPr="00645398">
        <w:t xml:space="preserve"> </w:t>
      </w:r>
      <w:r w:rsidR="00645398" w:rsidRPr="00645398">
        <w:rPr>
          <w:rFonts w:asciiTheme="majorHAnsi" w:hAnsiTheme="majorHAnsi" w:cstheme="majorHAnsi"/>
        </w:rPr>
        <w:t xml:space="preserve">Varčevanje z energijo je najcenejši, najvarnejši in najčistejši način za uresničitev teh ciljev. Zato je bistveno povečati zmogljivosti </w:t>
      </w:r>
      <w:r w:rsidR="00AC3263">
        <w:rPr>
          <w:rFonts w:asciiTheme="majorHAnsi" w:hAnsiTheme="majorHAnsi" w:cstheme="majorHAnsi"/>
        </w:rPr>
        <w:t>E</w:t>
      </w:r>
      <w:r w:rsidR="00645398" w:rsidRPr="00645398">
        <w:rPr>
          <w:rFonts w:asciiTheme="majorHAnsi" w:hAnsiTheme="majorHAnsi" w:cstheme="majorHAnsi"/>
        </w:rPr>
        <w:t xml:space="preserve">U za proizvodnjo energijsko učinkovitih tehnologij, ki </w:t>
      </w:r>
      <w:r w:rsidR="00AC3263">
        <w:rPr>
          <w:rFonts w:asciiTheme="majorHAnsi" w:hAnsiTheme="majorHAnsi" w:cstheme="majorHAnsi"/>
        </w:rPr>
        <w:t>E</w:t>
      </w:r>
      <w:r w:rsidR="00645398" w:rsidRPr="00645398">
        <w:rPr>
          <w:rFonts w:asciiTheme="majorHAnsi" w:hAnsiTheme="majorHAnsi" w:cstheme="majorHAnsi"/>
        </w:rPr>
        <w:t>U pomagajo pri zmanj</w:t>
      </w:r>
      <w:r w:rsidR="00645398" w:rsidRPr="00645398">
        <w:rPr>
          <w:rFonts w:ascii="Calibri Light" w:hAnsi="Calibri Light" w:cs="Calibri Light"/>
        </w:rPr>
        <w:t>š</w:t>
      </w:r>
      <w:r w:rsidR="00645398" w:rsidRPr="00645398">
        <w:rPr>
          <w:rFonts w:asciiTheme="majorHAnsi" w:hAnsiTheme="majorHAnsi" w:cstheme="majorHAnsi"/>
        </w:rPr>
        <w:t>evanju in obvladovanju porabe energije.</w:t>
      </w:r>
      <w:r>
        <w:rPr>
          <w:rFonts w:asciiTheme="majorHAnsi" w:hAnsiTheme="majorHAnsi" w:cstheme="majorHAnsi"/>
        </w:rPr>
        <w:t xml:space="preserve"> </w:t>
      </w:r>
      <w:r w:rsidR="00D67DE9" w:rsidRPr="00D67DE9">
        <w:rPr>
          <w:rFonts w:asciiTheme="majorHAnsi" w:hAnsiTheme="majorHAnsi" w:cstheme="majorHAnsi"/>
        </w:rPr>
        <w:t xml:space="preserve">Posebne komponente v oskrbovalni verigi neto ničelnih tehnologij se proizvajajo </w:t>
      </w:r>
      <w:r w:rsidR="00DB01AD">
        <w:rPr>
          <w:rFonts w:asciiTheme="majorHAnsi" w:hAnsiTheme="majorHAnsi" w:cstheme="majorHAnsi"/>
        </w:rPr>
        <w:t xml:space="preserve">tudi </w:t>
      </w:r>
      <w:r w:rsidR="00D67DE9" w:rsidRPr="00D67DE9">
        <w:rPr>
          <w:rFonts w:asciiTheme="majorHAnsi" w:hAnsiTheme="majorHAnsi" w:cstheme="majorHAnsi"/>
        </w:rPr>
        <w:t xml:space="preserve">z energetsko intenzivnimi proizvodnimi procesi, in sicer v sektorjih jekla, aluminija, neželeznih kovin, osnovnih kemikalij, cementa, apna, stekla, keramike, gnojil ter celuloze in papirja. Za številne od teh procesov je značilna visoka energetska in </w:t>
      </w:r>
      <w:proofErr w:type="spellStart"/>
      <w:r w:rsidR="00D67DE9" w:rsidRPr="00D67DE9">
        <w:rPr>
          <w:rFonts w:asciiTheme="majorHAnsi" w:hAnsiTheme="majorHAnsi" w:cstheme="majorHAnsi"/>
        </w:rPr>
        <w:t>ogljična</w:t>
      </w:r>
      <w:proofErr w:type="spellEnd"/>
      <w:r w:rsidR="00D67DE9" w:rsidRPr="00D67DE9">
        <w:rPr>
          <w:rFonts w:asciiTheme="majorHAnsi" w:hAnsiTheme="majorHAnsi" w:cstheme="majorHAnsi"/>
        </w:rPr>
        <w:t xml:space="preserve"> intenzivnost, zaradi česar je njihove emisije CO</w:t>
      </w:r>
      <w:r w:rsidR="00D67DE9" w:rsidRPr="007471B9">
        <w:rPr>
          <w:rFonts w:asciiTheme="majorHAnsi" w:hAnsiTheme="majorHAnsi" w:cstheme="majorHAnsi"/>
          <w:vertAlign w:val="subscript"/>
        </w:rPr>
        <w:t>2</w:t>
      </w:r>
      <w:r w:rsidR="00D67DE9" w:rsidRPr="00D67DE9">
        <w:rPr>
          <w:rFonts w:asciiTheme="majorHAnsi" w:hAnsiTheme="majorHAnsi" w:cstheme="majorHAnsi"/>
        </w:rPr>
        <w:t xml:space="preserve"> običajno težko zmanjšati. Glede na dejstvo, da so </w:t>
      </w:r>
      <w:r w:rsidR="00ED03D9">
        <w:rPr>
          <w:rFonts w:asciiTheme="majorHAnsi" w:hAnsiTheme="majorHAnsi" w:cstheme="majorHAnsi"/>
        </w:rPr>
        <w:t xml:space="preserve">panoge </w:t>
      </w:r>
      <w:r w:rsidR="00D67DE9" w:rsidRPr="00D67DE9">
        <w:rPr>
          <w:rFonts w:asciiTheme="majorHAnsi" w:hAnsiTheme="majorHAnsi" w:cstheme="majorHAnsi"/>
        </w:rPr>
        <w:t>energetsko intenzivne industrije leta 2019 p</w:t>
      </w:r>
      <w:r w:rsidR="00D92EC6">
        <w:rPr>
          <w:rFonts w:asciiTheme="majorHAnsi" w:hAnsiTheme="majorHAnsi" w:cstheme="majorHAnsi"/>
        </w:rPr>
        <w:t>ovzroči</w:t>
      </w:r>
      <w:r w:rsidR="00D67DE9" w:rsidRPr="00D67DE9">
        <w:rPr>
          <w:rFonts w:asciiTheme="majorHAnsi" w:hAnsiTheme="majorHAnsi" w:cstheme="majorHAnsi"/>
        </w:rPr>
        <w:t xml:space="preserve">le 17 % skupnih emisij </w:t>
      </w:r>
      <w:r w:rsidR="00D67DE9">
        <w:rPr>
          <w:rFonts w:asciiTheme="majorHAnsi" w:hAnsiTheme="majorHAnsi" w:cstheme="majorHAnsi"/>
        </w:rPr>
        <w:t>TGP</w:t>
      </w:r>
      <w:r w:rsidR="00D67DE9" w:rsidRPr="00D67DE9">
        <w:rPr>
          <w:rFonts w:asciiTheme="majorHAnsi" w:hAnsiTheme="majorHAnsi" w:cstheme="majorHAnsi"/>
        </w:rPr>
        <w:t xml:space="preserve"> v</w:t>
      </w:r>
      <w:r w:rsidR="00D67DE9">
        <w:rPr>
          <w:rFonts w:asciiTheme="majorHAnsi" w:hAnsiTheme="majorHAnsi" w:cstheme="majorHAnsi"/>
        </w:rPr>
        <w:t xml:space="preserve"> </w:t>
      </w:r>
      <w:r w:rsidR="00B81C43">
        <w:rPr>
          <w:rFonts w:asciiTheme="majorHAnsi" w:hAnsiTheme="majorHAnsi" w:cstheme="majorHAnsi"/>
        </w:rPr>
        <w:t>EU</w:t>
      </w:r>
      <w:r w:rsidR="00D67DE9" w:rsidRPr="00D67DE9">
        <w:rPr>
          <w:rFonts w:asciiTheme="majorHAnsi" w:hAnsiTheme="majorHAnsi" w:cstheme="majorHAnsi"/>
        </w:rPr>
        <w:t xml:space="preserve">, je njihovo razogljičenje nujno potrebno za doseganje podnebne nevtralnosti v </w:t>
      </w:r>
      <w:r w:rsidR="00AC3263">
        <w:rPr>
          <w:rFonts w:asciiTheme="majorHAnsi" w:hAnsiTheme="majorHAnsi" w:cstheme="majorHAnsi"/>
        </w:rPr>
        <w:t>E</w:t>
      </w:r>
      <w:r w:rsidR="00D67DE9" w:rsidRPr="00D67DE9">
        <w:rPr>
          <w:rFonts w:asciiTheme="majorHAnsi" w:hAnsiTheme="majorHAnsi" w:cstheme="majorHAnsi"/>
        </w:rPr>
        <w:t xml:space="preserve">U. To pomeni, da je v </w:t>
      </w:r>
      <w:r w:rsidR="00AC3263">
        <w:rPr>
          <w:rFonts w:asciiTheme="majorHAnsi" w:hAnsiTheme="majorHAnsi" w:cstheme="majorHAnsi"/>
        </w:rPr>
        <w:t>EU</w:t>
      </w:r>
      <w:r w:rsidR="00D67DE9" w:rsidRPr="00D67DE9">
        <w:rPr>
          <w:rFonts w:asciiTheme="majorHAnsi" w:hAnsiTheme="majorHAnsi" w:cstheme="majorHAnsi"/>
        </w:rPr>
        <w:t xml:space="preserve"> zanesljivost oskrbe s posebnimi komponentami, ki se uporabljajo za neto ničelne tehnologije, odvisna tudi od krepitve prizadevanj za razogljičenje v energetsko intenzivnih panogah. Energetsko intenzivni industrijski obrati spadajo na področje uporabe te uredbe, če proizvajajo posebne komponente, ki se uporabljajo predvsem v neto ničelnih tehnologijah.</w:t>
      </w:r>
    </w:p>
    <w:p w14:paraId="1A71E613" w14:textId="2444FA51" w:rsidR="00D67DE9" w:rsidRPr="00720FF1" w:rsidRDefault="00D67DE9" w:rsidP="00D67DE9">
      <w:pPr>
        <w:jc w:val="both"/>
        <w:rPr>
          <w:rFonts w:asciiTheme="majorHAnsi" w:hAnsiTheme="majorHAnsi" w:cstheme="majorHAnsi"/>
        </w:rPr>
      </w:pPr>
      <w:r w:rsidRPr="00D67DE9">
        <w:rPr>
          <w:rFonts w:asciiTheme="majorHAnsi" w:hAnsiTheme="majorHAnsi" w:cstheme="majorHAnsi"/>
        </w:rPr>
        <w:t xml:space="preserve">Za čimprejšnjo uvedbo in razširitev projektov za proizvodnjo neto ničelnih tehnologij, vključno z neto ničelnimi strateškimi projekti, s katerimi bo zagotovljena zanesljivost oskrbe z neto ničelnimi tehnologijami v </w:t>
      </w:r>
      <w:r w:rsidR="006C751F">
        <w:rPr>
          <w:rFonts w:asciiTheme="majorHAnsi" w:hAnsiTheme="majorHAnsi" w:cstheme="majorHAnsi"/>
        </w:rPr>
        <w:t>EU</w:t>
      </w:r>
      <w:r w:rsidRPr="00D67DE9">
        <w:rPr>
          <w:rFonts w:asciiTheme="majorHAnsi" w:hAnsiTheme="majorHAnsi" w:cstheme="majorHAnsi"/>
        </w:rPr>
        <w:t xml:space="preserve">, je treba </w:t>
      </w:r>
      <w:r w:rsidR="00DB01AD">
        <w:rPr>
          <w:rFonts w:asciiTheme="majorHAnsi" w:hAnsiTheme="majorHAnsi" w:cstheme="majorHAnsi"/>
        </w:rPr>
        <w:t xml:space="preserve">na podlagi uredbe </w:t>
      </w:r>
      <w:r w:rsidRPr="00D67DE9">
        <w:rPr>
          <w:rFonts w:asciiTheme="majorHAnsi" w:hAnsiTheme="majorHAnsi" w:cstheme="majorHAnsi"/>
        </w:rPr>
        <w:t xml:space="preserve">zagotoviti učinkovitost pri načrtovanju in varnost naložb tako, da se čim bolj zmanjša upravno breme za predlagatelje projektov. Zato </w:t>
      </w:r>
      <w:r>
        <w:rPr>
          <w:rFonts w:asciiTheme="majorHAnsi" w:hAnsiTheme="majorHAnsi" w:cstheme="majorHAnsi"/>
        </w:rPr>
        <w:t>se mora</w:t>
      </w:r>
      <w:r w:rsidR="00D92EC6">
        <w:rPr>
          <w:rFonts w:asciiTheme="majorHAnsi" w:hAnsiTheme="majorHAnsi" w:cstheme="majorHAnsi"/>
        </w:rPr>
        <w:t>jo</w:t>
      </w:r>
      <w:r>
        <w:rPr>
          <w:rFonts w:asciiTheme="majorHAnsi" w:hAnsiTheme="majorHAnsi" w:cstheme="majorHAnsi"/>
        </w:rPr>
        <w:t xml:space="preserve"> </w:t>
      </w:r>
      <w:r w:rsidRPr="00D67DE9">
        <w:rPr>
          <w:rFonts w:asciiTheme="majorHAnsi" w:hAnsiTheme="majorHAnsi" w:cstheme="majorHAnsi"/>
        </w:rPr>
        <w:t>postopk</w:t>
      </w:r>
      <w:r w:rsidR="00D92EC6">
        <w:rPr>
          <w:rFonts w:asciiTheme="majorHAnsi" w:hAnsiTheme="majorHAnsi" w:cstheme="majorHAnsi"/>
        </w:rPr>
        <w:t>i</w:t>
      </w:r>
      <w:r w:rsidRPr="00D67DE9">
        <w:rPr>
          <w:rFonts w:asciiTheme="majorHAnsi" w:hAnsiTheme="majorHAnsi" w:cstheme="majorHAnsi"/>
        </w:rPr>
        <w:t xml:space="preserve"> držav članic za izdajo dovoljenj za projekte za proizvodnjo neto ničelnih tehnologij, vključno z neto ničelnimi strateškimi projekti, racionalizirati in hkrati </w:t>
      </w:r>
      <w:r w:rsidR="00ED03D9">
        <w:rPr>
          <w:rFonts w:asciiTheme="majorHAnsi" w:hAnsiTheme="majorHAnsi" w:cstheme="majorHAnsi"/>
        </w:rPr>
        <w:t xml:space="preserve">je treba </w:t>
      </w:r>
      <w:r w:rsidRPr="00D67DE9">
        <w:rPr>
          <w:rFonts w:asciiTheme="majorHAnsi" w:hAnsiTheme="majorHAnsi" w:cstheme="majorHAnsi"/>
        </w:rPr>
        <w:t xml:space="preserve">zagotoviti, da so taki projekti varni, zaščiteni, </w:t>
      </w:r>
      <w:proofErr w:type="spellStart"/>
      <w:r w:rsidRPr="00D67DE9">
        <w:rPr>
          <w:rFonts w:asciiTheme="majorHAnsi" w:hAnsiTheme="majorHAnsi" w:cstheme="majorHAnsi"/>
        </w:rPr>
        <w:t>okoljsko</w:t>
      </w:r>
      <w:proofErr w:type="spellEnd"/>
      <w:r w:rsidRPr="00D67DE9">
        <w:rPr>
          <w:rFonts w:asciiTheme="majorHAnsi" w:hAnsiTheme="majorHAnsi" w:cstheme="majorHAnsi"/>
        </w:rPr>
        <w:t xml:space="preserve"> trajnostni ter skladni z </w:t>
      </w:r>
      <w:proofErr w:type="spellStart"/>
      <w:r w:rsidRPr="00D67DE9">
        <w:rPr>
          <w:rFonts w:asciiTheme="majorHAnsi" w:hAnsiTheme="majorHAnsi" w:cstheme="majorHAnsi"/>
        </w:rPr>
        <w:t>okoljskimi</w:t>
      </w:r>
      <w:proofErr w:type="spellEnd"/>
      <w:r w:rsidRPr="00D67DE9">
        <w:rPr>
          <w:rFonts w:asciiTheme="majorHAnsi" w:hAnsiTheme="majorHAnsi" w:cstheme="majorHAnsi"/>
        </w:rPr>
        <w:t>, socialnimi in varnostnimi zahtevami.</w:t>
      </w:r>
      <w:r>
        <w:rPr>
          <w:rFonts w:asciiTheme="majorHAnsi" w:hAnsiTheme="majorHAnsi" w:cstheme="majorHAnsi"/>
        </w:rPr>
        <w:t xml:space="preserve"> Uredba skladno s tem poleg enotne kontaktne točke uvaja tudi roke za izdajo potrebnih dovoljenj za te projekte.</w:t>
      </w:r>
    </w:p>
    <w:p w14:paraId="01F818D1" w14:textId="0FF2D184" w:rsidR="00F23E70" w:rsidRDefault="00F23E70" w:rsidP="00F23E70">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 xml:space="preserve">Rok za izvedbo: </w:t>
      </w:r>
      <w:r w:rsidR="0081051F" w:rsidRPr="00BF3AAC">
        <w:rPr>
          <w:rFonts w:asciiTheme="majorHAnsi" w:hAnsiTheme="majorHAnsi" w:cstheme="majorHAnsi"/>
          <w:color w:val="1F3864" w:themeColor="accent1" w:themeShade="80"/>
          <w:u w:val="single"/>
        </w:rPr>
        <w:t>tekoče izvajanje</w:t>
      </w:r>
      <w:r w:rsidR="00D5473E">
        <w:rPr>
          <w:rFonts w:asciiTheme="majorHAnsi" w:hAnsiTheme="majorHAnsi" w:cstheme="majorHAnsi"/>
          <w:color w:val="1F3864" w:themeColor="accent1" w:themeShade="80"/>
          <w:u w:val="single"/>
        </w:rPr>
        <w:t xml:space="preserve"> do leta 2030</w:t>
      </w:r>
    </w:p>
    <w:p w14:paraId="67CB6916" w14:textId="5549ACD2" w:rsidR="00B37816" w:rsidRPr="00BF3AAC" w:rsidRDefault="00B37816" w:rsidP="00F23E70">
      <w:pPr>
        <w:jc w:val="both"/>
        <w:rPr>
          <w:rFonts w:asciiTheme="majorHAnsi" w:hAnsiTheme="majorHAnsi" w:cstheme="majorHAnsi"/>
          <w:color w:val="1F3864" w:themeColor="accent1" w:themeShade="80"/>
          <w:u w:val="single"/>
        </w:rPr>
      </w:pPr>
      <w:r>
        <w:rPr>
          <w:rFonts w:asciiTheme="majorHAnsi" w:hAnsiTheme="majorHAnsi" w:cstheme="majorHAnsi"/>
          <w:color w:val="1F3864" w:themeColor="accent1" w:themeShade="80"/>
          <w:u w:val="single"/>
        </w:rPr>
        <w:t>Potrebna finančna sredstva: /</w:t>
      </w:r>
    </w:p>
    <w:p w14:paraId="25DCC858" w14:textId="0B04E9B8" w:rsidR="00F23E70" w:rsidRPr="00BF3AAC" w:rsidRDefault="00F23E70" w:rsidP="00F23E70">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Nosilec: MOPE</w:t>
      </w:r>
      <w:r w:rsidR="00D67DE9">
        <w:rPr>
          <w:rFonts w:asciiTheme="majorHAnsi" w:hAnsiTheme="majorHAnsi" w:cstheme="majorHAnsi"/>
          <w:color w:val="1F3864" w:themeColor="accent1" w:themeShade="80"/>
          <w:u w:val="single"/>
        </w:rPr>
        <w:t>, MNVP</w:t>
      </w:r>
      <w:r w:rsidR="00FD278C">
        <w:rPr>
          <w:rFonts w:asciiTheme="majorHAnsi" w:hAnsiTheme="majorHAnsi" w:cstheme="majorHAnsi"/>
          <w:color w:val="1F3864" w:themeColor="accent1" w:themeShade="80"/>
          <w:u w:val="single"/>
        </w:rPr>
        <w:t>,</w:t>
      </w:r>
      <w:r w:rsidR="00FD278C" w:rsidRPr="00FD278C">
        <w:rPr>
          <w:rFonts w:asciiTheme="majorHAnsi" w:hAnsiTheme="majorHAnsi" w:cstheme="majorHAnsi"/>
          <w:color w:val="1F3864" w:themeColor="accent1" w:themeShade="80"/>
          <w:u w:val="single"/>
        </w:rPr>
        <w:t xml:space="preserve"> </w:t>
      </w:r>
      <w:r w:rsidR="00FD278C">
        <w:rPr>
          <w:rFonts w:asciiTheme="majorHAnsi" w:hAnsiTheme="majorHAnsi" w:cstheme="majorHAnsi"/>
          <w:color w:val="1F3864" w:themeColor="accent1" w:themeShade="80"/>
          <w:u w:val="single"/>
        </w:rPr>
        <w:t>MGTŠ</w:t>
      </w:r>
    </w:p>
    <w:p w14:paraId="3814E327" w14:textId="64E87F56" w:rsidR="002B2934" w:rsidRDefault="00413550" w:rsidP="007B1A58">
      <w:pPr>
        <w:pStyle w:val="Naslov2"/>
        <w:numPr>
          <w:ilvl w:val="0"/>
          <w:numId w:val="4"/>
        </w:numPr>
        <w:ind w:left="426"/>
        <w:jc w:val="both"/>
        <w:rPr>
          <w:rFonts w:cstheme="majorHAnsi"/>
        </w:rPr>
      </w:pPr>
      <w:bookmarkStart w:id="10" w:name="_Toc184114164"/>
      <w:r w:rsidRPr="007D0E82">
        <w:rPr>
          <w:rFonts w:cstheme="majorHAnsi"/>
        </w:rPr>
        <w:lastRenderedPageBreak/>
        <w:t>Vzpostavitev t</w:t>
      </w:r>
      <w:r w:rsidR="004B755F" w:rsidRPr="007D0E82">
        <w:rPr>
          <w:rFonts w:cstheme="majorHAnsi"/>
        </w:rPr>
        <w:t>estn</w:t>
      </w:r>
      <w:r w:rsidRPr="007D0E82">
        <w:rPr>
          <w:rFonts w:cstheme="majorHAnsi"/>
        </w:rPr>
        <w:t>ega</w:t>
      </w:r>
      <w:r w:rsidR="004B755F" w:rsidRPr="007D0E82">
        <w:rPr>
          <w:rFonts w:cstheme="majorHAnsi"/>
        </w:rPr>
        <w:t xml:space="preserve"> laboratorij</w:t>
      </w:r>
      <w:r w:rsidRPr="007D0E82">
        <w:rPr>
          <w:rFonts w:cstheme="majorHAnsi"/>
        </w:rPr>
        <w:t xml:space="preserve">a </w:t>
      </w:r>
      <w:r w:rsidR="007549B7" w:rsidRPr="007D0E82">
        <w:rPr>
          <w:rFonts w:cstheme="majorHAnsi"/>
        </w:rPr>
        <w:t>v podporo novim rešitvam na področju energetske učinkovitosti in razogljičenja gospodarstva</w:t>
      </w:r>
      <w:bookmarkEnd w:id="10"/>
      <w:r w:rsidR="007549B7" w:rsidRPr="007D0E82">
        <w:rPr>
          <w:rFonts w:cstheme="majorHAnsi"/>
        </w:rPr>
        <w:t xml:space="preserve"> </w:t>
      </w:r>
    </w:p>
    <w:p w14:paraId="466A0180" w14:textId="77777777" w:rsidR="007B1A58" w:rsidRPr="007B1A58" w:rsidRDefault="007B1A58" w:rsidP="007B1A58"/>
    <w:p w14:paraId="2EC663FA" w14:textId="6D60DD40" w:rsidR="008541EF" w:rsidRDefault="008541EF" w:rsidP="008541EF">
      <w:pPr>
        <w:jc w:val="both"/>
        <w:rPr>
          <w:rFonts w:asciiTheme="majorHAnsi" w:hAnsiTheme="majorHAnsi" w:cstheme="majorHAnsi"/>
        </w:rPr>
      </w:pPr>
      <w:r>
        <w:rPr>
          <w:rFonts w:asciiTheme="majorHAnsi" w:hAnsiTheme="majorHAnsi" w:cstheme="majorHAnsi"/>
        </w:rPr>
        <w:t>Vzpostavitev testnega laboratorija je namenjena:</w:t>
      </w:r>
    </w:p>
    <w:p w14:paraId="0BF627D1" w14:textId="5E3DCA5C" w:rsidR="008541EF" w:rsidRDefault="008541EF" w:rsidP="008541EF">
      <w:pPr>
        <w:pStyle w:val="Odstavekseznama"/>
        <w:numPr>
          <w:ilvl w:val="0"/>
          <w:numId w:val="8"/>
        </w:numPr>
        <w:jc w:val="both"/>
        <w:rPr>
          <w:rFonts w:asciiTheme="majorHAnsi" w:hAnsiTheme="majorHAnsi" w:cstheme="majorHAnsi"/>
        </w:rPr>
      </w:pPr>
      <w:r w:rsidRPr="00BE61E6">
        <w:rPr>
          <w:rFonts w:asciiTheme="majorHAnsi" w:hAnsiTheme="majorHAnsi" w:cstheme="majorHAnsi"/>
        </w:rPr>
        <w:t xml:space="preserve">krepitvi inovativnosti </w:t>
      </w:r>
      <w:r w:rsidR="007549B7">
        <w:rPr>
          <w:rFonts w:asciiTheme="majorHAnsi" w:hAnsiTheme="majorHAnsi" w:cstheme="majorHAnsi"/>
        </w:rPr>
        <w:t>na področju energetske učinkovitosti in</w:t>
      </w:r>
      <w:r w:rsidRPr="00BE61E6">
        <w:rPr>
          <w:rFonts w:asciiTheme="majorHAnsi" w:hAnsiTheme="majorHAnsi" w:cstheme="majorHAnsi"/>
        </w:rPr>
        <w:t xml:space="preserve"> </w:t>
      </w:r>
      <w:r>
        <w:rPr>
          <w:rFonts w:asciiTheme="majorHAnsi" w:hAnsiTheme="majorHAnsi" w:cstheme="majorHAnsi"/>
        </w:rPr>
        <w:t>razogljičenj</w:t>
      </w:r>
      <w:r w:rsidR="007549B7">
        <w:rPr>
          <w:rFonts w:asciiTheme="majorHAnsi" w:hAnsiTheme="majorHAnsi" w:cstheme="majorHAnsi"/>
        </w:rPr>
        <w:t>a</w:t>
      </w:r>
      <w:r w:rsidRPr="00BE61E6">
        <w:rPr>
          <w:rFonts w:asciiTheme="majorHAnsi" w:hAnsiTheme="majorHAnsi" w:cstheme="majorHAnsi"/>
        </w:rPr>
        <w:t xml:space="preserve"> gospodarstva</w:t>
      </w:r>
      <w:r>
        <w:rPr>
          <w:rFonts w:asciiTheme="majorHAnsi" w:hAnsiTheme="majorHAnsi" w:cstheme="majorHAnsi"/>
        </w:rPr>
        <w:t>;</w:t>
      </w:r>
      <w:r w:rsidRPr="00BE61E6">
        <w:rPr>
          <w:rFonts w:asciiTheme="majorHAnsi" w:hAnsiTheme="majorHAnsi" w:cstheme="majorHAnsi"/>
        </w:rPr>
        <w:t xml:space="preserve"> </w:t>
      </w:r>
    </w:p>
    <w:p w14:paraId="7D624707" w14:textId="2B90D01C" w:rsidR="008541EF" w:rsidRDefault="008541EF" w:rsidP="008541EF">
      <w:pPr>
        <w:pStyle w:val="Odstavekseznama"/>
        <w:numPr>
          <w:ilvl w:val="0"/>
          <w:numId w:val="8"/>
        </w:numPr>
        <w:jc w:val="both"/>
        <w:rPr>
          <w:rFonts w:asciiTheme="majorHAnsi" w:hAnsiTheme="majorHAnsi" w:cstheme="majorHAnsi"/>
        </w:rPr>
      </w:pPr>
      <w:r w:rsidRPr="00BE61E6">
        <w:rPr>
          <w:rFonts w:asciiTheme="majorHAnsi" w:hAnsiTheme="majorHAnsi" w:cstheme="majorHAnsi"/>
        </w:rPr>
        <w:t>dvigu (emisijske/snovne) produktivnost</w:t>
      </w:r>
      <w:r w:rsidR="004D4898">
        <w:rPr>
          <w:rFonts w:asciiTheme="majorHAnsi" w:hAnsiTheme="majorHAnsi" w:cstheme="majorHAnsi"/>
        </w:rPr>
        <w:t>i</w:t>
      </w:r>
      <w:r>
        <w:rPr>
          <w:rFonts w:asciiTheme="majorHAnsi" w:hAnsiTheme="majorHAnsi" w:cstheme="majorHAnsi"/>
        </w:rPr>
        <w:t>;</w:t>
      </w:r>
      <w:r w:rsidRPr="00BE61E6">
        <w:rPr>
          <w:rFonts w:asciiTheme="majorHAnsi" w:hAnsiTheme="majorHAnsi" w:cstheme="majorHAnsi"/>
        </w:rPr>
        <w:t xml:space="preserve"> </w:t>
      </w:r>
    </w:p>
    <w:p w14:paraId="3E4BCA09" w14:textId="559F9A98" w:rsidR="008541EF" w:rsidRDefault="008541EF" w:rsidP="008541EF">
      <w:pPr>
        <w:pStyle w:val="Odstavekseznama"/>
        <w:numPr>
          <w:ilvl w:val="0"/>
          <w:numId w:val="8"/>
        </w:numPr>
        <w:jc w:val="both"/>
        <w:rPr>
          <w:rFonts w:asciiTheme="majorHAnsi" w:hAnsiTheme="majorHAnsi" w:cstheme="majorHAnsi"/>
        </w:rPr>
      </w:pPr>
      <w:r w:rsidRPr="00BE61E6">
        <w:rPr>
          <w:rFonts w:asciiTheme="majorHAnsi" w:hAnsiTheme="majorHAnsi" w:cstheme="majorHAnsi"/>
        </w:rPr>
        <w:t>boljšemu upravljanju tveganj</w:t>
      </w:r>
      <w:r>
        <w:rPr>
          <w:rFonts w:asciiTheme="majorHAnsi" w:hAnsiTheme="majorHAnsi" w:cstheme="majorHAnsi"/>
        </w:rPr>
        <w:t>;</w:t>
      </w:r>
      <w:r w:rsidRPr="00BE61E6">
        <w:rPr>
          <w:rFonts w:asciiTheme="majorHAnsi" w:hAnsiTheme="majorHAnsi" w:cstheme="majorHAnsi"/>
        </w:rPr>
        <w:t xml:space="preserve"> </w:t>
      </w:r>
    </w:p>
    <w:p w14:paraId="7C9283B9" w14:textId="30DED8BF" w:rsidR="008541EF" w:rsidRDefault="008541EF" w:rsidP="008541EF">
      <w:pPr>
        <w:pStyle w:val="Odstavekseznama"/>
        <w:numPr>
          <w:ilvl w:val="0"/>
          <w:numId w:val="8"/>
        </w:numPr>
        <w:jc w:val="both"/>
        <w:rPr>
          <w:rFonts w:asciiTheme="majorHAnsi" w:hAnsiTheme="majorHAnsi" w:cstheme="majorHAnsi"/>
        </w:rPr>
      </w:pPr>
      <w:r w:rsidRPr="00BE61E6">
        <w:rPr>
          <w:rFonts w:asciiTheme="majorHAnsi" w:hAnsiTheme="majorHAnsi" w:cstheme="majorHAnsi"/>
        </w:rPr>
        <w:t>ustvarjanj</w:t>
      </w:r>
      <w:r w:rsidR="004D4898">
        <w:rPr>
          <w:rFonts w:asciiTheme="majorHAnsi" w:hAnsiTheme="majorHAnsi" w:cstheme="majorHAnsi"/>
        </w:rPr>
        <w:t>u</w:t>
      </w:r>
      <w:r w:rsidRPr="00BE61E6">
        <w:rPr>
          <w:rFonts w:asciiTheme="majorHAnsi" w:hAnsiTheme="majorHAnsi" w:cstheme="majorHAnsi"/>
        </w:rPr>
        <w:t xml:space="preserve"> novih priložnosti</w:t>
      </w:r>
      <w:r>
        <w:rPr>
          <w:rFonts w:asciiTheme="majorHAnsi" w:hAnsiTheme="majorHAnsi" w:cstheme="majorHAnsi"/>
        </w:rPr>
        <w:t>;</w:t>
      </w:r>
    </w:p>
    <w:p w14:paraId="1BD442DA" w14:textId="5D66F6A1" w:rsidR="008541EF" w:rsidRDefault="008541EF" w:rsidP="008541EF">
      <w:pPr>
        <w:pStyle w:val="Odstavekseznama"/>
        <w:numPr>
          <w:ilvl w:val="0"/>
          <w:numId w:val="8"/>
        </w:numPr>
        <w:jc w:val="both"/>
        <w:rPr>
          <w:rFonts w:asciiTheme="majorHAnsi" w:hAnsiTheme="majorHAnsi" w:cstheme="majorHAnsi"/>
        </w:rPr>
      </w:pPr>
      <w:r w:rsidRPr="00BE61E6">
        <w:rPr>
          <w:rFonts w:asciiTheme="majorHAnsi" w:hAnsiTheme="majorHAnsi" w:cstheme="majorHAnsi"/>
        </w:rPr>
        <w:t>mreženj</w:t>
      </w:r>
      <w:r>
        <w:rPr>
          <w:rFonts w:asciiTheme="majorHAnsi" w:hAnsiTheme="majorHAnsi" w:cstheme="majorHAnsi"/>
        </w:rPr>
        <w:t>u</w:t>
      </w:r>
      <w:r w:rsidRPr="00BE61E6">
        <w:rPr>
          <w:rFonts w:asciiTheme="majorHAnsi" w:hAnsiTheme="majorHAnsi" w:cstheme="majorHAnsi"/>
        </w:rPr>
        <w:t xml:space="preserve"> in informiranj</w:t>
      </w:r>
      <w:r w:rsidR="004D4898">
        <w:rPr>
          <w:rFonts w:asciiTheme="majorHAnsi" w:hAnsiTheme="majorHAnsi" w:cstheme="majorHAnsi"/>
        </w:rPr>
        <w:t>u</w:t>
      </w:r>
      <w:r>
        <w:rPr>
          <w:rFonts w:asciiTheme="majorHAnsi" w:hAnsiTheme="majorHAnsi" w:cstheme="majorHAnsi"/>
        </w:rPr>
        <w:t>;</w:t>
      </w:r>
      <w:r w:rsidRPr="00BE61E6">
        <w:rPr>
          <w:rFonts w:asciiTheme="majorHAnsi" w:hAnsiTheme="majorHAnsi" w:cstheme="majorHAnsi"/>
        </w:rPr>
        <w:t xml:space="preserve"> </w:t>
      </w:r>
    </w:p>
    <w:p w14:paraId="39155560" w14:textId="77777777" w:rsidR="008541EF" w:rsidRPr="00BE61E6" w:rsidRDefault="008541EF" w:rsidP="008541EF">
      <w:pPr>
        <w:pStyle w:val="Odstavekseznama"/>
        <w:numPr>
          <w:ilvl w:val="0"/>
          <w:numId w:val="8"/>
        </w:numPr>
        <w:jc w:val="both"/>
        <w:rPr>
          <w:rFonts w:asciiTheme="majorHAnsi" w:hAnsiTheme="majorHAnsi" w:cstheme="majorHAnsi"/>
        </w:rPr>
      </w:pPr>
      <w:r w:rsidRPr="00BE61E6">
        <w:rPr>
          <w:rFonts w:asciiTheme="majorHAnsi" w:hAnsiTheme="majorHAnsi" w:cstheme="majorHAnsi"/>
        </w:rPr>
        <w:t>izboljšanj</w:t>
      </w:r>
      <w:r>
        <w:rPr>
          <w:rFonts w:asciiTheme="majorHAnsi" w:hAnsiTheme="majorHAnsi" w:cstheme="majorHAnsi"/>
        </w:rPr>
        <w:t>u</w:t>
      </w:r>
      <w:r w:rsidRPr="00BE61E6">
        <w:rPr>
          <w:rFonts w:asciiTheme="majorHAnsi" w:hAnsiTheme="majorHAnsi" w:cstheme="majorHAnsi"/>
        </w:rPr>
        <w:t xml:space="preserve"> poslovnega okolja. </w:t>
      </w:r>
    </w:p>
    <w:p w14:paraId="5BDF28BA" w14:textId="3EE5BA95" w:rsidR="00D910FE" w:rsidRDefault="008541EF" w:rsidP="008541EF">
      <w:pPr>
        <w:jc w:val="both"/>
        <w:rPr>
          <w:rFonts w:asciiTheme="majorHAnsi" w:hAnsiTheme="majorHAnsi" w:cstheme="majorHAnsi"/>
        </w:rPr>
      </w:pPr>
      <w:r w:rsidRPr="00720FF1">
        <w:rPr>
          <w:rFonts w:asciiTheme="majorHAnsi" w:hAnsiTheme="majorHAnsi" w:cstheme="majorHAnsi"/>
        </w:rPr>
        <w:t>Ministrstvo za javno upravo</w:t>
      </w:r>
      <w:r w:rsidR="00D910FE">
        <w:rPr>
          <w:rFonts w:asciiTheme="majorHAnsi" w:hAnsiTheme="majorHAnsi" w:cstheme="majorHAnsi"/>
        </w:rPr>
        <w:t xml:space="preserve"> </w:t>
      </w:r>
      <w:r w:rsidRPr="00720FF1">
        <w:rPr>
          <w:rFonts w:asciiTheme="majorHAnsi" w:hAnsiTheme="majorHAnsi" w:cstheme="majorHAnsi"/>
        </w:rPr>
        <w:t>izvaja projekt »</w:t>
      </w:r>
      <w:r>
        <w:rPr>
          <w:rFonts w:asciiTheme="majorHAnsi" w:hAnsiTheme="majorHAnsi" w:cstheme="majorHAnsi"/>
        </w:rPr>
        <w:t>Stičišče za oblikovanje politik</w:t>
      </w:r>
      <w:r w:rsidRPr="00720FF1">
        <w:rPr>
          <w:rFonts w:asciiTheme="majorHAnsi" w:hAnsiTheme="majorHAnsi" w:cstheme="majorHAnsi"/>
        </w:rPr>
        <w:t>«,</w:t>
      </w:r>
      <w:r w:rsidR="00D910FE">
        <w:rPr>
          <w:rFonts w:asciiTheme="majorHAnsi" w:hAnsiTheme="majorHAnsi" w:cstheme="majorHAnsi"/>
        </w:rPr>
        <w:t xml:space="preserve"> katerega namen je omogočiti razvoj celovitih rešitev </w:t>
      </w:r>
      <w:r w:rsidR="004D4898">
        <w:rPr>
          <w:rFonts w:asciiTheme="majorHAnsi" w:hAnsiTheme="majorHAnsi" w:cstheme="majorHAnsi"/>
        </w:rPr>
        <w:t xml:space="preserve">na podlagi </w:t>
      </w:r>
      <w:r w:rsidR="007471B9">
        <w:rPr>
          <w:rFonts w:asciiTheme="majorHAnsi" w:hAnsiTheme="majorHAnsi" w:cstheme="majorHAnsi"/>
        </w:rPr>
        <w:t xml:space="preserve">participativnega </w:t>
      </w:r>
      <w:r w:rsidR="00D910FE">
        <w:rPr>
          <w:rFonts w:asciiTheme="majorHAnsi" w:hAnsiTheme="majorHAnsi" w:cstheme="majorHAnsi"/>
        </w:rPr>
        <w:t xml:space="preserve">eksperimentiranja na področju politik in ukrepov pilotnega inoviranja v javnem sektorju </w:t>
      </w:r>
      <w:r w:rsidR="004D4898">
        <w:rPr>
          <w:rFonts w:asciiTheme="majorHAnsi" w:hAnsiTheme="majorHAnsi" w:cstheme="majorHAnsi"/>
        </w:rPr>
        <w:t xml:space="preserve">ter </w:t>
      </w:r>
      <w:r w:rsidR="00D910FE">
        <w:rPr>
          <w:rFonts w:asciiTheme="majorHAnsi" w:hAnsiTheme="majorHAnsi" w:cstheme="majorHAnsi"/>
        </w:rPr>
        <w:t>tako podpreti procese odločanja. Cilj je ustvariti »laboratorijsko« okolje</w:t>
      </w:r>
      <w:r w:rsidR="007549B7">
        <w:rPr>
          <w:rFonts w:asciiTheme="majorHAnsi" w:hAnsiTheme="majorHAnsi" w:cstheme="majorHAnsi"/>
        </w:rPr>
        <w:t xml:space="preserve">, v katerem bodo pripravljavci politik in deležniki raznolikih ozadij v sodelovanju oblikovali, </w:t>
      </w:r>
      <w:proofErr w:type="spellStart"/>
      <w:r w:rsidR="007549B7">
        <w:rPr>
          <w:rFonts w:asciiTheme="majorHAnsi" w:hAnsiTheme="majorHAnsi" w:cstheme="majorHAnsi"/>
        </w:rPr>
        <w:t>prototipirali</w:t>
      </w:r>
      <w:proofErr w:type="spellEnd"/>
      <w:r w:rsidR="007549B7">
        <w:rPr>
          <w:rFonts w:asciiTheme="majorHAnsi" w:hAnsiTheme="majorHAnsi" w:cstheme="majorHAnsi"/>
        </w:rPr>
        <w:t xml:space="preserve"> in testirali inovativne politike, predpise in javne storitve za spodbujanje prehoda v krožno in </w:t>
      </w:r>
      <w:proofErr w:type="spellStart"/>
      <w:r w:rsidR="007549B7">
        <w:rPr>
          <w:rFonts w:asciiTheme="majorHAnsi" w:hAnsiTheme="majorHAnsi" w:cstheme="majorHAnsi"/>
        </w:rPr>
        <w:t>nizkoogljično</w:t>
      </w:r>
      <w:proofErr w:type="spellEnd"/>
      <w:r w:rsidR="007549B7">
        <w:rPr>
          <w:rFonts w:asciiTheme="majorHAnsi" w:hAnsiTheme="majorHAnsi" w:cstheme="majorHAnsi"/>
        </w:rPr>
        <w:t xml:space="preserve"> gospodarstvo in družbo.</w:t>
      </w:r>
    </w:p>
    <w:p w14:paraId="027915DA" w14:textId="36E6A537" w:rsidR="008541EF" w:rsidRPr="00720FF1" w:rsidRDefault="007549B7" w:rsidP="008541EF">
      <w:pPr>
        <w:jc w:val="both"/>
        <w:rPr>
          <w:rFonts w:asciiTheme="majorHAnsi" w:hAnsiTheme="majorHAnsi" w:cstheme="majorHAnsi"/>
        </w:rPr>
      </w:pPr>
      <w:r>
        <w:rPr>
          <w:rFonts w:asciiTheme="majorHAnsi" w:hAnsiTheme="majorHAnsi" w:cstheme="majorHAnsi"/>
        </w:rPr>
        <w:t xml:space="preserve">V povezavi s tem projektom </w:t>
      </w:r>
      <w:r w:rsidR="008541EF" w:rsidRPr="00720FF1">
        <w:rPr>
          <w:rFonts w:asciiTheme="majorHAnsi" w:hAnsiTheme="majorHAnsi" w:cstheme="majorHAnsi"/>
        </w:rPr>
        <w:t>je predvidena vzpostavitev testnega laboratorija (t.</w:t>
      </w:r>
      <w:r w:rsidR="00EB2D5C">
        <w:rPr>
          <w:rFonts w:asciiTheme="majorHAnsi" w:hAnsiTheme="majorHAnsi" w:cstheme="majorHAnsi"/>
        </w:rPr>
        <w:t> </w:t>
      </w:r>
      <w:r w:rsidR="008541EF" w:rsidRPr="00720FF1">
        <w:rPr>
          <w:rFonts w:asciiTheme="majorHAnsi" w:hAnsiTheme="majorHAnsi" w:cstheme="majorHAnsi"/>
        </w:rPr>
        <w:t xml:space="preserve">i. </w:t>
      </w:r>
      <w:r w:rsidR="00D910FE" w:rsidRPr="00720FF1">
        <w:rPr>
          <w:rFonts w:asciiTheme="majorHAnsi" w:hAnsiTheme="majorHAnsi" w:cstheme="majorHAnsi"/>
        </w:rPr>
        <w:t>regulat</w:t>
      </w:r>
      <w:r w:rsidR="002C0779">
        <w:rPr>
          <w:rFonts w:asciiTheme="majorHAnsi" w:hAnsiTheme="majorHAnsi" w:cstheme="majorHAnsi"/>
        </w:rPr>
        <w:t>iv</w:t>
      </w:r>
      <w:r w:rsidR="00D910FE" w:rsidRPr="00720FF1">
        <w:rPr>
          <w:rFonts w:asciiTheme="majorHAnsi" w:hAnsiTheme="majorHAnsi" w:cstheme="majorHAnsi"/>
        </w:rPr>
        <w:t>n</w:t>
      </w:r>
      <w:r w:rsidR="00D910FE">
        <w:rPr>
          <w:rFonts w:asciiTheme="majorHAnsi" w:hAnsiTheme="majorHAnsi" w:cstheme="majorHAnsi"/>
        </w:rPr>
        <w:t>ega</w:t>
      </w:r>
      <w:r w:rsidR="00D910FE" w:rsidRPr="00720FF1">
        <w:rPr>
          <w:rFonts w:asciiTheme="majorHAnsi" w:hAnsiTheme="majorHAnsi" w:cstheme="majorHAnsi"/>
        </w:rPr>
        <w:t xml:space="preserve"> peskovnik</w:t>
      </w:r>
      <w:r w:rsidR="00D910FE">
        <w:rPr>
          <w:rFonts w:asciiTheme="majorHAnsi" w:hAnsiTheme="majorHAnsi" w:cstheme="majorHAnsi"/>
        </w:rPr>
        <w:t xml:space="preserve">a </w:t>
      </w:r>
      <w:r w:rsidR="00ED03D9">
        <w:rPr>
          <w:rFonts w:asciiTheme="majorHAnsi" w:hAnsiTheme="majorHAnsi" w:cstheme="majorHAnsi"/>
        </w:rPr>
        <w:t>–</w:t>
      </w:r>
      <w:r w:rsidR="00D910FE" w:rsidRPr="00720FF1">
        <w:rPr>
          <w:rFonts w:asciiTheme="majorHAnsi" w:hAnsiTheme="majorHAnsi" w:cstheme="majorHAnsi"/>
        </w:rPr>
        <w:t xml:space="preserve"> </w:t>
      </w:r>
      <w:r w:rsidR="008541EF" w:rsidRPr="00720FF1">
        <w:rPr>
          <w:rFonts w:asciiTheme="majorHAnsi" w:hAnsiTheme="majorHAnsi" w:cstheme="majorHAnsi"/>
        </w:rPr>
        <w:t>»</w:t>
      </w:r>
      <w:proofErr w:type="spellStart"/>
      <w:r w:rsidR="00CC162A">
        <w:rPr>
          <w:rFonts w:asciiTheme="majorHAnsi" w:hAnsiTheme="majorHAnsi" w:cstheme="majorHAnsi"/>
        </w:rPr>
        <w:t>regulatory</w:t>
      </w:r>
      <w:proofErr w:type="spellEnd"/>
      <w:r w:rsidR="00CC162A">
        <w:rPr>
          <w:rFonts w:asciiTheme="majorHAnsi" w:hAnsiTheme="majorHAnsi" w:cstheme="majorHAnsi"/>
        </w:rPr>
        <w:t xml:space="preserve"> </w:t>
      </w:r>
      <w:proofErr w:type="spellStart"/>
      <w:r w:rsidR="008541EF" w:rsidRPr="00720FF1">
        <w:rPr>
          <w:rFonts w:asciiTheme="majorHAnsi" w:hAnsiTheme="majorHAnsi" w:cstheme="majorHAnsi"/>
        </w:rPr>
        <w:t>sandbox</w:t>
      </w:r>
      <w:proofErr w:type="spellEnd"/>
      <w:r w:rsidR="008541EF" w:rsidRPr="00720FF1">
        <w:rPr>
          <w:rFonts w:asciiTheme="majorHAnsi" w:hAnsiTheme="majorHAnsi" w:cstheme="majorHAnsi"/>
        </w:rPr>
        <w:t xml:space="preserve">«), </w:t>
      </w:r>
      <w:r w:rsidR="00EB2D5C">
        <w:rPr>
          <w:rFonts w:asciiTheme="majorHAnsi" w:hAnsiTheme="majorHAnsi" w:cstheme="majorHAnsi"/>
        </w:rPr>
        <w:t>s čimer</w:t>
      </w:r>
      <w:r w:rsidR="008541EF" w:rsidRPr="00720FF1">
        <w:rPr>
          <w:rFonts w:asciiTheme="majorHAnsi" w:hAnsiTheme="majorHAnsi" w:cstheme="majorHAnsi"/>
        </w:rPr>
        <w:t xml:space="preserve"> se bo </w:t>
      </w:r>
      <w:r w:rsidR="00EB2D5C">
        <w:rPr>
          <w:rFonts w:asciiTheme="majorHAnsi" w:hAnsiTheme="majorHAnsi" w:cstheme="majorHAnsi"/>
        </w:rPr>
        <w:t>na podlagi</w:t>
      </w:r>
      <w:r w:rsidR="00EB2D5C" w:rsidRPr="00720FF1">
        <w:rPr>
          <w:rFonts w:asciiTheme="majorHAnsi" w:hAnsiTheme="majorHAnsi" w:cstheme="majorHAnsi"/>
        </w:rPr>
        <w:t xml:space="preserve"> </w:t>
      </w:r>
      <w:r w:rsidR="008541EF" w:rsidRPr="00720FF1">
        <w:rPr>
          <w:rFonts w:asciiTheme="majorHAnsi" w:hAnsiTheme="majorHAnsi" w:cstheme="majorHAnsi"/>
        </w:rPr>
        <w:t>testiranj</w:t>
      </w:r>
      <w:r w:rsidR="00EB2D5C">
        <w:rPr>
          <w:rFonts w:asciiTheme="majorHAnsi" w:hAnsiTheme="majorHAnsi" w:cstheme="majorHAnsi"/>
        </w:rPr>
        <w:t>a</w:t>
      </w:r>
      <w:r w:rsidR="008541EF" w:rsidRPr="00720FF1">
        <w:rPr>
          <w:rFonts w:asciiTheme="majorHAnsi" w:hAnsiTheme="majorHAnsi" w:cstheme="majorHAnsi"/>
        </w:rPr>
        <w:t xml:space="preserve"> inovativnih tehnoloških rešitev v sodelovanju z </w:t>
      </w:r>
      <w:r w:rsidR="00EB2D5C">
        <w:rPr>
          <w:rFonts w:asciiTheme="majorHAnsi" w:hAnsiTheme="majorHAnsi" w:cstheme="majorHAnsi"/>
        </w:rPr>
        <w:t>odločevalc</w:t>
      </w:r>
      <w:r w:rsidR="008541EF" w:rsidRPr="00720FF1">
        <w:rPr>
          <w:rFonts w:asciiTheme="majorHAnsi" w:hAnsiTheme="majorHAnsi" w:cstheme="majorHAnsi"/>
        </w:rPr>
        <w:t>i</w:t>
      </w:r>
      <w:r>
        <w:rPr>
          <w:rFonts w:asciiTheme="majorHAnsi" w:hAnsiTheme="majorHAnsi" w:cstheme="majorHAnsi"/>
        </w:rPr>
        <w:t xml:space="preserve"> (pristojnimi ministrstvi)</w:t>
      </w:r>
      <w:r w:rsidR="008541EF" w:rsidRPr="00720FF1">
        <w:rPr>
          <w:rFonts w:asciiTheme="majorHAnsi" w:hAnsiTheme="majorHAnsi" w:cstheme="majorHAnsi"/>
        </w:rPr>
        <w:t xml:space="preserve"> po preteku testnega obdobja ugotovilo:</w:t>
      </w:r>
    </w:p>
    <w:p w14:paraId="7A47F4BA" w14:textId="68E2663B" w:rsidR="008541EF" w:rsidRPr="00720FF1" w:rsidRDefault="008541EF" w:rsidP="008541EF">
      <w:pPr>
        <w:pStyle w:val="Odstavekseznama"/>
        <w:numPr>
          <w:ilvl w:val="0"/>
          <w:numId w:val="16"/>
        </w:numPr>
        <w:jc w:val="both"/>
        <w:rPr>
          <w:rFonts w:asciiTheme="majorHAnsi" w:hAnsiTheme="majorHAnsi" w:cstheme="majorHAnsi"/>
        </w:rPr>
      </w:pPr>
      <w:r w:rsidRPr="00720FF1">
        <w:rPr>
          <w:rFonts w:asciiTheme="majorHAnsi" w:hAnsiTheme="majorHAnsi" w:cstheme="majorHAnsi"/>
        </w:rPr>
        <w:t xml:space="preserve">ali je treba za integracijo inovativne </w:t>
      </w:r>
      <w:r>
        <w:rPr>
          <w:rFonts w:asciiTheme="majorHAnsi" w:hAnsiTheme="majorHAnsi" w:cstheme="majorHAnsi"/>
        </w:rPr>
        <w:t>rešitve</w:t>
      </w:r>
      <w:r w:rsidRPr="00720FF1">
        <w:rPr>
          <w:rFonts w:asciiTheme="majorHAnsi" w:hAnsiTheme="majorHAnsi" w:cstheme="majorHAnsi"/>
        </w:rPr>
        <w:t xml:space="preserve"> spremeniti zakonodajo</w:t>
      </w:r>
      <w:r w:rsidR="00EB2D5C">
        <w:rPr>
          <w:rFonts w:asciiTheme="majorHAnsi" w:hAnsiTheme="majorHAnsi" w:cstheme="majorHAnsi"/>
        </w:rPr>
        <w:t xml:space="preserve"> </w:t>
      </w:r>
      <w:r w:rsidRPr="00720FF1">
        <w:rPr>
          <w:rFonts w:asciiTheme="majorHAnsi" w:hAnsiTheme="majorHAnsi" w:cstheme="majorHAnsi"/>
        </w:rPr>
        <w:t xml:space="preserve"> </w:t>
      </w:r>
    </w:p>
    <w:p w14:paraId="35848E0B" w14:textId="7AE0E864" w:rsidR="008541EF" w:rsidRPr="00720FF1" w:rsidRDefault="008541EF" w:rsidP="008541EF">
      <w:pPr>
        <w:pStyle w:val="Odstavekseznama"/>
        <w:numPr>
          <w:ilvl w:val="0"/>
          <w:numId w:val="16"/>
        </w:numPr>
        <w:jc w:val="both"/>
        <w:rPr>
          <w:rFonts w:asciiTheme="majorHAnsi" w:hAnsiTheme="majorHAnsi" w:cstheme="majorHAnsi"/>
        </w:rPr>
      </w:pPr>
      <w:r w:rsidRPr="00720FF1">
        <w:rPr>
          <w:rFonts w:asciiTheme="majorHAnsi" w:hAnsiTheme="majorHAnsi" w:cstheme="majorHAnsi"/>
        </w:rPr>
        <w:t xml:space="preserve">ali pa je treba prilagoditi rešitev </w:t>
      </w:r>
      <w:r w:rsidR="00EB2D5C">
        <w:rPr>
          <w:rFonts w:asciiTheme="majorHAnsi" w:hAnsiTheme="majorHAnsi" w:cstheme="majorHAnsi"/>
        </w:rPr>
        <w:t>tako</w:t>
      </w:r>
      <w:r w:rsidRPr="00720FF1">
        <w:rPr>
          <w:rFonts w:asciiTheme="majorHAnsi" w:hAnsiTheme="majorHAnsi" w:cstheme="majorHAnsi"/>
        </w:rPr>
        <w:t xml:space="preserve">, da bo ustrezala </w:t>
      </w:r>
      <w:r w:rsidR="00EB2D5C">
        <w:rPr>
          <w:rFonts w:asciiTheme="majorHAnsi" w:hAnsiTheme="majorHAnsi" w:cstheme="majorHAnsi"/>
        </w:rPr>
        <w:t>že veljavn</w:t>
      </w:r>
      <w:r w:rsidRPr="00720FF1">
        <w:rPr>
          <w:rFonts w:asciiTheme="majorHAnsi" w:hAnsiTheme="majorHAnsi" w:cstheme="majorHAnsi"/>
        </w:rPr>
        <w:t>i zakonodaji</w:t>
      </w:r>
      <w:r w:rsidR="00EB2D5C">
        <w:rPr>
          <w:rFonts w:asciiTheme="majorHAnsi" w:hAnsiTheme="majorHAnsi" w:cstheme="majorHAnsi"/>
        </w:rPr>
        <w:t xml:space="preserve">, </w:t>
      </w:r>
      <w:r w:rsidRPr="00720FF1">
        <w:rPr>
          <w:rFonts w:asciiTheme="majorHAnsi" w:hAnsiTheme="majorHAnsi" w:cstheme="majorHAnsi"/>
        </w:rPr>
        <w:t>predvsem na področju energetske učinkovitosti in obnovljivih virov energije.</w:t>
      </w:r>
    </w:p>
    <w:p w14:paraId="3949F9F6" w14:textId="486B003D" w:rsidR="008541EF" w:rsidRPr="00720FF1" w:rsidRDefault="008541EF" w:rsidP="008541EF">
      <w:pPr>
        <w:jc w:val="both"/>
        <w:rPr>
          <w:rFonts w:asciiTheme="majorHAnsi" w:hAnsiTheme="majorHAnsi" w:cstheme="majorHAnsi"/>
        </w:rPr>
      </w:pPr>
      <w:r w:rsidRPr="00720FF1">
        <w:rPr>
          <w:rFonts w:asciiTheme="majorHAnsi" w:hAnsiTheme="majorHAnsi" w:cstheme="majorHAnsi"/>
        </w:rPr>
        <w:t>S testiranjem inovativnih tehnoloških</w:t>
      </w:r>
      <w:r>
        <w:rPr>
          <w:rFonts w:asciiTheme="majorHAnsi" w:hAnsiTheme="majorHAnsi" w:cstheme="majorHAnsi"/>
        </w:rPr>
        <w:t xml:space="preserve"> in </w:t>
      </w:r>
      <w:proofErr w:type="spellStart"/>
      <w:r>
        <w:rPr>
          <w:rFonts w:asciiTheme="majorHAnsi" w:hAnsiTheme="majorHAnsi" w:cstheme="majorHAnsi"/>
        </w:rPr>
        <w:t>netehnoloških</w:t>
      </w:r>
      <w:proofErr w:type="spellEnd"/>
      <w:r w:rsidRPr="00720FF1">
        <w:rPr>
          <w:rFonts w:asciiTheme="majorHAnsi" w:hAnsiTheme="majorHAnsi" w:cstheme="majorHAnsi"/>
        </w:rPr>
        <w:t xml:space="preserve"> rešitev </w:t>
      </w:r>
      <w:r w:rsidR="00EB2D5C">
        <w:rPr>
          <w:rFonts w:asciiTheme="majorHAnsi" w:hAnsiTheme="majorHAnsi" w:cstheme="majorHAnsi"/>
        </w:rPr>
        <w:t xml:space="preserve">bo </w:t>
      </w:r>
      <w:r w:rsidRPr="00720FF1">
        <w:rPr>
          <w:rFonts w:asciiTheme="majorHAnsi" w:hAnsiTheme="majorHAnsi" w:cstheme="majorHAnsi"/>
        </w:rPr>
        <w:t xml:space="preserve">v različnih fazah testiranja </w:t>
      </w:r>
      <w:r w:rsidR="00EB2D5C" w:rsidRPr="00720FF1">
        <w:rPr>
          <w:rFonts w:asciiTheme="majorHAnsi" w:hAnsiTheme="majorHAnsi" w:cstheme="majorHAnsi"/>
        </w:rPr>
        <w:t>mo</w:t>
      </w:r>
      <w:r w:rsidR="00EB2D5C">
        <w:rPr>
          <w:rFonts w:asciiTheme="majorHAnsi" w:hAnsiTheme="majorHAnsi" w:cstheme="majorHAnsi"/>
        </w:rPr>
        <w:t xml:space="preserve">goče </w:t>
      </w:r>
      <w:r w:rsidRPr="00720FF1">
        <w:rPr>
          <w:rFonts w:asciiTheme="majorHAnsi" w:hAnsiTheme="majorHAnsi" w:cstheme="majorHAnsi"/>
        </w:rPr>
        <w:t>pridobiti povratno informacijo o</w:t>
      </w:r>
      <w:r>
        <w:rPr>
          <w:rFonts w:asciiTheme="majorHAnsi" w:hAnsiTheme="majorHAnsi" w:cstheme="majorHAnsi"/>
        </w:rPr>
        <w:t xml:space="preserve"> njihovi</w:t>
      </w:r>
      <w:r w:rsidRPr="00720FF1">
        <w:rPr>
          <w:rFonts w:asciiTheme="majorHAnsi" w:hAnsiTheme="majorHAnsi" w:cstheme="majorHAnsi"/>
        </w:rPr>
        <w:t xml:space="preserve"> ustreznosti. Še zlasti pomembn</w:t>
      </w:r>
      <w:r w:rsidR="00EB2D5C">
        <w:rPr>
          <w:rFonts w:asciiTheme="majorHAnsi" w:hAnsiTheme="majorHAnsi" w:cstheme="majorHAnsi"/>
        </w:rPr>
        <w:t>a</w:t>
      </w:r>
      <w:r w:rsidRPr="00720FF1">
        <w:rPr>
          <w:rFonts w:asciiTheme="majorHAnsi" w:hAnsiTheme="majorHAnsi" w:cstheme="majorHAnsi"/>
        </w:rPr>
        <w:t xml:space="preserve"> je </w:t>
      </w:r>
      <w:r w:rsidR="00EB2D5C">
        <w:rPr>
          <w:rFonts w:asciiTheme="majorHAnsi" w:hAnsiTheme="majorHAnsi" w:cstheme="majorHAnsi"/>
        </w:rPr>
        <w:t>obravnava</w:t>
      </w:r>
      <w:r w:rsidRPr="00720FF1">
        <w:rPr>
          <w:rFonts w:asciiTheme="majorHAnsi" w:hAnsiTheme="majorHAnsi" w:cstheme="majorHAnsi"/>
        </w:rPr>
        <w:t xml:space="preserve"> novih tehnologij (uporaba zelenega vodika, uporaba biomase in biotehnologij, zajemanje</w:t>
      </w:r>
      <w:r w:rsidR="007549B7">
        <w:rPr>
          <w:rFonts w:asciiTheme="majorHAnsi" w:hAnsiTheme="majorHAnsi" w:cstheme="majorHAnsi"/>
        </w:rPr>
        <w:t>,</w:t>
      </w:r>
      <w:r w:rsidRPr="00720FF1">
        <w:rPr>
          <w:rFonts w:asciiTheme="majorHAnsi" w:hAnsiTheme="majorHAnsi" w:cstheme="majorHAnsi"/>
        </w:rPr>
        <w:t xml:space="preserve"> uporaba</w:t>
      </w:r>
      <w:r w:rsidR="007549B7">
        <w:rPr>
          <w:rFonts w:asciiTheme="majorHAnsi" w:hAnsiTheme="majorHAnsi" w:cstheme="majorHAnsi"/>
        </w:rPr>
        <w:t xml:space="preserve"> in shranjevanje</w:t>
      </w:r>
      <w:r w:rsidRPr="00720FF1">
        <w:rPr>
          <w:rFonts w:asciiTheme="majorHAnsi" w:hAnsiTheme="majorHAnsi" w:cstheme="majorHAnsi"/>
        </w:rPr>
        <w:t xml:space="preserve"> ogljika, hranilniki energije). </w:t>
      </w:r>
    </w:p>
    <w:p w14:paraId="66073485" w14:textId="1CFA01D9" w:rsidR="008541EF" w:rsidRPr="00720FF1" w:rsidRDefault="008541EF" w:rsidP="008541EF">
      <w:pPr>
        <w:jc w:val="both"/>
        <w:rPr>
          <w:rFonts w:asciiTheme="majorHAnsi" w:hAnsiTheme="majorHAnsi" w:cstheme="majorHAnsi"/>
        </w:rPr>
      </w:pPr>
      <w:r w:rsidRPr="00720FF1">
        <w:rPr>
          <w:rFonts w:asciiTheme="majorHAnsi" w:hAnsiTheme="majorHAnsi" w:cstheme="majorHAnsi"/>
        </w:rPr>
        <w:t xml:space="preserve">V testni laboratorij vstopajo podjetja z namenom eksperimentiranja in testiranja inovativnih rešitev v produkcijskem okolju ter z jasno določenim trajanjem in mestom izvajanja testiranja. </w:t>
      </w:r>
    </w:p>
    <w:p w14:paraId="3D76D092" w14:textId="274611A7" w:rsidR="008541EF" w:rsidRPr="00720FF1" w:rsidRDefault="008541EF" w:rsidP="008541EF">
      <w:pPr>
        <w:jc w:val="both"/>
        <w:rPr>
          <w:rFonts w:asciiTheme="majorHAnsi" w:hAnsiTheme="majorHAnsi" w:cstheme="majorHAnsi"/>
        </w:rPr>
      </w:pPr>
      <w:r w:rsidRPr="00720FF1">
        <w:rPr>
          <w:rFonts w:asciiTheme="majorHAnsi" w:hAnsiTheme="majorHAnsi" w:cstheme="majorHAnsi"/>
        </w:rPr>
        <w:t xml:space="preserve">Po odobritvi vstopa in sprejemu v testiranje prijavitelj postane predmet obravnave v testnem laboratoriju. </w:t>
      </w:r>
      <w:r w:rsidR="00EB2D5C">
        <w:rPr>
          <w:rFonts w:asciiTheme="majorHAnsi" w:hAnsiTheme="majorHAnsi" w:cstheme="majorHAnsi"/>
        </w:rPr>
        <w:t>Odločevalec</w:t>
      </w:r>
      <w:r w:rsidR="00EB2D5C" w:rsidRPr="00720FF1">
        <w:rPr>
          <w:rFonts w:asciiTheme="majorHAnsi" w:hAnsiTheme="majorHAnsi" w:cstheme="majorHAnsi"/>
        </w:rPr>
        <w:t xml:space="preserve"> </w:t>
      </w:r>
      <w:r w:rsidRPr="00720FF1">
        <w:rPr>
          <w:rFonts w:asciiTheme="majorHAnsi" w:hAnsiTheme="majorHAnsi" w:cstheme="majorHAnsi"/>
        </w:rPr>
        <w:t xml:space="preserve">se zaveže, da bo v času testiranja za to podjetje/projekt sprostil </w:t>
      </w:r>
      <w:r w:rsidR="00EB2D5C">
        <w:rPr>
          <w:rFonts w:asciiTheme="majorHAnsi" w:hAnsiTheme="majorHAnsi" w:cstheme="majorHAnsi"/>
        </w:rPr>
        <w:t>zakonske</w:t>
      </w:r>
      <w:r w:rsidR="00EB2D5C" w:rsidRPr="00720FF1">
        <w:rPr>
          <w:rFonts w:asciiTheme="majorHAnsi" w:hAnsiTheme="majorHAnsi" w:cstheme="majorHAnsi"/>
        </w:rPr>
        <w:t xml:space="preserve"> </w:t>
      </w:r>
      <w:r w:rsidRPr="00720FF1">
        <w:rPr>
          <w:rFonts w:asciiTheme="majorHAnsi" w:hAnsiTheme="majorHAnsi" w:cstheme="majorHAnsi"/>
        </w:rPr>
        <w:t xml:space="preserve">zahteve, ki so povezane s predmetom inovativnega projekta, ki bi za projekt/podjetje </w:t>
      </w:r>
      <w:r w:rsidR="00EB2D5C" w:rsidRPr="00720FF1">
        <w:rPr>
          <w:rFonts w:asciiTheme="majorHAnsi" w:hAnsiTheme="majorHAnsi" w:cstheme="majorHAnsi"/>
        </w:rPr>
        <w:t xml:space="preserve">sicer </w:t>
      </w:r>
      <w:r w:rsidRPr="00720FF1">
        <w:rPr>
          <w:rFonts w:asciiTheme="majorHAnsi" w:hAnsiTheme="majorHAnsi" w:cstheme="majorHAnsi"/>
        </w:rPr>
        <w:t xml:space="preserve">veljale, če ne bi bil predmet obravnave v </w:t>
      </w:r>
      <w:r w:rsidR="007549B7">
        <w:rPr>
          <w:rFonts w:asciiTheme="majorHAnsi" w:hAnsiTheme="majorHAnsi" w:cstheme="majorHAnsi"/>
        </w:rPr>
        <w:t>testnem laboratoriju</w:t>
      </w:r>
      <w:r w:rsidRPr="00720FF1">
        <w:rPr>
          <w:rFonts w:asciiTheme="majorHAnsi" w:hAnsiTheme="majorHAnsi" w:cstheme="majorHAnsi"/>
        </w:rPr>
        <w:t xml:space="preserve">. </w:t>
      </w:r>
    </w:p>
    <w:p w14:paraId="122C4D5B" w14:textId="15EAA52A" w:rsidR="008541EF" w:rsidRPr="00720FF1" w:rsidRDefault="007B1A58" w:rsidP="008541EF">
      <w:pPr>
        <w:jc w:val="both"/>
        <w:rPr>
          <w:rFonts w:asciiTheme="majorHAnsi" w:hAnsiTheme="majorHAnsi" w:cstheme="majorHAnsi"/>
        </w:rPr>
      </w:pPr>
      <w:r>
        <w:rPr>
          <w:rFonts w:asciiTheme="majorHAnsi" w:hAnsiTheme="majorHAnsi" w:cstheme="majorHAnsi"/>
        </w:rPr>
        <w:t>Testiranje rešitev in izhod iz testnega laboratorija morata biti v celoti skladna z zakonodajo in regulat</w:t>
      </w:r>
      <w:r w:rsidR="00EB2D5C">
        <w:rPr>
          <w:rFonts w:asciiTheme="majorHAnsi" w:hAnsiTheme="majorHAnsi" w:cstheme="majorHAnsi"/>
        </w:rPr>
        <w:t>iv</w:t>
      </w:r>
      <w:r>
        <w:rPr>
          <w:rFonts w:asciiTheme="majorHAnsi" w:hAnsiTheme="majorHAnsi" w:cstheme="majorHAnsi"/>
        </w:rPr>
        <w:t xml:space="preserve">nimi zahtevami. </w:t>
      </w:r>
    </w:p>
    <w:p w14:paraId="46CACE8E" w14:textId="26EB922B" w:rsidR="007549B7" w:rsidRPr="006C751F" w:rsidRDefault="007549B7" w:rsidP="007549B7">
      <w:pPr>
        <w:jc w:val="both"/>
        <w:rPr>
          <w:rFonts w:asciiTheme="majorHAnsi" w:hAnsiTheme="majorHAnsi" w:cstheme="majorHAnsi"/>
        </w:rPr>
      </w:pPr>
      <w:r w:rsidRPr="00720FF1">
        <w:rPr>
          <w:rFonts w:asciiTheme="majorHAnsi" w:hAnsiTheme="majorHAnsi" w:cstheme="majorHAnsi"/>
        </w:rPr>
        <w:t xml:space="preserve">S tem se želi ustvariti čim bolj inovacijam prijazno okolje za razvoj teh tehnologij ali inovativnih rešitev, tudi </w:t>
      </w:r>
      <w:r w:rsidR="00EB2D5C">
        <w:rPr>
          <w:rFonts w:asciiTheme="majorHAnsi" w:hAnsiTheme="majorHAnsi" w:cstheme="majorHAnsi"/>
        </w:rPr>
        <w:t>tako</w:t>
      </w:r>
      <w:r w:rsidRPr="00720FF1">
        <w:rPr>
          <w:rFonts w:asciiTheme="majorHAnsi" w:hAnsiTheme="majorHAnsi" w:cstheme="majorHAnsi"/>
        </w:rPr>
        <w:t xml:space="preserve">, da </w:t>
      </w:r>
      <w:r>
        <w:rPr>
          <w:rFonts w:asciiTheme="majorHAnsi" w:hAnsiTheme="majorHAnsi" w:cstheme="majorHAnsi"/>
        </w:rPr>
        <w:t xml:space="preserve">se </w:t>
      </w:r>
      <w:r w:rsidRPr="00720FF1">
        <w:rPr>
          <w:rFonts w:asciiTheme="majorHAnsi" w:hAnsiTheme="majorHAnsi" w:cstheme="majorHAnsi"/>
        </w:rPr>
        <w:t xml:space="preserve">skozi tehnološke inovacije zagotovi </w:t>
      </w:r>
      <w:r w:rsidR="00EB2D5C">
        <w:rPr>
          <w:rFonts w:asciiTheme="majorHAnsi" w:hAnsiTheme="majorHAnsi" w:cstheme="majorHAnsi"/>
        </w:rPr>
        <w:t>preobrazba ustreznega urejevalnega</w:t>
      </w:r>
      <w:r w:rsidRPr="00720FF1">
        <w:rPr>
          <w:rFonts w:asciiTheme="majorHAnsi" w:hAnsiTheme="majorHAnsi" w:cstheme="majorHAnsi"/>
        </w:rPr>
        <w:t xml:space="preserve"> </w:t>
      </w:r>
      <w:r w:rsidRPr="006C751F">
        <w:rPr>
          <w:rFonts w:asciiTheme="majorHAnsi" w:hAnsiTheme="majorHAnsi" w:cstheme="majorHAnsi"/>
        </w:rPr>
        <w:t xml:space="preserve">ekosistema </w:t>
      </w:r>
      <w:r w:rsidR="001F7559">
        <w:rPr>
          <w:rFonts w:asciiTheme="majorHAnsi" w:hAnsiTheme="majorHAnsi" w:cstheme="majorHAnsi"/>
        </w:rPr>
        <w:t>ter</w:t>
      </w:r>
      <w:r w:rsidR="001F7559" w:rsidRPr="006C751F">
        <w:rPr>
          <w:rFonts w:asciiTheme="majorHAnsi" w:hAnsiTheme="majorHAnsi" w:cstheme="majorHAnsi"/>
        </w:rPr>
        <w:t xml:space="preserve"> </w:t>
      </w:r>
      <w:r w:rsidRPr="006C751F">
        <w:rPr>
          <w:rFonts w:asciiTheme="majorHAnsi" w:hAnsiTheme="majorHAnsi" w:cstheme="majorHAnsi"/>
        </w:rPr>
        <w:t xml:space="preserve">s tem omogoči hkraten in enakomeren razvoj komplementarnih </w:t>
      </w:r>
      <w:proofErr w:type="spellStart"/>
      <w:r w:rsidRPr="006C751F">
        <w:rPr>
          <w:rFonts w:asciiTheme="majorHAnsi" w:hAnsiTheme="majorHAnsi" w:cstheme="majorHAnsi"/>
        </w:rPr>
        <w:t>netehnoloških</w:t>
      </w:r>
      <w:proofErr w:type="spellEnd"/>
      <w:r w:rsidRPr="006C751F">
        <w:rPr>
          <w:rFonts w:asciiTheme="majorHAnsi" w:hAnsiTheme="majorHAnsi" w:cstheme="majorHAnsi"/>
        </w:rPr>
        <w:t xml:space="preserve"> inovacij. </w:t>
      </w:r>
    </w:p>
    <w:p w14:paraId="48A04724" w14:textId="68354DE8" w:rsidR="008541EF" w:rsidRPr="006C751F" w:rsidRDefault="008541EF" w:rsidP="008541EF">
      <w:pPr>
        <w:jc w:val="both"/>
        <w:rPr>
          <w:rFonts w:asciiTheme="majorHAnsi" w:hAnsiTheme="majorHAnsi" w:cstheme="majorHAnsi"/>
        </w:rPr>
      </w:pPr>
      <w:r w:rsidRPr="006C751F">
        <w:rPr>
          <w:rFonts w:asciiTheme="majorHAnsi" w:hAnsiTheme="majorHAnsi" w:cstheme="majorHAnsi"/>
        </w:rPr>
        <w:t xml:space="preserve">Ciljna skupina: </w:t>
      </w:r>
      <w:r w:rsidRPr="009803D0">
        <w:rPr>
          <w:rStyle w:val="cf01"/>
          <w:rFonts w:asciiTheme="majorHAnsi" w:hAnsiTheme="majorHAnsi" w:cstheme="majorHAnsi"/>
          <w:sz w:val="22"/>
          <w:szCs w:val="22"/>
        </w:rPr>
        <w:t xml:space="preserve">podjetja/projekti, ki razvijajo inovativne tehnološke in </w:t>
      </w:r>
      <w:proofErr w:type="spellStart"/>
      <w:r w:rsidRPr="009803D0">
        <w:rPr>
          <w:rStyle w:val="cf01"/>
          <w:rFonts w:asciiTheme="majorHAnsi" w:hAnsiTheme="majorHAnsi" w:cstheme="majorHAnsi"/>
          <w:sz w:val="22"/>
          <w:szCs w:val="22"/>
        </w:rPr>
        <w:t>netehnološke</w:t>
      </w:r>
      <w:proofErr w:type="spellEnd"/>
      <w:r w:rsidRPr="009803D0">
        <w:rPr>
          <w:rStyle w:val="cf01"/>
          <w:rFonts w:asciiTheme="majorHAnsi" w:hAnsiTheme="majorHAnsi" w:cstheme="majorHAnsi"/>
          <w:sz w:val="22"/>
          <w:szCs w:val="22"/>
        </w:rPr>
        <w:t xml:space="preserve"> rešitve oziroma uporabljajo obstoječe (ne)tehnološke rešitve na inovativen način</w:t>
      </w:r>
      <w:r w:rsidRPr="006C751F">
        <w:rPr>
          <w:rFonts w:asciiTheme="majorHAnsi" w:hAnsiTheme="majorHAnsi" w:cstheme="majorHAnsi"/>
        </w:rPr>
        <w:t xml:space="preserve"> </w:t>
      </w:r>
    </w:p>
    <w:p w14:paraId="257CAF39" w14:textId="43696165" w:rsidR="0081051F" w:rsidRDefault="0081051F" w:rsidP="0081051F">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Rok za izvedbo: 2026</w:t>
      </w:r>
    </w:p>
    <w:p w14:paraId="45801683" w14:textId="5FFAA4D5" w:rsidR="00B37816" w:rsidRPr="00BF3AAC" w:rsidRDefault="00B37816" w:rsidP="0081051F">
      <w:pPr>
        <w:jc w:val="both"/>
        <w:rPr>
          <w:rFonts w:asciiTheme="majorHAnsi" w:hAnsiTheme="majorHAnsi" w:cstheme="majorHAnsi"/>
          <w:color w:val="1F3864" w:themeColor="accent1" w:themeShade="80"/>
          <w:u w:val="single"/>
        </w:rPr>
      </w:pPr>
      <w:r>
        <w:rPr>
          <w:rFonts w:asciiTheme="majorHAnsi" w:hAnsiTheme="majorHAnsi" w:cstheme="majorHAnsi"/>
          <w:color w:val="1F3864" w:themeColor="accent1" w:themeShade="80"/>
          <w:u w:val="single"/>
        </w:rPr>
        <w:lastRenderedPageBreak/>
        <w:t>Predvidena</w:t>
      </w:r>
      <w:r w:rsidR="008541EF">
        <w:rPr>
          <w:rFonts w:asciiTheme="majorHAnsi" w:hAnsiTheme="majorHAnsi" w:cstheme="majorHAnsi"/>
          <w:color w:val="1F3864" w:themeColor="accent1" w:themeShade="80"/>
          <w:u w:val="single"/>
        </w:rPr>
        <w:t xml:space="preserve"> okvirna</w:t>
      </w:r>
      <w:r>
        <w:rPr>
          <w:rFonts w:asciiTheme="majorHAnsi" w:hAnsiTheme="majorHAnsi" w:cstheme="majorHAnsi"/>
          <w:color w:val="1F3864" w:themeColor="accent1" w:themeShade="80"/>
          <w:u w:val="single"/>
        </w:rPr>
        <w:t xml:space="preserve"> finančna sredstva:</w:t>
      </w:r>
      <w:r w:rsidR="007B1A58">
        <w:rPr>
          <w:rFonts w:asciiTheme="majorHAnsi" w:hAnsiTheme="majorHAnsi" w:cstheme="majorHAnsi"/>
          <w:color w:val="1F3864" w:themeColor="accent1" w:themeShade="80"/>
          <w:u w:val="single"/>
        </w:rPr>
        <w:t xml:space="preserve"> </w:t>
      </w:r>
      <w:r w:rsidR="00EB2D5C">
        <w:rPr>
          <w:rFonts w:asciiTheme="majorHAnsi" w:hAnsiTheme="majorHAnsi" w:cstheme="majorHAnsi"/>
          <w:color w:val="1F3864" w:themeColor="accent1" w:themeShade="80"/>
          <w:u w:val="single"/>
        </w:rPr>
        <w:t>če</w:t>
      </w:r>
      <w:r w:rsidR="007B1A58">
        <w:rPr>
          <w:rFonts w:asciiTheme="majorHAnsi" w:hAnsiTheme="majorHAnsi" w:cstheme="majorHAnsi"/>
          <w:color w:val="1F3864" w:themeColor="accent1" w:themeShade="80"/>
          <w:u w:val="single"/>
        </w:rPr>
        <w:t xml:space="preserve"> bodo na voljo</w:t>
      </w:r>
    </w:p>
    <w:p w14:paraId="3B5AE44A" w14:textId="534D76EE" w:rsidR="0081051F" w:rsidRPr="00BF3AAC" w:rsidRDefault="0081051F" w:rsidP="0081051F">
      <w:pPr>
        <w:jc w:val="both"/>
        <w:rPr>
          <w:rFonts w:asciiTheme="majorHAnsi" w:hAnsiTheme="majorHAnsi" w:cstheme="majorHAnsi"/>
          <w:color w:val="1F3864" w:themeColor="accent1" w:themeShade="80"/>
          <w:u w:val="single"/>
        </w:rPr>
      </w:pPr>
      <w:r w:rsidRPr="00BF3AAC">
        <w:rPr>
          <w:rFonts w:asciiTheme="majorHAnsi" w:hAnsiTheme="majorHAnsi" w:cstheme="majorHAnsi"/>
          <w:color w:val="1F3864" w:themeColor="accent1" w:themeShade="80"/>
          <w:u w:val="single"/>
        </w:rPr>
        <w:t xml:space="preserve">Nosilec: </w:t>
      </w:r>
      <w:r w:rsidR="00D910FE">
        <w:rPr>
          <w:rFonts w:asciiTheme="majorHAnsi" w:hAnsiTheme="majorHAnsi" w:cstheme="majorHAnsi"/>
          <w:color w:val="1F3864" w:themeColor="accent1" w:themeShade="80"/>
          <w:u w:val="single"/>
        </w:rPr>
        <w:t>MGTŠ in MOPE</w:t>
      </w:r>
      <w:r w:rsidRPr="00BF3AAC">
        <w:rPr>
          <w:rFonts w:asciiTheme="majorHAnsi" w:hAnsiTheme="majorHAnsi" w:cstheme="majorHAnsi"/>
          <w:color w:val="1F3864" w:themeColor="accent1" w:themeShade="80"/>
          <w:u w:val="single"/>
        </w:rPr>
        <w:t xml:space="preserve"> v sodelovanju z </w:t>
      </w:r>
      <w:r w:rsidR="00D910FE">
        <w:rPr>
          <w:rFonts w:asciiTheme="majorHAnsi" w:hAnsiTheme="majorHAnsi" w:cstheme="majorHAnsi"/>
          <w:color w:val="1F3864" w:themeColor="accent1" w:themeShade="80"/>
          <w:u w:val="single"/>
        </w:rPr>
        <w:t>MJU</w:t>
      </w:r>
      <w:r w:rsidRPr="00BF3AAC">
        <w:rPr>
          <w:rFonts w:asciiTheme="majorHAnsi" w:hAnsiTheme="majorHAnsi" w:cstheme="majorHAnsi"/>
          <w:color w:val="1F3864" w:themeColor="accent1" w:themeShade="80"/>
          <w:u w:val="single"/>
        </w:rPr>
        <w:t xml:space="preserve"> in MVZI </w:t>
      </w:r>
    </w:p>
    <w:p w14:paraId="52BCA9DD" w14:textId="33CF2B53" w:rsidR="00FD278C" w:rsidRDefault="00FD278C">
      <w:pPr>
        <w:rPr>
          <w:rFonts w:asciiTheme="majorHAnsi" w:eastAsiaTheme="majorEastAsia" w:hAnsiTheme="majorHAnsi" w:cstheme="majorHAnsi"/>
          <w:color w:val="2F5496" w:themeColor="accent1" w:themeShade="BF"/>
          <w:sz w:val="32"/>
          <w:szCs w:val="32"/>
        </w:rPr>
      </w:pPr>
    </w:p>
    <w:p w14:paraId="33CEA54B" w14:textId="6F553BEC" w:rsidR="00B66023" w:rsidRPr="00720FF1" w:rsidRDefault="00EB2D5C" w:rsidP="00B66023">
      <w:pPr>
        <w:pStyle w:val="Naslov1"/>
        <w:numPr>
          <w:ilvl w:val="0"/>
          <w:numId w:val="2"/>
        </w:numPr>
        <w:ind w:left="426" w:hanging="284"/>
        <w:rPr>
          <w:rFonts w:cstheme="majorHAnsi"/>
        </w:rPr>
      </w:pPr>
      <w:bookmarkStart w:id="11" w:name="_Toc184114165"/>
      <w:r>
        <w:rPr>
          <w:rFonts w:cstheme="majorHAnsi"/>
        </w:rPr>
        <w:t>Sklepno</w:t>
      </w:r>
      <w:bookmarkEnd w:id="11"/>
    </w:p>
    <w:p w14:paraId="024BD1C3" w14:textId="0A4BF350" w:rsidR="00B66023" w:rsidRPr="00720FF1" w:rsidRDefault="00B66023" w:rsidP="00B66023">
      <w:pPr>
        <w:rPr>
          <w:rFonts w:asciiTheme="majorHAnsi" w:hAnsiTheme="majorHAnsi" w:cstheme="majorHAnsi"/>
        </w:rPr>
      </w:pPr>
    </w:p>
    <w:p w14:paraId="0C155EEC" w14:textId="790914ED" w:rsidR="00B66023" w:rsidRPr="00720FF1" w:rsidRDefault="00B66023" w:rsidP="004B755F">
      <w:pPr>
        <w:jc w:val="both"/>
        <w:rPr>
          <w:rFonts w:asciiTheme="majorHAnsi" w:hAnsiTheme="majorHAnsi" w:cstheme="majorHAnsi"/>
        </w:rPr>
      </w:pPr>
      <w:r w:rsidRPr="00720FF1">
        <w:rPr>
          <w:rFonts w:asciiTheme="majorHAnsi" w:hAnsiTheme="majorHAnsi" w:cstheme="majorHAnsi"/>
        </w:rPr>
        <w:t xml:space="preserve">V Sloveniji se že vrsto let izvajajo številni spodbujevalni programi, usmerjeni v povečanje energetske učinkovitosti in večjo izrabo obnovljivih virov energije. Vendar pa je treba pot zelene in trajnostne </w:t>
      </w:r>
      <w:r w:rsidR="00EB2D5C">
        <w:rPr>
          <w:rFonts w:asciiTheme="majorHAnsi" w:hAnsiTheme="majorHAnsi" w:cstheme="majorHAnsi"/>
        </w:rPr>
        <w:t>preobrazbe</w:t>
      </w:r>
      <w:r w:rsidR="00EB2D5C" w:rsidRPr="00720FF1">
        <w:rPr>
          <w:rFonts w:asciiTheme="majorHAnsi" w:hAnsiTheme="majorHAnsi" w:cstheme="majorHAnsi"/>
        </w:rPr>
        <w:t xml:space="preserve"> </w:t>
      </w:r>
      <w:r w:rsidRPr="00720FF1">
        <w:rPr>
          <w:rFonts w:asciiTheme="majorHAnsi" w:hAnsiTheme="majorHAnsi" w:cstheme="majorHAnsi"/>
        </w:rPr>
        <w:t>gospodarstva še pospešiti.</w:t>
      </w:r>
    </w:p>
    <w:p w14:paraId="1EC1F5D1" w14:textId="1CD5FD79" w:rsidR="00B66023" w:rsidRPr="00720FF1" w:rsidRDefault="00B66023" w:rsidP="004B755F">
      <w:pPr>
        <w:jc w:val="both"/>
        <w:rPr>
          <w:rFonts w:asciiTheme="majorHAnsi" w:hAnsiTheme="majorHAnsi" w:cstheme="majorHAnsi"/>
        </w:rPr>
      </w:pPr>
      <w:r w:rsidRPr="00720FF1">
        <w:rPr>
          <w:rFonts w:asciiTheme="majorHAnsi" w:hAnsiTheme="majorHAnsi" w:cstheme="majorHAnsi"/>
        </w:rPr>
        <w:t xml:space="preserve">V ta namen akcijski načrt </w:t>
      </w:r>
      <w:r w:rsidR="004B755F" w:rsidRPr="00720FF1">
        <w:rPr>
          <w:rFonts w:asciiTheme="majorHAnsi" w:hAnsiTheme="majorHAnsi" w:cstheme="majorHAnsi"/>
        </w:rPr>
        <w:t>določa</w:t>
      </w:r>
      <w:r w:rsidRPr="00720FF1">
        <w:rPr>
          <w:rFonts w:asciiTheme="majorHAnsi" w:hAnsiTheme="majorHAnsi" w:cstheme="majorHAnsi"/>
        </w:rPr>
        <w:t xml:space="preserve"> ukrepe</w:t>
      </w:r>
      <w:r w:rsidR="004B755F" w:rsidRPr="00720FF1">
        <w:rPr>
          <w:rFonts w:asciiTheme="majorHAnsi" w:hAnsiTheme="majorHAnsi" w:cstheme="majorHAnsi"/>
        </w:rPr>
        <w:t xml:space="preserve">, ki bi poleg doseganja še večje energetske učinkovitosti spodbudili tudi večjo </w:t>
      </w:r>
      <w:r w:rsidR="00EB2D5C">
        <w:rPr>
          <w:rFonts w:asciiTheme="majorHAnsi" w:hAnsiTheme="majorHAnsi" w:cstheme="majorHAnsi"/>
        </w:rPr>
        <w:t>preglednost</w:t>
      </w:r>
      <w:r w:rsidR="00EB2D5C" w:rsidRPr="00720FF1">
        <w:rPr>
          <w:rFonts w:asciiTheme="majorHAnsi" w:hAnsiTheme="majorHAnsi" w:cstheme="majorHAnsi"/>
        </w:rPr>
        <w:t xml:space="preserve"> </w:t>
      </w:r>
      <w:r w:rsidR="004B755F" w:rsidRPr="00720FF1">
        <w:rPr>
          <w:rFonts w:asciiTheme="majorHAnsi" w:hAnsiTheme="majorHAnsi" w:cstheme="majorHAnsi"/>
        </w:rPr>
        <w:t xml:space="preserve">na tem področju, predvsem s pomočjo digitalizacije postopkov na področju energetskih pregledov. S tem bo tudi omogočen boljši vpogled v </w:t>
      </w:r>
      <w:r w:rsidR="00EB2D5C">
        <w:rPr>
          <w:rFonts w:asciiTheme="majorHAnsi" w:hAnsiTheme="majorHAnsi" w:cstheme="majorHAnsi"/>
        </w:rPr>
        <w:t>možnosti</w:t>
      </w:r>
      <w:r w:rsidR="00EB2D5C" w:rsidRPr="00720FF1">
        <w:rPr>
          <w:rFonts w:asciiTheme="majorHAnsi" w:hAnsiTheme="majorHAnsi" w:cstheme="majorHAnsi"/>
        </w:rPr>
        <w:t xml:space="preserve"> </w:t>
      </w:r>
      <w:r w:rsidR="004B755F" w:rsidRPr="00720FF1">
        <w:rPr>
          <w:rFonts w:asciiTheme="majorHAnsi" w:hAnsiTheme="majorHAnsi" w:cstheme="majorHAnsi"/>
        </w:rPr>
        <w:t xml:space="preserve">gospodarstva in finančno vrzel, </w:t>
      </w:r>
      <w:r w:rsidR="00EB2D5C">
        <w:rPr>
          <w:rFonts w:asciiTheme="majorHAnsi" w:hAnsiTheme="majorHAnsi" w:cstheme="majorHAnsi"/>
        </w:rPr>
        <w:t>ki jo je treba zapolniti</w:t>
      </w:r>
      <w:r w:rsidR="004B755F" w:rsidRPr="00720FF1">
        <w:rPr>
          <w:rFonts w:asciiTheme="majorHAnsi" w:hAnsiTheme="majorHAnsi" w:cstheme="majorHAnsi"/>
        </w:rPr>
        <w:t xml:space="preserve"> za zagotovitev hitrega in učinkovitega zelenega prehoda skladno s cilji SIS 2021</w:t>
      </w:r>
      <w:r w:rsidR="00EB2D5C">
        <w:rPr>
          <w:rFonts w:asciiTheme="majorHAnsi" w:hAnsiTheme="majorHAnsi" w:cstheme="majorHAnsi"/>
        </w:rPr>
        <w:t>–</w:t>
      </w:r>
      <w:r w:rsidR="004B755F" w:rsidRPr="00720FF1">
        <w:rPr>
          <w:rFonts w:asciiTheme="majorHAnsi" w:hAnsiTheme="majorHAnsi" w:cstheme="majorHAnsi"/>
        </w:rPr>
        <w:t>2030 in NEPN</w:t>
      </w:r>
      <w:r w:rsidR="00D5473E">
        <w:rPr>
          <w:rFonts w:asciiTheme="majorHAnsi" w:hAnsiTheme="majorHAnsi" w:cstheme="majorHAnsi"/>
        </w:rPr>
        <w:t xml:space="preserve"> 2030</w:t>
      </w:r>
      <w:r w:rsidR="004B755F" w:rsidRPr="00720FF1">
        <w:rPr>
          <w:rFonts w:asciiTheme="majorHAnsi" w:hAnsiTheme="majorHAnsi" w:cstheme="majorHAnsi"/>
        </w:rPr>
        <w:t xml:space="preserve">. </w:t>
      </w:r>
    </w:p>
    <w:sectPr w:rsidR="00B66023" w:rsidRPr="00720FF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46C9" w14:textId="77777777" w:rsidR="0057561B" w:rsidRDefault="0057561B" w:rsidP="00256C13">
      <w:pPr>
        <w:spacing w:after="0" w:line="240" w:lineRule="auto"/>
      </w:pPr>
      <w:r>
        <w:separator/>
      </w:r>
    </w:p>
  </w:endnote>
  <w:endnote w:type="continuationSeparator" w:id="0">
    <w:p w14:paraId="139CC7F7" w14:textId="77777777" w:rsidR="0057561B" w:rsidRDefault="0057561B" w:rsidP="0025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31204"/>
      <w:docPartObj>
        <w:docPartGallery w:val="Page Numbers (Bottom of Page)"/>
        <w:docPartUnique/>
      </w:docPartObj>
    </w:sdtPr>
    <w:sdtEndPr/>
    <w:sdtContent>
      <w:p w14:paraId="5C32A8AA" w14:textId="7285E34B" w:rsidR="00C74D6C" w:rsidRDefault="00C74D6C">
        <w:pPr>
          <w:pStyle w:val="Noga"/>
          <w:jc w:val="center"/>
        </w:pPr>
        <w:r>
          <w:fldChar w:fldCharType="begin"/>
        </w:r>
        <w:r>
          <w:instrText>PAGE   \* MERGEFORMAT</w:instrText>
        </w:r>
        <w:r>
          <w:fldChar w:fldCharType="separate"/>
        </w:r>
        <w:r w:rsidR="00155691">
          <w:rPr>
            <w:noProof/>
          </w:rPr>
          <w:t>3</w:t>
        </w:r>
        <w:r>
          <w:fldChar w:fldCharType="end"/>
        </w:r>
      </w:p>
    </w:sdtContent>
  </w:sdt>
  <w:p w14:paraId="1ACA35AF" w14:textId="77777777" w:rsidR="00C74D6C" w:rsidRDefault="00C74D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B8BE" w14:textId="77777777" w:rsidR="0057561B" w:rsidRDefault="0057561B" w:rsidP="00256C13">
      <w:pPr>
        <w:spacing w:after="0" w:line="240" w:lineRule="auto"/>
      </w:pPr>
      <w:r>
        <w:separator/>
      </w:r>
    </w:p>
  </w:footnote>
  <w:footnote w:type="continuationSeparator" w:id="0">
    <w:p w14:paraId="310EA6FB" w14:textId="77777777" w:rsidR="0057561B" w:rsidRDefault="0057561B" w:rsidP="00256C13">
      <w:pPr>
        <w:spacing w:after="0" w:line="240" w:lineRule="auto"/>
      </w:pPr>
      <w:r>
        <w:continuationSeparator/>
      </w:r>
    </w:p>
  </w:footnote>
  <w:footnote w:id="1">
    <w:p w14:paraId="07A4A371" w14:textId="44FD8B9D" w:rsidR="00C74D6C" w:rsidRPr="00AD5211" w:rsidRDefault="00C74D6C" w:rsidP="0006220A">
      <w:pPr>
        <w:pStyle w:val="Sprotnaopomba-besedilo"/>
        <w:rPr>
          <w:sz w:val="16"/>
          <w:szCs w:val="16"/>
        </w:rPr>
      </w:pPr>
      <w:r w:rsidRPr="00AD5211">
        <w:rPr>
          <w:rStyle w:val="Sprotnaopomba-sklic"/>
          <w:sz w:val="16"/>
          <w:szCs w:val="16"/>
        </w:rPr>
        <w:footnoteRef/>
      </w:r>
      <w:r w:rsidRPr="00AD5211">
        <w:rPr>
          <w:sz w:val="16"/>
          <w:szCs w:val="16"/>
        </w:rPr>
        <w:t xml:space="preserve"> Irska je na prvem mestu in v razvrstitvi ni upoštevana zaradi svojega statusa davčno prijaznega okolja za patente, kar se statistično odraža v v</w:t>
      </w:r>
      <w:r>
        <w:rPr>
          <w:sz w:val="16"/>
          <w:szCs w:val="16"/>
        </w:rPr>
        <w:t>el</w:t>
      </w:r>
      <w:r w:rsidRPr="00AD5211">
        <w:rPr>
          <w:sz w:val="16"/>
          <w:szCs w:val="16"/>
        </w:rPr>
        <w:t xml:space="preserve">ikem pomenu industrije. </w:t>
      </w:r>
      <w:r>
        <w:rPr>
          <w:sz w:val="16"/>
          <w:szCs w:val="16"/>
        </w:rPr>
        <w:t>Dejansko</w:t>
      </w:r>
      <w:r w:rsidRPr="00AD5211">
        <w:rPr>
          <w:sz w:val="16"/>
          <w:szCs w:val="16"/>
        </w:rPr>
        <w:t xml:space="preserve"> je pomen industrije na Irskem precej manjši. </w:t>
      </w:r>
    </w:p>
  </w:footnote>
  <w:footnote w:id="2">
    <w:p w14:paraId="521ECB11" w14:textId="77777777" w:rsidR="00C74D6C" w:rsidRPr="00AD5211" w:rsidRDefault="00C74D6C" w:rsidP="0006220A">
      <w:pPr>
        <w:pStyle w:val="Sprotnaopomba-besedilo"/>
        <w:rPr>
          <w:sz w:val="16"/>
          <w:szCs w:val="16"/>
        </w:rPr>
      </w:pPr>
      <w:r w:rsidRPr="00AD5211">
        <w:rPr>
          <w:rStyle w:val="Sprotnaopomba-sklic"/>
          <w:sz w:val="16"/>
          <w:szCs w:val="16"/>
        </w:rPr>
        <w:footnoteRef/>
      </w:r>
      <w:r w:rsidRPr="00AD5211">
        <w:rPr>
          <w:sz w:val="16"/>
          <w:szCs w:val="16"/>
        </w:rPr>
        <w:t xml:space="preserve"> </w:t>
      </w:r>
      <w:hyperlink r:id="rId1" w:history="1">
        <w:r w:rsidRPr="00AD5211">
          <w:rPr>
            <w:rStyle w:val="Hiperpovezava"/>
            <w:sz w:val="16"/>
            <w:szCs w:val="16"/>
          </w:rPr>
          <w:t>file://ad.sigov.si/usr/A-E/CebularM71/Documents/07_NEPN%202030/Analiza%20potencialov%20industrije_20122023.pdf</w:t>
        </w:r>
      </w:hyperlink>
      <w:r w:rsidRPr="00AD5211">
        <w:rPr>
          <w:sz w:val="16"/>
          <w:szCs w:val="16"/>
        </w:rPr>
        <w:t xml:space="preserve"> </w:t>
      </w:r>
    </w:p>
  </w:footnote>
  <w:footnote w:id="3">
    <w:p w14:paraId="396D2D07" w14:textId="77777777" w:rsidR="00C74D6C" w:rsidRPr="00AD5211" w:rsidRDefault="00C74D6C" w:rsidP="00D14044">
      <w:pPr>
        <w:pStyle w:val="Sprotnaopomba-besedilo"/>
        <w:rPr>
          <w:sz w:val="16"/>
          <w:szCs w:val="16"/>
        </w:rPr>
      </w:pPr>
      <w:r w:rsidRPr="00AD5211">
        <w:rPr>
          <w:rStyle w:val="Sprotnaopomba-sklic"/>
          <w:sz w:val="16"/>
          <w:szCs w:val="16"/>
        </w:rPr>
        <w:footnoteRef/>
      </w:r>
      <w:r w:rsidRPr="00AD5211">
        <w:rPr>
          <w:sz w:val="16"/>
          <w:szCs w:val="16"/>
        </w:rPr>
        <w:t xml:space="preserve"> </w:t>
      </w:r>
      <w:hyperlink r:id="rId2" w:history="1">
        <w:r w:rsidRPr="00AD5211">
          <w:rPr>
            <w:rStyle w:val="Hiperpovezava"/>
            <w:sz w:val="16"/>
            <w:szCs w:val="16"/>
          </w:rPr>
          <w:t>file://ad.sigov.si/usr/A-E/CebularM71/Documents/07_NEPN%202030/Analiza%20potencialov%20industrije_20122023.pdf</w:t>
        </w:r>
      </w:hyperlink>
      <w:r w:rsidRPr="00AD5211">
        <w:rPr>
          <w:sz w:val="16"/>
          <w:szCs w:val="16"/>
        </w:rPr>
        <w:t xml:space="preserve"> </w:t>
      </w:r>
    </w:p>
  </w:footnote>
  <w:footnote w:id="4">
    <w:p w14:paraId="7701FAF9" w14:textId="5C99C410" w:rsidR="00C74D6C" w:rsidRPr="009803D0" w:rsidRDefault="00C74D6C" w:rsidP="009803D0">
      <w:pPr>
        <w:pStyle w:val="Sprotnaopomba-besedilo"/>
        <w:jc w:val="both"/>
        <w:rPr>
          <w:rFonts w:asciiTheme="majorHAnsi" w:hAnsiTheme="majorHAnsi" w:cstheme="majorHAnsi"/>
        </w:rPr>
      </w:pPr>
      <w:r w:rsidRPr="009803D0">
        <w:rPr>
          <w:rStyle w:val="Sprotnaopomba-sklic"/>
          <w:rFonts w:asciiTheme="majorHAnsi" w:hAnsiTheme="majorHAnsi" w:cstheme="majorHAnsi"/>
        </w:rPr>
        <w:footnoteRef/>
      </w:r>
      <w:r w:rsidRPr="009803D0">
        <w:rPr>
          <w:rFonts w:asciiTheme="majorHAnsi" w:hAnsiTheme="majorHAnsi" w:cstheme="majorHAnsi"/>
        </w:rPr>
        <w:t xml:space="preserve"> V Zakon o učinkoviti rabi energije bo v kratkem prenesena Direktiva (EU) 2023/1791 Evropskega parlamenta in Sveta z dne 13. septembra 2023 o energetski učinkovitosti in spremembi Uredbe (EU) 2023/955 (prenovitev), ki v </w:t>
      </w:r>
      <w:r>
        <w:rPr>
          <w:rFonts w:asciiTheme="majorHAnsi" w:hAnsiTheme="majorHAnsi" w:cstheme="majorHAnsi"/>
        </w:rPr>
        <w:t>drugem</w:t>
      </w:r>
      <w:r w:rsidRPr="009803D0">
        <w:rPr>
          <w:rFonts w:asciiTheme="majorHAnsi" w:hAnsiTheme="majorHAnsi" w:cstheme="majorHAnsi"/>
        </w:rPr>
        <w:t xml:space="preserve"> odstavku 11. člena določa, da morajo energetski pregled opraviti podjetja, katerih povprečna letna poraba energije v zadnjih treh letih ob upoštevanju vseh nosilcev energije znaša nad 10 TJ.</w:t>
      </w:r>
    </w:p>
  </w:footnote>
  <w:footnote w:id="5">
    <w:p w14:paraId="1881B4FA" w14:textId="47907FD1" w:rsidR="00C74D6C" w:rsidRPr="000155E0" w:rsidRDefault="00C74D6C">
      <w:pPr>
        <w:pStyle w:val="Sprotnaopomba-besedilo"/>
        <w:rPr>
          <w:sz w:val="16"/>
          <w:szCs w:val="16"/>
        </w:rPr>
      </w:pPr>
      <w:r w:rsidRPr="000155E0">
        <w:rPr>
          <w:rStyle w:val="Sprotnaopomba-sklic"/>
          <w:sz w:val="16"/>
          <w:szCs w:val="16"/>
        </w:rPr>
        <w:footnoteRef/>
      </w:r>
      <w:r w:rsidRPr="000155E0">
        <w:rPr>
          <w:sz w:val="16"/>
          <w:szCs w:val="16"/>
        </w:rPr>
        <w:t xml:space="preserve"> </w:t>
      </w:r>
      <w:hyperlink r:id="rId3" w:history="1">
        <w:r w:rsidRPr="000155E0">
          <w:rPr>
            <w:rStyle w:val="Hiperpovezava"/>
            <w:sz w:val="16"/>
            <w:szCs w:val="16"/>
          </w:rPr>
          <w:t>https://eur-lex.europa.eu/legal-content/SL/TXT/HTML/?uri=OJ:L_202400795</w:t>
        </w:r>
      </w:hyperlink>
      <w:r w:rsidRPr="000155E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F08"/>
    <w:multiLevelType w:val="hybridMultilevel"/>
    <w:tmpl w:val="C4AEDAE0"/>
    <w:lvl w:ilvl="0" w:tplc="D8A6F628">
      <w:start w:val="1000"/>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6E03E0"/>
    <w:multiLevelType w:val="multilevel"/>
    <w:tmpl w:val="A0E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B14DD"/>
    <w:multiLevelType w:val="hybridMultilevel"/>
    <w:tmpl w:val="108873FA"/>
    <w:lvl w:ilvl="0" w:tplc="DCAE9098">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E971D0"/>
    <w:multiLevelType w:val="hybridMultilevel"/>
    <w:tmpl w:val="3CAC0C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75B54A0"/>
    <w:multiLevelType w:val="hybridMultilevel"/>
    <w:tmpl w:val="02A48D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C840C7"/>
    <w:multiLevelType w:val="hybridMultilevel"/>
    <w:tmpl w:val="572C8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E10427"/>
    <w:multiLevelType w:val="hybridMultilevel"/>
    <w:tmpl w:val="CD6ACFC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5300C16"/>
    <w:multiLevelType w:val="hybridMultilevel"/>
    <w:tmpl w:val="65525720"/>
    <w:lvl w:ilvl="0" w:tplc="3FE0E72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BF53170"/>
    <w:multiLevelType w:val="hybridMultilevel"/>
    <w:tmpl w:val="4B7E9EE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E3A48A3"/>
    <w:multiLevelType w:val="hybridMultilevel"/>
    <w:tmpl w:val="B5DE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664217"/>
    <w:multiLevelType w:val="hybridMultilevel"/>
    <w:tmpl w:val="FAA2A9BE"/>
    <w:lvl w:ilvl="0" w:tplc="D8A6F628">
      <w:start w:val="1000"/>
      <w:numFmt w:val="bullet"/>
      <w:lvlText w:val="–"/>
      <w:lvlJc w:val="left"/>
      <w:pPr>
        <w:ind w:left="36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0A4E7F"/>
    <w:multiLevelType w:val="hybridMultilevel"/>
    <w:tmpl w:val="63DEC7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F8617F"/>
    <w:multiLevelType w:val="hybridMultilevel"/>
    <w:tmpl w:val="2FD2F0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96D7290"/>
    <w:multiLevelType w:val="hybridMultilevel"/>
    <w:tmpl w:val="A67A4A38"/>
    <w:lvl w:ilvl="0" w:tplc="3FE0E72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D669E0"/>
    <w:multiLevelType w:val="hybridMultilevel"/>
    <w:tmpl w:val="F1D2CC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FE52CF"/>
    <w:multiLevelType w:val="hybridMultilevel"/>
    <w:tmpl w:val="1BF62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634C5C"/>
    <w:multiLevelType w:val="multilevel"/>
    <w:tmpl w:val="490E2226"/>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8845302"/>
    <w:multiLevelType w:val="hybridMultilevel"/>
    <w:tmpl w:val="CDCCC070"/>
    <w:lvl w:ilvl="0" w:tplc="D8A6F628">
      <w:start w:val="1000"/>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84131F"/>
    <w:multiLevelType w:val="hybridMultilevel"/>
    <w:tmpl w:val="757479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BD6052"/>
    <w:multiLevelType w:val="hybridMultilevel"/>
    <w:tmpl w:val="3A10CBAA"/>
    <w:lvl w:ilvl="0" w:tplc="3FDADC68">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273691"/>
    <w:multiLevelType w:val="hybridMultilevel"/>
    <w:tmpl w:val="3404E8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210E10"/>
    <w:multiLevelType w:val="hybridMultilevel"/>
    <w:tmpl w:val="7BE21F1C"/>
    <w:lvl w:ilvl="0" w:tplc="C91815D2">
      <w:start w:val="2"/>
      <w:numFmt w:val="bullet"/>
      <w:lvlText w:val="-"/>
      <w:lvlJc w:val="left"/>
      <w:pPr>
        <w:ind w:left="720" w:hanging="360"/>
      </w:pPr>
      <w:rPr>
        <w:rFonts w:ascii="Calibri" w:eastAsia="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8768569">
    <w:abstractNumId w:val="7"/>
  </w:num>
  <w:num w:numId="2" w16cid:durableId="93870785">
    <w:abstractNumId w:val="12"/>
  </w:num>
  <w:num w:numId="3" w16cid:durableId="1069499600">
    <w:abstractNumId w:val="13"/>
  </w:num>
  <w:num w:numId="4" w16cid:durableId="640574894">
    <w:abstractNumId w:val="16"/>
  </w:num>
  <w:num w:numId="5" w16cid:durableId="829372524">
    <w:abstractNumId w:val="19"/>
  </w:num>
  <w:num w:numId="6" w16cid:durableId="330105062">
    <w:abstractNumId w:val="9"/>
  </w:num>
  <w:num w:numId="7" w16cid:durableId="163668378">
    <w:abstractNumId w:val="17"/>
  </w:num>
  <w:num w:numId="8" w16cid:durableId="47191590">
    <w:abstractNumId w:val="10"/>
  </w:num>
  <w:num w:numId="9" w16cid:durableId="152184842">
    <w:abstractNumId w:val="21"/>
  </w:num>
  <w:num w:numId="10" w16cid:durableId="331953221">
    <w:abstractNumId w:val="5"/>
  </w:num>
  <w:num w:numId="11" w16cid:durableId="2046904399">
    <w:abstractNumId w:val="3"/>
  </w:num>
  <w:num w:numId="12" w16cid:durableId="1773017125">
    <w:abstractNumId w:val="8"/>
  </w:num>
  <w:num w:numId="13" w16cid:durableId="1504517373">
    <w:abstractNumId w:val="6"/>
  </w:num>
  <w:num w:numId="14" w16cid:durableId="569004611">
    <w:abstractNumId w:val="20"/>
  </w:num>
  <w:num w:numId="15" w16cid:durableId="2126994152">
    <w:abstractNumId w:val="4"/>
  </w:num>
  <w:num w:numId="16" w16cid:durableId="575045146">
    <w:abstractNumId w:val="0"/>
  </w:num>
  <w:num w:numId="17" w16cid:durableId="401684812">
    <w:abstractNumId w:val="11"/>
  </w:num>
  <w:num w:numId="18" w16cid:durableId="624045384">
    <w:abstractNumId w:val="14"/>
  </w:num>
  <w:num w:numId="19" w16cid:durableId="1137066676">
    <w:abstractNumId w:val="1"/>
  </w:num>
  <w:num w:numId="20" w16cid:durableId="866869156">
    <w:abstractNumId w:val="15"/>
  </w:num>
  <w:num w:numId="21" w16cid:durableId="600183879">
    <w:abstractNumId w:val="18"/>
  </w:num>
  <w:num w:numId="22" w16cid:durableId="24572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A2"/>
    <w:rsid w:val="000155E0"/>
    <w:rsid w:val="000203E6"/>
    <w:rsid w:val="00056C19"/>
    <w:rsid w:val="0006220A"/>
    <w:rsid w:val="00091FA9"/>
    <w:rsid w:val="000A1180"/>
    <w:rsid w:val="000B5F1A"/>
    <w:rsid w:val="000C38D5"/>
    <w:rsid w:val="000F6FBB"/>
    <w:rsid w:val="00105296"/>
    <w:rsid w:val="00141F2C"/>
    <w:rsid w:val="00155691"/>
    <w:rsid w:val="00162FE7"/>
    <w:rsid w:val="00167F63"/>
    <w:rsid w:val="0017015F"/>
    <w:rsid w:val="001A23EC"/>
    <w:rsid w:val="001A33DE"/>
    <w:rsid w:val="001A4925"/>
    <w:rsid w:val="001C3EB9"/>
    <w:rsid w:val="001E05E0"/>
    <w:rsid w:val="001F7559"/>
    <w:rsid w:val="00200678"/>
    <w:rsid w:val="00227708"/>
    <w:rsid w:val="00242471"/>
    <w:rsid w:val="00253AB5"/>
    <w:rsid w:val="00256C13"/>
    <w:rsid w:val="00286F7C"/>
    <w:rsid w:val="00290211"/>
    <w:rsid w:val="0029090F"/>
    <w:rsid w:val="002B2934"/>
    <w:rsid w:val="002B61AB"/>
    <w:rsid w:val="002C0779"/>
    <w:rsid w:val="002C3772"/>
    <w:rsid w:val="002D68CD"/>
    <w:rsid w:val="00314DA2"/>
    <w:rsid w:val="00320F73"/>
    <w:rsid w:val="0032522B"/>
    <w:rsid w:val="0034671F"/>
    <w:rsid w:val="00347001"/>
    <w:rsid w:val="00397AD7"/>
    <w:rsid w:val="003A28CB"/>
    <w:rsid w:val="003C4A28"/>
    <w:rsid w:val="003D25A9"/>
    <w:rsid w:val="003F7A11"/>
    <w:rsid w:val="00413550"/>
    <w:rsid w:val="00453EF7"/>
    <w:rsid w:val="00460848"/>
    <w:rsid w:val="00471A9A"/>
    <w:rsid w:val="0048469A"/>
    <w:rsid w:val="0049474F"/>
    <w:rsid w:val="004A62C3"/>
    <w:rsid w:val="004B2F7A"/>
    <w:rsid w:val="004B755F"/>
    <w:rsid w:val="004D4898"/>
    <w:rsid w:val="004F06AC"/>
    <w:rsid w:val="004F285C"/>
    <w:rsid w:val="00503059"/>
    <w:rsid w:val="00506ED8"/>
    <w:rsid w:val="00533CA2"/>
    <w:rsid w:val="0057561B"/>
    <w:rsid w:val="00577A49"/>
    <w:rsid w:val="0059387E"/>
    <w:rsid w:val="00596E15"/>
    <w:rsid w:val="005A1FBB"/>
    <w:rsid w:val="005B7769"/>
    <w:rsid w:val="005C1F19"/>
    <w:rsid w:val="00644114"/>
    <w:rsid w:val="00645398"/>
    <w:rsid w:val="00661729"/>
    <w:rsid w:val="00665379"/>
    <w:rsid w:val="00665C18"/>
    <w:rsid w:val="006B5518"/>
    <w:rsid w:val="006C2FD5"/>
    <w:rsid w:val="006C751F"/>
    <w:rsid w:val="006E6EB5"/>
    <w:rsid w:val="00710CA4"/>
    <w:rsid w:val="00711BD4"/>
    <w:rsid w:val="00715CB2"/>
    <w:rsid w:val="00715CF3"/>
    <w:rsid w:val="00720FF1"/>
    <w:rsid w:val="00744AF0"/>
    <w:rsid w:val="007471B9"/>
    <w:rsid w:val="00750FD0"/>
    <w:rsid w:val="007549B7"/>
    <w:rsid w:val="007718F2"/>
    <w:rsid w:val="00793E87"/>
    <w:rsid w:val="00797874"/>
    <w:rsid w:val="007A4F39"/>
    <w:rsid w:val="007B1A58"/>
    <w:rsid w:val="007B4E90"/>
    <w:rsid w:val="007B6AF7"/>
    <w:rsid w:val="007C24B8"/>
    <w:rsid w:val="007D0E82"/>
    <w:rsid w:val="007D0F79"/>
    <w:rsid w:val="007F27CB"/>
    <w:rsid w:val="007F354E"/>
    <w:rsid w:val="00805AD7"/>
    <w:rsid w:val="0081051F"/>
    <w:rsid w:val="00837BDF"/>
    <w:rsid w:val="00841503"/>
    <w:rsid w:val="008541EF"/>
    <w:rsid w:val="00864EDE"/>
    <w:rsid w:val="008667B5"/>
    <w:rsid w:val="00874EB9"/>
    <w:rsid w:val="008C1F89"/>
    <w:rsid w:val="008E13F8"/>
    <w:rsid w:val="008F2B59"/>
    <w:rsid w:val="00903CCA"/>
    <w:rsid w:val="0091575C"/>
    <w:rsid w:val="00973A5B"/>
    <w:rsid w:val="009765E6"/>
    <w:rsid w:val="009803D0"/>
    <w:rsid w:val="00980700"/>
    <w:rsid w:val="00986EB4"/>
    <w:rsid w:val="009B2693"/>
    <w:rsid w:val="009C50E0"/>
    <w:rsid w:val="009C66C1"/>
    <w:rsid w:val="009C7A52"/>
    <w:rsid w:val="009D75FF"/>
    <w:rsid w:val="009E20FB"/>
    <w:rsid w:val="009E295E"/>
    <w:rsid w:val="009E5252"/>
    <w:rsid w:val="00A25F1F"/>
    <w:rsid w:val="00A307B0"/>
    <w:rsid w:val="00A85F90"/>
    <w:rsid w:val="00A9341C"/>
    <w:rsid w:val="00AA0F9D"/>
    <w:rsid w:val="00AA7A1C"/>
    <w:rsid w:val="00AB588C"/>
    <w:rsid w:val="00AC3263"/>
    <w:rsid w:val="00AD5211"/>
    <w:rsid w:val="00AE24D0"/>
    <w:rsid w:val="00AE2951"/>
    <w:rsid w:val="00AE7A3F"/>
    <w:rsid w:val="00AF1404"/>
    <w:rsid w:val="00AF29B3"/>
    <w:rsid w:val="00AF3BA7"/>
    <w:rsid w:val="00B07A8B"/>
    <w:rsid w:val="00B26F54"/>
    <w:rsid w:val="00B37816"/>
    <w:rsid w:val="00B54FEF"/>
    <w:rsid w:val="00B66023"/>
    <w:rsid w:val="00B7066B"/>
    <w:rsid w:val="00B81C43"/>
    <w:rsid w:val="00BA0210"/>
    <w:rsid w:val="00BC0490"/>
    <w:rsid w:val="00BC3C55"/>
    <w:rsid w:val="00BD420F"/>
    <w:rsid w:val="00BD4830"/>
    <w:rsid w:val="00BE62BA"/>
    <w:rsid w:val="00BF2656"/>
    <w:rsid w:val="00BF3AAC"/>
    <w:rsid w:val="00C013CA"/>
    <w:rsid w:val="00C11558"/>
    <w:rsid w:val="00C34B31"/>
    <w:rsid w:val="00C65D3C"/>
    <w:rsid w:val="00C74D6C"/>
    <w:rsid w:val="00C775FF"/>
    <w:rsid w:val="00C97A02"/>
    <w:rsid w:val="00CB7F6A"/>
    <w:rsid w:val="00CC162A"/>
    <w:rsid w:val="00CE1430"/>
    <w:rsid w:val="00D0581A"/>
    <w:rsid w:val="00D14044"/>
    <w:rsid w:val="00D218FC"/>
    <w:rsid w:val="00D24159"/>
    <w:rsid w:val="00D33308"/>
    <w:rsid w:val="00D362E5"/>
    <w:rsid w:val="00D52799"/>
    <w:rsid w:val="00D54434"/>
    <w:rsid w:val="00D5473E"/>
    <w:rsid w:val="00D649E8"/>
    <w:rsid w:val="00D67AC3"/>
    <w:rsid w:val="00D67DE9"/>
    <w:rsid w:val="00D75557"/>
    <w:rsid w:val="00D7784F"/>
    <w:rsid w:val="00D910FE"/>
    <w:rsid w:val="00D92EC6"/>
    <w:rsid w:val="00DA66F9"/>
    <w:rsid w:val="00DA6819"/>
    <w:rsid w:val="00DB01AD"/>
    <w:rsid w:val="00DC0A0F"/>
    <w:rsid w:val="00DC306B"/>
    <w:rsid w:val="00DD09AE"/>
    <w:rsid w:val="00DD23FD"/>
    <w:rsid w:val="00DD35D6"/>
    <w:rsid w:val="00E14C1A"/>
    <w:rsid w:val="00E223C7"/>
    <w:rsid w:val="00E24F39"/>
    <w:rsid w:val="00E30973"/>
    <w:rsid w:val="00E328A1"/>
    <w:rsid w:val="00E53A7F"/>
    <w:rsid w:val="00E87747"/>
    <w:rsid w:val="00E91213"/>
    <w:rsid w:val="00E97AA2"/>
    <w:rsid w:val="00EA2E55"/>
    <w:rsid w:val="00EA7F1F"/>
    <w:rsid w:val="00EB2D5C"/>
    <w:rsid w:val="00ED03D9"/>
    <w:rsid w:val="00F239C5"/>
    <w:rsid w:val="00F23E70"/>
    <w:rsid w:val="00F4025E"/>
    <w:rsid w:val="00F41B29"/>
    <w:rsid w:val="00F47B64"/>
    <w:rsid w:val="00F51B88"/>
    <w:rsid w:val="00F73AF7"/>
    <w:rsid w:val="00F7414F"/>
    <w:rsid w:val="00F85015"/>
    <w:rsid w:val="00FA0954"/>
    <w:rsid w:val="00FA31D0"/>
    <w:rsid w:val="00FB604A"/>
    <w:rsid w:val="00FC3D39"/>
    <w:rsid w:val="00FD278C"/>
    <w:rsid w:val="00FD50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A93B"/>
  <w15:chartTrackingRefBased/>
  <w15:docId w15:val="{4F59F72A-95F8-4D22-BC98-A20BCFD9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F7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3F7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622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F7A11"/>
    <w:pPr>
      <w:ind w:left="720"/>
      <w:contextualSpacing/>
    </w:pPr>
  </w:style>
  <w:style w:type="character" w:customStyle="1" w:styleId="Naslov1Znak">
    <w:name w:val="Naslov 1 Znak"/>
    <w:basedOn w:val="Privzetapisavaodstavka"/>
    <w:link w:val="Naslov1"/>
    <w:uiPriority w:val="9"/>
    <w:rsid w:val="003F7A11"/>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3F7A11"/>
    <w:rPr>
      <w:rFonts w:asciiTheme="majorHAnsi" w:eastAsiaTheme="majorEastAsia" w:hAnsiTheme="majorHAnsi" w:cstheme="majorBidi"/>
      <w:color w:val="2F5496" w:themeColor="accent1" w:themeShade="BF"/>
      <w:sz w:val="26"/>
      <w:szCs w:val="26"/>
    </w:rPr>
  </w:style>
  <w:style w:type="paragraph" w:styleId="Glava">
    <w:name w:val="header"/>
    <w:basedOn w:val="Navaden"/>
    <w:link w:val="GlavaZnak"/>
    <w:uiPriority w:val="99"/>
    <w:unhideWhenUsed/>
    <w:rsid w:val="00256C13"/>
    <w:pPr>
      <w:tabs>
        <w:tab w:val="center" w:pos="4536"/>
        <w:tab w:val="right" w:pos="9072"/>
      </w:tabs>
      <w:spacing w:after="0" w:line="240" w:lineRule="auto"/>
    </w:pPr>
  </w:style>
  <w:style w:type="character" w:customStyle="1" w:styleId="GlavaZnak">
    <w:name w:val="Glava Znak"/>
    <w:basedOn w:val="Privzetapisavaodstavka"/>
    <w:link w:val="Glava"/>
    <w:uiPriority w:val="99"/>
    <w:rsid w:val="00256C13"/>
  </w:style>
  <w:style w:type="paragraph" w:styleId="Noga">
    <w:name w:val="footer"/>
    <w:basedOn w:val="Navaden"/>
    <w:link w:val="NogaZnak"/>
    <w:uiPriority w:val="99"/>
    <w:unhideWhenUsed/>
    <w:rsid w:val="00256C13"/>
    <w:pPr>
      <w:tabs>
        <w:tab w:val="center" w:pos="4536"/>
        <w:tab w:val="right" w:pos="9072"/>
      </w:tabs>
      <w:spacing w:after="0" w:line="240" w:lineRule="auto"/>
    </w:pPr>
  </w:style>
  <w:style w:type="character" w:customStyle="1" w:styleId="NogaZnak">
    <w:name w:val="Noga Znak"/>
    <w:basedOn w:val="Privzetapisavaodstavka"/>
    <w:link w:val="Noga"/>
    <w:uiPriority w:val="99"/>
    <w:rsid w:val="00256C13"/>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903CCA"/>
  </w:style>
  <w:style w:type="paragraph" w:styleId="Sprotnaopomba-besedilo">
    <w:name w:val="footnote text"/>
    <w:basedOn w:val="Navaden"/>
    <w:link w:val="Sprotnaopomba-besediloZnak"/>
    <w:uiPriority w:val="99"/>
    <w:semiHidden/>
    <w:unhideWhenUsed/>
    <w:rsid w:val="00AD521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D5211"/>
    <w:rPr>
      <w:sz w:val="20"/>
      <w:szCs w:val="20"/>
    </w:rPr>
  </w:style>
  <w:style w:type="character" w:styleId="Sprotnaopomba-sklic">
    <w:name w:val="footnote reference"/>
    <w:basedOn w:val="Privzetapisavaodstavka"/>
    <w:uiPriority w:val="99"/>
    <w:semiHidden/>
    <w:unhideWhenUsed/>
    <w:rsid w:val="00AD5211"/>
    <w:rPr>
      <w:vertAlign w:val="superscript"/>
    </w:rPr>
  </w:style>
  <w:style w:type="character" w:styleId="Hiperpovezava">
    <w:name w:val="Hyperlink"/>
    <w:basedOn w:val="Privzetapisavaodstavka"/>
    <w:uiPriority w:val="99"/>
    <w:unhideWhenUsed/>
    <w:rsid w:val="00AD5211"/>
    <w:rPr>
      <w:color w:val="0563C1" w:themeColor="hyperlink"/>
      <w:u w:val="single"/>
    </w:rPr>
  </w:style>
  <w:style w:type="character" w:customStyle="1" w:styleId="Nerazreenaomemba1">
    <w:name w:val="Nerazrešena omemba1"/>
    <w:basedOn w:val="Privzetapisavaodstavka"/>
    <w:uiPriority w:val="99"/>
    <w:semiHidden/>
    <w:unhideWhenUsed/>
    <w:rsid w:val="00AD5211"/>
    <w:rPr>
      <w:color w:val="605E5C"/>
      <w:shd w:val="clear" w:color="auto" w:fill="E1DFDD"/>
    </w:rPr>
  </w:style>
  <w:style w:type="character" w:customStyle="1" w:styleId="Naslov3Znak">
    <w:name w:val="Naslov 3 Znak"/>
    <w:basedOn w:val="Privzetapisavaodstavka"/>
    <w:link w:val="Naslov3"/>
    <w:uiPriority w:val="9"/>
    <w:rsid w:val="0006220A"/>
    <w:rPr>
      <w:rFonts w:asciiTheme="majorHAnsi" w:eastAsiaTheme="majorEastAsia" w:hAnsiTheme="majorHAnsi" w:cstheme="majorBidi"/>
      <w:color w:val="1F3763" w:themeColor="accent1" w:themeShade="7F"/>
      <w:sz w:val="24"/>
      <w:szCs w:val="24"/>
    </w:rPr>
  </w:style>
  <w:style w:type="table" w:styleId="Tabelamrea">
    <w:name w:val="Table Grid"/>
    <w:basedOn w:val="Navadnatabela"/>
    <w:uiPriority w:val="39"/>
    <w:rsid w:val="004B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7A4F39"/>
    <w:pPr>
      <w:outlineLvl w:val="9"/>
    </w:pPr>
    <w:rPr>
      <w:lang w:eastAsia="sl-SI"/>
    </w:rPr>
  </w:style>
  <w:style w:type="paragraph" w:styleId="Kazalovsebine1">
    <w:name w:val="toc 1"/>
    <w:basedOn w:val="Navaden"/>
    <w:next w:val="Navaden"/>
    <w:autoRedefine/>
    <w:uiPriority w:val="39"/>
    <w:unhideWhenUsed/>
    <w:rsid w:val="00B7066B"/>
    <w:pPr>
      <w:tabs>
        <w:tab w:val="left" w:pos="660"/>
        <w:tab w:val="right" w:leader="dot" w:pos="9062"/>
      </w:tabs>
      <w:spacing w:after="100"/>
    </w:pPr>
  </w:style>
  <w:style w:type="paragraph" w:styleId="Kazalovsebine3">
    <w:name w:val="toc 3"/>
    <w:basedOn w:val="Navaden"/>
    <w:next w:val="Navaden"/>
    <w:autoRedefine/>
    <w:uiPriority w:val="39"/>
    <w:unhideWhenUsed/>
    <w:rsid w:val="007A4F39"/>
    <w:pPr>
      <w:spacing w:after="100"/>
      <w:ind w:left="440"/>
    </w:pPr>
  </w:style>
  <w:style w:type="paragraph" w:styleId="Kazalovsebine2">
    <w:name w:val="toc 2"/>
    <w:basedOn w:val="Navaden"/>
    <w:next w:val="Navaden"/>
    <w:autoRedefine/>
    <w:uiPriority w:val="39"/>
    <w:unhideWhenUsed/>
    <w:rsid w:val="00F73AF7"/>
    <w:pPr>
      <w:tabs>
        <w:tab w:val="left" w:pos="660"/>
        <w:tab w:val="right" w:leader="dot" w:pos="9062"/>
      </w:tabs>
      <w:spacing w:after="100"/>
      <w:ind w:left="220"/>
    </w:pPr>
  </w:style>
  <w:style w:type="character" w:customStyle="1" w:styleId="rynqvb">
    <w:name w:val="rynqvb"/>
    <w:basedOn w:val="Privzetapisavaodstavka"/>
    <w:rsid w:val="00F7414F"/>
  </w:style>
  <w:style w:type="paragraph" w:styleId="Navadensplet">
    <w:name w:val="Normal (Web)"/>
    <w:basedOn w:val="Navaden"/>
    <w:uiPriority w:val="99"/>
    <w:semiHidden/>
    <w:unhideWhenUsed/>
    <w:rsid w:val="00453EF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53EF7"/>
    <w:rPr>
      <w:b/>
      <w:bCs/>
    </w:rPr>
  </w:style>
  <w:style w:type="character" w:styleId="Pripombasklic">
    <w:name w:val="annotation reference"/>
    <w:basedOn w:val="Privzetapisavaodstavka"/>
    <w:uiPriority w:val="99"/>
    <w:semiHidden/>
    <w:unhideWhenUsed/>
    <w:rsid w:val="00471A9A"/>
    <w:rPr>
      <w:sz w:val="16"/>
      <w:szCs w:val="16"/>
    </w:rPr>
  </w:style>
  <w:style w:type="paragraph" w:styleId="Pripombabesedilo">
    <w:name w:val="annotation text"/>
    <w:basedOn w:val="Navaden"/>
    <w:link w:val="PripombabesediloZnak"/>
    <w:uiPriority w:val="99"/>
    <w:unhideWhenUsed/>
    <w:rsid w:val="00471A9A"/>
    <w:pPr>
      <w:spacing w:line="240" w:lineRule="auto"/>
    </w:pPr>
    <w:rPr>
      <w:sz w:val="20"/>
      <w:szCs w:val="20"/>
    </w:rPr>
  </w:style>
  <w:style w:type="character" w:customStyle="1" w:styleId="PripombabesediloZnak">
    <w:name w:val="Pripomba – besedilo Znak"/>
    <w:basedOn w:val="Privzetapisavaodstavka"/>
    <w:link w:val="Pripombabesedilo"/>
    <w:uiPriority w:val="99"/>
    <w:rsid w:val="00471A9A"/>
    <w:rPr>
      <w:sz w:val="20"/>
      <w:szCs w:val="20"/>
    </w:rPr>
  </w:style>
  <w:style w:type="paragraph" w:styleId="Zadevapripombe">
    <w:name w:val="annotation subject"/>
    <w:basedOn w:val="Pripombabesedilo"/>
    <w:next w:val="Pripombabesedilo"/>
    <w:link w:val="ZadevapripombeZnak"/>
    <w:uiPriority w:val="99"/>
    <w:semiHidden/>
    <w:unhideWhenUsed/>
    <w:rsid w:val="00471A9A"/>
    <w:rPr>
      <w:b/>
      <w:bCs/>
    </w:rPr>
  </w:style>
  <w:style w:type="character" w:customStyle="1" w:styleId="ZadevapripombeZnak">
    <w:name w:val="Zadeva pripombe Znak"/>
    <w:basedOn w:val="PripombabesediloZnak"/>
    <w:link w:val="Zadevapripombe"/>
    <w:uiPriority w:val="99"/>
    <w:semiHidden/>
    <w:rsid w:val="00471A9A"/>
    <w:rPr>
      <w:b/>
      <w:bCs/>
      <w:sz w:val="20"/>
      <w:szCs w:val="20"/>
    </w:rPr>
  </w:style>
  <w:style w:type="paragraph" w:styleId="Revizija">
    <w:name w:val="Revision"/>
    <w:hidden/>
    <w:uiPriority w:val="99"/>
    <w:semiHidden/>
    <w:rsid w:val="00471A9A"/>
    <w:pPr>
      <w:spacing w:after="0" w:line="240" w:lineRule="auto"/>
    </w:pPr>
  </w:style>
  <w:style w:type="character" w:customStyle="1" w:styleId="cf01">
    <w:name w:val="cf01"/>
    <w:basedOn w:val="Privzetapisavaodstavka"/>
    <w:rsid w:val="008541EF"/>
    <w:rPr>
      <w:rFonts w:ascii="Segoe UI" w:hAnsi="Segoe UI" w:cs="Segoe UI" w:hint="default"/>
      <w:sz w:val="18"/>
      <w:szCs w:val="18"/>
    </w:rPr>
  </w:style>
  <w:style w:type="paragraph" w:customStyle="1" w:styleId="oj-doc-ti">
    <w:name w:val="oj-doc-ti"/>
    <w:basedOn w:val="Navaden"/>
    <w:rsid w:val="000155E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AF1404"/>
    <w:rPr>
      <w:color w:val="954F72" w:themeColor="followedHyperlink"/>
      <w:u w:val="single"/>
    </w:rPr>
  </w:style>
  <w:style w:type="paragraph" w:customStyle="1" w:styleId="pf0">
    <w:name w:val="pf0"/>
    <w:basedOn w:val="Navaden"/>
    <w:rsid w:val="00DA681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973A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3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6682">
      <w:bodyDiv w:val="1"/>
      <w:marLeft w:val="0"/>
      <w:marRight w:val="0"/>
      <w:marTop w:val="0"/>
      <w:marBottom w:val="0"/>
      <w:divBdr>
        <w:top w:val="none" w:sz="0" w:space="0" w:color="auto"/>
        <w:left w:val="none" w:sz="0" w:space="0" w:color="auto"/>
        <w:bottom w:val="none" w:sz="0" w:space="0" w:color="auto"/>
        <w:right w:val="none" w:sz="0" w:space="0" w:color="auto"/>
      </w:divBdr>
    </w:div>
    <w:div w:id="860440302">
      <w:bodyDiv w:val="1"/>
      <w:marLeft w:val="0"/>
      <w:marRight w:val="0"/>
      <w:marTop w:val="0"/>
      <w:marBottom w:val="0"/>
      <w:divBdr>
        <w:top w:val="none" w:sz="0" w:space="0" w:color="auto"/>
        <w:left w:val="none" w:sz="0" w:space="0" w:color="auto"/>
        <w:bottom w:val="none" w:sz="0" w:space="0" w:color="auto"/>
        <w:right w:val="none" w:sz="0" w:space="0" w:color="auto"/>
      </w:divBdr>
    </w:div>
    <w:div w:id="1742485954">
      <w:bodyDiv w:val="1"/>
      <w:marLeft w:val="0"/>
      <w:marRight w:val="0"/>
      <w:marTop w:val="0"/>
      <w:marBottom w:val="0"/>
      <w:divBdr>
        <w:top w:val="none" w:sz="0" w:space="0" w:color="auto"/>
        <w:left w:val="none" w:sz="0" w:space="0" w:color="auto"/>
        <w:bottom w:val="none" w:sz="0" w:space="0" w:color="auto"/>
        <w:right w:val="none" w:sz="0" w:space="0" w:color="auto"/>
      </w:divBdr>
    </w:div>
    <w:div w:id="1819491584">
      <w:bodyDiv w:val="1"/>
      <w:marLeft w:val="0"/>
      <w:marRight w:val="0"/>
      <w:marTop w:val="0"/>
      <w:marBottom w:val="0"/>
      <w:divBdr>
        <w:top w:val="none" w:sz="0" w:space="0" w:color="auto"/>
        <w:left w:val="none" w:sz="0" w:space="0" w:color="auto"/>
        <w:bottom w:val="none" w:sz="0" w:space="0" w:color="auto"/>
        <w:right w:val="none" w:sz="0" w:space="0" w:color="auto"/>
      </w:divBdr>
    </w:div>
    <w:div w:id="21165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HTML/?uri=OJ:L_202400795" TargetMode="External"/><Relationship Id="rId2" Type="http://schemas.openxmlformats.org/officeDocument/2006/relationships/hyperlink" Target="file://ad.sigov.si/usr/A-E/CebularM71/Documents/07_NEPN%202030/Analiza%20potencialov%20industrije_20122023.pdf" TargetMode="External"/><Relationship Id="rId1" Type="http://schemas.openxmlformats.org/officeDocument/2006/relationships/hyperlink" Target="file://ad.sigov.si/usr/A-E/CebularM71/Documents/07_NEPN%202030/Analiza%20potencialov%20industrije_20122023.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F85F42-0D6D-4419-96E8-C9D349E1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5094</Words>
  <Characters>29039</Characters>
  <Application>Microsoft Office Word</Application>
  <DocSecurity>0</DocSecurity>
  <Lines>241</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Čebular Zajec</dc:creator>
  <cp:keywords/>
  <dc:description/>
  <cp:lastModifiedBy>Ksenija Mavrič</cp:lastModifiedBy>
  <cp:revision>2</cp:revision>
  <cp:lastPrinted>2024-06-21T07:53:00Z</cp:lastPrinted>
  <dcterms:created xsi:type="dcterms:W3CDTF">2024-12-03T11:48:00Z</dcterms:created>
  <dcterms:modified xsi:type="dcterms:W3CDTF">2024-12-03T11:48:00Z</dcterms:modified>
</cp:coreProperties>
</file>