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2F68" w14:textId="77777777"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14:paraId="42CD67DF"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A0ED3BF" w14:textId="77777777" w:rsidTr="00DA6942">
        <w:trPr>
          <w:gridAfter w:val="2"/>
          <w:wAfter w:w="3067" w:type="dxa"/>
        </w:trPr>
        <w:tc>
          <w:tcPr>
            <w:tcW w:w="6096" w:type="dxa"/>
            <w:gridSpan w:val="2"/>
          </w:tcPr>
          <w:p w14:paraId="5D16AD9A" w14:textId="525BBE1D"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3864C0">
              <w:rPr>
                <w:rFonts w:ascii="Arial" w:eastAsia="Times New Roman" w:hAnsi="Arial" w:cs="Arial"/>
                <w:sz w:val="20"/>
                <w:szCs w:val="20"/>
                <w:lang w:eastAsia="sl-SI"/>
              </w:rPr>
              <w:t>0070-209/2022</w:t>
            </w:r>
          </w:p>
        </w:tc>
      </w:tr>
      <w:tr w:rsidR="00AE1F83" w:rsidRPr="00AE1F83" w14:paraId="26BD94C7" w14:textId="77777777" w:rsidTr="00DA6942">
        <w:trPr>
          <w:gridAfter w:val="2"/>
          <w:wAfter w:w="3067" w:type="dxa"/>
        </w:trPr>
        <w:tc>
          <w:tcPr>
            <w:tcW w:w="6096" w:type="dxa"/>
            <w:gridSpan w:val="2"/>
          </w:tcPr>
          <w:p w14:paraId="35DE2852" w14:textId="443BBA1D"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465414">
              <w:rPr>
                <w:rFonts w:ascii="Arial" w:eastAsia="Times New Roman" w:hAnsi="Arial" w:cs="Arial"/>
                <w:sz w:val="20"/>
                <w:szCs w:val="20"/>
                <w:lang w:eastAsia="sl-SI"/>
              </w:rPr>
              <w:t xml:space="preserve"> </w:t>
            </w:r>
            <w:r w:rsidR="00693E0F">
              <w:rPr>
                <w:rFonts w:ascii="Arial" w:eastAsia="Times New Roman" w:hAnsi="Arial" w:cs="Arial"/>
                <w:sz w:val="20"/>
                <w:szCs w:val="20"/>
                <w:lang w:eastAsia="sl-SI"/>
              </w:rPr>
              <w:t>10</w:t>
            </w:r>
            <w:r w:rsidR="001F2E64">
              <w:rPr>
                <w:rFonts w:ascii="Arial" w:eastAsia="Times New Roman" w:hAnsi="Arial" w:cs="Arial"/>
                <w:sz w:val="20"/>
                <w:szCs w:val="20"/>
                <w:lang w:eastAsia="sl-SI"/>
              </w:rPr>
              <w:t>. 10.</w:t>
            </w:r>
            <w:r w:rsidR="00465414">
              <w:rPr>
                <w:rFonts w:ascii="Arial" w:eastAsia="Times New Roman" w:hAnsi="Arial" w:cs="Arial"/>
                <w:sz w:val="20"/>
                <w:szCs w:val="20"/>
                <w:lang w:eastAsia="sl-SI"/>
              </w:rPr>
              <w:t xml:space="preserve"> 2022</w:t>
            </w:r>
          </w:p>
        </w:tc>
      </w:tr>
      <w:tr w:rsidR="00AE1F83" w:rsidRPr="00AE1F83" w14:paraId="18B102A2" w14:textId="77777777" w:rsidTr="00DA6942">
        <w:trPr>
          <w:gridAfter w:val="2"/>
          <w:wAfter w:w="3067" w:type="dxa"/>
        </w:trPr>
        <w:tc>
          <w:tcPr>
            <w:tcW w:w="6096" w:type="dxa"/>
            <w:gridSpan w:val="2"/>
          </w:tcPr>
          <w:p w14:paraId="5201589B" w14:textId="56AEF54D"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3864C0">
              <w:rPr>
                <w:rFonts w:ascii="Arial" w:eastAsia="Times New Roman" w:hAnsi="Arial" w:cs="Arial"/>
                <w:iCs/>
                <w:sz w:val="20"/>
                <w:szCs w:val="20"/>
                <w:lang w:eastAsia="sl-SI"/>
              </w:rPr>
              <w:t>2022-2711-0103</w:t>
            </w:r>
          </w:p>
        </w:tc>
      </w:tr>
      <w:tr w:rsidR="00AE1F83" w:rsidRPr="00AE1F83" w14:paraId="3B48EB11" w14:textId="77777777" w:rsidTr="00DA6942">
        <w:trPr>
          <w:gridAfter w:val="2"/>
          <w:wAfter w:w="3067" w:type="dxa"/>
        </w:trPr>
        <w:tc>
          <w:tcPr>
            <w:tcW w:w="6096" w:type="dxa"/>
            <w:gridSpan w:val="2"/>
          </w:tcPr>
          <w:p w14:paraId="59BECFE6" w14:textId="77777777" w:rsidR="00AE1F83" w:rsidRPr="00AE1F83" w:rsidRDefault="00AE1F83" w:rsidP="00AE1F83">
            <w:pPr>
              <w:spacing w:after="0" w:line="260" w:lineRule="exact"/>
              <w:rPr>
                <w:rFonts w:ascii="Arial" w:eastAsia="Times New Roman" w:hAnsi="Arial" w:cs="Arial"/>
                <w:sz w:val="20"/>
                <w:szCs w:val="20"/>
              </w:rPr>
            </w:pPr>
          </w:p>
          <w:p w14:paraId="083A9C99"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4B965E97" w14:textId="77777777" w:rsidR="00AE1F83" w:rsidRPr="00AE1F83" w:rsidRDefault="00435BF7"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s="Times New Roman"/>
                  <w:color w:val="0000FF"/>
                  <w:sz w:val="20"/>
                  <w:szCs w:val="20"/>
                  <w:u w:val="single"/>
                </w:rPr>
                <w:t>Gp.gs@gov.si</w:t>
              </w:r>
            </w:hyperlink>
          </w:p>
          <w:p w14:paraId="62B7ABDB"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6F6F1D49" w14:textId="77777777" w:rsidTr="00DA6942">
        <w:tc>
          <w:tcPr>
            <w:tcW w:w="9163" w:type="dxa"/>
            <w:gridSpan w:val="4"/>
          </w:tcPr>
          <w:p w14:paraId="776EC456" w14:textId="6695EE26"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465414">
              <w:rPr>
                <w:rFonts w:ascii="Arial" w:eastAsia="Times New Roman" w:hAnsi="Arial" w:cs="Arial"/>
                <w:b/>
                <w:sz w:val="20"/>
                <w:szCs w:val="20"/>
                <w:lang w:eastAsia="sl-SI"/>
              </w:rPr>
              <w:t>Zakon o nujnih ukrepih za zajezitev širjenja in blaženja posledic nalezljive bolezni COVID-19 na področju zdravstva</w:t>
            </w:r>
            <w:r w:rsidRPr="00AE1F83">
              <w:rPr>
                <w:rFonts w:ascii="Arial" w:eastAsia="Times New Roman" w:hAnsi="Arial" w:cs="Arial"/>
                <w:b/>
                <w:sz w:val="20"/>
                <w:szCs w:val="20"/>
                <w:lang w:eastAsia="sl-SI"/>
              </w:rPr>
              <w:t xml:space="preserve"> – predlog za obravnavo </w:t>
            </w:r>
          </w:p>
        </w:tc>
      </w:tr>
      <w:tr w:rsidR="00AE1F83" w:rsidRPr="00AE1F83" w14:paraId="29E242CD" w14:textId="77777777" w:rsidTr="00DA6942">
        <w:tc>
          <w:tcPr>
            <w:tcW w:w="9163" w:type="dxa"/>
            <w:gridSpan w:val="4"/>
          </w:tcPr>
          <w:p w14:paraId="14C37814"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5C5246D" w14:textId="77777777" w:rsidTr="00DA6942">
        <w:tc>
          <w:tcPr>
            <w:tcW w:w="9163" w:type="dxa"/>
            <w:gridSpan w:val="4"/>
          </w:tcPr>
          <w:p w14:paraId="42E41E77" w14:textId="77777777" w:rsidR="00465414"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drugega odstavka 2. člena Zakona o Vladi Republike Slovenije </w:t>
            </w:r>
            <w:r w:rsidRPr="00634CB0">
              <w:rPr>
                <w:rFonts w:ascii="Arial" w:eastAsia="Times New Roman" w:hAnsi="Arial" w:cs="Arial"/>
                <w:iCs/>
                <w:sz w:val="20"/>
                <w:szCs w:val="20"/>
                <w:lang w:eastAsia="sl-SI"/>
              </w:rPr>
              <w:t>(Uradni list RS, št. 24/05 – uradno prečiščeno besedilo, 109/08, 38/10 – ZUKN, 8/12, 21/13, 47/13 – ZDU-1G, 65/14 in 55/17)</w:t>
            </w:r>
            <w:r>
              <w:rPr>
                <w:rFonts w:ascii="Arial" w:eastAsia="Times New Roman" w:hAnsi="Arial" w:cs="Arial"/>
                <w:iCs/>
                <w:sz w:val="20"/>
                <w:szCs w:val="20"/>
                <w:lang w:eastAsia="sl-SI"/>
              </w:rPr>
              <w:t xml:space="preserve"> je Vlada Republike Slovenije na … seji dne … sprejela naslednji </w:t>
            </w:r>
          </w:p>
          <w:p w14:paraId="44718183"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8266F7"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2B4EC8C" w14:textId="77777777" w:rsidR="00465414" w:rsidRPr="006612B2" w:rsidRDefault="00465414" w:rsidP="00465414">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6612B2">
              <w:rPr>
                <w:rFonts w:ascii="Arial" w:eastAsia="Times New Roman" w:hAnsi="Arial" w:cs="Arial"/>
                <w:b/>
                <w:iCs/>
                <w:sz w:val="20"/>
                <w:szCs w:val="20"/>
                <w:lang w:eastAsia="sl-SI"/>
              </w:rPr>
              <w:t>SKLEP</w:t>
            </w:r>
          </w:p>
          <w:p w14:paraId="41E37008"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4DAD16" w14:textId="2DE8091A" w:rsidR="00465414"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Vlada Republike </w:t>
            </w:r>
            <w:r w:rsidRPr="00634CB0">
              <w:rPr>
                <w:rFonts w:ascii="Arial" w:eastAsia="Times New Roman" w:hAnsi="Arial" w:cs="Arial"/>
                <w:iCs/>
                <w:sz w:val="20"/>
                <w:szCs w:val="20"/>
                <w:lang w:eastAsia="sl-SI"/>
              </w:rPr>
              <w:t xml:space="preserve">Slovenije je določila besedilo predloga </w:t>
            </w:r>
            <w:r w:rsidRPr="00634CB0">
              <w:rPr>
                <w:rFonts w:ascii="Arial" w:eastAsia="Times New Roman" w:hAnsi="Arial" w:cs="Arial"/>
                <w:sz w:val="20"/>
                <w:szCs w:val="20"/>
                <w:lang w:eastAsia="sl-SI"/>
              </w:rPr>
              <w:t>Zakon</w:t>
            </w:r>
            <w:r>
              <w:rPr>
                <w:rFonts w:ascii="Arial" w:eastAsia="Times New Roman" w:hAnsi="Arial" w:cs="Arial"/>
                <w:sz w:val="20"/>
                <w:szCs w:val="20"/>
                <w:lang w:eastAsia="sl-SI"/>
              </w:rPr>
              <w:t>a</w:t>
            </w:r>
            <w:r w:rsidRPr="00634CB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 </w:t>
            </w:r>
            <w:r w:rsidRPr="00465414">
              <w:rPr>
                <w:rFonts w:ascii="Arial" w:eastAsia="Times New Roman" w:hAnsi="Arial" w:cs="Arial"/>
                <w:sz w:val="20"/>
                <w:szCs w:val="20"/>
                <w:lang w:eastAsia="sl-SI"/>
              </w:rPr>
              <w:t>nujnih ukrepih za zajezitev širjenja in blaženja posledic nalezljive bolezni COVID-19 na področju zdravstva</w:t>
            </w:r>
            <w:r>
              <w:rPr>
                <w:rFonts w:ascii="Arial" w:eastAsia="Times New Roman" w:hAnsi="Arial" w:cs="Arial"/>
                <w:sz w:val="20"/>
                <w:szCs w:val="20"/>
                <w:lang w:eastAsia="sl-SI"/>
              </w:rPr>
              <w:t xml:space="preserve"> in ga pošlje v obravnavo v Državni zbor Republike Slovenije po </w:t>
            </w:r>
            <w:r w:rsidR="00081412">
              <w:rPr>
                <w:rFonts w:ascii="Arial" w:eastAsia="Times New Roman" w:hAnsi="Arial" w:cs="Arial"/>
                <w:sz w:val="20"/>
                <w:szCs w:val="20"/>
                <w:lang w:eastAsia="sl-SI"/>
              </w:rPr>
              <w:t xml:space="preserve">nujnem </w:t>
            </w:r>
            <w:r>
              <w:rPr>
                <w:rFonts w:ascii="Arial" w:eastAsia="Times New Roman" w:hAnsi="Arial" w:cs="Arial"/>
                <w:sz w:val="20"/>
                <w:szCs w:val="20"/>
                <w:lang w:eastAsia="sl-SI"/>
              </w:rPr>
              <w:t>postopku.</w:t>
            </w:r>
            <w:r>
              <w:rPr>
                <w:rFonts w:ascii="Arial" w:eastAsia="Times New Roman" w:hAnsi="Arial" w:cs="Arial"/>
                <w:iCs/>
                <w:sz w:val="20"/>
                <w:szCs w:val="20"/>
                <w:lang w:eastAsia="sl-SI"/>
              </w:rPr>
              <w:t xml:space="preserve"> </w:t>
            </w:r>
          </w:p>
          <w:p w14:paraId="37F5F817" w14:textId="77777777" w:rsidR="00465414"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3B4EB0" w14:textId="77777777" w:rsidR="00465414"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46A8F3"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CC6B95" w14:textId="77777777" w:rsidR="00465414" w:rsidRPr="006A3943"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color w:val="000000"/>
                <w:sz w:val="20"/>
                <w:szCs w:val="20"/>
                <w:lang w:eastAsia="sl-SI"/>
              </w:rPr>
              <w:t xml:space="preserve">                                                                                    Barbara Kolenko Helbl</w:t>
            </w:r>
          </w:p>
          <w:p w14:paraId="32483641" w14:textId="77777777" w:rsidR="00465414" w:rsidRPr="00782DE1"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4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GENERALNA SEKRETARKA VLADE </w:t>
            </w:r>
          </w:p>
          <w:p w14:paraId="175630A9"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957D16"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ECAFF3"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26D9E3"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Priloga:</w:t>
            </w:r>
          </w:p>
          <w:p w14:paraId="7D81C6C8" w14:textId="1DF1B7A0" w:rsidR="00465414" w:rsidRPr="00465414" w:rsidRDefault="00465414" w:rsidP="00465414">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Zakon o </w:t>
            </w:r>
            <w:r w:rsidRPr="00465414">
              <w:rPr>
                <w:rFonts w:ascii="Arial" w:eastAsia="Times New Roman" w:hAnsi="Arial" w:cs="Arial"/>
                <w:sz w:val="20"/>
                <w:szCs w:val="20"/>
                <w:lang w:eastAsia="sl-SI"/>
              </w:rPr>
              <w:t>nujnih ukrepih za zajezitev širjenja in blaženja posledic nalezljive bolezni COVID-19 na področju zdravstva</w:t>
            </w:r>
          </w:p>
          <w:p w14:paraId="76B3E761"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sz w:val="20"/>
                <w:szCs w:val="20"/>
                <w:lang w:eastAsia="sl-SI"/>
              </w:rPr>
              <w:t xml:space="preserve"> </w:t>
            </w:r>
          </w:p>
          <w:p w14:paraId="6EC076D6" w14:textId="77777777" w:rsidR="00465414" w:rsidRPr="006612B2" w:rsidRDefault="00465414"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Prejmejo:</w:t>
            </w:r>
          </w:p>
          <w:p w14:paraId="689BE0A8" w14:textId="4EF22A76" w:rsidR="00465414" w:rsidRDefault="00465414"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F04F84">
              <w:rPr>
                <w:rFonts w:ascii="Arial" w:eastAsia="Times New Roman" w:hAnsi="Arial" w:cs="Arial"/>
                <w:iCs/>
                <w:sz w:val="20"/>
                <w:szCs w:val="20"/>
                <w:lang w:eastAsia="sl-SI"/>
              </w:rPr>
              <w:t>–</w:t>
            </w:r>
            <w:r>
              <w:rPr>
                <w:rFonts w:cs="Arial"/>
                <w:iCs/>
                <w:szCs w:val="20"/>
                <w:lang w:eastAsia="sl-SI"/>
              </w:rPr>
              <w:t xml:space="preserve"> </w:t>
            </w:r>
            <w:r w:rsidRPr="00F04F84">
              <w:rPr>
                <w:rFonts w:ascii="Arial" w:eastAsia="Times New Roman" w:hAnsi="Arial" w:cs="Arial"/>
                <w:iCs/>
                <w:sz w:val="20"/>
                <w:szCs w:val="20"/>
                <w:lang w:eastAsia="sl-SI"/>
              </w:rPr>
              <w:t>D</w:t>
            </w:r>
            <w:r>
              <w:rPr>
                <w:rFonts w:ascii="Arial" w:eastAsia="Times New Roman" w:hAnsi="Arial" w:cs="Arial"/>
                <w:iCs/>
                <w:sz w:val="20"/>
                <w:szCs w:val="20"/>
                <w:lang w:eastAsia="sl-SI"/>
              </w:rPr>
              <w:t>ržavni zbor Republike Slovenije,</w:t>
            </w:r>
          </w:p>
          <w:p w14:paraId="3B53DEB6" w14:textId="54669E5C" w:rsidR="004B6741" w:rsidRDefault="004B6741"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delo, družino in socialne zadeve,</w:t>
            </w:r>
          </w:p>
          <w:p w14:paraId="3F06830B" w14:textId="77777777" w:rsidR="00465414" w:rsidRPr="001F2E64" w:rsidRDefault="00465414"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F04F84">
              <w:rPr>
                <w:rFonts w:ascii="Arial" w:eastAsia="Times New Roman" w:hAnsi="Arial" w:cs="Arial"/>
                <w:iCs/>
                <w:sz w:val="20"/>
                <w:szCs w:val="20"/>
                <w:lang w:eastAsia="sl-SI"/>
              </w:rPr>
              <w:t xml:space="preserve">– </w:t>
            </w:r>
            <w:r w:rsidRPr="001F2E64">
              <w:rPr>
                <w:rFonts w:ascii="Arial" w:eastAsia="Times New Roman" w:hAnsi="Arial" w:cs="Arial"/>
                <w:iCs/>
                <w:sz w:val="20"/>
                <w:szCs w:val="20"/>
                <w:lang w:eastAsia="sl-SI"/>
              </w:rPr>
              <w:t>Služba Vlade Republike Slovenije za zakonodajo,</w:t>
            </w:r>
          </w:p>
          <w:p w14:paraId="77DE1A0E" w14:textId="77777777" w:rsidR="00465414" w:rsidRPr="001F2E64" w:rsidRDefault="00465414"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1F2E64">
              <w:rPr>
                <w:rFonts w:ascii="Arial" w:eastAsia="Times New Roman" w:hAnsi="Arial" w:cs="Arial"/>
                <w:iCs/>
                <w:sz w:val="20"/>
                <w:szCs w:val="20"/>
                <w:lang w:eastAsia="sl-SI"/>
              </w:rPr>
              <w:t>– Ministrstvo za zdravje,</w:t>
            </w:r>
          </w:p>
          <w:p w14:paraId="1E9A7BDB" w14:textId="15C7B31E" w:rsidR="00465414" w:rsidRPr="001F2E64" w:rsidRDefault="00465414"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1F2E64">
              <w:rPr>
                <w:rFonts w:ascii="Arial" w:eastAsia="Times New Roman" w:hAnsi="Arial" w:cs="Arial"/>
                <w:iCs/>
                <w:sz w:val="20"/>
                <w:szCs w:val="20"/>
                <w:lang w:eastAsia="sl-SI"/>
              </w:rPr>
              <w:t xml:space="preserve">– Ministrstvo za </w:t>
            </w:r>
            <w:r w:rsidR="001F2E64" w:rsidRPr="001F2E64">
              <w:rPr>
                <w:rFonts w:ascii="Arial" w:eastAsia="Times New Roman" w:hAnsi="Arial" w:cs="Arial"/>
                <w:iCs/>
                <w:sz w:val="20"/>
                <w:szCs w:val="20"/>
                <w:lang w:eastAsia="sl-SI"/>
              </w:rPr>
              <w:t>okolje in prostor</w:t>
            </w:r>
          </w:p>
          <w:p w14:paraId="292F393A" w14:textId="45D47244" w:rsidR="001F2E64" w:rsidRPr="001F2E64" w:rsidRDefault="001F2E64" w:rsidP="001F2E6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1F2E64">
              <w:rPr>
                <w:rFonts w:ascii="Arial" w:eastAsia="Times New Roman" w:hAnsi="Arial" w:cs="Arial"/>
                <w:iCs/>
                <w:sz w:val="20"/>
                <w:szCs w:val="20"/>
                <w:lang w:eastAsia="sl-SI"/>
              </w:rPr>
              <w:t>– Ministrstvo za zunanje zadeve</w:t>
            </w:r>
          </w:p>
          <w:p w14:paraId="278E4246" w14:textId="77777777" w:rsidR="00465414" w:rsidRPr="001F2E64" w:rsidRDefault="00465414" w:rsidP="00465414">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1F2E64">
              <w:rPr>
                <w:rFonts w:ascii="Arial" w:eastAsia="Times New Roman" w:hAnsi="Arial" w:cs="Arial"/>
                <w:iCs/>
                <w:sz w:val="20"/>
                <w:szCs w:val="20"/>
                <w:lang w:eastAsia="sl-SI"/>
              </w:rPr>
              <w:t>– Ministrstvo za javno upravo,</w:t>
            </w:r>
          </w:p>
          <w:p w14:paraId="0A81B16B" w14:textId="1F499A79" w:rsidR="004B6741" w:rsidRDefault="00465414" w:rsidP="004B6741">
            <w:pPr>
              <w:overflowPunct w:val="0"/>
              <w:autoSpaceDE w:val="0"/>
              <w:autoSpaceDN w:val="0"/>
              <w:adjustRightInd w:val="0"/>
              <w:spacing w:after="0" w:line="260" w:lineRule="exact"/>
              <w:ind w:left="360" w:hanging="326"/>
              <w:jc w:val="both"/>
              <w:textAlignment w:val="baseline"/>
              <w:rPr>
                <w:rFonts w:ascii="Arial" w:eastAsia="Times New Roman" w:hAnsi="Arial" w:cs="Arial"/>
                <w:iCs/>
                <w:sz w:val="20"/>
                <w:szCs w:val="20"/>
                <w:lang w:eastAsia="sl-SI"/>
              </w:rPr>
            </w:pPr>
            <w:r w:rsidRPr="001F2E64">
              <w:rPr>
                <w:rFonts w:ascii="Arial" w:eastAsia="Times New Roman" w:hAnsi="Arial" w:cs="Arial"/>
                <w:iCs/>
                <w:sz w:val="20"/>
                <w:szCs w:val="20"/>
                <w:lang w:eastAsia="sl-SI"/>
              </w:rPr>
              <w:t>– Ministrstvo za finance</w:t>
            </w:r>
            <w:r w:rsidR="004B6741" w:rsidRPr="001F2E64">
              <w:rPr>
                <w:rFonts w:ascii="Arial" w:eastAsia="Times New Roman" w:hAnsi="Arial" w:cs="Arial"/>
                <w:iCs/>
                <w:sz w:val="20"/>
                <w:szCs w:val="20"/>
                <w:lang w:eastAsia="sl-SI"/>
              </w:rPr>
              <w:t>.</w:t>
            </w:r>
          </w:p>
          <w:p w14:paraId="638AFAD2" w14:textId="46FBBF3B" w:rsidR="00AE1F83" w:rsidRPr="00AE1F83" w:rsidRDefault="00AE1F83" w:rsidP="004654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C02EF59" w14:textId="77777777" w:rsidTr="00DA6942">
        <w:tc>
          <w:tcPr>
            <w:tcW w:w="9163" w:type="dxa"/>
            <w:gridSpan w:val="4"/>
          </w:tcPr>
          <w:p w14:paraId="5713572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EF3721D" w14:textId="77777777" w:rsidTr="00DA6942">
        <w:tc>
          <w:tcPr>
            <w:tcW w:w="9163" w:type="dxa"/>
            <w:gridSpan w:val="4"/>
          </w:tcPr>
          <w:p w14:paraId="14DAC7CA" w14:textId="5AB62E00" w:rsidR="00450E6F" w:rsidRPr="004E062F" w:rsidRDefault="00450E6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lastRenderedPageBreak/>
              <w:t xml:space="preserve">Vlada Republike Slovenije predlaga Državnemu zboru, da predlog zakona obravnava po nujnem postopku, saj </w:t>
            </w:r>
            <w:r w:rsidRPr="00450E6F">
              <w:rPr>
                <w:rFonts w:ascii="Arial" w:hAnsi="Arial" w:cs="Arial"/>
                <w:sz w:val="20"/>
                <w:szCs w:val="20"/>
              </w:rPr>
              <w:t>poslabšane razmere v zdravstvu, ki so delno posledica</w:t>
            </w:r>
            <w:r>
              <w:rPr>
                <w:rFonts w:ascii="Arial" w:hAnsi="Arial" w:cs="Arial"/>
                <w:sz w:val="20"/>
                <w:szCs w:val="20"/>
              </w:rPr>
              <w:t xml:space="preserve"> nalezljive bolezni</w:t>
            </w:r>
            <w:r w:rsidRPr="00450E6F">
              <w:rPr>
                <w:rFonts w:ascii="Arial" w:hAnsi="Arial" w:cs="Arial"/>
                <w:sz w:val="20"/>
                <w:szCs w:val="20"/>
              </w:rPr>
              <w:t xml:space="preserve"> COVID-19 in delno slabega delovanja nekaterih podsistemov, zahtevajo takojšnje ukrepanje in zagotovitev nujnih temeljnih pogojev za učinkovito delovanje javnega zdravstvenega sistema</w:t>
            </w:r>
            <w:r w:rsidR="004E062F">
              <w:rPr>
                <w:rFonts w:ascii="Arial" w:hAnsi="Arial" w:cs="Arial"/>
                <w:sz w:val="20"/>
                <w:szCs w:val="20"/>
              </w:rPr>
              <w:t xml:space="preserve"> </w:t>
            </w:r>
            <w:r w:rsidR="004E062F" w:rsidRPr="004E062F">
              <w:rPr>
                <w:rFonts w:ascii="Arial" w:hAnsi="Arial" w:cs="Arial"/>
                <w:sz w:val="20"/>
                <w:szCs w:val="20"/>
              </w:rPr>
              <w:t xml:space="preserve">ter </w:t>
            </w:r>
            <w:r w:rsidR="004E062F" w:rsidRPr="004E062F">
              <w:rPr>
                <w:rFonts w:ascii="Arial" w:hAnsi="Arial" w:cs="Arial"/>
                <w:bCs/>
                <w:sz w:val="20"/>
                <w:szCs w:val="20"/>
              </w:rPr>
              <w:t>ukrepov za zajezitev širjenja in blaženje posledic nalezljive bolezni COVID-19 na področju zdravstva, socialnega varstva, dela in zavarovalništva.</w:t>
            </w:r>
          </w:p>
          <w:p w14:paraId="3992D1DA" w14:textId="77777777" w:rsidR="00450E6F" w:rsidRDefault="00450E6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A4F90E" w14:textId="282F4C67" w:rsidR="006870C9" w:rsidRPr="00AE1F83" w:rsidRDefault="006870C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143. členom Poslovnika Državnega zbora (Uradni list RS, št. </w:t>
            </w:r>
            <w:r w:rsidRPr="006870C9">
              <w:rPr>
                <w:rFonts w:ascii="Arial" w:eastAsia="Times New Roman" w:hAnsi="Arial" w:cs="Arial"/>
                <w:iCs/>
                <w:sz w:val="20"/>
                <w:szCs w:val="20"/>
                <w:lang w:eastAsia="sl-SI"/>
              </w:rPr>
              <w:t>92/07 – uradno prečiščeno besedilo, 105/10, 80/13, 38/17, 46/20, 105/21 – odl. US in 111/21)</w:t>
            </w:r>
            <w:r>
              <w:rPr>
                <w:rFonts w:ascii="Arial" w:eastAsia="Times New Roman" w:hAnsi="Arial" w:cs="Arial"/>
                <w:iCs/>
                <w:sz w:val="20"/>
                <w:szCs w:val="20"/>
                <w:lang w:eastAsia="sl-SI"/>
              </w:rPr>
              <w:t xml:space="preserve"> se predlog zakona obravnava po nujnem postopku zaradi preprečitve težko popravljivih posledic za delovanje države.</w:t>
            </w:r>
          </w:p>
        </w:tc>
      </w:tr>
      <w:tr w:rsidR="00AE1F83" w:rsidRPr="00AE1F83" w14:paraId="46E66016" w14:textId="77777777" w:rsidTr="00DA6942">
        <w:tc>
          <w:tcPr>
            <w:tcW w:w="9163" w:type="dxa"/>
            <w:gridSpan w:val="4"/>
          </w:tcPr>
          <w:p w14:paraId="6C6DAF2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3571CC3E" w14:textId="77777777" w:rsidTr="00DA6942">
        <w:tc>
          <w:tcPr>
            <w:tcW w:w="9163" w:type="dxa"/>
            <w:gridSpan w:val="4"/>
          </w:tcPr>
          <w:p w14:paraId="6E8BD054" w14:textId="77777777" w:rsidR="00465414" w:rsidRPr="00017D98" w:rsidRDefault="00465414"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sidRPr="00017D98">
              <w:rPr>
                <w:rFonts w:ascii="Arial" w:hAnsi="Arial" w:cs="Arial"/>
                <w:iCs/>
                <w:sz w:val="20"/>
                <w:szCs w:val="20"/>
              </w:rPr>
              <w:t>Danijel Bešič Loredan, minister,</w:t>
            </w:r>
          </w:p>
          <w:p w14:paraId="04C42AFE" w14:textId="64F2D49F" w:rsidR="00465414" w:rsidRDefault="00465414"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sidRPr="00017D98">
              <w:rPr>
                <w:rFonts w:ascii="Arial" w:hAnsi="Arial" w:cs="Arial"/>
                <w:iCs/>
                <w:sz w:val="20"/>
                <w:szCs w:val="20"/>
              </w:rPr>
              <w:t>mag. Tadej Ostrc, državn</w:t>
            </w:r>
            <w:r>
              <w:rPr>
                <w:rFonts w:ascii="Arial" w:hAnsi="Arial" w:cs="Arial"/>
                <w:iCs/>
                <w:sz w:val="20"/>
                <w:szCs w:val="20"/>
              </w:rPr>
              <w:t>i</w:t>
            </w:r>
            <w:r w:rsidRPr="00017D98">
              <w:rPr>
                <w:rFonts w:ascii="Arial" w:hAnsi="Arial" w:cs="Arial"/>
                <w:iCs/>
                <w:sz w:val="20"/>
                <w:szCs w:val="20"/>
              </w:rPr>
              <w:t xml:space="preserve"> sekretar,</w:t>
            </w:r>
          </w:p>
          <w:p w14:paraId="52D3C36E" w14:textId="3C9D77D6" w:rsidR="00465414" w:rsidRPr="00017D98" w:rsidRDefault="007011E3"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Tjaša Vidic, državna sekretarka,</w:t>
            </w:r>
          </w:p>
          <w:p w14:paraId="74B20B24" w14:textId="49F1A6F3" w:rsidR="00465414" w:rsidRDefault="00465414"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sz w:val="20"/>
                <w:szCs w:val="20"/>
              </w:rPr>
              <w:t>Tina Jamšek</w:t>
            </w:r>
            <w:r w:rsidRPr="00017D98">
              <w:rPr>
                <w:rFonts w:ascii="Arial" w:hAnsi="Arial" w:cs="Arial"/>
                <w:sz w:val="20"/>
                <w:szCs w:val="20"/>
              </w:rPr>
              <w:t>,</w:t>
            </w:r>
            <w:r>
              <w:rPr>
                <w:rFonts w:ascii="Arial" w:hAnsi="Arial" w:cs="Arial"/>
                <w:sz w:val="20"/>
                <w:szCs w:val="20"/>
              </w:rPr>
              <w:t xml:space="preserve"> vršilka dolžnosti</w:t>
            </w:r>
            <w:r w:rsidRPr="00017D98">
              <w:rPr>
                <w:rFonts w:ascii="Arial" w:hAnsi="Arial" w:cs="Arial"/>
                <w:sz w:val="20"/>
                <w:szCs w:val="20"/>
              </w:rPr>
              <w:t xml:space="preserve"> </w:t>
            </w:r>
            <w:r w:rsidRPr="00017D98">
              <w:rPr>
                <w:rFonts w:ascii="Arial" w:hAnsi="Arial" w:cs="Arial"/>
                <w:iCs/>
                <w:sz w:val="20"/>
                <w:szCs w:val="20"/>
              </w:rPr>
              <w:t>generaln</w:t>
            </w:r>
            <w:r>
              <w:rPr>
                <w:rFonts w:ascii="Arial" w:hAnsi="Arial" w:cs="Arial"/>
                <w:iCs/>
                <w:sz w:val="20"/>
                <w:szCs w:val="20"/>
              </w:rPr>
              <w:t xml:space="preserve">e </w:t>
            </w:r>
            <w:r w:rsidR="007011E3">
              <w:rPr>
                <w:rFonts w:ascii="Arial" w:hAnsi="Arial" w:cs="Arial"/>
                <w:iCs/>
                <w:sz w:val="20"/>
                <w:szCs w:val="20"/>
              </w:rPr>
              <w:t>direktorice</w:t>
            </w:r>
            <w:r>
              <w:rPr>
                <w:rFonts w:ascii="Arial" w:hAnsi="Arial" w:cs="Arial"/>
                <w:iCs/>
                <w:sz w:val="20"/>
                <w:szCs w:val="20"/>
              </w:rPr>
              <w:t xml:space="preserve"> Direktorata za zdravstveno varstvo,</w:t>
            </w:r>
          </w:p>
          <w:p w14:paraId="463B9AA8" w14:textId="521CF6DC" w:rsidR="007011E3" w:rsidRDefault="007011E3"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 xml:space="preserve">Vesna Kerstin Petrič, generalna direktorica Direktorata za javno zdravje, </w:t>
            </w:r>
          </w:p>
          <w:p w14:paraId="3C37462A" w14:textId="403E2232" w:rsidR="007011E3" w:rsidRDefault="007011E3"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Alenka Kolar, vršilka dolžnosti generalne direktorice Direktorata za digitalizacijo</w:t>
            </w:r>
            <w:r w:rsidR="00933F8A">
              <w:rPr>
                <w:rFonts w:ascii="Arial" w:hAnsi="Arial" w:cs="Arial"/>
                <w:iCs/>
                <w:sz w:val="20"/>
                <w:szCs w:val="20"/>
              </w:rPr>
              <w:t xml:space="preserve"> v zdravstvu,</w:t>
            </w:r>
          </w:p>
          <w:p w14:paraId="2AB2A74A" w14:textId="1DA28013" w:rsidR="00933F8A" w:rsidRDefault="00933F8A"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dr. Mojca Dobnik, vršilka dolžnosti generalne direktorice Direktorata za zdravstveno nego,</w:t>
            </w:r>
          </w:p>
          <w:p w14:paraId="14F10A8F" w14:textId="58CB3D3E" w:rsidR="007011E3" w:rsidRDefault="007011E3"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Tanja Petkovič, vodja službe za dolgotrajno oskrbo,</w:t>
            </w:r>
            <w:r w:rsidR="00933F8A">
              <w:rPr>
                <w:rFonts w:ascii="Arial" w:hAnsi="Arial" w:cs="Arial"/>
                <w:iCs/>
                <w:sz w:val="20"/>
                <w:szCs w:val="20"/>
              </w:rPr>
              <w:t xml:space="preserve"> Kabinet ministra,</w:t>
            </w:r>
          </w:p>
          <w:p w14:paraId="0E68D172" w14:textId="660B2C85" w:rsidR="007011E3" w:rsidRDefault="00933F8A"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mag. Mateja Radej Bizjak, vodja Službe za sistemsko zakonodajo, Kabinet ministra,</w:t>
            </w:r>
          </w:p>
          <w:p w14:paraId="1C68EA6A" w14:textId="070F5725" w:rsidR="00933F8A" w:rsidRDefault="00933F8A"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Vlasta Mežek, vodja Sektorja za zdravstveno ekonomiko, Direktorat za zdravstveno ekonomiko,</w:t>
            </w:r>
          </w:p>
          <w:p w14:paraId="2317A29B" w14:textId="458DF4E1" w:rsidR="00933F8A" w:rsidRDefault="00933F8A" w:rsidP="00465414">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Damir Domjan, po pooblastilu vodja Sektorja za zdravila, medicinske pripomočke in lekarniško dejavnost, Kabinet ministra,</w:t>
            </w:r>
          </w:p>
          <w:p w14:paraId="6CFAF162" w14:textId="2D3A912B" w:rsidR="0076741A" w:rsidRDefault="0076741A" w:rsidP="0076741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Metka Logar, vodja Služb za evropske zadeve in mednarodno sodelovanje,</w:t>
            </w:r>
          </w:p>
          <w:p w14:paraId="3ADFEBB9" w14:textId="554E4799" w:rsidR="0076741A" w:rsidRPr="0076741A" w:rsidRDefault="0076741A" w:rsidP="0076741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Anita Zakšek, vodja Finančne službe.</w:t>
            </w:r>
          </w:p>
          <w:p w14:paraId="2E3129DF" w14:textId="738161B3" w:rsidR="00933F8A" w:rsidRDefault="00933F8A" w:rsidP="0076741A">
            <w:pPr>
              <w:pStyle w:val="Odstavekseznama"/>
              <w:overflowPunct w:val="0"/>
              <w:autoSpaceDE w:val="0"/>
              <w:autoSpaceDN w:val="0"/>
              <w:adjustRightInd w:val="0"/>
              <w:spacing w:after="0" w:line="260" w:lineRule="exact"/>
              <w:ind w:left="201"/>
              <w:contextualSpacing w:val="0"/>
              <w:jc w:val="both"/>
              <w:textAlignment w:val="baseline"/>
              <w:rPr>
                <w:rFonts w:ascii="Arial" w:hAnsi="Arial" w:cs="Arial"/>
                <w:iCs/>
                <w:sz w:val="20"/>
                <w:szCs w:val="20"/>
              </w:rPr>
            </w:pPr>
          </w:p>
          <w:p w14:paraId="0F0106E2" w14:textId="4F3CE78C"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667C2399" w14:textId="77777777" w:rsidTr="00DA6942">
        <w:tc>
          <w:tcPr>
            <w:tcW w:w="9163" w:type="dxa"/>
            <w:gridSpan w:val="4"/>
          </w:tcPr>
          <w:p w14:paraId="69B52C9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76752C35" w14:textId="77777777" w:rsidTr="00DA6942">
        <w:tc>
          <w:tcPr>
            <w:tcW w:w="9163" w:type="dxa"/>
            <w:gridSpan w:val="4"/>
          </w:tcPr>
          <w:p w14:paraId="02F46FE4" w14:textId="1B6A22EC" w:rsidR="00AE1F83" w:rsidRPr="00AE1F83" w:rsidRDefault="00933F8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61BCCFA1" w14:textId="77777777" w:rsidTr="00DA6942">
        <w:tc>
          <w:tcPr>
            <w:tcW w:w="9163" w:type="dxa"/>
            <w:gridSpan w:val="4"/>
          </w:tcPr>
          <w:p w14:paraId="082DD7C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0796229D" w14:textId="77777777" w:rsidTr="00DA6942">
        <w:tc>
          <w:tcPr>
            <w:tcW w:w="9163" w:type="dxa"/>
            <w:gridSpan w:val="4"/>
          </w:tcPr>
          <w:p w14:paraId="184E0F59" w14:textId="77777777" w:rsidR="00933F8A" w:rsidRPr="00017D98"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sidRPr="00017D98">
              <w:rPr>
                <w:rFonts w:ascii="Arial" w:hAnsi="Arial" w:cs="Arial"/>
                <w:iCs/>
                <w:sz w:val="20"/>
                <w:szCs w:val="20"/>
              </w:rPr>
              <w:t>Danijel Bešič Loredan, minister,</w:t>
            </w:r>
          </w:p>
          <w:p w14:paraId="05AF9A8F" w14:textId="77777777" w:rsidR="00933F8A"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sidRPr="00017D98">
              <w:rPr>
                <w:rFonts w:ascii="Arial" w:hAnsi="Arial" w:cs="Arial"/>
                <w:iCs/>
                <w:sz w:val="20"/>
                <w:szCs w:val="20"/>
              </w:rPr>
              <w:t>mag. Tadej Ostrc, državn</w:t>
            </w:r>
            <w:r>
              <w:rPr>
                <w:rFonts w:ascii="Arial" w:hAnsi="Arial" w:cs="Arial"/>
                <w:iCs/>
                <w:sz w:val="20"/>
                <w:szCs w:val="20"/>
              </w:rPr>
              <w:t>i</w:t>
            </w:r>
            <w:r w:rsidRPr="00017D98">
              <w:rPr>
                <w:rFonts w:ascii="Arial" w:hAnsi="Arial" w:cs="Arial"/>
                <w:iCs/>
                <w:sz w:val="20"/>
                <w:szCs w:val="20"/>
              </w:rPr>
              <w:t xml:space="preserve"> sekretar,</w:t>
            </w:r>
          </w:p>
          <w:p w14:paraId="3CC90F87" w14:textId="77777777" w:rsidR="00933F8A" w:rsidRPr="00017D98"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Tjaša Vidic, državna sekretarka,</w:t>
            </w:r>
          </w:p>
          <w:p w14:paraId="08659500" w14:textId="77777777" w:rsidR="00933F8A"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sz w:val="20"/>
                <w:szCs w:val="20"/>
              </w:rPr>
              <w:t>Tina Jamšek</w:t>
            </w:r>
            <w:r w:rsidRPr="00017D98">
              <w:rPr>
                <w:rFonts w:ascii="Arial" w:hAnsi="Arial" w:cs="Arial"/>
                <w:sz w:val="20"/>
                <w:szCs w:val="20"/>
              </w:rPr>
              <w:t>,</w:t>
            </w:r>
            <w:r>
              <w:rPr>
                <w:rFonts w:ascii="Arial" w:hAnsi="Arial" w:cs="Arial"/>
                <w:sz w:val="20"/>
                <w:szCs w:val="20"/>
              </w:rPr>
              <w:t xml:space="preserve"> vršilka dolžnosti</w:t>
            </w:r>
            <w:r w:rsidRPr="00017D98">
              <w:rPr>
                <w:rFonts w:ascii="Arial" w:hAnsi="Arial" w:cs="Arial"/>
                <w:sz w:val="20"/>
                <w:szCs w:val="20"/>
              </w:rPr>
              <w:t xml:space="preserve"> </w:t>
            </w:r>
            <w:r w:rsidRPr="00017D98">
              <w:rPr>
                <w:rFonts w:ascii="Arial" w:hAnsi="Arial" w:cs="Arial"/>
                <w:iCs/>
                <w:sz w:val="20"/>
                <w:szCs w:val="20"/>
              </w:rPr>
              <w:t>generaln</w:t>
            </w:r>
            <w:r>
              <w:rPr>
                <w:rFonts w:ascii="Arial" w:hAnsi="Arial" w:cs="Arial"/>
                <w:iCs/>
                <w:sz w:val="20"/>
                <w:szCs w:val="20"/>
              </w:rPr>
              <w:t>e direktorice Direktorata za zdravstveno varstvo,</w:t>
            </w:r>
          </w:p>
          <w:p w14:paraId="3C11C424" w14:textId="77777777" w:rsidR="00933F8A"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 xml:space="preserve">Vesna Kerstin Petrič, generalna direktorica Direktorata za javno zdravje, </w:t>
            </w:r>
          </w:p>
          <w:p w14:paraId="109E7A30" w14:textId="77777777" w:rsidR="00933F8A"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Alenka Kolar, vršilka dolžnosti generalne direktorice Direktorata za digitalizacijo v zdravstvu,</w:t>
            </w:r>
          </w:p>
          <w:p w14:paraId="2AC24680" w14:textId="7FBEA772" w:rsidR="00933F8A" w:rsidRDefault="00933F8A" w:rsidP="00933F8A">
            <w:pPr>
              <w:pStyle w:val="Odstavekseznama"/>
              <w:numPr>
                <w:ilvl w:val="0"/>
                <w:numId w:val="10"/>
              </w:numPr>
              <w:overflowPunct w:val="0"/>
              <w:autoSpaceDE w:val="0"/>
              <w:autoSpaceDN w:val="0"/>
              <w:adjustRightInd w:val="0"/>
              <w:spacing w:after="0" w:line="260" w:lineRule="exact"/>
              <w:ind w:left="201" w:hanging="201"/>
              <w:contextualSpacing w:val="0"/>
              <w:jc w:val="both"/>
              <w:textAlignment w:val="baseline"/>
              <w:rPr>
                <w:rFonts w:ascii="Arial" w:hAnsi="Arial" w:cs="Arial"/>
                <w:iCs/>
                <w:sz w:val="20"/>
                <w:szCs w:val="20"/>
              </w:rPr>
            </w:pPr>
            <w:r>
              <w:rPr>
                <w:rFonts w:ascii="Arial" w:hAnsi="Arial" w:cs="Arial"/>
                <w:iCs/>
                <w:sz w:val="20"/>
                <w:szCs w:val="20"/>
              </w:rPr>
              <w:t>dr. Mojca Dobnik, vršilka dolžnosti generalne direktorice Direktorata za zdravstveno nego,</w:t>
            </w:r>
          </w:p>
          <w:p w14:paraId="23762C81" w14:textId="51CA691D"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AE1F83" w14:paraId="02DA4C04" w14:textId="77777777" w:rsidTr="00DA6942">
        <w:tc>
          <w:tcPr>
            <w:tcW w:w="9163" w:type="dxa"/>
            <w:gridSpan w:val="4"/>
          </w:tcPr>
          <w:p w14:paraId="25BA9B08"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01C0BBCE" w14:textId="77777777" w:rsidTr="00DA6942">
        <w:tc>
          <w:tcPr>
            <w:tcW w:w="9163" w:type="dxa"/>
            <w:gridSpan w:val="4"/>
          </w:tcPr>
          <w:p w14:paraId="262C5AD8" w14:textId="77777777" w:rsidR="00155597" w:rsidRDefault="00155597" w:rsidP="00155597">
            <w:pPr>
              <w:pStyle w:val="Odsek"/>
              <w:numPr>
                <w:ilvl w:val="0"/>
                <w:numId w:val="0"/>
              </w:numPr>
              <w:spacing w:before="0" w:after="0" w:line="260" w:lineRule="exact"/>
              <w:jc w:val="both"/>
              <w:rPr>
                <w:b w:val="0"/>
                <w:bCs/>
                <w:sz w:val="20"/>
                <w:szCs w:val="20"/>
              </w:rPr>
            </w:pPr>
            <w:r>
              <w:rPr>
                <w:b w:val="0"/>
                <w:bCs/>
                <w:sz w:val="20"/>
                <w:szCs w:val="20"/>
              </w:rPr>
              <w:t>Z zakonom se določajo ukrepi za zajezitev širjenja in blaženje posledic nalezljive bolezni COVID-19 na področju zdravstva, socialnega varstva, dela in zavarovalništva.</w:t>
            </w:r>
          </w:p>
          <w:p w14:paraId="0EA5EA50" w14:textId="77777777" w:rsidR="00155597" w:rsidRDefault="00155597" w:rsidP="00155597">
            <w:pPr>
              <w:pStyle w:val="Odsek"/>
              <w:numPr>
                <w:ilvl w:val="0"/>
                <w:numId w:val="0"/>
              </w:numPr>
              <w:spacing w:before="0" w:after="0" w:line="260" w:lineRule="exact"/>
              <w:jc w:val="left"/>
              <w:rPr>
                <w:sz w:val="20"/>
                <w:szCs w:val="20"/>
              </w:rPr>
            </w:pPr>
          </w:p>
          <w:p w14:paraId="0E1AAA60" w14:textId="77777777" w:rsidR="00155597" w:rsidRPr="003115ED" w:rsidRDefault="00155597" w:rsidP="00155597">
            <w:pPr>
              <w:pStyle w:val="Odsek"/>
              <w:numPr>
                <w:ilvl w:val="0"/>
                <w:numId w:val="0"/>
              </w:numPr>
              <w:spacing w:before="0" w:after="0" w:line="260" w:lineRule="exact"/>
              <w:jc w:val="left"/>
              <w:rPr>
                <w:b w:val="0"/>
                <w:bCs/>
                <w:sz w:val="20"/>
                <w:szCs w:val="20"/>
              </w:rPr>
            </w:pPr>
            <w:r w:rsidRPr="003115ED">
              <w:rPr>
                <w:b w:val="0"/>
                <w:bCs/>
                <w:sz w:val="20"/>
                <w:szCs w:val="20"/>
              </w:rPr>
              <w:t>Poglavitne rešitve so:</w:t>
            </w:r>
          </w:p>
          <w:p w14:paraId="3006D7E7" w14:textId="77777777" w:rsidR="00155597" w:rsidRPr="00A3561A" w:rsidRDefault="00155597" w:rsidP="00155597">
            <w:pPr>
              <w:pStyle w:val="Odsek"/>
              <w:numPr>
                <w:ilvl w:val="0"/>
                <w:numId w:val="0"/>
              </w:numPr>
              <w:spacing w:before="0" w:after="0" w:line="260" w:lineRule="exact"/>
              <w:jc w:val="both"/>
              <w:rPr>
                <w:b w:val="0"/>
                <w:bCs/>
                <w:sz w:val="20"/>
                <w:szCs w:val="20"/>
              </w:rPr>
            </w:pPr>
            <w:r w:rsidRPr="003115ED">
              <w:rPr>
                <w:b w:val="0"/>
                <w:bCs/>
                <w:sz w:val="20"/>
                <w:szCs w:val="20"/>
              </w:rPr>
              <w:softHyphen/>
            </w:r>
            <w:r w:rsidRPr="00A3561A">
              <w:rPr>
                <w:b w:val="0"/>
                <w:bCs/>
                <w:sz w:val="20"/>
                <w:szCs w:val="20"/>
              </w:rPr>
              <w:t xml:space="preserve">– ukrepi na področju zdravstvenega varstva in zdravstvenega zavarovanja, </w:t>
            </w:r>
          </w:p>
          <w:p w14:paraId="11958725"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ukrepi na področju zdravstvene dejavnosti (sprememba pogojev glede dokazovanja znanja slovenskega jezika, podaljšanje dovoljenja za medicinske laboratorije),</w:t>
            </w:r>
          </w:p>
          <w:p w14:paraId="306E6232"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ukrepi za ohranitev dostopnosti do zdravstvenih storitev,</w:t>
            </w:r>
          </w:p>
          <w:p w14:paraId="177219F7" w14:textId="3525760D"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vzpostavitev pravne podlage za nagrajevanje zaposlenih v mreži javne zdravstvene službe in mreži javne službe na področju socialnega varstva, ki neposredno delajo s pacienti oziroma uporabniki, obolelimi za COVID-19,</w:t>
            </w:r>
          </w:p>
          <w:p w14:paraId="0F5AC6E4"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w:t>
            </w:r>
            <w:r w:rsidRPr="00A3561A">
              <w:rPr>
                <w:sz w:val="20"/>
                <w:szCs w:val="20"/>
              </w:rPr>
              <w:t xml:space="preserve"> </w:t>
            </w:r>
            <w:r w:rsidRPr="00A3561A">
              <w:rPr>
                <w:b w:val="0"/>
                <w:bCs/>
                <w:sz w:val="20"/>
                <w:szCs w:val="20"/>
              </w:rPr>
              <w:t>zagotavljanje sredstev za cepljenje proti nalezljivi bolezni COVID-19 in gripi iz proračuna RS,</w:t>
            </w:r>
          </w:p>
          <w:p w14:paraId="288CC81C" w14:textId="77777777" w:rsidR="00155597" w:rsidRPr="00A3561A" w:rsidRDefault="00155597" w:rsidP="00155597">
            <w:pPr>
              <w:pStyle w:val="Odsek"/>
              <w:numPr>
                <w:ilvl w:val="0"/>
                <w:numId w:val="0"/>
              </w:numPr>
              <w:spacing w:before="0" w:after="0" w:line="260" w:lineRule="exact"/>
              <w:jc w:val="both"/>
              <w:rPr>
                <w:b w:val="0"/>
                <w:sz w:val="20"/>
                <w:szCs w:val="20"/>
              </w:rPr>
            </w:pPr>
            <w:r w:rsidRPr="00A3561A">
              <w:rPr>
                <w:b w:val="0"/>
                <w:sz w:val="20"/>
                <w:szCs w:val="20"/>
              </w:rPr>
              <w:lastRenderedPageBreak/>
              <w:t>– jasnejša ureditev upravičencev in postopka za uveljavljanje pravice do denarne odškodnine zaradi škode, ki nastane zaradi cepljenja s cepivom proti COVID-19 ali zaradi uporabe zdravila za zdravljenje COVID-19,</w:t>
            </w:r>
          </w:p>
          <w:p w14:paraId="2263BE88"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podaljšanje plačilnih rokov v javnih zdravstvenih zavodih, razen v zavodih s področja lekarniške  dejavnosti,</w:t>
            </w:r>
          </w:p>
          <w:p w14:paraId="67913328"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določitev pravne podlage za Ambulanto za neopredeljene paciente z namenom zagotovitve dostopnosti do zdravstvenih storitev za vse zavarovane osebe, ki nimajo izbranega osebnega zdravnika,</w:t>
            </w:r>
          </w:p>
          <w:p w14:paraId="486477DF"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ukrep začasne razporeditve zaposlenega k izvajalcu socialno varstvene storitve institucionalno varstvo ali izvajalcu zdravstvene dejavnosti, ki bo imel povečan obseg dela zaradi zagotavljanja ukrepov preprečevanja širjenja in omejevanja okužbe na COVID-19,</w:t>
            </w:r>
          </w:p>
          <w:p w14:paraId="515786E5"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zagotavljanje izvajanja podaljšane bolnišnične obravnave,</w:t>
            </w:r>
          </w:p>
          <w:p w14:paraId="25DED3B6"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zagotavljanje sredstev za zdravljenje s kisikom v okviru podaljšane bolnišnične obravnave,</w:t>
            </w:r>
          </w:p>
          <w:p w14:paraId="706CC2C2" w14:textId="77777777" w:rsidR="00155597"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zagotovitev dodatnih sredstev za izvajanje nalog s področja javnega zdravja,</w:t>
            </w:r>
          </w:p>
          <w:p w14:paraId="04837A84"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xml:space="preserve">– </w:t>
            </w:r>
            <w:r w:rsidRPr="007B2DFE">
              <w:rPr>
                <w:b w:val="0"/>
                <w:bCs/>
                <w:sz w:val="20"/>
                <w:szCs w:val="20"/>
              </w:rPr>
              <w:t>zagotavljanje sredstev za testiranje s testi HAG za samotestiranje</w:t>
            </w:r>
            <w:r>
              <w:rPr>
                <w:b w:val="0"/>
                <w:bCs/>
                <w:sz w:val="20"/>
                <w:szCs w:val="20"/>
              </w:rPr>
              <w:t>,</w:t>
            </w:r>
          </w:p>
          <w:p w14:paraId="42FFBAC6"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dodatne specializacije iz klinične psihologije,</w:t>
            </w:r>
          </w:p>
          <w:p w14:paraId="67AD06D5" w14:textId="77777777" w:rsidR="00155597" w:rsidRPr="00A3561A" w:rsidRDefault="00155597" w:rsidP="00155597">
            <w:pPr>
              <w:pStyle w:val="Odsek"/>
              <w:numPr>
                <w:ilvl w:val="0"/>
                <w:numId w:val="0"/>
              </w:numPr>
              <w:spacing w:before="0" w:after="0" w:line="260" w:lineRule="exact"/>
              <w:jc w:val="both"/>
              <w:rPr>
                <w:b w:val="0"/>
                <w:bCs/>
                <w:sz w:val="20"/>
                <w:szCs w:val="20"/>
              </w:rPr>
            </w:pPr>
            <w:r w:rsidRPr="00A3561A">
              <w:rPr>
                <w:b w:val="0"/>
                <w:bCs/>
                <w:sz w:val="20"/>
                <w:szCs w:val="20"/>
              </w:rPr>
              <w:t>– dodatek za izbiro specializacije iz družinske medicine,</w:t>
            </w:r>
          </w:p>
          <w:p w14:paraId="0BA2DB38" w14:textId="73EC0F77" w:rsidR="00AE1F83" w:rsidRPr="00155597" w:rsidRDefault="00155597" w:rsidP="0015559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597">
              <w:rPr>
                <w:rFonts w:ascii="Arial" w:hAnsi="Arial" w:cs="Arial"/>
                <w:bCs/>
                <w:sz w:val="20"/>
                <w:szCs w:val="20"/>
              </w:rPr>
              <w:t>– zbiranje podatkov o hospitaliziranih pacientih, obolelih za COVID-19.</w:t>
            </w:r>
          </w:p>
        </w:tc>
      </w:tr>
      <w:tr w:rsidR="00AE1F83" w:rsidRPr="00AE1F83" w14:paraId="22647F76" w14:textId="77777777" w:rsidTr="00DA6942">
        <w:tc>
          <w:tcPr>
            <w:tcW w:w="9163" w:type="dxa"/>
            <w:gridSpan w:val="4"/>
          </w:tcPr>
          <w:p w14:paraId="59F18AB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6F7D4A43" w14:textId="77777777" w:rsidTr="00DA6942">
        <w:tc>
          <w:tcPr>
            <w:tcW w:w="1448" w:type="dxa"/>
          </w:tcPr>
          <w:p w14:paraId="047A8CB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6C7405F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3A15C04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D4EB9">
              <w:rPr>
                <w:rFonts w:ascii="Arial" w:eastAsia="Times New Roman" w:hAnsi="Arial" w:cs="Arial"/>
                <w:b/>
                <w:bCs/>
                <w:sz w:val="20"/>
                <w:szCs w:val="20"/>
                <w:lang w:eastAsia="sl-SI"/>
              </w:rPr>
              <w:t>DA</w:t>
            </w:r>
            <w:r w:rsidRPr="00AE1F83">
              <w:rPr>
                <w:rFonts w:ascii="Arial" w:eastAsia="Times New Roman" w:hAnsi="Arial" w:cs="Arial"/>
                <w:sz w:val="20"/>
                <w:szCs w:val="20"/>
                <w:lang w:eastAsia="sl-SI"/>
              </w:rPr>
              <w:t>/NE</w:t>
            </w:r>
          </w:p>
        </w:tc>
      </w:tr>
      <w:tr w:rsidR="00AE1F83" w:rsidRPr="00AE1F83" w14:paraId="6A51233D" w14:textId="77777777" w:rsidTr="00DA6942">
        <w:tc>
          <w:tcPr>
            <w:tcW w:w="1448" w:type="dxa"/>
          </w:tcPr>
          <w:p w14:paraId="3496E593"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1BF20E5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301D2CE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AE1F83" w:rsidRPr="00AE1F83" w14:paraId="77482844" w14:textId="77777777" w:rsidTr="00DA6942">
        <w:tc>
          <w:tcPr>
            <w:tcW w:w="1448" w:type="dxa"/>
          </w:tcPr>
          <w:p w14:paraId="45C1BC4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460662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713AC94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14:paraId="3C32460A" w14:textId="77777777" w:rsidTr="00DA6942">
        <w:tc>
          <w:tcPr>
            <w:tcW w:w="1448" w:type="dxa"/>
          </w:tcPr>
          <w:p w14:paraId="263DAE9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275EBFE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8F3CDF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AE1F83" w:rsidRPr="00AE1F83" w14:paraId="2D038926" w14:textId="77777777" w:rsidTr="00DA6942">
        <w:tc>
          <w:tcPr>
            <w:tcW w:w="1448" w:type="dxa"/>
          </w:tcPr>
          <w:p w14:paraId="6FB5D37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2D7E29F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5C1BAE88"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AE1F83" w:rsidRPr="00AE1F83" w14:paraId="34807AD8" w14:textId="77777777" w:rsidTr="00DA6942">
        <w:tc>
          <w:tcPr>
            <w:tcW w:w="1448" w:type="dxa"/>
          </w:tcPr>
          <w:p w14:paraId="7BB1464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5AE2ED7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4EBC9A83"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AE1F83" w:rsidRPr="00AE1F83" w14:paraId="1B340E22" w14:textId="77777777" w:rsidTr="00DA6942">
        <w:tc>
          <w:tcPr>
            <w:tcW w:w="1448" w:type="dxa"/>
            <w:tcBorders>
              <w:bottom w:val="single" w:sz="4" w:space="0" w:color="auto"/>
            </w:tcBorders>
          </w:tcPr>
          <w:p w14:paraId="3FF56F7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5C2B8A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5A33630B"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006B7E8F"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6E2D418"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6EF73A3"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DD43C8" w:rsidRPr="00AE1F83" w14:paraId="4A02C213" w14:textId="77777777" w:rsidTr="00DD43C8">
        <w:trPr>
          <w:trHeight w:val="1984"/>
        </w:trPr>
        <w:tc>
          <w:tcPr>
            <w:tcW w:w="9163" w:type="dxa"/>
            <w:gridSpan w:val="4"/>
            <w:tcBorders>
              <w:top w:val="single" w:sz="4" w:space="0" w:color="auto"/>
              <w:left w:val="single" w:sz="4" w:space="0" w:color="auto"/>
              <w:bottom w:val="single" w:sz="4" w:space="0" w:color="auto"/>
              <w:right w:val="single" w:sz="4" w:space="0" w:color="auto"/>
            </w:tcBorders>
          </w:tcPr>
          <w:p w14:paraId="1178C212" w14:textId="0A0E71D2" w:rsidR="00DD43C8" w:rsidRDefault="00DD43C8" w:rsidP="00DD43C8">
            <w:pPr>
              <w:pStyle w:val="Oddelek"/>
              <w:numPr>
                <w:ilvl w:val="0"/>
                <w:numId w:val="0"/>
              </w:numPr>
              <w:spacing w:before="0" w:after="0" w:line="260" w:lineRule="exact"/>
              <w:jc w:val="both"/>
              <w:rPr>
                <w:sz w:val="20"/>
                <w:szCs w:val="20"/>
              </w:rPr>
            </w:pPr>
            <w:r>
              <w:rPr>
                <w:sz w:val="20"/>
                <w:szCs w:val="20"/>
              </w:rPr>
              <w:t>7.a Predstavitev ocene finančnih posledic nad 40.000 EUR:</w:t>
            </w:r>
          </w:p>
          <w:p w14:paraId="57AED76E" w14:textId="67314C3E" w:rsidR="00DD43C8" w:rsidRDefault="00DD43C8" w:rsidP="00DD43C8">
            <w:pPr>
              <w:pStyle w:val="Oddelek"/>
              <w:numPr>
                <w:ilvl w:val="0"/>
                <w:numId w:val="0"/>
              </w:numPr>
              <w:spacing w:before="0" w:after="0" w:line="260" w:lineRule="exact"/>
              <w:jc w:val="both"/>
              <w:rPr>
                <w:b w:val="0"/>
                <w:bCs/>
                <w:sz w:val="20"/>
                <w:szCs w:val="20"/>
              </w:rPr>
            </w:pPr>
          </w:p>
          <w:p w14:paraId="60B9E782" w14:textId="38095BAB" w:rsidR="00DD43C8" w:rsidRDefault="00DD43C8" w:rsidP="00DD43C8">
            <w:pPr>
              <w:pStyle w:val="Oddelek"/>
              <w:numPr>
                <w:ilvl w:val="0"/>
                <w:numId w:val="0"/>
              </w:numPr>
              <w:spacing w:before="0" w:after="0" w:line="260" w:lineRule="exact"/>
              <w:jc w:val="both"/>
              <w:rPr>
                <w:b w:val="0"/>
                <w:bCs/>
                <w:sz w:val="20"/>
                <w:szCs w:val="20"/>
              </w:rPr>
            </w:pPr>
            <w:r>
              <w:rPr>
                <w:b w:val="0"/>
                <w:bCs/>
                <w:sz w:val="20"/>
                <w:szCs w:val="20"/>
              </w:rPr>
              <w:t>Finančne</w:t>
            </w:r>
            <w:r w:rsidRPr="008571F6">
              <w:rPr>
                <w:b w:val="0"/>
                <w:bCs/>
                <w:sz w:val="20"/>
                <w:szCs w:val="20"/>
              </w:rPr>
              <w:t xml:space="preserve"> posledice temeljijo na statističnih podatkih, izkušnjah oziroma na realizaciji, ki jo je imelo Ministrstvo za zdravje v okviru svojega finančnega načrta ter na predvidevanjih ali preračunavanju modelov oziroma načinov izvedbe ukrepa. Iz navedenega razloga so  predstavljene finančne posledice okvirne narave in lahko tudi bistveno odstopajo od predvidevanj, saj so odvisne od kadrovskih kapacitet v zdravstvu, števila COVID bolnikov in posledično tudi od količine naročenih cepiv, zdravil ter ostalih interventnih ukrepov. Zakon bo skupno bremenil javno finančno blagajno v višini 225,7 mio EUR, od tega v letu 2022 v višini 15,</w:t>
            </w:r>
            <w:r>
              <w:rPr>
                <w:b w:val="0"/>
                <w:bCs/>
                <w:sz w:val="20"/>
                <w:szCs w:val="20"/>
              </w:rPr>
              <w:t>7</w:t>
            </w:r>
            <w:r w:rsidRPr="008571F6">
              <w:rPr>
                <w:b w:val="0"/>
                <w:bCs/>
                <w:sz w:val="20"/>
                <w:szCs w:val="20"/>
              </w:rPr>
              <w:t xml:space="preserve"> mio EUR, v letu 2023 v višini 190 mio EUR in v letu 2024 v višini 20 mio EUR. Od navedenih zneskov bo samo zdravstveno blagajno bremenil v višini 8,5 mio EUR, in sicer v letu 2023 ter 0,3 mio EUR v letu 2024. Hkrati z ukrepom spremenjenega načina obračunavanja stroškov izolacije pričakujemo prihranek za zdravstveno blagajno v višini 66 mio EUR v letu 2023. </w:t>
            </w:r>
            <w:r w:rsidR="00695448" w:rsidRPr="00695448">
              <w:rPr>
                <w:b w:val="0"/>
                <w:bCs/>
                <w:sz w:val="20"/>
                <w:szCs w:val="20"/>
              </w:rPr>
              <w:t xml:space="preserve">Poleg navedenega ocenjujemo izpad v okviru davčne blagajne v skupni višini 5,75 mio EUR, od tega v letu 2022 v višini 0,75 mio EUR. </w:t>
            </w:r>
            <w:r w:rsidRPr="008571F6">
              <w:rPr>
                <w:b w:val="0"/>
                <w:bCs/>
                <w:sz w:val="20"/>
                <w:szCs w:val="20"/>
              </w:rPr>
              <w:t>Povzetek v tabeli v nadaljevanju</w:t>
            </w:r>
            <w:r>
              <w:rPr>
                <w:b w:val="0"/>
                <w:bCs/>
                <w:sz w:val="20"/>
                <w:szCs w:val="20"/>
              </w:rPr>
              <w:t>:</w:t>
            </w:r>
          </w:p>
          <w:p w14:paraId="56F33E31" w14:textId="77777777" w:rsidR="00DD43C8" w:rsidRDefault="00DD43C8" w:rsidP="00DD43C8">
            <w:pPr>
              <w:pStyle w:val="Oddelek"/>
              <w:numPr>
                <w:ilvl w:val="0"/>
                <w:numId w:val="0"/>
              </w:numPr>
              <w:spacing w:before="0" w:after="0" w:line="260" w:lineRule="exact"/>
              <w:jc w:val="both"/>
              <w:rPr>
                <w:b w:val="0"/>
                <w:bCs/>
                <w:sz w:val="20"/>
                <w:szCs w:val="20"/>
              </w:rPr>
            </w:pPr>
          </w:p>
          <w:tbl>
            <w:tblPr>
              <w:tblW w:w="8780" w:type="dxa"/>
              <w:tblCellMar>
                <w:left w:w="70" w:type="dxa"/>
                <w:right w:w="70" w:type="dxa"/>
              </w:tblCellMar>
              <w:tblLook w:val="04A0" w:firstRow="1" w:lastRow="0" w:firstColumn="1" w:lastColumn="0" w:noHBand="0" w:noVBand="1"/>
            </w:tblPr>
            <w:tblGrid>
              <w:gridCol w:w="3380"/>
              <w:gridCol w:w="1180"/>
              <w:gridCol w:w="1540"/>
              <w:gridCol w:w="1180"/>
              <w:gridCol w:w="1500"/>
            </w:tblGrid>
            <w:tr w:rsidR="00695448" w:rsidRPr="00BD7CBF" w14:paraId="3D346498" w14:textId="77777777" w:rsidTr="00476479">
              <w:trPr>
                <w:trHeight w:val="300"/>
              </w:trPr>
              <w:tc>
                <w:tcPr>
                  <w:tcW w:w="3380" w:type="dxa"/>
                  <w:tcBorders>
                    <w:top w:val="single" w:sz="4" w:space="0" w:color="8EA9DB"/>
                    <w:left w:val="single" w:sz="4" w:space="0" w:color="8EA9DB"/>
                    <w:bottom w:val="single" w:sz="4" w:space="0" w:color="8EA9DB"/>
                    <w:right w:val="nil"/>
                  </w:tcBorders>
                  <w:shd w:val="clear" w:color="4472C4" w:fill="4472C4"/>
                  <w:noWrap/>
                  <w:vAlign w:val="bottom"/>
                  <w:hideMark/>
                </w:tcPr>
                <w:p w14:paraId="4F21B96E" w14:textId="77777777" w:rsidR="00695448" w:rsidRPr="0098458A" w:rsidRDefault="00695448" w:rsidP="00695448">
                  <w:pPr>
                    <w:spacing w:line="240" w:lineRule="auto"/>
                    <w:rPr>
                      <w:rFonts w:ascii="Arial" w:hAnsi="Arial" w:cs="Arial"/>
                      <w:b/>
                      <w:bCs/>
                      <w:color w:val="FFFFFF"/>
                      <w:sz w:val="20"/>
                      <w:szCs w:val="20"/>
                      <w:lang w:eastAsia="sl-SI"/>
                    </w:rPr>
                  </w:pPr>
                  <w:r w:rsidRPr="0098458A">
                    <w:rPr>
                      <w:rFonts w:ascii="Arial" w:hAnsi="Arial" w:cs="Arial"/>
                      <w:b/>
                      <w:bCs/>
                      <w:color w:val="FFFFFF"/>
                      <w:sz w:val="20"/>
                      <w:szCs w:val="20"/>
                      <w:lang w:eastAsia="sl-SI"/>
                    </w:rPr>
                    <w:t>Vir financiranja</w:t>
                  </w:r>
                </w:p>
              </w:tc>
              <w:tc>
                <w:tcPr>
                  <w:tcW w:w="1180" w:type="dxa"/>
                  <w:tcBorders>
                    <w:top w:val="single" w:sz="4" w:space="0" w:color="8EA9DB"/>
                    <w:left w:val="nil"/>
                    <w:bottom w:val="single" w:sz="4" w:space="0" w:color="8EA9DB"/>
                    <w:right w:val="nil"/>
                  </w:tcBorders>
                  <w:shd w:val="clear" w:color="4472C4" w:fill="4472C4"/>
                  <w:noWrap/>
                  <w:vAlign w:val="bottom"/>
                  <w:hideMark/>
                </w:tcPr>
                <w:p w14:paraId="5BD39237" w14:textId="77777777" w:rsidR="00695448" w:rsidRPr="0098458A" w:rsidRDefault="00695448" w:rsidP="00695448">
                  <w:pPr>
                    <w:spacing w:line="240" w:lineRule="auto"/>
                    <w:rPr>
                      <w:rFonts w:ascii="Arial" w:hAnsi="Arial" w:cs="Arial"/>
                      <w:b/>
                      <w:bCs/>
                      <w:color w:val="FFFFFF"/>
                      <w:sz w:val="20"/>
                      <w:szCs w:val="20"/>
                      <w:lang w:eastAsia="sl-SI"/>
                    </w:rPr>
                  </w:pPr>
                  <w:r w:rsidRPr="0098458A">
                    <w:rPr>
                      <w:rFonts w:ascii="Arial" w:hAnsi="Arial" w:cs="Arial"/>
                      <w:b/>
                      <w:bCs/>
                      <w:color w:val="FFFFFF"/>
                      <w:sz w:val="20"/>
                      <w:szCs w:val="20"/>
                      <w:lang w:eastAsia="sl-SI"/>
                    </w:rPr>
                    <w:t>2022</w:t>
                  </w:r>
                </w:p>
              </w:tc>
              <w:tc>
                <w:tcPr>
                  <w:tcW w:w="1540" w:type="dxa"/>
                  <w:tcBorders>
                    <w:top w:val="single" w:sz="4" w:space="0" w:color="8EA9DB"/>
                    <w:left w:val="nil"/>
                    <w:bottom w:val="single" w:sz="4" w:space="0" w:color="8EA9DB"/>
                    <w:right w:val="nil"/>
                  </w:tcBorders>
                  <w:shd w:val="clear" w:color="4472C4" w:fill="4472C4"/>
                  <w:noWrap/>
                  <w:vAlign w:val="bottom"/>
                  <w:hideMark/>
                </w:tcPr>
                <w:p w14:paraId="5E9D3F57" w14:textId="77777777" w:rsidR="00695448" w:rsidRPr="0098458A" w:rsidRDefault="00695448" w:rsidP="00695448">
                  <w:pPr>
                    <w:spacing w:line="240" w:lineRule="auto"/>
                    <w:rPr>
                      <w:rFonts w:ascii="Arial" w:hAnsi="Arial" w:cs="Arial"/>
                      <w:b/>
                      <w:bCs/>
                      <w:color w:val="FFFFFF"/>
                      <w:sz w:val="20"/>
                      <w:szCs w:val="20"/>
                      <w:lang w:eastAsia="sl-SI"/>
                    </w:rPr>
                  </w:pPr>
                  <w:r w:rsidRPr="0098458A">
                    <w:rPr>
                      <w:rFonts w:ascii="Arial" w:hAnsi="Arial" w:cs="Arial"/>
                      <w:b/>
                      <w:bCs/>
                      <w:color w:val="FFFFFF"/>
                      <w:sz w:val="20"/>
                      <w:szCs w:val="20"/>
                      <w:lang w:eastAsia="sl-SI"/>
                    </w:rPr>
                    <w:t>2023</w:t>
                  </w:r>
                </w:p>
              </w:tc>
              <w:tc>
                <w:tcPr>
                  <w:tcW w:w="1180" w:type="dxa"/>
                  <w:tcBorders>
                    <w:top w:val="single" w:sz="4" w:space="0" w:color="8EA9DB"/>
                    <w:left w:val="nil"/>
                    <w:bottom w:val="single" w:sz="4" w:space="0" w:color="8EA9DB"/>
                    <w:right w:val="nil"/>
                  </w:tcBorders>
                  <w:shd w:val="clear" w:color="4472C4" w:fill="4472C4"/>
                  <w:noWrap/>
                  <w:vAlign w:val="bottom"/>
                  <w:hideMark/>
                </w:tcPr>
                <w:p w14:paraId="5193D401" w14:textId="77777777" w:rsidR="00695448" w:rsidRPr="0098458A" w:rsidRDefault="00695448" w:rsidP="00695448">
                  <w:pPr>
                    <w:spacing w:line="240" w:lineRule="auto"/>
                    <w:rPr>
                      <w:rFonts w:ascii="Arial" w:hAnsi="Arial" w:cs="Arial"/>
                      <w:b/>
                      <w:bCs/>
                      <w:color w:val="FFFFFF"/>
                      <w:sz w:val="20"/>
                      <w:szCs w:val="20"/>
                      <w:lang w:eastAsia="sl-SI"/>
                    </w:rPr>
                  </w:pPr>
                  <w:r w:rsidRPr="0098458A">
                    <w:rPr>
                      <w:rFonts w:ascii="Arial" w:hAnsi="Arial" w:cs="Arial"/>
                      <w:b/>
                      <w:bCs/>
                      <w:color w:val="FFFFFF"/>
                      <w:sz w:val="20"/>
                      <w:szCs w:val="20"/>
                      <w:lang w:eastAsia="sl-SI"/>
                    </w:rPr>
                    <w:t>2024</w:t>
                  </w:r>
                </w:p>
              </w:tc>
              <w:tc>
                <w:tcPr>
                  <w:tcW w:w="1500" w:type="dxa"/>
                  <w:tcBorders>
                    <w:top w:val="single" w:sz="4" w:space="0" w:color="8EA9DB"/>
                    <w:left w:val="nil"/>
                    <w:bottom w:val="single" w:sz="4" w:space="0" w:color="8EA9DB"/>
                    <w:right w:val="single" w:sz="4" w:space="0" w:color="8EA9DB"/>
                  </w:tcBorders>
                  <w:shd w:val="clear" w:color="4472C4" w:fill="4472C4"/>
                  <w:noWrap/>
                  <w:vAlign w:val="bottom"/>
                  <w:hideMark/>
                </w:tcPr>
                <w:p w14:paraId="2F391DAE" w14:textId="77777777" w:rsidR="00695448" w:rsidRPr="0098458A" w:rsidRDefault="00695448" w:rsidP="00695448">
                  <w:pPr>
                    <w:spacing w:line="240" w:lineRule="auto"/>
                    <w:rPr>
                      <w:rFonts w:ascii="Arial" w:hAnsi="Arial" w:cs="Arial"/>
                      <w:b/>
                      <w:bCs/>
                      <w:color w:val="FFFFFF"/>
                      <w:sz w:val="20"/>
                      <w:szCs w:val="20"/>
                      <w:lang w:eastAsia="sl-SI"/>
                    </w:rPr>
                  </w:pPr>
                  <w:r w:rsidRPr="0098458A">
                    <w:rPr>
                      <w:rFonts w:ascii="Arial" w:hAnsi="Arial" w:cs="Arial"/>
                      <w:b/>
                      <w:bCs/>
                      <w:color w:val="FFFFFF"/>
                      <w:sz w:val="20"/>
                      <w:szCs w:val="20"/>
                      <w:lang w:eastAsia="sl-SI"/>
                    </w:rPr>
                    <w:t>skupaj</w:t>
                  </w:r>
                </w:p>
              </w:tc>
            </w:tr>
            <w:tr w:rsidR="00695448" w:rsidRPr="00BD7CBF" w14:paraId="70C0FB44" w14:textId="77777777" w:rsidTr="00476479">
              <w:trPr>
                <w:trHeight w:val="300"/>
              </w:trPr>
              <w:tc>
                <w:tcPr>
                  <w:tcW w:w="3380" w:type="dxa"/>
                  <w:tcBorders>
                    <w:top w:val="single" w:sz="4" w:space="0" w:color="8EA9DB"/>
                    <w:left w:val="single" w:sz="4" w:space="0" w:color="8EA9DB"/>
                    <w:bottom w:val="single" w:sz="4" w:space="0" w:color="8EA9DB"/>
                    <w:right w:val="nil"/>
                  </w:tcBorders>
                  <w:shd w:val="clear" w:color="D9E1F2" w:fill="D9E1F2"/>
                  <w:noWrap/>
                  <w:vAlign w:val="bottom"/>
                  <w:hideMark/>
                </w:tcPr>
                <w:p w14:paraId="1E03E088" w14:textId="77777777" w:rsidR="00695448" w:rsidRPr="0098458A" w:rsidRDefault="00695448" w:rsidP="00695448">
                  <w:pPr>
                    <w:spacing w:line="240" w:lineRule="auto"/>
                    <w:rPr>
                      <w:rFonts w:ascii="Arial" w:hAnsi="Arial" w:cs="Arial"/>
                      <w:color w:val="000000"/>
                      <w:sz w:val="20"/>
                      <w:szCs w:val="20"/>
                      <w:lang w:eastAsia="sl-SI"/>
                    </w:rPr>
                  </w:pPr>
                  <w:r w:rsidRPr="0098458A">
                    <w:rPr>
                      <w:rFonts w:ascii="Arial" w:hAnsi="Arial" w:cs="Arial"/>
                      <w:color w:val="000000"/>
                      <w:sz w:val="20"/>
                      <w:szCs w:val="20"/>
                      <w:lang w:eastAsia="sl-SI"/>
                    </w:rPr>
                    <w:t>Zdravstvena blagajna</w:t>
                  </w:r>
                </w:p>
              </w:tc>
              <w:tc>
                <w:tcPr>
                  <w:tcW w:w="1180" w:type="dxa"/>
                  <w:tcBorders>
                    <w:top w:val="single" w:sz="4" w:space="0" w:color="8EA9DB"/>
                    <w:left w:val="nil"/>
                    <w:bottom w:val="single" w:sz="4" w:space="0" w:color="8EA9DB"/>
                    <w:right w:val="nil"/>
                  </w:tcBorders>
                  <w:shd w:val="clear" w:color="D9E1F2" w:fill="D9E1F2"/>
                  <w:noWrap/>
                  <w:vAlign w:val="bottom"/>
                  <w:hideMark/>
                </w:tcPr>
                <w:p w14:paraId="15C9758F"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0</w:t>
                  </w:r>
                </w:p>
              </w:tc>
              <w:tc>
                <w:tcPr>
                  <w:tcW w:w="1540" w:type="dxa"/>
                  <w:tcBorders>
                    <w:top w:val="single" w:sz="4" w:space="0" w:color="8EA9DB"/>
                    <w:left w:val="nil"/>
                    <w:bottom w:val="single" w:sz="4" w:space="0" w:color="8EA9DB"/>
                    <w:right w:val="nil"/>
                  </w:tcBorders>
                  <w:shd w:val="clear" w:color="D9E1F2" w:fill="D9E1F2"/>
                  <w:noWrap/>
                  <w:vAlign w:val="bottom"/>
                  <w:hideMark/>
                </w:tcPr>
                <w:p w14:paraId="6CAFB29B"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8.541.640</w:t>
                  </w:r>
                </w:p>
              </w:tc>
              <w:tc>
                <w:tcPr>
                  <w:tcW w:w="1180" w:type="dxa"/>
                  <w:tcBorders>
                    <w:top w:val="single" w:sz="4" w:space="0" w:color="8EA9DB"/>
                    <w:left w:val="nil"/>
                    <w:bottom w:val="single" w:sz="4" w:space="0" w:color="8EA9DB"/>
                    <w:right w:val="nil"/>
                  </w:tcBorders>
                  <w:shd w:val="clear" w:color="D9E1F2" w:fill="D9E1F2"/>
                  <w:noWrap/>
                  <w:vAlign w:val="bottom"/>
                  <w:hideMark/>
                </w:tcPr>
                <w:p w14:paraId="2B63E556"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336.590</w:t>
                  </w:r>
                </w:p>
              </w:tc>
              <w:tc>
                <w:tcPr>
                  <w:tcW w:w="1500" w:type="dxa"/>
                  <w:tcBorders>
                    <w:top w:val="single" w:sz="4" w:space="0" w:color="8EA9DB"/>
                    <w:left w:val="nil"/>
                    <w:bottom w:val="single" w:sz="4" w:space="0" w:color="8EA9DB"/>
                    <w:right w:val="single" w:sz="4" w:space="0" w:color="8EA9DB"/>
                  </w:tcBorders>
                  <w:shd w:val="clear" w:color="D9E1F2" w:fill="D9E1F2"/>
                  <w:noWrap/>
                  <w:vAlign w:val="bottom"/>
                  <w:hideMark/>
                </w:tcPr>
                <w:p w14:paraId="3261E5FD"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8.878.230</w:t>
                  </w:r>
                </w:p>
              </w:tc>
            </w:tr>
            <w:tr w:rsidR="00695448" w:rsidRPr="00BD7CBF" w14:paraId="77F513F3" w14:textId="77777777" w:rsidTr="00476479">
              <w:trPr>
                <w:trHeight w:val="300"/>
              </w:trPr>
              <w:tc>
                <w:tcPr>
                  <w:tcW w:w="3380" w:type="dxa"/>
                  <w:tcBorders>
                    <w:top w:val="single" w:sz="4" w:space="0" w:color="8EA9DB"/>
                    <w:left w:val="single" w:sz="4" w:space="0" w:color="8EA9DB"/>
                    <w:bottom w:val="single" w:sz="4" w:space="0" w:color="8EA9DB"/>
                    <w:right w:val="nil"/>
                  </w:tcBorders>
                  <w:shd w:val="clear" w:color="auto" w:fill="auto"/>
                  <w:noWrap/>
                  <w:vAlign w:val="bottom"/>
                  <w:hideMark/>
                </w:tcPr>
                <w:p w14:paraId="3674502C" w14:textId="77777777" w:rsidR="00695448" w:rsidRPr="0098458A" w:rsidRDefault="00695448" w:rsidP="00695448">
                  <w:pPr>
                    <w:spacing w:line="240" w:lineRule="auto"/>
                    <w:rPr>
                      <w:rFonts w:ascii="Arial" w:hAnsi="Arial" w:cs="Arial"/>
                      <w:color w:val="000000"/>
                      <w:sz w:val="20"/>
                      <w:szCs w:val="20"/>
                      <w:lang w:eastAsia="sl-SI"/>
                    </w:rPr>
                  </w:pPr>
                  <w:r w:rsidRPr="0098458A">
                    <w:rPr>
                      <w:rFonts w:ascii="Arial" w:hAnsi="Arial" w:cs="Arial"/>
                      <w:color w:val="000000"/>
                      <w:sz w:val="20"/>
                      <w:szCs w:val="20"/>
                      <w:lang w:eastAsia="sl-SI"/>
                    </w:rPr>
                    <w:lastRenderedPageBreak/>
                    <w:t>Proračun RS, FN MZ</w:t>
                  </w:r>
                </w:p>
              </w:tc>
              <w:tc>
                <w:tcPr>
                  <w:tcW w:w="1180" w:type="dxa"/>
                  <w:tcBorders>
                    <w:top w:val="single" w:sz="4" w:space="0" w:color="8EA9DB"/>
                    <w:left w:val="nil"/>
                    <w:bottom w:val="single" w:sz="4" w:space="0" w:color="8EA9DB"/>
                    <w:right w:val="nil"/>
                  </w:tcBorders>
                  <w:shd w:val="clear" w:color="auto" w:fill="auto"/>
                  <w:noWrap/>
                  <w:vAlign w:val="bottom"/>
                  <w:hideMark/>
                </w:tcPr>
                <w:p w14:paraId="27347430"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15.700.000</w:t>
                  </w:r>
                </w:p>
              </w:tc>
              <w:tc>
                <w:tcPr>
                  <w:tcW w:w="1540" w:type="dxa"/>
                  <w:tcBorders>
                    <w:top w:val="single" w:sz="4" w:space="0" w:color="8EA9DB"/>
                    <w:left w:val="nil"/>
                    <w:bottom w:val="single" w:sz="4" w:space="0" w:color="8EA9DB"/>
                    <w:right w:val="nil"/>
                  </w:tcBorders>
                  <w:shd w:val="clear" w:color="auto" w:fill="auto"/>
                  <w:noWrap/>
                  <w:vAlign w:val="bottom"/>
                  <w:hideMark/>
                </w:tcPr>
                <w:p w14:paraId="225A24DD"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181.808.750</w:t>
                  </w:r>
                </w:p>
              </w:tc>
              <w:tc>
                <w:tcPr>
                  <w:tcW w:w="1180" w:type="dxa"/>
                  <w:tcBorders>
                    <w:top w:val="single" w:sz="4" w:space="0" w:color="8EA9DB"/>
                    <w:left w:val="nil"/>
                    <w:bottom w:val="single" w:sz="4" w:space="0" w:color="8EA9DB"/>
                    <w:right w:val="nil"/>
                  </w:tcBorders>
                  <w:shd w:val="clear" w:color="auto" w:fill="auto"/>
                  <w:noWrap/>
                  <w:vAlign w:val="bottom"/>
                  <w:hideMark/>
                </w:tcPr>
                <w:p w14:paraId="7744FA70"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19.339.063</w:t>
                  </w:r>
                </w:p>
              </w:tc>
              <w:tc>
                <w:tcPr>
                  <w:tcW w:w="1500" w:type="dxa"/>
                  <w:tcBorders>
                    <w:top w:val="single" w:sz="4" w:space="0" w:color="8EA9DB"/>
                    <w:left w:val="nil"/>
                    <w:bottom w:val="single" w:sz="4" w:space="0" w:color="8EA9DB"/>
                    <w:right w:val="single" w:sz="4" w:space="0" w:color="8EA9DB"/>
                  </w:tcBorders>
                  <w:shd w:val="clear" w:color="auto" w:fill="auto"/>
                  <w:noWrap/>
                  <w:vAlign w:val="bottom"/>
                  <w:hideMark/>
                </w:tcPr>
                <w:p w14:paraId="2C4897D2"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216.847.813</w:t>
                  </w:r>
                </w:p>
              </w:tc>
            </w:tr>
            <w:tr w:rsidR="00695448" w:rsidRPr="00BD7CBF" w14:paraId="5799BB4F" w14:textId="77777777" w:rsidTr="00476479">
              <w:trPr>
                <w:trHeight w:val="300"/>
              </w:trPr>
              <w:tc>
                <w:tcPr>
                  <w:tcW w:w="3380" w:type="dxa"/>
                  <w:tcBorders>
                    <w:top w:val="single" w:sz="4" w:space="0" w:color="8EA9DB"/>
                    <w:left w:val="single" w:sz="4" w:space="0" w:color="8EA9DB"/>
                    <w:bottom w:val="single" w:sz="4" w:space="0" w:color="8EA9DB"/>
                    <w:right w:val="nil"/>
                  </w:tcBorders>
                  <w:shd w:val="clear" w:color="D9E1F2" w:fill="D9E1F2"/>
                  <w:noWrap/>
                  <w:vAlign w:val="bottom"/>
                  <w:hideMark/>
                </w:tcPr>
                <w:p w14:paraId="100B481E" w14:textId="77777777" w:rsidR="00695448" w:rsidRPr="0098458A" w:rsidRDefault="00695448" w:rsidP="00695448">
                  <w:pPr>
                    <w:spacing w:line="240" w:lineRule="auto"/>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skupaj</w:t>
                  </w:r>
                </w:p>
              </w:tc>
              <w:tc>
                <w:tcPr>
                  <w:tcW w:w="1180" w:type="dxa"/>
                  <w:tcBorders>
                    <w:top w:val="single" w:sz="4" w:space="0" w:color="8EA9DB"/>
                    <w:left w:val="nil"/>
                    <w:bottom w:val="single" w:sz="4" w:space="0" w:color="8EA9DB"/>
                    <w:right w:val="nil"/>
                  </w:tcBorders>
                  <w:shd w:val="clear" w:color="D9E1F2" w:fill="D9E1F2"/>
                  <w:noWrap/>
                  <w:vAlign w:val="bottom"/>
                  <w:hideMark/>
                </w:tcPr>
                <w:p w14:paraId="1BDA5DAC"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15.700.000</w:t>
                  </w:r>
                </w:p>
              </w:tc>
              <w:tc>
                <w:tcPr>
                  <w:tcW w:w="1540" w:type="dxa"/>
                  <w:tcBorders>
                    <w:top w:val="single" w:sz="4" w:space="0" w:color="8EA9DB"/>
                    <w:left w:val="nil"/>
                    <w:bottom w:val="single" w:sz="4" w:space="0" w:color="8EA9DB"/>
                    <w:right w:val="nil"/>
                  </w:tcBorders>
                  <w:shd w:val="clear" w:color="D9E1F2" w:fill="D9E1F2"/>
                  <w:noWrap/>
                  <w:vAlign w:val="bottom"/>
                  <w:hideMark/>
                </w:tcPr>
                <w:p w14:paraId="234860DC"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190.350.390</w:t>
                  </w:r>
                </w:p>
              </w:tc>
              <w:tc>
                <w:tcPr>
                  <w:tcW w:w="1180" w:type="dxa"/>
                  <w:tcBorders>
                    <w:top w:val="single" w:sz="4" w:space="0" w:color="8EA9DB"/>
                    <w:left w:val="nil"/>
                    <w:bottom w:val="single" w:sz="4" w:space="0" w:color="8EA9DB"/>
                    <w:right w:val="nil"/>
                  </w:tcBorders>
                  <w:shd w:val="clear" w:color="D9E1F2" w:fill="D9E1F2"/>
                  <w:noWrap/>
                  <w:vAlign w:val="bottom"/>
                  <w:hideMark/>
                </w:tcPr>
                <w:p w14:paraId="2AB89571"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19.675.653</w:t>
                  </w:r>
                </w:p>
              </w:tc>
              <w:tc>
                <w:tcPr>
                  <w:tcW w:w="1500" w:type="dxa"/>
                  <w:tcBorders>
                    <w:top w:val="single" w:sz="4" w:space="0" w:color="8EA9DB"/>
                    <w:left w:val="nil"/>
                    <w:bottom w:val="single" w:sz="4" w:space="0" w:color="8EA9DB"/>
                    <w:right w:val="single" w:sz="4" w:space="0" w:color="8EA9DB"/>
                  </w:tcBorders>
                  <w:shd w:val="clear" w:color="D9E1F2" w:fill="D9E1F2"/>
                  <w:noWrap/>
                  <w:vAlign w:val="bottom"/>
                  <w:hideMark/>
                </w:tcPr>
                <w:p w14:paraId="0649C867"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225.726.043</w:t>
                  </w:r>
                </w:p>
              </w:tc>
            </w:tr>
            <w:tr w:rsidR="00695448" w:rsidRPr="00BD7CBF" w14:paraId="12D1A85B" w14:textId="77777777" w:rsidTr="00476479">
              <w:trPr>
                <w:trHeight w:val="1200"/>
              </w:trPr>
              <w:tc>
                <w:tcPr>
                  <w:tcW w:w="3380" w:type="dxa"/>
                  <w:tcBorders>
                    <w:top w:val="single" w:sz="4" w:space="0" w:color="8EA9DB"/>
                    <w:left w:val="single" w:sz="4" w:space="0" w:color="8EA9DB"/>
                    <w:bottom w:val="single" w:sz="4" w:space="0" w:color="8EA9DB"/>
                    <w:right w:val="nil"/>
                  </w:tcBorders>
                  <w:shd w:val="clear" w:color="auto" w:fill="auto"/>
                  <w:vAlign w:val="center"/>
                  <w:hideMark/>
                </w:tcPr>
                <w:p w14:paraId="3FB39FC3" w14:textId="77777777" w:rsidR="00695448" w:rsidRPr="0098458A" w:rsidRDefault="00695448" w:rsidP="00695448">
                  <w:pPr>
                    <w:spacing w:line="240" w:lineRule="auto"/>
                    <w:rPr>
                      <w:rFonts w:ascii="Arial" w:hAnsi="Arial" w:cs="Arial"/>
                      <w:color w:val="000000"/>
                      <w:sz w:val="20"/>
                      <w:szCs w:val="20"/>
                      <w:lang w:eastAsia="sl-SI"/>
                    </w:rPr>
                  </w:pPr>
                  <w:r w:rsidRPr="0098458A">
                    <w:rPr>
                      <w:rFonts w:ascii="Arial" w:hAnsi="Arial" w:cs="Arial"/>
                      <w:color w:val="000000"/>
                      <w:sz w:val="20"/>
                      <w:szCs w:val="20"/>
                      <w:lang w:eastAsia="sl-SI"/>
                    </w:rPr>
                    <w:t>primanjkljaj iz naslova DDV in davka na posebne prejemke iz naslov podjemnih pogodb</w:t>
                  </w:r>
                </w:p>
              </w:tc>
              <w:tc>
                <w:tcPr>
                  <w:tcW w:w="1180" w:type="dxa"/>
                  <w:tcBorders>
                    <w:top w:val="single" w:sz="4" w:space="0" w:color="8EA9DB"/>
                    <w:left w:val="nil"/>
                    <w:bottom w:val="single" w:sz="4" w:space="0" w:color="8EA9DB"/>
                    <w:right w:val="nil"/>
                  </w:tcBorders>
                  <w:shd w:val="clear" w:color="auto" w:fill="auto"/>
                  <w:noWrap/>
                  <w:vAlign w:val="bottom"/>
                  <w:hideMark/>
                </w:tcPr>
                <w:p w14:paraId="6904E26A" w14:textId="77777777" w:rsidR="00695448" w:rsidRPr="0098458A" w:rsidRDefault="00695448" w:rsidP="00695448">
                  <w:pPr>
                    <w:spacing w:line="240" w:lineRule="auto"/>
                    <w:rPr>
                      <w:rFonts w:ascii="Arial" w:hAnsi="Arial" w:cs="Arial"/>
                      <w:color w:val="000000"/>
                      <w:sz w:val="20"/>
                      <w:szCs w:val="20"/>
                      <w:lang w:eastAsia="sl-SI"/>
                    </w:rPr>
                  </w:pPr>
                </w:p>
              </w:tc>
              <w:tc>
                <w:tcPr>
                  <w:tcW w:w="1540" w:type="dxa"/>
                  <w:tcBorders>
                    <w:top w:val="single" w:sz="4" w:space="0" w:color="8EA9DB"/>
                    <w:left w:val="nil"/>
                    <w:bottom w:val="single" w:sz="4" w:space="0" w:color="8EA9DB"/>
                    <w:right w:val="nil"/>
                  </w:tcBorders>
                  <w:shd w:val="clear" w:color="auto" w:fill="auto"/>
                  <w:noWrap/>
                  <w:vAlign w:val="bottom"/>
                  <w:hideMark/>
                </w:tcPr>
                <w:p w14:paraId="7B6EEFE5"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750.000</w:t>
                  </w:r>
                </w:p>
              </w:tc>
              <w:tc>
                <w:tcPr>
                  <w:tcW w:w="1180" w:type="dxa"/>
                  <w:tcBorders>
                    <w:top w:val="single" w:sz="4" w:space="0" w:color="8EA9DB"/>
                    <w:left w:val="nil"/>
                    <w:bottom w:val="single" w:sz="4" w:space="0" w:color="8EA9DB"/>
                    <w:right w:val="nil"/>
                  </w:tcBorders>
                  <w:shd w:val="clear" w:color="auto" w:fill="auto"/>
                  <w:noWrap/>
                  <w:vAlign w:val="bottom"/>
                  <w:hideMark/>
                </w:tcPr>
                <w:p w14:paraId="69F619E7"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5.000.000</w:t>
                  </w:r>
                </w:p>
              </w:tc>
              <w:tc>
                <w:tcPr>
                  <w:tcW w:w="1500" w:type="dxa"/>
                  <w:tcBorders>
                    <w:top w:val="single" w:sz="4" w:space="0" w:color="8EA9DB"/>
                    <w:left w:val="nil"/>
                    <w:bottom w:val="single" w:sz="4" w:space="0" w:color="8EA9DB"/>
                    <w:right w:val="single" w:sz="4" w:space="0" w:color="8EA9DB"/>
                  </w:tcBorders>
                  <w:shd w:val="clear" w:color="auto" w:fill="auto"/>
                  <w:noWrap/>
                  <w:vAlign w:val="bottom"/>
                  <w:hideMark/>
                </w:tcPr>
                <w:p w14:paraId="214C9A8C"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5.750.000</w:t>
                  </w:r>
                </w:p>
              </w:tc>
            </w:tr>
            <w:tr w:rsidR="00695448" w:rsidRPr="00BD7CBF" w14:paraId="1AEBE12C" w14:textId="77777777" w:rsidTr="00476479">
              <w:trPr>
                <w:trHeight w:val="300"/>
              </w:trPr>
              <w:tc>
                <w:tcPr>
                  <w:tcW w:w="3380" w:type="dxa"/>
                  <w:tcBorders>
                    <w:top w:val="single" w:sz="4" w:space="0" w:color="8EA9DB"/>
                    <w:left w:val="single" w:sz="4" w:space="0" w:color="8EA9DB"/>
                    <w:bottom w:val="single" w:sz="4" w:space="0" w:color="8EA9DB"/>
                    <w:right w:val="nil"/>
                  </w:tcBorders>
                  <w:shd w:val="clear" w:color="D9E1F2" w:fill="D9E1F2"/>
                  <w:noWrap/>
                  <w:vAlign w:val="bottom"/>
                  <w:hideMark/>
                </w:tcPr>
                <w:p w14:paraId="10346714" w14:textId="77777777" w:rsidR="00695448" w:rsidRPr="0098458A" w:rsidRDefault="00695448" w:rsidP="00695448">
                  <w:pPr>
                    <w:spacing w:line="240" w:lineRule="auto"/>
                    <w:rPr>
                      <w:rFonts w:ascii="Arial" w:hAnsi="Arial" w:cs="Arial"/>
                      <w:color w:val="000000"/>
                      <w:sz w:val="20"/>
                      <w:szCs w:val="20"/>
                      <w:lang w:eastAsia="sl-SI"/>
                    </w:rPr>
                  </w:pPr>
                  <w:r w:rsidRPr="0098458A">
                    <w:rPr>
                      <w:rFonts w:ascii="Arial" w:hAnsi="Arial" w:cs="Arial"/>
                      <w:color w:val="000000"/>
                      <w:sz w:val="20"/>
                      <w:szCs w:val="20"/>
                      <w:lang w:eastAsia="sl-SI"/>
                    </w:rPr>
                    <w:t>prihranek za zdravstveno blagajno</w:t>
                  </w:r>
                </w:p>
              </w:tc>
              <w:tc>
                <w:tcPr>
                  <w:tcW w:w="1180" w:type="dxa"/>
                  <w:tcBorders>
                    <w:top w:val="single" w:sz="4" w:space="0" w:color="8EA9DB"/>
                    <w:left w:val="nil"/>
                    <w:bottom w:val="single" w:sz="4" w:space="0" w:color="8EA9DB"/>
                    <w:right w:val="nil"/>
                  </w:tcBorders>
                  <w:shd w:val="clear" w:color="D9E1F2" w:fill="D9E1F2"/>
                  <w:noWrap/>
                  <w:vAlign w:val="bottom"/>
                  <w:hideMark/>
                </w:tcPr>
                <w:p w14:paraId="456330B3" w14:textId="77777777" w:rsidR="00695448" w:rsidRPr="0098458A" w:rsidRDefault="00695448" w:rsidP="00695448">
                  <w:pPr>
                    <w:spacing w:line="240" w:lineRule="auto"/>
                    <w:rPr>
                      <w:rFonts w:ascii="Arial" w:hAnsi="Arial" w:cs="Arial"/>
                      <w:color w:val="000000"/>
                      <w:sz w:val="20"/>
                      <w:szCs w:val="20"/>
                      <w:lang w:eastAsia="sl-SI"/>
                    </w:rPr>
                  </w:pPr>
                </w:p>
              </w:tc>
              <w:tc>
                <w:tcPr>
                  <w:tcW w:w="1540" w:type="dxa"/>
                  <w:tcBorders>
                    <w:top w:val="single" w:sz="4" w:space="0" w:color="8EA9DB"/>
                    <w:left w:val="nil"/>
                    <w:bottom w:val="single" w:sz="4" w:space="0" w:color="8EA9DB"/>
                    <w:right w:val="nil"/>
                  </w:tcBorders>
                  <w:shd w:val="clear" w:color="D9E1F2" w:fill="D9E1F2"/>
                  <w:noWrap/>
                  <w:vAlign w:val="bottom"/>
                  <w:hideMark/>
                </w:tcPr>
                <w:p w14:paraId="095012FB" w14:textId="77777777" w:rsidR="00695448" w:rsidRPr="0098458A" w:rsidRDefault="00695448" w:rsidP="00695448">
                  <w:pPr>
                    <w:spacing w:line="240" w:lineRule="auto"/>
                    <w:jc w:val="right"/>
                    <w:rPr>
                      <w:rFonts w:ascii="Arial" w:hAnsi="Arial" w:cs="Arial"/>
                      <w:color w:val="000000"/>
                      <w:sz w:val="20"/>
                      <w:szCs w:val="20"/>
                      <w:lang w:eastAsia="sl-SI"/>
                    </w:rPr>
                  </w:pPr>
                  <w:r w:rsidRPr="0098458A">
                    <w:rPr>
                      <w:rFonts w:ascii="Arial" w:hAnsi="Arial" w:cs="Arial"/>
                      <w:color w:val="000000"/>
                      <w:sz w:val="20"/>
                      <w:szCs w:val="20"/>
                      <w:lang w:eastAsia="sl-SI"/>
                    </w:rPr>
                    <w:t>-66.000.000</w:t>
                  </w:r>
                </w:p>
              </w:tc>
              <w:tc>
                <w:tcPr>
                  <w:tcW w:w="1180" w:type="dxa"/>
                  <w:tcBorders>
                    <w:top w:val="single" w:sz="4" w:space="0" w:color="8EA9DB"/>
                    <w:left w:val="nil"/>
                    <w:bottom w:val="single" w:sz="4" w:space="0" w:color="8EA9DB"/>
                    <w:right w:val="nil"/>
                  </w:tcBorders>
                  <w:shd w:val="clear" w:color="D9E1F2" w:fill="D9E1F2"/>
                  <w:noWrap/>
                  <w:vAlign w:val="bottom"/>
                  <w:hideMark/>
                </w:tcPr>
                <w:p w14:paraId="5FF4D364" w14:textId="77777777" w:rsidR="00695448" w:rsidRPr="0098458A" w:rsidRDefault="00695448" w:rsidP="00695448">
                  <w:pPr>
                    <w:spacing w:line="240" w:lineRule="auto"/>
                    <w:jc w:val="right"/>
                    <w:rPr>
                      <w:rFonts w:ascii="Arial" w:hAnsi="Arial" w:cs="Arial"/>
                      <w:color w:val="000000"/>
                      <w:sz w:val="20"/>
                      <w:szCs w:val="20"/>
                      <w:lang w:eastAsia="sl-SI"/>
                    </w:rPr>
                  </w:pPr>
                </w:p>
              </w:tc>
              <w:tc>
                <w:tcPr>
                  <w:tcW w:w="1500" w:type="dxa"/>
                  <w:tcBorders>
                    <w:top w:val="single" w:sz="4" w:space="0" w:color="8EA9DB"/>
                    <w:left w:val="nil"/>
                    <w:bottom w:val="single" w:sz="4" w:space="0" w:color="8EA9DB"/>
                    <w:right w:val="single" w:sz="4" w:space="0" w:color="8EA9DB"/>
                  </w:tcBorders>
                  <w:shd w:val="clear" w:color="D9E1F2" w:fill="D9E1F2"/>
                  <w:noWrap/>
                  <w:vAlign w:val="bottom"/>
                  <w:hideMark/>
                </w:tcPr>
                <w:p w14:paraId="4E5E839C" w14:textId="77777777" w:rsidR="00695448" w:rsidRPr="0098458A" w:rsidRDefault="00695448" w:rsidP="00695448">
                  <w:pPr>
                    <w:spacing w:line="240" w:lineRule="auto"/>
                    <w:jc w:val="right"/>
                    <w:rPr>
                      <w:rFonts w:ascii="Arial" w:hAnsi="Arial" w:cs="Arial"/>
                      <w:b/>
                      <w:bCs/>
                      <w:i/>
                      <w:iCs/>
                      <w:color w:val="000000"/>
                      <w:sz w:val="20"/>
                      <w:szCs w:val="20"/>
                      <w:lang w:eastAsia="sl-SI"/>
                    </w:rPr>
                  </w:pPr>
                  <w:r w:rsidRPr="0098458A">
                    <w:rPr>
                      <w:rFonts w:ascii="Arial" w:hAnsi="Arial" w:cs="Arial"/>
                      <w:b/>
                      <w:bCs/>
                      <w:i/>
                      <w:iCs/>
                      <w:color w:val="000000"/>
                      <w:sz w:val="20"/>
                      <w:szCs w:val="20"/>
                      <w:lang w:eastAsia="sl-SI"/>
                    </w:rPr>
                    <w:t>-66.000.000</w:t>
                  </w:r>
                </w:p>
              </w:tc>
            </w:tr>
            <w:tr w:rsidR="00695448" w:rsidRPr="00BD7CBF" w14:paraId="0E5B3837" w14:textId="77777777" w:rsidTr="00476479">
              <w:trPr>
                <w:trHeight w:val="315"/>
              </w:trPr>
              <w:tc>
                <w:tcPr>
                  <w:tcW w:w="3380" w:type="dxa"/>
                  <w:tcBorders>
                    <w:top w:val="single" w:sz="4" w:space="0" w:color="8EA9DB"/>
                    <w:left w:val="single" w:sz="4" w:space="0" w:color="8EA9DB"/>
                    <w:bottom w:val="single" w:sz="4" w:space="0" w:color="8EA9DB"/>
                    <w:right w:val="nil"/>
                  </w:tcBorders>
                  <w:shd w:val="clear" w:color="auto" w:fill="auto"/>
                  <w:noWrap/>
                  <w:vAlign w:val="bottom"/>
                  <w:hideMark/>
                </w:tcPr>
                <w:p w14:paraId="662A253B" w14:textId="77777777" w:rsidR="00695448" w:rsidRPr="0098458A" w:rsidRDefault="00695448" w:rsidP="00695448">
                  <w:pPr>
                    <w:spacing w:line="240" w:lineRule="auto"/>
                    <w:rPr>
                      <w:rFonts w:ascii="Arial" w:hAnsi="Arial" w:cs="Arial"/>
                      <w:b/>
                      <w:bCs/>
                      <w:color w:val="000000"/>
                      <w:sz w:val="20"/>
                      <w:szCs w:val="20"/>
                      <w:lang w:eastAsia="sl-SI"/>
                    </w:rPr>
                  </w:pPr>
                  <w:r w:rsidRPr="0098458A">
                    <w:rPr>
                      <w:rFonts w:ascii="Arial" w:hAnsi="Arial" w:cs="Arial"/>
                      <w:b/>
                      <w:bCs/>
                      <w:color w:val="000000"/>
                      <w:sz w:val="20"/>
                      <w:szCs w:val="20"/>
                      <w:lang w:eastAsia="sl-SI"/>
                    </w:rPr>
                    <w:t>skupaj + prihranek</w:t>
                  </w:r>
                </w:p>
              </w:tc>
              <w:tc>
                <w:tcPr>
                  <w:tcW w:w="1180" w:type="dxa"/>
                  <w:tcBorders>
                    <w:top w:val="single" w:sz="4" w:space="0" w:color="8EA9DB"/>
                    <w:left w:val="nil"/>
                    <w:bottom w:val="single" w:sz="4" w:space="0" w:color="8EA9DB"/>
                    <w:right w:val="nil"/>
                  </w:tcBorders>
                  <w:shd w:val="clear" w:color="auto" w:fill="auto"/>
                  <w:noWrap/>
                  <w:vAlign w:val="bottom"/>
                  <w:hideMark/>
                </w:tcPr>
                <w:p w14:paraId="79E336E0" w14:textId="77777777" w:rsidR="00695448" w:rsidRPr="0098458A" w:rsidRDefault="00695448" w:rsidP="00695448">
                  <w:pPr>
                    <w:spacing w:line="240" w:lineRule="auto"/>
                    <w:jc w:val="right"/>
                    <w:rPr>
                      <w:rFonts w:ascii="Arial" w:hAnsi="Arial" w:cs="Arial"/>
                      <w:b/>
                      <w:bCs/>
                      <w:color w:val="000000"/>
                      <w:sz w:val="20"/>
                      <w:szCs w:val="20"/>
                      <w:lang w:eastAsia="sl-SI"/>
                    </w:rPr>
                  </w:pPr>
                  <w:r w:rsidRPr="0098458A">
                    <w:rPr>
                      <w:rFonts w:ascii="Arial" w:hAnsi="Arial" w:cs="Arial"/>
                      <w:b/>
                      <w:bCs/>
                      <w:color w:val="000000"/>
                      <w:sz w:val="20"/>
                      <w:szCs w:val="20"/>
                      <w:lang w:eastAsia="sl-SI"/>
                    </w:rPr>
                    <w:t>15.700.000</w:t>
                  </w:r>
                </w:p>
              </w:tc>
              <w:tc>
                <w:tcPr>
                  <w:tcW w:w="1540" w:type="dxa"/>
                  <w:tcBorders>
                    <w:top w:val="single" w:sz="4" w:space="0" w:color="8EA9DB"/>
                    <w:left w:val="nil"/>
                    <w:bottom w:val="single" w:sz="4" w:space="0" w:color="8EA9DB"/>
                    <w:right w:val="nil"/>
                  </w:tcBorders>
                  <w:shd w:val="clear" w:color="auto" w:fill="auto"/>
                  <w:noWrap/>
                  <w:vAlign w:val="bottom"/>
                  <w:hideMark/>
                </w:tcPr>
                <w:p w14:paraId="1CBD258A" w14:textId="77777777" w:rsidR="00695448" w:rsidRPr="0098458A" w:rsidRDefault="00695448" w:rsidP="00695448">
                  <w:pPr>
                    <w:spacing w:line="240" w:lineRule="auto"/>
                    <w:jc w:val="right"/>
                    <w:rPr>
                      <w:rFonts w:ascii="Arial" w:hAnsi="Arial" w:cs="Arial"/>
                      <w:b/>
                      <w:bCs/>
                      <w:color w:val="000000"/>
                      <w:sz w:val="20"/>
                      <w:szCs w:val="20"/>
                      <w:lang w:eastAsia="sl-SI"/>
                    </w:rPr>
                  </w:pPr>
                  <w:r w:rsidRPr="0098458A">
                    <w:rPr>
                      <w:rFonts w:ascii="Arial" w:hAnsi="Arial" w:cs="Arial"/>
                      <w:b/>
                      <w:bCs/>
                      <w:color w:val="000000"/>
                      <w:sz w:val="20"/>
                      <w:szCs w:val="20"/>
                      <w:lang w:eastAsia="sl-SI"/>
                    </w:rPr>
                    <w:t>125.100.390</w:t>
                  </w:r>
                </w:p>
              </w:tc>
              <w:tc>
                <w:tcPr>
                  <w:tcW w:w="1180" w:type="dxa"/>
                  <w:tcBorders>
                    <w:top w:val="single" w:sz="4" w:space="0" w:color="8EA9DB"/>
                    <w:left w:val="nil"/>
                    <w:bottom w:val="single" w:sz="4" w:space="0" w:color="8EA9DB"/>
                    <w:right w:val="nil"/>
                  </w:tcBorders>
                  <w:shd w:val="clear" w:color="auto" w:fill="auto"/>
                  <w:noWrap/>
                  <w:vAlign w:val="bottom"/>
                  <w:hideMark/>
                </w:tcPr>
                <w:p w14:paraId="1F55E3D8" w14:textId="77777777" w:rsidR="00695448" w:rsidRPr="0098458A" w:rsidRDefault="00695448" w:rsidP="00695448">
                  <w:pPr>
                    <w:spacing w:line="240" w:lineRule="auto"/>
                    <w:jc w:val="right"/>
                    <w:rPr>
                      <w:rFonts w:ascii="Arial" w:hAnsi="Arial" w:cs="Arial"/>
                      <w:b/>
                      <w:bCs/>
                      <w:color w:val="000000"/>
                      <w:sz w:val="20"/>
                      <w:szCs w:val="20"/>
                      <w:lang w:eastAsia="sl-SI"/>
                    </w:rPr>
                  </w:pPr>
                  <w:r w:rsidRPr="0098458A">
                    <w:rPr>
                      <w:rFonts w:ascii="Arial" w:hAnsi="Arial" w:cs="Arial"/>
                      <w:b/>
                      <w:bCs/>
                      <w:color w:val="000000"/>
                      <w:sz w:val="20"/>
                      <w:szCs w:val="20"/>
                      <w:lang w:eastAsia="sl-SI"/>
                    </w:rPr>
                    <w:t>24.675.653</w:t>
                  </w:r>
                </w:p>
              </w:tc>
              <w:tc>
                <w:tcPr>
                  <w:tcW w:w="1500" w:type="dxa"/>
                  <w:tcBorders>
                    <w:top w:val="single" w:sz="4" w:space="0" w:color="8EA9DB"/>
                    <w:left w:val="nil"/>
                    <w:bottom w:val="single" w:sz="4" w:space="0" w:color="8EA9DB"/>
                    <w:right w:val="single" w:sz="4" w:space="0" w:color="8EA9DB"/>
                  </w:tcBorders>
                  <w:shd w:val="clear" w:color="auto" w:fill="auto"/>
                  <w:noWrap/>
                  <w:vAlign w:val="bottom"/>
                  <w:hideMark/>
                </w:tcPr>
                <w:p w14:paraId="3D129E99" w14:textId="77777777" w:rsidR="00695448" w:rsidRPr="0098458A" w:rsidRDefault="00695448" w:rsidP="00695448">
                  <w:pPr>
                    <w:spacing w:line="240" w:lineRule="auto"/>
                    <w:jc w:val="right"/>
                    <w:rPr>
                      <w:rFonts w:ascii="Arial" w:hAnsi="Arial" w:cs="Arial"/>
                      <w:b/>
                      <w:bCs/>
                      <w:color w:val="000000"/>
                      <w:sz w:val="20"/>
                      <w:szCs w:val="20"/>
                      <w:lang w:eastAsia="sl-SI"/>
                    </w:rPr>
                  </w:pPr>
                  <w:r w:rsidRPr="0098458A">
                    <w:rPr>
                      <w:rFonts w:ascii="Arial" w:hAnsi="Arial" w:cs="Arial"/>
                      <w:b/>
                      <w:bCs/>
                      <w:color w:val="000000"/>
                      <w:sz w:val="20"/>
                      <w:szCs w:val="20"/>
                      <w:lang w:eastAsia="sl-SI"/>
                    </w:rPr>
                    <w:t>165.476.043</w:t>
                  </w:r>
                </w:p>
              </w:tc>
            </w:tr>
          </w:tbl>
          <w:p w14:paraId="245171A4" w14:textId="5A0E81C4" w:rsidR="00DD43C8" w:rsidRPr="00E01AD3" w:rsidRDefault="00DD43C8" w:rsidP="00DD43C8">
            <w:pPr>
              <w:pStyle w:val="Oddelek"/>
              <w:numPr>
                <w:ilvl w:val="0"/>
                <w:numId w:val="0"/>
              </w:numPr>
              <w:spacing w:before="0" w:after="0" w:line="260" w:lineRule="exact"/>
              <w:jc w:val="both"/>
              <w:rPr>
                <w:b w:val="0"/>
                <w:bCs/>
                <w:sz w:val="20"/>
                <w:szCs w:val="20"/>
              </w:rPr>
            </w:pPr>
          </w:p>
          <w:p w14:paraId="63816E5A" w14:textId="77777777" w:rsidR="00DD43C8" w:rsidRPr="00DD43C8" w:rsidRDefault="00DD43C8" w:rsidP="00DD43C8">
            <w:pPr>
              <w:pStyle w:val="Oddelek"/>
              <w:numPr>
                <w:ilvl w:val="0"/>
                <w:numId w:val="0"/>
              </w:numPr>
              <w:spacing w:before="0" w:after="0" w:line="260" w:lineRule="exact"/>
              <w:jc w:val="both"/>
              <w:rPr>
                <w:sz w:val="20"/>
                <w:szCs w:val="20"/>
              </w:rPr>
            </w:pPr>
          </w:p>
          <w:p w14:paraId="7773615D" w14:textId="77777777" w:rsidR="00DD43C8" w:rsidRPr="00DD43C8" w:rsidRDefault="00DD43C8" w:rsidP="00DD43C8">
            <w:pPr>
              <w:pStyle w:val="Oddelek"/>
              <w:numPr>
                <w:ilvl w:val="0"/>
                <w:numId w:val="14"/>
              </w:numPr>
              <w:spacing w:before="0" w:after="0" w:line="260" w:lineRule="exact"/>
              <w:jc w:val="both"/>
              <w:rPr>
                <w:sz w:val="20"/>
                <w:szCs w:val="20"/>
              </w:rPr>
            </w:pPr>
            <w:r w:rsidRPr="00DD43C8">
              <w:rPr>
                <w:sz w:val="20"/>
                <w:szCs w:val="20"/>
              </w:rPr>
              <w:t>Sprememba 23.člena ZZVZZ – brezšivna skrb:</w:t>
            </w:r>
          </w:p>
          <w:p w14:paraId="206B117E" w14:textId="77777777" w:rsidR="00DD43C8" w:rsidRPr="00DD43C8" w:rsidRDefault="00DD43C8" w:rsidP="00DD43C8">
            <w:pPr>
              <w:pStyle w:val="Neotevilenodstavek"/>
              <w:spacing w:line="276" w:lineRule="auto"/>
              <w:rPr>
                <w:sz w:val="20"/>
                <w:szCs w:val="20"/>
              </w:rPr>
            </w:pPr>
            <w:r w:rsidRPr="00DD43C8">
              <w:rPr>
                <w:sz w:val="20"/>
                <w:szCs w:val="20"/>
              </w:rPr>
              <w:t xml:space="preserve">Sredstva za kritje nadaljevanja izvajanja brezšivne skrbi na primarni ravni v letu 2023 (v višini 41.640,0 EUR) so bila že zagotovljena v okviru Aneksa št. 1 k Splošnemu dogovoru za leto 2022, za storitvi PUZ in KPUZ, pa bo delovna skupina še pripravila predlog za njihovo uvedbo s 1.1.2024. Ocenjena vrednost dodatnih sredstev za uvedbo teh dveh storitev, s 1.1.2024, je 336.590,00 EUR. Sredstva ne bremenijo proračuna RS, ampak zdravstveno blagajno. </w:t>
            </w:r>
          </w:p>
          <w:p w14:paraId="468AC70B" w14:textId="77777777" w:rsidR="00DD43C8" w:rsidRPr="00DD43C8" w:rsidRDefault="00DD43C8" w:rsidP="00DD43C8">
            <w:pPr>
              <w:rPr>
                <w:rFonts w:ascii="Arial" w:hAnsi="Arial" w:cs="Arial"/>
                <w:color w:val="44546A"/>
                <w:sz w:val="20"/>
                <w:szCs w:val="20"/>
              </w:rPr>
            </w:pPr>
          </w:p>
          <w:tbl>
            <w:tblPr>
              <w:tblW w:w="0" w:type="auto"/>
              <w:tblCellMar>
                <w:left w:w="0" w:type="dxa"/>
                <w:right w:w="0" w:type="dxa"/>
              </w:tblCellMar>
              <w:tblLook w:val="04A0" w:firstRow="1" w:lastRow="0" w:firstColumn="1" w:lastColumn="0" w:noHBand="0" w:noVBand="1"/>
            </w:tblPr>
            <w:tblGrid>
              <w:gridCol w:w="2963"/>
              <w:gridCol w:w="2988"/>
              <w:gridCol w:w="2976"/>
            </w:tblGrid>
            <w:tr w:rsidR="00DD43C8" w:rsidRPr="00DD43C8" w14:paraId="1BFA7C91" w14:textId="77777777" w:rsidTr="009E6BB4">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2DAA5" w14:textId="77777777" w:rsidR="00DD43C8" w:rsidRPr="00DD43C8" w:rsidRDefault="00DD43C8" w:rsidP="00DD43C8">
                  <w:pPr>
                    <w:rPr>
                      <w:rFonts w:ascii="Arial" w:hAnsi="Arial" w:cs="Arial"/>
                      <w:sz w:val="20"/>
                      <w:szCs w:val="20"/>
                    </w:rPr>
                  </w:pPr>
                  <w:r w:rsidRPr="00DD43C8">
                    <w:rPr>
                      <w:rFonts w:ascii="Arial" w:hAnsi="Arial" w:cs="Arial"/>
                      <w:sz w:val="20"/>
                      <w:szCs w:val="20"/>
                    </w:rPr>
                    <w:t>Obdobje</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ACA20" w14:textId="77777777" w:rsidR="00DD43C8" w:rsidRPr="00DD43C8" w:rsidRDefault="00DD43C8" w:rsidP="00DD43C8">
                  <w:pPr>
                    <w:rPr>
                      <w:rFonts w:ascii="Arial" w:hAnsi="Arial" w:cs="Arial"/>
                      <w:sz w:val="20"/>
                      <w:szCs w:val="20"/>
                    </w:rPr>
                  </w:pPr>
                  <w:r w:rsidRPr="00DD43C8">
                    <w:rPr>
                      <w:rFonts w:ascii="Arial" w:hAnsi="Arial" w:cs="Arial"/>
                      <w:sz w:val="20"/>
                      <w:szCs w:val="20"/>
                    </w:rPr>
                    <w:t>Opis storitev</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913D5" w14:textId="77777777" w:rsidR="00DD43C8" w:rsidRPr="00DD43C8" w:rsidRDefault="00DD43C8" w:rsidP="00DD43C8">
                  <w:pPr>
                    <w:rPr>
                      <w:rFonts w:ascii="Arial" w:hAnsi="Arial" w:cs="Arial"/>
                      <w:sz w:val="20"/>
                      <w:szCs w:val="20"/>
                    </w:rPr>
                  </w:pPr>
                  <w:r w:rsidRPr="00DD43C8">
                    <w:rPr>
                      <w:rFonts w:ascii="Arial" w:hAnsi="Arial" w:cs="Arial"/>
                      <w:sz w:val="20"/>
                      <w:szCs w:val="20"/>
                    </w:rPr>
                    <w:t xml:space="preserve">Ocenjena vrednost </w:t>
                  </w:r>
                </w:p>
              </w:tc>
            </w:tr>
            <w:tr w:rsidR="00DD43C8" w:rsidRPr="00DD43C8" w14:paraId="3EB141AE" w14:textId="77777777" w:rsidTr="009E6BB4">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98444" w14:textId="77777777" w:rsidR="00DD43C8" w:rsidRPr="00DD43C8" w:rsidRDefault="00DD43C8" w:rsidP="00DD43C8">
                  <w:pPr>
                    <w:rPr>
                      <w:rFonts w:ascii="Arial" w:hAnsi="Arial" w:cs="Arial"/>
                      <w:sz w:val="20"/>
                      <w:szCs w:val="20"/>
                    </w:rPr>
                  </w:pPr>
                  <w:r w:rsidRPr="00DD43C8">
                    <w:rPr>
                      <w:rFonts w:ascii="Arial" w:hAnsi="Arial" w:cs="Arial"/>
                      <w:sz w:val="20"/>
                      <w:szCs w:val="20"/>
                    </w:rPr>
                    <w:t>Od 1.1.2023 (potrjeno v A1-SD 2022)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7DA40A61" w14:textId="77777777" w:rsidR="00DD43C8" w:rsidRPr="00DD43C8" w:rsidRDefault="00DD43C8" w:rsidP="00DD43C8">
                  <w:pPr>
                    <w:rPr>
                      <w:rFonts w:ascii="Arial" w:hAnsi="Arial" w:cs="Arial"/>
                      <w:sz w:val="20"/>
                      <w:szCs w:val="20"/>
                    </w:rPr>
                  </w:pPr>
                  <w:r w:rsidRPr="00DD43C8">
                    <w:rPr>
                      <w:rFonts w:ascii="Arial" w:hAnsi="Arial" w:cs="Arial"/>
                      <w:sz w:val="20"/>
                      <w:szCs w:val="20"/>
                    </w:rPr>
                    <w:t>Nadaljevanje izvajanja brezšivne skrbi na primarni ravni (ažuriranje Osebne kartice zdravil)</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92F17D0" w14:textId="77777777" w:rsidR="00DD43C8" w:rsidRPr="00DD43C8" w:rsidRDefault="00DD43C8" w:rsidP="00DD43C8">
                  <w:pPr>
                    <w:rPr>
                      <w:rFonts w:ascii="Arial" w:hAnsi="Arial" w:cs="Arial"/>
                      <w:sz w:val="20"/>
                      <w:szCs w:val="20"/>
                    </w:rPr>
                  </w:pPr>
                  <w:r w:rsidRPr="00DD43C8">
                    <w:rPr>
                      <w:rFonts w:ascii="Arial" w:hAnsi="Arial" w:cs="Arial"/>
                      <w:sz w:val="20"/>
                      <w:szCs w:val="20"/>
                    </w:rPr>
                    <w:t>41.640,00 EUR</w:t>
                  </w:r>
                </w:p>
              </w:tc>
            </w:tr>
            <w:tr w:rsidR="00DD43C8" w:rsidRPr="00DD43C8" w14:paraId="77B4867F" w14:textId="77777777" w:rsidTr="009E6BB4">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1961D" w14:textId="77777777" w:rsidR="00DD43C8" w:rsidRPr="00DD43C8" w:rsidRDefault="00DD43C8" w:rsidP="00DD43C8">
                  <w:pPr>
                    <w:rPr>
                      <w:rFonts w:ascii="Arial" w:hAnsi="Arial" w:cs="Arial"/>
                      <w:sz w:val="20"/>
                      <w:szCs w:val="20"/>
                    </w:rPr>
                  </w:pPr>
                  <w:r w:rsidRPr="00DD43C8">
                    <w:rPr>
                      <w:rFonts w:ascii="Arial" w:hAnsi="Arial" w:cs="Arial"/>
                      <w:sz w:val="20"/>
                      <w:szCs w:val="20"/>
                    </w:rPr>
                    <w:t>Od 1.1.2024 (določilo v A1-SD2022 za sprejetje predloga novih storitev do 1.1.2024)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5658B192" w14:textId="77777777" w:rsidR="00DD43C8" w:rsidRPr="00DD43C8" w:rsidRDefault="00DD43C8" w:rsidP="00DD43C8">
                  <w:pPr>
                    <w:rPr>
                      <w:rFonts w:ascii="Arial" w:hAnsi="Arial" w:cs="Arial"/>
                      <w:sz w:val="20"/>
                      <w:szCs w:val="20"/>
                    </w:rPr>
                  </w:pPr>
                  <w:r w:rsidRPr="00DD43C8">
                    <w:rPr>
                      <w:rFonts w:ascii="Arial" w:hAnsi="Arial" w:cs="Arial"/>
                      <w:sz w:val="20"/>
                      <w:szCs w:val="20"/>
                    </w:rPr>
                    <w:t>PUZ in KPUZ</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3A1227B" w14:textId="77777777" w:rsidR="00DD43C8" w:rsidRPr="00DD43C8" w:rsidRDefault="00DD43C8" w:rsidP="00DD43C8">
                  <w:pPr>
                    <w:rPr>
                      <w:rFonts w:ascii="Arial" w:hAnsi="Arial" w:cs="Arial"/>
                      <w:sz w:val="20"/>
                      <w:szCs w:val="20"/>
                    </w:rPr>
                  </w:pPr>
                  <w:r w:rsidRPr="00DD43C8">
                    <w:rPr>
                      <w:rFonts w:ascii="Arial" w:hAnsi="Arial" w:cs="Arial"/>
                      <w:sz w:val="20"/>
                      <w:szCs w:val="20"/>
                    </w:rPr>
                    <w:t>336.590,00 EUR</w:t>
                  </w:r>
                </w:p>
              </w:tc>
            </w:tr>
          </w:tbl>
          <w:p w14:paraId="6398B0B8" w14:textId="77777777" w:rsidR="00DD43C8" w:rsidRPr="00DD43C8" w:rsidRDefault="00DD43C8" w:rsidP="00DD43C8">
            <w:pPr>
              <w:pStyle w:val="Oddelek"/>
              <w:numPr>
                <w:ilvl w:val="0"/>
                <w:numId w:val="0"/>
              </w:numPr>
              <w:spacing w:before="0" w:after="0" w:line="260" w:lineRule="exact"/>
              <w:jc w:val="both"/>
              <w:rPr>
                <w:sz w:val="20"/>
                <w:szCs w:val="20"/>
              </w:rPr>
            </w:pPr>
          </w:p>
          <w:p w14:paraId="73C062F9" w14:textId="77777777" w:rsidR="00DD43C8" w:rsidRPr="00DD43C8" w:rsidRDefault="00DD43C8" w:rsidP="00DD43C8">
            <w:pPr>
              <w:pStyle w:val="Neotevilenodstavek"/>
              <w:numPr>
                <w:ilvl w:val="0"/>
                <w:numId w:val="14"/>
              </w:numPr>
              <w:spacing w:line="276" w:lineRule="auto"/>
              <w:rPr>
                <w:b/>
                <w:bCs/>
                <w:sz w:val="20"/>
                <w:szCs w:val="20"/>
              </w:rPr>
            </w:pPr>
            <w:r w:rsidRPr="00DD43C8">
              <w:rPr>
                <w:b/>
                <w:bCs/>
                <w:sz w:val="20"/>
                <w:szCs w:val="20"/>
              </w:rPr>
              <w:t>Cepljenje proti COVID-19</w:t>
            </w:r>
          </w:p>
          <w:p w14:paraId="36A1EC62" w14:textId="77777777" w:rsidR="00DD43C8" w:rsidRPr="00DD43C8" w:rsidRDefault="00DD43C8" w:rsidP="00DD43C8">
            <w:pPr>
              <w:shd w:val="clear" w:color="auto" w:fill="FFFFFF"/>
              <w:spacing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 xml:space="preserve">Financiranje temelji na izkušnjah oziroma realizaciji, ki smo jo imeli v letu 2021 oziroma v začetku leta 2022. Finančne posledice znašajo skupno predvidoma 71.500.000 eurov, od tega v letu 2022 največ do višine 11.000.000 eur, v letu 2023 predvidoma v višini 55.000.000, v letu 2024 pa predvidoma 5.550.000, in sicer za naslednje vsebine: </w:t>
            </w:r>
          </w:p>
          <w:p w14:paraId="7CF6443D" w14:textId="77777777" w:rsidR="00DD43C8" w:rsidRPr="00DD43C8" w:rsidRDefault="00DD43C8" w:rsidP="00DD43C8">
            <w:pPr>
              <w:pStyle w:val="Odstavekseznama"/>
              <w:numPr>
                <w:ilvl w:val="0"/>
                <w:numId w:val="15"/>
              </w:numPr>
              <w:shd w:val="clear" w:color="auto" w:fill="FFFFFF"/>
              <w:spacing w:after="0"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 xml:space="preserve">strošek izvedbe cepljenja je ocenjen na 39.976.580 evrov (povračilo stroškov pogodbenim partnerjem ZZZS), </w:t>
            </w:r>
          </w:p>
          <w:p w14:paraId="0EA4D3CC" w14:textId="77777777" w:rsidR="00DD43C8" w:rsidRPr="00DD43C8" w:rsidRDefault="00DD43C8" w:rsidP="00DD43C8">
            <w:pPr>
              <w:pStyle w:val="Odstavekseznama"/>
              <w:numPr>
                <w:ilvl w:val="0"/>
                <w:numId w:val="15"/>
              </w:numPr>
              <w:shd w:val="clear" w:color="auto" w:fill="FFFFFF"/>
              <w:spacing w:after="0"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 xml:space="preserve">strošek shranjevanja cepiv: 56.000 eur, </w:t>
            </w:r>
          </w:p>
          <w:p w14:paraId="645DE17E" w14:textId="77777777" w:rsidR="00DD43C8" w:rsidRPr="00DD43C8" w:rsidRDefault="00DD43C8" w:rsidP="00DD43C8">
            <w:pPr>
              <w:pStyle w:val="Odstavekseznama"/>
              <w:numPr>
                <w:ilvl w:val="0"/>
                <w:numId w:val="15"/>
              </w:numPr>
              <w:shd w:val="clear" w:color="auto" w:fill="FFFFFF"/>
              <w:spacing w:after="0"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 xml:space="preserve">strošek prevoza pacientov ki se začasno vključujejo v sistem izvajanja NMP: 1.332.420 eurov, </w:t>
            </w:r>
          </w:p>
          <w:p w14:paraId="00A09B4F" w14:textId="77777777" w:rsidR="00DD43C8" w:rsidRPr="00DD43C8" w:rsidRDefault="00DD43C8" w:rsidP="00DD43C8">
            <w:pPr>
              <w:pStyle w:val="Odstavekseznama"/>
              <w:numPr>
                <w:ilvl w:val="0"/>
                <w:numId w:val="15"/>
              </w:numPr>
              <w:shd w:val="clear" w:color="auto" w:fill="FFFFFF"/>
              <w:spacing w:after="0"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 xml:space="preserve">strošek nabave zdravil: 30.000.000 evrov, </w:t>
            </w:r>
          </w:p>
          <w:p w14:paraId="2C72D4D5" w14:textId="77777777" w:rsidR="00DD43C8" w:rsidRPr="00DD43C8" w:rsidRDefault="00DD43C8" w:rsidP="00DD43C8">
            <w:pPr>
              <w:pStyle w:val="Odstavekseznama"/>
              <w:numPr>
                <w:ilvl w:val="0"/>
                <w:numId w:val="15"/>
              </w:numPr>
              <w:shd w:val="clear" w:color="auto" w:fill="FFFFFF"/>
              <w:spacing w:after="0" w:line="276" w:lineRule="auto"/>
              <w:jc w:val="both"/>
              <w:rPr>
                <w:rFonts w:ascii="Arial" w:eastAsia="Calibri" w:hAnsi="Arial" w:cs="Arial"/>
                <w:color w:val="000000"/>
                <w:sz w:val="20"/>
                <w:szCs w:val="20"/>
              </w:rPr>
            </w:pPr>
            <w:r w:rsidRPr="00DD43C8">
              <w:rPr>
                <w:rFonts w:ascii="Arial" w:eastAsia="Calibri" w:hAnsi="Arial" w:cs="Arial"/>
                <w:color w:val="000000"/>
                <w:sz w:val="20"/>
                <w:szCs w:val="20"/>
              </w:rPr>
              <w:t>strošek ugotavljanja povezave med cepljenjem in neželenim učinkom: 135.000 eurov.</w:t>
            </w:r>
          </w:p>
          <w:p w14:paraId="4C5BAC85" w14:textId="77777777" w:rsidR="00DD43C8" w:rsidRPr="00DD43C8" w:rsidRDefault="00DD43C8" w:rsidP="00DD43C8">
            <w:pPr>
              <w:shd w:val="clear" w:color="auto" w:fill="FFFFFF"/>
              <w:spacing w:line="276" w:lineRule="auto"/>
              <w:jc w:val="both"/>
              <w:rPr>
                <w:rFonts w:ascii="Arial" w:eastAsia="Calibri" w:hAnsi="Arial" w:cs="Arial"/>
                <w:color w:val="000000"/>
                <w:sz w:val="20"/>
                <w:szCs w:val="20"/>
              </w:rPr>
            </w:pPr>
          </w:p>
          <w:p w14:paraId="73F6580C" w14:textId="77777777" w:rsidR="00DD43C8" w:rsidRPr="00DD43C8" w:rsidRDefault="00DD43C8" w:rsidP="00DD43C8">
            <w:pPr>
              <w:pStyle w:val="Neotevilenodstavek"/>
              <w:numPr>
                <w:ilvl w:val="0"/>
                <w:numId w:val="14"/>
              </w:numPr>
              <w:spacing w:line="276" w:lineRule="auto"/>
              <w:rPr>
                <w:b/>
                <w:bCs/>
                <w:sz w:val="20"/>
                <w:szCs w:val="20"/>
              </w:rPr>
            </w:pPr>
            <w:r w:rsidRPr="00DD43C8">
              <w:rPr>
                <w:b/>
                <w:bCs/>
                <w:sz w:val="20"/>
                <w:szCs w:val="20"/>
              </w:rPr>
              <w:t>Denarna odškodnina zaradi škode, ki nastane zaradi cepljenja s cepivom proti COVID-19 ali zaradi uporabe zdravila za zdravljenje COVID-19</w:t>
            </w:r>
          </w:p>
          <w:p w14:paraId="4C9CB1E7" w14:textId="77777777" w:rsidR="00DD43C8" w:rsidRPr="00DD43C8" w:rsidRDefault="00DD43C8" w:rsidP="00DD43C8">
            <w:pPr>
              <w:pStyle w:val="Neotevilenodstavek"/>
              <w:spacing w:line="276" w:lineRule="auto"/>
              <w:rPr>
                <w:sz w:val="20"/>
                <w:szCs w:val="20"/>
              </w:rPr>
            </w:pPr>
            <w:r w:rsidRPr="00DD43C8">
              <w:rPr>
                <w:sz w:val="20"/>
                <w:szCs w:val="20"/>
              </w:rPr>
              <w:t>Finančna ocena za leto 2022 je bila predvidena v višini 300.000 eurov, zato za leto 2023 predvidevamo finančne posledice v višini 1.000.000 mio eurov ter 830.000 eur za leto 2024. Skupni finančni učinek predviden v višini 1.830.000 evrov.</w:t>
            </w:r>
          </w:p>
          <w:p w14:paraId="3261DA56" w14:textId="77777777" w:rsidR="00DD43C8" w:rsidRPr="00DD43C8" w:rsidRDefault="00DD43C8" w:rsidP="00DD43C8">
            <w:pPr>
              <w:pStyle w:val="Neotevilenodstavek"/>
              <w:spacing w:line="276" w:lineRule="auto"/>
              <w:rPr>
                <w:sz w:val="20"/>
                <w:szCs w:val="20"/>
              </w:rPr>
            </w:pPr>
          </w:p>
          <w:p w14:paraId="6F01F2E6" w14:textId="77777777" w:rsidR="00DD43C8" w:rsidRPr="00DD43C8" w:rsidRDefault="00DD43C8" w:rsidP="00DD43C8">
            <w:pPr>
              <w:pStyle w:val="Neotevilenodstavek"/>
              <w:numPr>
                <w:ilvl w:val="0"/>
                <w:numId w:val="14"/>
              </w:numPr>
              <w:spacing w:line="276" w:lineRule="auto"/>
              <w:rPr>
                <w:b/>
                <w:bCs/>
                <w:sz w:val="20"/>
                <w:szCs w:val="20"/>
              </w:rPr>
            </w:pPr>
            <w:r w:rsidRPr="00DD43C8">
              <w:rPr>
                <w:b/>
                <w:bCs/>
                <w:sz w:val="20"/>
                <w:szCs w:val="20"/>
              </w:rPr>
              <w:t>Spremembe ZNUZSZS</w:t>
            </w:r>
          </w:p>
          <w:p w14:paraId="38D063B5" w14:textId="77777777" w:rsidR="00DD43C8" w:rsidRPr="00DD43C8" w:rsidRDefault="00DD43C8" w:rsidP="00DD43C8">
            <w:pPr>
              <w:pStyle w:val="Neotevilenodstavek"/>
              <w:spacing w:line="276" w:lineRule="auto"/>
              <w:rPr>
                <w:sz w:val="20"/>
                <w:szCs w:val="20"/>
              </w:rPr>
            </w:pPr>
            <w:r w:rsidRPr="00DD43C8">
              <w:rPr>
                <w:sz w:val="20"/>
                <w:szCs w:val="20"/>
              </w:rPr>
              <w:lastRenderedPageBreak/>
              <w:t xml:space="preserve">Z vidika ZZZS in državnega proračuna bodo finančne posledice nespremenjene (glede na 15. člen ZNUZSZS). Z vidika izvajalcev se bodo morda finančne posledice povišale, ker lahko podjemne pogodbe sklepajo za redni obseg programa, vendar se mora pri tem upoštevati  53. c člen ZZDej, ki opredeljuje, da je potrebno pred sklenitvijo podjemne pogodbe opraviti analizo, s katero se dokaže stroškovno upravičenost sklenitve podjemne pogodbe, pri čemer upošteva vse stroške, povezane z opravljanjem zdravstvenih storitev, za katere se podjemna pogodba sklepa. Predvideva se do 20 % dvig obsega podjemnih pogodb, kar pomeni okrog 2,5 mio eur finančnih posledic pri izvajalcih. Oprostitev plačila davka na določene prejemke v okviru podjemne pomeni izpad prihodkov v državni proračun v ocenjeni višini  3,75 mio eur. V letu 2021 je bilo sklenjenih podjemnih pogodb v okvirni višini 25 mio EUR, na polletni ravni torej 12,5 mio eur. Ob predpostavki, da pričakujemo 20 % več podjemnih pogodb, to pomeni 15 mio EUR v obdobju do 31.3.2022, kar pomeni davčni izpad v višini 3,75 mio EUR. </w:t>
            </w:r>
          </w:p>
          <w:p w14:paraId="2D8DDDDD" w14:textId="77777777" w:rsidR="00DD43C8" w:rsidRPr="00DD43C8" w:rsidRDefault="00DD43C8" w:rsidP="00DD43C8">
            <w:pPr>
              <w:pStyle w:val="Neotevilenodstavek"/>
              <w:spacing w:line="276" w:lineRule="auto"/>
              <w:rPr>
                <w:sz w:val="20"/>
                <w:szCs w:val="20"/>
              </w:rPr>
            </w:pPr>
          </w:p>
          <w:p w14:paraId="36852939" w14:textId="77777777" w:rsidR="00DD43C8" w:rsidRPr="00DD43C8" w:rsidRDefault="00DD43C8" w:rsidP="00DD43C8">
            <w:pPr>
              <w:pStyle w:val="Neotevilenodstavek"/>
              <w:spacing w:line="276" w:lineRule="auto"/>
              <w:rPr>
                <w:sz w:val="20"/>
                <w:szCs w:val="20"/>
              </w:rPr>
            </w:pPr>
            <w:r w:rsidRPr="00DD43C8">
              <w:rPr>
                <w:sz w:val="20"/>
                <w:szCs w:val="20"/>
              </w:rPr>
              <w:t>Sprememba 16. člena nima finančnih posledic za državni proračun oziroma zdravstveno blagajno</w:t>
            </w:r>
            <w:r w:rsidRPr="00DD43C8">
              <w:rPr>
                <w:strike/>
                <w:color w:val="2E74B5" w:themeColor="accent1" w:themeShade="BF"/>
                <w:sz w:val="20"/>
                <w:szCs w:val="20"/>
              </w:rPr>
              <w:t>,</w:t>
            </w:r>
            <w:r w:rsidRPr="00DD43C8">
              <w:rPr>
                <w:sz w:val="20"/>
                <w:szCs w:val="20"/>
              </w:rPr>
              <w:t>, saj so le-te bile predvidene že v okviru ZNUZSZS.  Dodaja se le pravna podlaga za porabo sredstev, ki jih imajo zavarovalnice, ki izvajajo dopolnilno zdravstveno zavarovanje, oblikovana kot zavarovalno – tehnične rezervacije na podlagi določb ZZUOOP in ZNUPZ. Brez te določbe bodo te zavarovalnice prisiljene sprostiti oblikovane zavarovalno tehnične rezervacije za namen skrajševanja čakalnih dob za druge namene. S finančnega vidika ne gre za prihranek za blagajne javnega financiranja, saj predmetne zavarovalnice storitve financirajo le predpisanem deležu.</w:t>
            </w:r>
          </w:p>
          <w:p w14:paraId="2D8B438E" w14:textId="77777777" w:rsidR="00DD43C8" w:rsidRPr="00DD43C8" w:rsidRDefault="00DD43C8" w:rsidP="00DD43C8">
            <w:pPr>
              <w:pStyle w:val="Neotevilenodstavek"/>
              <w:spacing w:line="276" w:lineRule="auto"/>
              <w:rPr>
                <w:sz w:val="20"/>
                <w:szCs w:val="20"/>
              </w:rPr>
            </w:pPr>
            <w:r w:rsidRPr="00DD43C8">
              <w:rPr>
                <w:sz w:val="20"/>
                <w:szCs w:val="20"/>
              </w:rPr>
              <w:t xml:space="preserve">V okviru spremembe prvega odstavka 16. člena ZNUZSZS gre za popravek v terminu, saj ne bomo financirali dodatkov, ampak plače, kot je bilo tudi že predvideno v okviru ZNUZSZS. Iz tega vidika dodatnih finančnih posledic ni oziroma so le-te predvidene že v okviru ZNUZSZS. </w:t>
            </w:r>
          </w:p>
          <w:p w14:paraId="52AB5BE0" w14:textId="77777777" w:rsidR="00DD43C8" w:rsidRPr="00DD43C8" w:rsidRDefault="00DD43C8" w:rsidP="00DD43C8">
            <w:pPr>
              <w:pStyle w:val="Neotevilenodstavek"/>
              <w:spacing w:line="276" w:lineRule="auto"/>
              <w:rPr>
                <w:sz w:val="20"/>
                <w:szCs w:val="20"/>
              </w:rPr>
            </w:pPr>
          </w:p>
          <w:p w14:paraId="12F0908C" w14:textId="77777777" w:rsidR="00DD43C8" w:rsidRPr="00DD43C8" w:rsidRDefault="00DD43C8" w:rsidP="00DD43C8">
            <w:pPr>
              <w:pStyle w:val="Neotevilenodstavek"/>
              <w:numPr>
                <w:ilvl w:val="0"/>
                <w:numId w:val="14"/>
              </w:numPr>
              <w:spacing w:line="276" w:lineRule="auto"/>
              <w:rPr>
                <w:b/>
                <w:bCs/>
                <w:sz w:val="20"/>
                <w:szCs w:val="20"/>
              </w:rPr>
            </w:pPr>
            <w:r w:rsidRPr="00DD43C8">
              <w:rPr>
                <w:b/>
                <w:bCs/>
                <w:sz w:val="20"/>
                <w:szCs w:val="20"/>
              </w:rPr>
              <w:t>Spremenjen način obračunavanja izolacij</w:t>
            </w:r>
          </w:p>
          <w:p w14:paraId="31E5FB1D" w14:textId="77777777" w:rsidR="00DD43C8" w:rsidRPr="00DD43C8" w:rsidRDefault="00DD43C8" w:rsidP="00DD43C8">
            <w:pPr>
              <w:pStyle w:val="Neotevilenodstavek"/>
              <w:spacing w:line="276" w:lineRule="auto"/>
              <w:rPr>
                <w:sz w:val="20"/>
                <w:szCs w:val="20"/>
              </w:rPr>
            </w:pPr>
            <w:r w:rsidRPr="00DD43C8">
              <w:rPr>
                <w:sz w:val="20"/>
                <w:szCs w:val="20"/>
              </w:rPr>
              <w:t>Skladno z ugotovitvami ZZZS odhodek iz naslova izolacij znaša 106 mio EUR, vendar ne moremo v celoti izločiti tega odhodka, saj v letu 2023 plačujejo tudi izolacije, nastale v letu 2022 in so zahtevki delodajalcev predloženi v letu 2023, zato ocenjujejo, da lahko zmanjšajo primanjkljaj za 66 mio EUR.</w:t>
            </w:r>
          </w:p>
          <w:p w14:paraId="5EDF6079" w14:textId="77777777" w:rsidR="00DD43C8" w:rsidRPr="00DD43C8" w:rsidRDefault="00DD43C8" w:rsidP="00DD43C8">
            <w:pPr>
              <w:pStyle w:val="Neotevilenodstavek"/>
              <w:spacing w:line="276" w:lineRule="auto"/>
              <w:rPr>
                <w:b/>
                <w:bCs/>
                <w:sz w:val="20"/>
                <w:szCs w:val="20"/>
              </w:rPr>
            </w:pPr>
            <w:r w:rsidRPr="00DD43C8">
              <w:rPr>
                <w:b/>
                <w:bCs/>
                <w:sz w:val="20"/>
                <w:szCs w:val="20"/>
              </w:rPr>
              <w:t xml:space="preserve"> </w:t>
            </w:r>
          </w:p>
          <w:p w14:paraId="3A84F319"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Ambulanta za neopredeljene zavarovane osebe</w:t>
            </w:r>
          </w:p>
          <w:p w14:paraId="196EEA90" w14:textId="77777777" w:rsidR="00DD43C8" w:rsidRPr="00DD43C8" w:rsidRDefault="00DD43C8" w:rsidP="00DD43C8">
            <w:pPr>
              <w:pStyle w:val="Neotevilenodstavek"/>
              <w:spacing w:line="276" w:lineRule="auto"/>
              <w:rPr>
                <w:sz w:val="20"/>
                <w:szCs w:val="20"/>
              </w:rPr>
            </w:pPr>
            <w:r w:rsidRPr="00DD43C8">
              <w:rPr>
                <w:sz w:val="20"/>
                <w:szCs w:val="20"/>
              </w:rPr>
              <w:t>Standard ambulante za neopredeljene zavarovane osebe je ocenjen na 310.000 eurov, v primeru, da ambulanta opravlja 6,5 ure ordinacijskega časa na dan. Glede na obseg predvidevamo, da bo 7 tovrstnih  ambulant, ki bodo organizirane za poln ordinacijski čas, preostale pa za krajši organizacijski delovni čas. Upoštevajoč navedeno letni strošek znaša cca 8.500.000 eurov. Pri ambulantah za neopredeljene zavarovane osebe, ki se financirajo iz sredstev obveznega zdravstvenega zavarovanja, ne gre za dodatna sredstva, saj so finančna sredstva zagotovljena od ambulant, ki jih ambulanta za neopredeljene zavarovane osebe nadomesti iz razloga pomanjkanja zdravnika.</w:t>
            </w:r>
          </w:p>
          <w:p w14:paraId="4F29600B" w14:textId="77777777" w:rsidR="00DD43C8" w:rsidRPr="00DD43C8" w:rsidRDefault="00DD43C8" w:rsidP="00DD43C8">
            <w:pPr>
              <w:pStyle w:val="Neotevilenodstavek"/>
              <w:spacing w:line="276" w:lineRule="auto"/>
              <w:rPr>
                <w:sz w:val="20"/>
                <w:szCs w:val="20"/>
              </w:rPr>
            </w:pPr>
            <w:r w:rsidRPr="00DD43C8">
              <w:rPr>
                <w:sz w:val="20"/>
                <w:szCs w:val="20"/>
              </w:rPr>
              <w:t>Dodatnih finančnih posledic za državni proračun oziroma ZZZS ne bo, saj je že v finančnem načrtu ZZZS za leto 2022 načrtovanih 8,5 Mio eur na podlagi Aneksa št. 1 k Splošnemu dogovoru za pogodbeno leto 2021 in za namen širitev ambulant za neopredeljene. Prav tako je takšen znesek načrtovan v projekcijah za prihodnja leta. Do realizacije teh širitev na način kot je določen v Aneksu št. 1 k Splošnemu dogovoru za leto 2021 ni prišlo in sredstva ostajajo nerealizirana oziroma bodo porabljena za namen tega člena.</w:t>
            </w:r>
          </w:p>
          <w:p w14:paraId="68207800"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Občasno oziroma začasno opravljanje zdravstvenih storitev</w:t>
            </w:r>
          </w:p>
          <w:p w14:paraId="40A888C5"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Ocenjena vrednost temelji na dosedanji realizaciji, ki jo je imelo Ministrstvo za zdravje v okviru svojega finančnega načrta in znaša 1.520.000 evrov, od tega v letu 2022 v višini 108.300 evrov, v letu 2023 1.300.000 evrov in v letu 2024 v predvideni višini 108.333 evrov.</w:t>
            </w:r>
          </w:p>
          <w:p w14:paraId="5D79B74B"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Izvajanje mikrobioloških preiskav sekvenciranja in spremljanja virusa v odpadnih vodah ter natančna karakterizacija variantnih virusov</w:t>
            </w:r>
          </w:p>
          <w:p w14:paraId="4F39AF6C"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lastRenderedPageBreak/>
              <w:t>Ocenjena višina ukrepa temelji na realizaciji, ki jo je imelo Ministrstvo za zdravje v okviru FN za leti 2021 in 2022. Skupna vrednost ukrepa je tako ocenjena na 2,3 mio EUR, od tega v letih 2022 in 2024 v višini 166.700 eur (za zahtevke prejete novembra 2022 oziroma decembra 2023), v letu 2023 pa predvidoma 2 mio EUR.</w:t>
            </w:r>
          </w:p>
          <w:p w14:paraId="21ED79DE"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Samotestiranje</w:t>
            </w:r>
          </w:p>
          <w:p w14:paraId="2E68F285"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 xml:space="preserve">Skupni finančni učinek ukrepa znaša 79,2 mio EUR. Izhajajoč iz baze podatkov Statističnega urada RS imamo v Sloveniji skupno 357.500 upravičencev, ki so vključeni v vzgojno-izobraževalni program, od tega 200.000 učencev, 75.500 dijakov in 82.000 študentov. Če predvidimo, da so upravičenci upravičeni do največ 10 testov na mesec, in glede na to, da bodo teste uporabljali največ 10 mesec v koledarskem letu (brez julija in avgusta), pomeni, da bo en upravičenec upravičen do 100 testov na leto. K strošku testa je potrebno prišteti tudi strošek lekarniške dejavnosti, ki znaša 4,5 eur na izdan recept. To pomeni, da znaša finančni učinek v letu 2023 skupno 73 mio EUR, v letu 2024 (decembrski računi, prejeti v letu 2023) pa 6 mio EUR.  </w:t>
            </w:r>
          </w:p>
          <w:p w14:paraId="4BF52320"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Podaljšana obravnava</w:t>
            </w:r>
          </w:p>
          <w:p w14:paraId="16516BD4"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Finančni učinek znaša skupno 3,5 mio EUR. Temelji na realizaciji, ki jo je imelo Ministrstvo za zdravje znotraj svojega finančnega načrta v letih 2021 in 2022. Novembrski zahtevek, izplačan v decembru 2022 in decembrski zahtevek v letu 2023, izplačan v letu 2024 bosta znašala predvidoma 250.000 EUR vsak. Finančni učinek v letu 2023 je ocenjen na 3.000.000 EUR.</w:t>
            </w:r>
          </w:p>
          <w:p w14:paraId="0B25CCE6"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Zdravljenje s kisikom</w:t>
            </w:r>
          </w:p>
          <w:p w14:paraId="44323B7E"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Skupni finančni učinek ukrepa je ocenjen na 410.000 EUR in temelji na realizaciji, ki jo je imelo Ministrstvo za zdravje. Za novembrski zahtevek, izplačan v letu 2022 in decembrski zahtevek v letu 2023, izplačan v letu 2024 bosta bremenila proračun v okvirni višini 30.000 EUR/leto, medtem, ko v letu 2023 ocenjujemo finančne posledice v skupni višini 350.000 EUR.</w:t>
            </w:r>
          </w:p>
          <w:p w14:paraId="505B86FE"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Cepljenje proti gripi</w:t>
            </w:r>
          </w:p>
          <w:p w14:paraId="62569F87"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 xml:space="preserve">Izhajajoč iz realizacije v letu 2021 je ukrep ocenjen na 5,4 mio EUR, od tega v letu 2022 (za novembrske zahtevke v letu 2022) v višini 410.000 EUR. </w:t>
            </w:r>
          </w:p>
          <w:p w14:paraId="2DFD57D2"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Naloge s področja javnega zdravja</w:t>
            </w:r>
          </w:p>
          <w:p w14:paraId="6B1EE03D"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 xml:space="preserve">Skupni finančni učinek je ocenjen na 8.700.000 EUR. Za storitev upravljanja, koordinacije, vključno z zagotovitvijo delovanja strokovnih delovnih skupin, modeliranjem gibanja virusa je finančni učinek ocenjen na skupno 7 mio EUR. Ocena temelji na realizaciji, ki jo je imelo Ministrstvo za zdravje v prvi polovici leta 2022 in zajema: delo epidemiološke službe, storitev pridobivanja, beleženja podatkov v zvezi s COVID, modeliranje podatkov, napoved trendov gibanja, vzdrževanje IT infrastrukture. Hkrati za zagotavljanje delovanja COVID-19 potrdil se predvideva realizacijo v višini 100.000 eurov v letu 2022 in 300.000 eurov v letu 2023. Finančni učinek temelji na dosedanjih izkušnjah. </w:t>
            </w:r>
          </w:p>
          <w:p w14:paraId="3F7DF3BD"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 xml:space="preserve">Začasne razporeditve </w:t>
            </w:r>
          </w:p>
          <w:p w14:paraId="5DFC821C" w14:textId="77777777" w:rsidR="00DD43C8" w:rsidRPr="00DD43C8" w:rsidRDefault="00DD43C8" w:rsidP="00DD43C8">
            <w:pPr>
              <w:shd w:val="clear" w:color="auto" w:fill="FFFFFF"/>
              <w:spacing w:line="276" w:lineRule="auto"/>
              <w:jc w:val="both"/>
              <w:rPr>
                <w:rFonts w:ascii="Arial" w:hAnsi="Arial" w:cs="Arial"/>
                <w:sz w:val="20"/>
                <w:szCs w:val="20"/>
              </w:rPr>
            </w:pPr>
            <w:r w:rsidRPr="00DD43C8">
              <w:rPr>
                <w:rFonts w:ascii="Arial" w:hAnsi="Arial" w:cs="Arial"/>
                <w:sz w:val="20"/>
                <w:szCs w:val="20"/>
              </w:rPr>
              <w:t>Ocena temelji na realizaciji v letu 2021 oziroma 2022 in znaša predvidoma 1,1 mio EUR, od tega v letu 2023 v višini 1 mio EUR.</w:t>
            </w:r>
          </w:p>
          <w:p w14:paraId="2E73650E"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Dodatne specializacije</w:t>
            </w:r>
          </w:p>
          <w:p w14:paraId="1BF894A4" w14:textId="77777777" w:rsidR="00DD43C8" w:rsidRPr="00DD43C8" w:rsidRDefault="00DD43C8" w:rsidP="00DD43C8">
            <w:pPr>
              <w:pStyle w:val="Oddelek"/>
              <w:numPr>
                <w:ilvl w:val="0"/>
                <w:numId w:val="0"/>
              </w:numPr>
              <w:spacing w:before="0" w:after="0" w:line="260" w:lineRule="exact"/>
              <w:jc w:val="both"/>
              <w:rPr>
                <w:sz w:val="20"/>
                <w:szCs w:val="20"/>
              </w:rPr>
            </w:pPr>
          </w:p>
          <w:p w14:paraId="2A6B2727" w14:textId="77777777" w:rsidR="00DD43C8" w:rsidRPr="00DD43C8" w:rsidRDefault="00DD43C8" w:rsidP="00DD43C8">
            <w:pPr>
              <w:keepNext/>
              <w:autoSpaceDE w:val="0"/>
              <w:autoSpaceDN w:val="0"/>
              <w:spacing w:line="276" w:lineRule="auto"/>
              <w:jc w:val="both"/>
              <w:rPr>
                <w:rFonts w:ascii="Arial" w:hAnsi="Arial" w:cs="Arial"/>
                <w:color w:val="000000"/>
                <w:sz w:val="20"/>
                <w:szCs w:val="20"/>
                <w:lang w:eastAsia="sl-SI"/>
              </w:rPr>
            </w:pPr>
            <w:r w:rsidRPr="00DD43C8">
              <w:rPr>
                <w:rFonts w:ascii="Arial" w:hAnsi="Arial" w:cs="Arial"/>
                <w:color w:val="000000"/>
                <w:sz w:val="20"/>
                <w:szCs w:val="20"/>
                <w:lang w:eastAsia="sl-SI"/>
              </w:rPr>
              <w:t xml:space="preserve">Finančne posledice za razpis specializacij iz klinične psihologije in dodatek za specializante iz družinske medicine (ob predvidevanju, da se na specializacijo prijavi 70 kandidatov): </w:t>
            </w:r>
          </w:p>
          <w:tbl>
            <w:tblPr>
              <w:tblW w:w="6480" w:type="dxa"/>
              <w:tblCellMar>
                <w:left w:w="0" w:type="dxa"/>
                <w:right w:w="0" w:type="dxa"/>
              </w:tblCellMar>
              <w:tblLook w:val="04A0" w:firstRow="1" w:lastRow="0" w:firstColumn="1" w:lastColumn="0" w:noHBand="0" w:noVBand="1"/>
            </w:tblPr>
            <w:tblGrid>
              <w:gridCol w:w="1120"/>
              <w:gridCol w:w="879"/>
              <w:gridCol w:w="1586"/>
              <w:gridCol w:w="1531"/>
              <w:gridCol w:w="1364"/>
            </w:tblGrid>
            <w:tr w:rsidR="00DD43C8" w:rsidRPr="00DD43C8" w14:paraId="1617B5B9" w14:textId="77777777" w:rsidTr="00DD43C8">
              <w:trPr>
                <w:trHeight w:val="300"/>
              </w:trPr>
              <w:tc>
                <w:tcPr>
                  <w:tcW w:w="11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9A0ADDE"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 </w:t>
                  </w:r>
                </w:p>
              </w:tc>
              <w:tc>
                <w:tcPr>
                  <w:tcW w:w="9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43ADEE9"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2022</w:t>
                  </w:r>
                </w:p>
              </w:tc>
              <w:tc>
                <w:tcPr>
                  <w:tcW w:w="1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1867280"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2023</w:t>
                  </w:r>
                </w:p>
              </w:tc>
              <w:tc>
                <w:tcPr>
                  <w:tcW w:w="15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DE37AE1"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2024</w:t>
                  </w:r>
                </w:p>
              </w:tc>
              <w:tc>
                <w:tcPr>
                  <w:tcW w:w="13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AEDF688"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2025</w:t>
                  </w:r>
                </w:p>
              </w:tc>
            </w:tr>
            <w:tr w:rsidR="00DD43C8" w:rsidRPr="00DD43C8" w14:paraId="4D92ACFF" w14:textId="77777777" w:rsidTr="00DD43C8">
              <w:trPr>
                <w:trHeight w:val="600"/>
              </w:trPr>
              <w:tc>
                <w:tcPr>
                  <w:tcW w:w="112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6A3267E"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klinična psihologija</w:t>
                  </w:r>
                </w:p>
              </w:tc>
              <w:tc>
                <w:tcPr>
                  <w:tcW w:w="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C0870A9"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0</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AD6E8C6"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 xml:space="preserve">      370.000,00   </w:t>
                  </w:r>
                </w:p>
              </w:tc>
              <w:tc>
                <w:tcPr>
                  <w:tcW w:w="15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1ACC48E"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1.610.000,00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BFD4025"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2.590.000,00</w:t>
                  </w:r>
                </w:p>
              </w:tc>
            </w:tr>
            <w:tr w:rsidR="00DD43C8" w:rsidRPr="00DD43C8" w14:paraId="2930FC30" w14:textId="77777777" w:rsidTr="00DD43C8">
              <w:trPr>
                <w:trHeight w:val="600"/>
              </w:trPr>
              <w:tc>
                <w:tcPr>
                  <w:tcW w:w="112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F039F83"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družinska medicina</w:t>
                  </w:r>
                </w:p>
              </w:tc>
              <w:tc>
                <w:tcPr>
                  <w:tcW w:w="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90B1525"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0</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936FAE4"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420.000,00</w:t>
                  </w:r>
                </w:p>
              </w:tc>
              <w:tc>
                <w:tcPr>
                  <w:tcW w:w="15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D43DD7D"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840.000,00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94C407"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840.000,00</w:t>
                  </w:r>
                </w:p>
              </w:tc>
            </w:tr>
            <w:tr w:rsidR="00DD43C8" w:rsidRPr="00DD43C8" w14:paraId="10942777" w14:textId="77777777" w:rsidTr="00DD43C8">
              <w:trPr>
                <w:trHeight w:val="300"/>
              </w:trPr>
              <w:tc>
                <w:tcPr>
                  <w:tcW w:w="112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7478764"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lastRenderedPageBreak/>
                    <w:t>SKUPAJ</w:t>
                  </w:r>
                </w:p>
              </w:tc>
              <w:tc>
                <w:tcPr>
                  <w:tcW w:w="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E21EBE1" w14:textId="77777777" w:rsidR="00DD43C8" w:rsidRPr="00DD43C8" w:rsidRDefault="00DD43C8" w:rsidP="00DD43C8">
                  <w:pPr>
                    <w:jc w:val="right"/>
                    <w:rPr>
                      <w:rFonts w:ascii="Arial" w:hAnsi="Arial" w:cs="Arial"/>
                      <w:color w:val="000000"/>
                      <w:sz w:val="20"/>
                      <w:szCs w:val="20"/>
                      <w:lang w:eastAsia="sl-SI"/>
                    </w:rPr>
                  </w:pPr>
                  <w:r w:rsidRPr="00DD43C8">
                    <w:rPr>
                      <w:rFonts w:ascii="Arial" w:hAnsi="Arial" w:cs="Arial"/>
                      <w:color w:val="000000"/>
                      <w:sz w:val="20"/>
                      <w:szCs w:val="20"/>
                      <w:lang w:eastAsia="sl-SI"/>
                    </w:rPr>
                    <w:t>0</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6630DCD"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 xml:space="preserve">        790.000,00 </w:t>
                  </w:r>
                </w:p>
              </w:tc>
              <w:tc>
                <w:tcPr>
                  <w:tcW w:w="15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1153D13"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 xml:space="preserve">    2.450.000,00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D4E64E" w14:textId="77777777" w:rsidR="00DD43C8" w:rsidRPr="00DD43C8" w:rsidRDefault="00DD43C8" w:rsidP="00DD43C8">
                  <w:pPr>
                    <w:rPr>
                      <w:rFonts w:ascii="Arial" w:hAnsi="Arial" w:cs="Arial"/>
                      <w:color w:val="000000"/>
                      <w:sz w:val="20"/>
                      <w:szCs w:val="20"/>
                      <w:lang w:eastAsia="sl-SI"/>
                    </w:rPr>
                  </w:pPr>
                  <w:r w:rsidRPr="00DD43C8">
                    <w:rPr>
                      <w:rFonts w:ascii="Arial" w:hAnsi="Arial" w:cs="Arial"/>
                      <w:color w:val="000000"/>
                      <w:sz w:val="20"/>
                      <w:szCs w:val="20"/>
                      <w:lang w:eastAsia="sl-SI"/>
                    </w:rPr>
                    <w:t xml:space="preserve"> 3.430.000,00 </w:t>
                  </w:r>
                </w:p>
              </w:tc>
            </w:tr>
          </w:tbl>
          <w:p w14:paraId="1EBAADA4" w14:textId="77777777" w:rsidR="00DD43C8" w:rsidRPr="00DD43C8" w:rsidRDefault="00DD43C8" w:rsidP="00DD43C8">
            <w:pPr>
              <w:pStyle w:val="Neotevilenodstavek"/>
              <w:spacing w:line="276" w:lineRule="auto"/>
              <w:rPr>
                <w:sz w:val="20"/>
                <w:szCs w:val="20"/>
              </w:rPr>
            </w:pPr>
            <w:r w:rsidRPr="00DD43C8">
              <w:rPr>
                <w:sz w:val="20"/>
                <w:szCs w:val="20"/>
              </w:rPr>
              <w:t xml:space="preserve">  </w:t>
            </w:r>
          </w:p>
          <w:p w14:paraId="7AA422E6" w14:textId="77777777" w:rsidR="00DD43C8" w:rsidRPr="00DD43C8" w:rsidRDefault="00DD43C8" w:rsidP="00DD43C8">
            <w:pPr>
              <w:pStyle w:val="Odstavekseznama"/>
              <w:numPr>
                <w:ilvl w:val="0"/>
                <w:numId w:val="14"/>
              </w:numPr>
              <w:shd w:val="clear" w:color="auto" w:fill="FFFFFF"/>
              <w:spacing w:after="0" w:line="276" w:lineRule="auto"/>
              <w:jc w:val="both"/>
              <w:rPr>
                <w:rFonts w:ascii="Arial" w:hAnsi="Arial" w:cs="Arial"/>
                <w:b/>
                <w:bCs/>
                <w:sz w:val="20"/>
                <w:szCs w:val="20"/>
              </w:rPr>
            </w:pPr>
            <w:r w:rsidRPr="00DD43C8">
              <w:rPr>
                <w:rFonts w:ascii="Arial" w:hAnsi="Arial" w:cs="Arial"/>
                <w:b/>
                <w:bCs/>
                <w:sz w:val="20"/>
                <w:szCs w:val="20"/>
              </w:rPr>
              <w:t>Dodatki za neposredno delo s pacienti obolelimi za COVID-19</w:t>
            </w:r>
          </w:p>
          <w:p w14:paraId="272A8CDD" w14:textId="77777777" w:rsidR="00DD43C8" w:rsidRPr="00DD43C8" w:rsidRDefault="00DD43C8" w:rsidP="00DD43C8">
            <w:pPr>
              <w:widowControl w:val="0"/>
              <w:suppressAutoHyphens/>
              <w:overflowPunct w:val="0"/>
              <w:autoSpaceDE w:val="0"/>
              <w:autoSpaceDN w:val="0"/>
              <w:adjustRightInd w:val="0"/>
              <w:spacing w:after="0" w:line="260" w:lineRule="exact"/>
              <w:textAlignment w:val="baseline"/>
              <w:outlineLvl w:val="3"/>
              <w:rPr>
                <w:rFonts w:ascii="Arial" w:hAnsi="Arial" w:cs="Arial"/>
                <w:bCs/>
                <w:sz w:val="20"/>
                <w:szCs w:val="20"/>
              </w:rPr>
            </w:pPr>
            <w:r w:rsidRPr="00DD43C8">
              <w:rPr>
                <w:rFonts w:ascii="Arial" w:hAnsi="Arial" w:cs="Arial"/>
                <w:sz w:val="20"/>
                <w:szCs w:val="20"/>
              </w:rPr>
              <w:t>Višina dodatka je odvisna od vrste poklica in števila COVID bolnikov. Glede na predvideno metodologijo je ukrep ocenjen na skupno 35,3 mio EUR, od tega v letu 2023 v višini 29,92 mio EUR, v letu 2024 pa v višini 2,72 mio EUR, v letu 2022 v višini 2,72 mio EUR.</w:t>
            </w:r>
            <w:r w:rsidRPr="00DD43C8">
              <w:rPr>
                <w:rFonts w:ascii="Arial" w:hAnsi="Arial" w:cs="Arial"/>
                <w:bCs/>
                <w:sz w:val="20"/>
                <w:szCs w:val="20"/>
              </w:rPr>
              <w:t xml:space="preserve"> </w:t>
            </w:r>
          </w:p>
          <w:p w14:paraId="671FD1EC" w14:textId="77777777" w:rsidR="00DD43C8" w:rsidRPr="00DD43C8" w:rsidRDefault="00DD43C8" w:rsidP="00DD43C8">
            <w:pPr>
              <w:widowControl w:val="0"/>
              <w:suppressAutoHyphens/>
              <w:overflowPunct w:val="0"/>
              <w:autoSpaceDE w:val="0"/>
              <w:autoSpaceDN w:val="0"/>
              <w:adjustRightInd w:val="0"/>
              <w:spacing w:after="0" w:line="260" w:lineRule="exact"/>
              <w:textAlignment w:val="baseline"/>
              <w:outlineLvl w:val="3"/>
              <w:rPr>
                <w:rFonts w:ascii="Arial" w:hAnsi="Arial" w:cs="Arial"/>
                <w:bCs/>
                <w:sz w:val="20"/>
                <w:szCs w:val="20"/>
              </w:rPr>
            </w:pPr>
          </w:p>
          <w:p w14:paraId="7DD8CE54" w14:textId="581E09E8" w:rsidR="00DD43C8" w:rsidRPr="00DD43C8" w:rsidRDefault="00DD43C8" w:rsidP="00DD43C8">
            <w:pPr>
              <w:pStyle w:val="Alineazaodstavkom"/>
              <w:numPr>
                <w:ilvl w:val="0"/>
                <w:numId w:val="14"/>
              </w:numPr>
              <w:spacing w:line="260" w:lineRule="exact"/>
              <w:rPr>
                <w:b/>
                <w:bCs/>
                <w:sz w:val="20"/>
                <w:szCs w:val="20"/>
              </w:rPr>
            </w:pPr>
            <w:r w:rsidRPr="00DD43C8">
              <w:rPr>
                <w:b/>
                <w:bCs/>
                <w:sz w:val="20"/>
                <w:szCs w:val="20"/>
              </w:rPr>
              <w:t>Javno pooblastilo za izdajo potrdil o preizkusu znanja slovenskega jezika</w:t>
            </w:r>
          </w:p>
          <w:p w14:paraId="01706202" w14:textId="77777777" w:rsidR="00DD43C8" w:rsidRPr="00DD43C8" w:rsidRDefault="00DD43C8" w:rsidP="00DD43C8">
            <w:pPr>
              <w:pStyle w:val="Alineazaodstavkom"/>
              <w:numPr>
                <w:ilvl w:val="0"/>
                <w:numId w:val="0"/>
              </w:numPr>
              <w:spacing w:line="260" w:lineRule="exact"/>
              <w:rPr>
                <w:sz w:val="20"/>
                <w:szCs w:val="20"/>
              </w:rPr>
            </w:pPr>
            <w:r w:rsidRPr="00DD43C8">
              <w:rPr>
                <w:sz w:val="20"/>
                <w:szCs w:val="20"/>
              </w:rPr>
              <w:t>Zdravstveni delavec krije stroške preizkusa znanja slovenskega jezika (po analogiji z zdravniki in ostalimi tujci bi bila cena preizkusa predvidoma 450 EUR-500 EUR), stroške izdaje potrdila o tem preizkusu pa bremenijo proračun Republike Slovenije, saj gre za novo oziroma dodatno javno pooblastilo. Finančne posledice so ocenjene na okvirno 40.000 EUR v letu 2023.</w:t>
            </w:r>
          </w:p>
          <w:p w14:paraId="0A4693FD" w14:textId="77777777" w:rsidR="00DD43C8" w:rsidRPr="00DD43C8" w:rsidRDefault="00DD43C8" w:rsidP="00DD43C8">
            <w:pPr>
              <w:widowControl w:val="0"/>
              <w:suppressAutoHyphens/>
              <w:overflowPunct w:val="0"/>
              <w:autoSpaceDE w:val="0"/>
              <w:autoSpaceDN w:val="0"/>
              <w:adjustRightInd w:val="0"/>
              <w:spacing w:after="0" w:line="260" w:lineRule="exact"/>
              <w:textAlignment w:val="baseline"/>
              <w:outlineLvl w:val="3"/>
              <w:rPr>
                <w:rFonts w:ascii="Arial" w:hAnsi="Arial" w:cs="Arial"/>
                <w:bCs/>
                <w:sz w:val="20"/>
                <w:szCs w:val="20"/>
              </w:rPr>
            </w:pPr>
          </w:p>
          <w:p w14:paraId="05E106DB" w14:textId="5BE6A9F9" w:rsidR="00DD43C8" w:rsidRPr="00DD43C8" w:rsidRDefault="00DD43C8" w:rsidP="00DD43C8">
            <w:pPr>
              <w:pStyle w:val="Alineazaodstavkom"/>
              <w:numPr>
                <w:ilvl w:val="0"/>
                <w:numId w:val="14"/>
              </w:numPr>
              <w:spacing w:line="260" w:lineRule="exact"/>
              <w:rPr>
                <w:b/>
                <w:bCs/>
                <w:sz w:val="20"/>
                <w:szCs w:val="20"/>
              </w:rPr>
            </w:pPr>
            <w:r w:rsidRPr="00DD43C8">
              <w:rPr>
                <w:b/>
                <w:bCs/>
                <w:sz w:val="20"/>
                <w:szCs w:val="20"/>
              </w:rPr>
              <w:t>Oprostitev DDV</w:t>
            </w:r>
          </w:p>
          <w:p w14:paraId="24D0BF53" w14:textId="77777777" w:rsidR="00DD43C8" w:rsidRPr="00DD43C8" w:rsidRDefault="00DD43C8" w:rsidP="00DD43C8">
            <w:pPr>
              <w:pStyle w:val="Alineazaodstavkom"/>
              <w:numPr>
                <w:ilvl w:val="0"/>
                <w:numId w:val="0"/>
              </w:numPr>
              <w:spacing w:line="260" w:lineRule="exact"/>
              <w:rPr>
                <w:sz w:val="20"/>
                <w:szCs w:val="20"/>
              </w:rPr>
            </w:pPr>
            <w:r w:rsidRPr="00DD43C8">
              <w:rPr>
                <w:sz w:val="20"/>
                <w:szCs w:val="20"/>
              </w:rPr>
              <w:t>Po podatkih Finančne uprave Republike Slovenije je v letu 2022 (do 16. junija 2022) na podlagi 32. člena Zakona o dodatnih ukrepih za preprečevanje širjenja, omilitev, obvladovanje, okrevanje in odpravo posledic COVID-19 (Uradni list RS, št. 206/21 in 52/22 – odl. US) in v zvezi s Sklepom Komisije (EU) 2021/2313 o oprostitvi uvoznih dajatev in oprostitvi plačila DDV za uvoz za blago, potrebno za spopadanje s posledicami izbruha COVID-19 v letu 2022, za obdobje od vključno 1. 1. 2022 do 16. 6.2022 poročila o dobavah zaščitne in medicinske opreme, oproščene plačila DDV, predložilo 75 zavezancev. V tem obdobju je bilo oddanih skupaj 156 poročil, skupna vrednost oproščenih dobav je znašala 6.764.168 EUR. Ob upoštevanju teh podatkov in dejstvu, da gre za oceno, ki temelji na finančnih posledicah za vsa zaščitna sredstva za COVID-19 po takratnem odloku, ocenjujemo, da bodo finančne posledice nižje, in sicer po oceni največ v višini 2 mio evrov.</w:t>
            </w:r>
          </w:p>
          <w:p w14:paraId="77489CBB" w14:textId="77777777" w:rsidR="00DD43C8" w:rsidRPr="00DD43C8" w:rsidRDefault="00DD43C8" w:rsidP="00DD43C8">
            <w:pPr>
              <w:pStyle w:val="Alineazaodstavkom"/>
              <w:numPr>
                <w:ilvl w:val="0"/>
                <w:numId w:val="0"/>
              </w:numPr>
              <w:spacing w:line="260" w:lineRule="exact"/>
              <w:rPr>
                <w:sz w:val="20"/>
                <w:szCs w:val="20"/>
              </w:rPr>
            </w:pPr>
          </w:p>
          <w:p w14:paraId="50CC55C2" w14:textId="6C46B65A" w:rsidR="00DD43C8" w:rsidRPr="00AE1F83" w:rsidRDefault="00DD43C8" w:rsidP="00DD43C8">
            <w:pPr>
              <w:pStyle w:val="Alineazaodstavkom"/>
              <w:numPr>
                <w:ilvl w:val="0"/>
                <w:numId w:val="0"/>
              </w:numPr>
              <w:spacing w:line="260" w:lineRule="exact"/>
              <w:rPr>
                <w:sz w:val="20"/>
                <w:szCs w:val="20"/>
              </w:rPr>
            </w:pPr>
            <w:r w:rsidRPr="00DD43C8">
              <w:rPr>
                <w:sz w:val="20"/>
                <w:szCs w:val="20"/>
              </w:rPr>
              <w:t>Nadalje se s prenosom 101.a člen Direktive Sveta 2006/112 v pravni red Republike Slovenije s tem zakonom omogoča tudi začasna oprostitev plačila DDV, s pravico do odbitka, plačanega v predhodni fazi, za domače dobave blaga, ki bo brezplačno razdeljeno ali dano na voljo osebam, ki bežijo pred vojno v Ukrajini, in osebam v stiski v Ukrajini, vključno s pridobitvami tega blaga znotraj Unije, kar je Republiki Sloveniji v primeru uvozov tega blaga v obdobju od 24. februarja 2022 do 31. decembra 2022 odobreno s Sklepom Komisije (EU) 2022/1108.</w:t>
            </w:r>
          </w:p>
        </w:tc>
      </w:tr>
    </w:tbl>
    <w:p w14:paraId="66DC417F"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0FAE87C5"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C982E0"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50D5DDFD"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9B537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DE510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D74DF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D7B19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0C496B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77BD797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B21D0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0FB75C" w14:textId="78CCD5E4"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FA11E6" w14:textId="5C09401E"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8D775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28868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4EEC7B0"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E9288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C40D9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54B530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BDB55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E3D85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FE445B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6F751F"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ECD2FF" w14:textId="7E51B251" w:rsidR="00AE1F83" w:rsidRPr="00AE1F83" w:rsidRDefault="00C76AC6"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r w:rsidR="003D4EB9">
              <w:rPr>
                <w:rFonts w:ascii="Arial" w:eastAsia="Times New Roman" w:hAnsi="Arial" w:cs="Arial"/>
                <w:sz w:val="20"/>
                <w:szCs w:val="20"/>
              </w:rPr>
              <w:t>15,</w:t>
            </w:r>
            <w:r w:rsidR="00DD43C8">
              <w:rPr>
                <w:rFonts w:ascii="Arial" w:eastAsia="Times New Roman" w:hAnsi="Arial" w:cs="Arial"/>
                <w:sz w:val="20"/>
                <w:szCs w:val="20"/>
              </w:rPr>
              <w:t>7</w:t>
            </w:r>
          </w:p>
        </w:tc>
        <w:tc>
          <w:tcPr>
            <w:tcW w:w="913" w:type="dxa"/>
            <w:tcBorders>
              <w:top w:val="single" w:sz="4" w:space="0" w:color="auto"/>
              <w:left w:val="single" w:sz="4" w:space="0" w:color="auto"/>
              <w:bottom w:val="single" w:sz="4" w:space="0" w:color="auto"/>
              <w:right w:val="single" w:sz="4" w:space="0" w:color="auto"/>
            </w:tcBorders>
            <w:vAlign w:val="center"/>
          </w:tcPr>
          <w:p w14:paraId="7D6744F8" w14:textId="686F2ADD" w:rsidR="00AE1F83" w:rsidRPr="00AE1F83" w:rsidRDefault="00C76AC6"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r w:rsidR="003D4EB9">
              <w:rPr>
                <w:rFonts w:ascii="Arial" w:eastAsia="Times New Roman" w:hAnsi="Arial" w:cs="Arial"/>
                <w:sz w:val="20"/>
                <w:szCs w:val="20"/>
              </w:rPr>
              <w:t>1</w:t>
            </w:r>
            <w:r w:rsidR="00B23456">
              <w:rPr>
                <w:rFonts w:ascii="Arial" w:eastAsia="Times New Roman" w:hAnsi="Arial" w:cs="Arial"/>
                <w:sz w:val="20"/>
                <w:szCs w:val="20"/>
              </w:rPr>
              <w:t>81,8</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CDD11B" w14:textId="7EEF1556" w:rsidR="00AE1F83" w:rsidRPr="00AE1F83" w:rsidRDefault="00C76AC6"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r w:rsidR="00DD43C8">
              <w:rPr>
                <w:rFonts w:ascii="Arial" w:eastAsia="Times New Roman" w:hAnsi="Arial" w:cs="Arial"/>
                <w:sz w:val="20"/>
                <w:szCs w:val="20"/>
              </w:rPr>
              <w:t>19,</w:t>
            </w:r>
            <w:r w:rsidR="00B23456">
              <w:rPr>
                <w:rFonts w:ascii="Arial" w:eastAsia="Times New Roman" w:hAnsi="Arial" w:cs="Arial"/>
                <w:sz w:val="20"/>
                <w:szCs w:val="20"/>
              </w:rPr>
              <w:t>34</w:t>
            </w:r>
          </w:p>
        </w:tc>
        <w:tc>
          <w:tcPr>
            <w:tcW w:w="2128" w:type="dxa"/>
            <w:tcBorders>
              <w:top w:val="single" w:sz="4" w:space="0" w:color="auto"/>
              <w:left w:val="single" w:sz="4" w:space="0" w:color="auto"/>
              <w:bottom w:val="single" w:sz="4" w:space="0" w:color="auto"/>
              <w:right w:val="single" w:sz="4" w:space="0" w:color="auto"/>
            </w:tcBorders>
            <w:vAlign w:val="center"/>
          </w:tcPr>
          <w:p w14:paraId="5BDBF21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42C62308"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54192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5607E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B79B967" w14:textId="59AF84E4"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CA7CC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20FE3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0C5684A"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3ABE9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ADF0F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A02B661" w14:textId="60C6414F" w:rsidR="00AE1F83" w:rsidRPr="00AE1F83" w:rsidRDefault="00DD43C8"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r w:rsidR="00B23456">
              <w:rPr>
                <w:rFonts w:ascii="Arial" w:eastAsia="Times New Roman" w:hAnsi="Arial" w:cs="Arial"/>
                <w:bCs/>
                <w:kern w:val="32"/>
                <w:sz w:val="20"/>
                <w:szCs w:val="20"/>
                <w:lang w:eastAsia="sl-SI"/>
              </w:rPr>
              <w:t>57,6</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BA858" w14:textId="55935D85" w:rsidR="00AE1F83" w:rsidRPr="00AE1F83" w:rsidRDefault="00B23456"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+0,34</w:t>
            </w:r>
          </w:p>
        </w:tc>
        <w:tc>
          <w:tcPr>
            <w:tcW w:w="2128" w:type="dxa"/>
            <w:tcBorders>
              <w:top w:val="single" w:sz="4" w:space="0" w:color="auto"/>
              <w:left w:val="single" w:sz="4" w:space="0" w:color="auto"/>
              <w:bottom w:val="single" w:sz="4" w:space="0" w:color="auto"/>
              <w:right w:val="single" w:sz="4" w:space="0" w:color="auto"/>
            </w:tcBorders>
            <w:vAlign w:val="center"/>
          </w:tcPr>
          <w:p w14:paraId="1115EA2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A709160"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3E8B3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72404285"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6177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7F85A816"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644CAE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299B1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2EEB7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0CEE1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17578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09627A5"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58E503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A87AD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7D65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B229C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F8F32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F1EA94B"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B7BA90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1135D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4B0B9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095AB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E98EF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46B9A76"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6517C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34A81D"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222ED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FAB2040"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118F17"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1364D46A"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301083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A6404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FD23D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54911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503DF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3AC75564"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35B12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D9624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9B4FF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56EC2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AF5E7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EB06FD0"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23C19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C64C5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6A9B7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D9F3A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64161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AC152C2"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BE30E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675D3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71045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15FDB4AB"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909055"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63BFB86D"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08C8E8"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103C62"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E935B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68F47D31"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1317D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86A90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0FA9D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D8097F4"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3AF0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0E341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F08DE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3157DB4"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525EF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11A57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056C3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5ED82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8448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E49FA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CD100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04BE1D2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3B0DF1E" w14:textId="77777777" w:rsidR="00AE1F83" w:rsidRPr="00AE1F83" w:rsidRDefault="00AE1F83" w:rsidP="00AE1F83">
            <w:pPr>
              <w:widowControl w:val="0"/>
              <w:spacing w:after="0" w:line="260" w:lineRule="exact"/>
              <w:rPr>
                <w:rFonts w:ascii="Arial" w:eastAsia="Times New Roman" w:hAnsi="Arial" w:cs="Arial"/>
                <w:b/>
                <w:sz w:val="20"/>
                <w:szCs w:val="20"/>
              </w:rPr>
            </w:pPr>
          </w:p>
          <w:p w14:paraId="436C6E18"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31C873A6"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7209747A"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6FC66FF7"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AC25C7B"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7D6296FF"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4A47BD4E"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3D363F2A"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65220253"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4C022B6"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3A0083EC"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0D1CC7A"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4B9E32B2"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0F0BB05B"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4E7956CB"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0038B61"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4306D5B7"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841A046"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08AE929F"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C3B9489"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1BE7CE0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C70D1F6"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5F3382B6"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562A70BC"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3533B65D"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133912E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6D6A307"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641E433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969C6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1FFA1021"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57498220"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A11F20C"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5D7F89D4"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0D7713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933F8A">
              <w:rPr>
                <w:rFonts w:ascii="Arial" w:eastAsia="Times New Roman" w:hAnsi="Arial" w:cs="Arial"/>
                <w:b/>
                <w:bCs/>
                <w:sz w:val="20"/>
                <w:szCs w:val="20"/>
                <w:lang w:eastAsia="sl-SI"/>
              </w:rPr>
              <w:t>NE</w:t>
            </w:r>
          </w:p>
        </w:tc>
      </w:tr>
      <w:tr w:rsidR="00AE1F83" w:rsidRPr="00AE1F83" w14:paraId="403A4C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05435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CF6166E"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933F8A">
              <w:rPr>
                <w:rFonts w:ascii="Arial" w:eastAsia="Times New Roman" w:hAnsi="Arial" w:cs="Arial"/>
                <w:b/>
                <w:bCs/>
                <w:iCs/>
                <w:sz w:val="20"/>
                <w:szCs w:val="20"/>
                <w:lang w:eastAsia="sl-SI"/>
              </w:rPr>
              <w:t>NE</w:t>
            </w:r>
          </w:p>
          <w:p w14:paraId="07C77D7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933F8A">
              <w:rPr>
                <w:rFonts w:ascii="Arial" w:eastAsia="Times New Roman" w:hAnsi="Arial" w:cs="Arial"/>
                <w:b/>
                <w:bCs/>
                <w:iCs/>
                <w:sz w:val="20"/>
                <w:szCs w:val="20"/>
                <w:lang w:eastAsia="sl-SI"/>
              </w:rPr>
              <w:t>NE</w:t>
            </w:r>
          </w:p>
          <w:p w14:paraId="0B24E95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933F8A">
              <w:rPr>
                <w:rFonts w:ascii="Arial" w:eastAsia="Times New Roman" w:hAnsi="Arial" w:cs="Arial"/>
                <w:b/>
                <w:bCs/>
                <w:iCs/>
                <w:sz w:val="20"/>
                <w:szCs w:val="20"/>
                <w:lang w:eastAsia="sl-SI"/>
              </w:rPr>
              <w:t>NE</w:t>
            </w:r>
          </w:p>
          <w:p w14:paraId="22178CE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85A13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2D87456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397F3D24"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6159600C"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3CC6A19F"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2B3334DE"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67FF5E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p>
          <w:p w14:paraId="56095CC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C694BC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7914DFB"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14:paraId="446B799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E8C267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51ABBC81" w14:textId="77777777" w:rsidR="00AE1F83" w:rsidRPr="00FE1D5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E1D5C">
              <w:rPr>
                <w:rFonts w:ascii="Arial" w:eastAsia="Times New Roman" w:hAnsi="Arial" w:cs="Arial"/>
                <w:sz w:val="20"/>
                <w:szCs w:val="20"/>
                <w:lang w:eastAsia="sl-SI"/>
              </w:rPr>
              <w:t>DA/</w:t>
            </w:r>
            <w:r w:rsidRPr="00FE1D5C">
              <w:rPr>
                <w:rFonts w:ascii="Arial" w:eastAsia="Times New Roman" w:hAnsi="Arial" w:cs="Arial"/>
                <w:b/>
                <w:bCs/>
                <w:sz w:val="20"/>
                <w:szCs w:val="20"/>
                <w:lang w:eastAsia="sl-SI"/>
              </w:rPr>
              <w:t>NE</w:t>
            </w:r>
          </w:p>
        </w:tc>
      </w:tr>
      <w:tr w:rsidR="00AE1F83" w:rsidRPr="00AE1F83" w14:paraId="01FA93D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A23FF00" w14:textId="5B84F35D" w:rsidR="00AE1F83" w:rsidRPr="00AE1F83" w:rsidRDefault="004E062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postopku sprejema zakona po nujnem postopku sodelovanje javnosti ni predvideno.</w:t>
            </w:r>
          </w:p>
        </w:tc>
      </w:tr>
      <w:tr w:rsidR="00AE1F83" w:rsidRPr="00AE1F83" w14:paraId="5454FF0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E50A57C"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6E96F05"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E062F">
              <w:rPr>
                <w:rFonts w:ascii="Arial" w:eastAsia="Times New Roman" w:hAnsi="Arial" w:cs="Arial"/>
                <w:sz w:val="20"/>
                <w:szCs w:val="20"/>
                <w:lang w:eastAsia="sl-SI"/>
              </w:rPr>
              <w:t>DA</w:t>
            </w:r>
            <w:r w:rsidRPr="00AE1F83">
              <w:rPr>
                <w:rFonts w:ascii="Arial" w:eastAsia="Times New Roman" w:hAnsi="Arial" w:cs="Arial"/>
                <w:sz w:val="20"/>
                <w:szCs w:val="20"/>
                <w:lang w:eastAsia="sl-SI"/>
              </w:rPr>
              <w:t>/</w:t>
            </w:r>
            <w:r w:rsidRPr="004E062F">
              <w:rPr>
                <w:rFonts w:ascii="Arial" w:eastAsia="Times New Roman" w:hAnsi="Arial" w:cs="Arial"/>
                <w:b/>
                <w:bCs/>
                <w:sz w:val="20"/>
                <w:szCs w:val="20"/>
                <w:lang w:eastAsia="sl-SI"/>
              </w:rPr>
              <w:t>NE</w:t>
            </w:r>
          </w:p>
        </w:tc>
      </w:tr>
      <w:tr w:rsidR="00AE1F83" w:rsidRPr="00AE1F83" w14:paraId="6B39DC8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C7FB0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21F5BBFF"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277C7F">
              <w:rPr>
                <w:rFonts w:ascii="Arial" w:eastAsia="Times New Roman" w:hAnsi="Arial" w:cs="Arial"/>
                <w:b/>
                <w:bCs/>
                <w:sz w:val="20"/>
                <w:szCs w:val="20"/>
                <w:lang w:eastAsia="sl-SI"/>
              </w:rPr>
              <w:t>NE</w:t>
            </w:r>
          </w:p>
        </w:tc>
      </w:tr>
      <w:tr w:rsidR="00AE1F83" w:rsidRPr="00AE1F83" w14:paraId="0BEFED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5CF3943"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9D4749E" w14:textId="640E0FC0" w:rsidR="00AE1F83" w:rsidRPr="006870C9" w:rsidRDefault="00277C7F"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sz w:val="20"/>
                <w:szCs w:val="20"/>
                <w:lang w:eastAsia="sl-SI"/>
              </w:rPr>
            </w:pPr>
            <w:r w:rsidRPr="006870C9">
              <w:rPr>
                <w:rFonts w:ascii="Arial" w:eastAsia="Times New Roman" w:hAnsi="Arial" w:cs="Arial"/>
                <w:b/>
                <w:bCs/>
                <w:sz w:val="20"/>
                <w:szCs w:val="20"/>
                <w:lang w:eastAsia="sl-SI"/>
              </w:rPr>
              <w:t>Danijel Bešič Loredan</w:t>
            </w:r>
          </w:p>
          <w:p w14:paraId="0A7F2806" w14:textId="6E6F97CE" w:rsidR="00277C7F" w:rsidRPr="006870C9" w:rsidRDefault="003864C0"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         </w:t>
            </w:r>
            <w:r w:rsidR="00277C7F" w:rsidRPr="006870C9">
              <w:rPr>
                <w:rFonts w:ascii="Arial" w:eastAsia="Times New Roman" w:hAnsi="Arial" w:cs="Arial"/>
                <w:b/>
                <w:bCs/>
                <w:sz w:val="20"/>
                <w:szCs w:val="20"/>
                <w:lang w:eastAsia="sl-SI"/>
              </w:rPr>
              <w:t>minister</w:t>
            </w:r>
          </w:p>
          <w:p w14:paraId="068A8A7F"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E71468D" w14:textId="77777777" w:rsidR="00FB397B" w:rsidRDefault="00FB397B"/>
    <w:sectPr w:rsidR="00FB397B" w:rsidSect="00F327D8">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38F1" w14:textId="77777777" w:rsidR="009C74D8" w:rsidRDefault="009C74D8" w:rsidP="00F327D8">
      <w:pPr>
        <w:spacing w:after="0" w:line="240" w:lineRule="auto"/>
      </w:pPr>
      <w:r>
        <w:separator/>
      </w:r>
    </w:p>
  </w:endnote>
  <w:endnote w:type="continuationSeparator" w:id="0">
    <w:p w14:paraId="758E11F4" w14:textId="77777777" w:rsidR="009C74D8" w:rsidRDefault="009C74D8"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186F" w14:textId="77777777" w:rsidR="009C74D8" w:rsidRDefault="009C74D8" w:rsidP="00F327D8">
      <w:pPr>
        <w:spacing w:after="0" w:line="240" w:lineRule="auto"/>
      </w:pPr>
      <w:r>
        <w:separator/>
      </w:r>
    </w:p>
  </w:footnote>
  <w:footnote w:type="continuationSeparator" w:id="0">
    <w:p w14:paraId="67B6BB7F" w14:textId="77777777" w:rsidR="009C74D8" w:rsidRDefault="009C74D8"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A8CA" w14:textId="77777777" w:rsidR="00F327D8" w:rsidRPr="00EC27FA" w:rsidRDefault="00F327D8" w:rsidP="00F327D8">
    <w:pPr>
      <w:tabs>
        <w:tab w:val="left" w:pos="5112"/>
      </w:tabs>
      <w:spacing w:before="120" w:after="0" w:line="240" w:lineRule="exact"/>
      <w:rPr>
        <w:rFonts w:ascii="Arial" w:eastAsia="Times New Roman" w:hAnsi="Arial" w:cs="Arial"/>
        <w:sz w:val="16"/>
        <w:szCs w:val="24"/>
      </w:rPr>
    </w:pPr>
  </w:p>
  <w:p w14:paraId="7BA035FB" w14:textId="45D70D00" w:rsidR="00F327D8" w:rsidRPr="00EC27FA" w:rsidRDefault="00F327D8" w:rsidP="00F327D8">
    <w:pPr>
      <w:tabs>
        <w:tab w:val="left" w:pos="0"/>
        <w:tab w:val="left" w:pos="5112"/>
      </w:tabs>
      <w:spacing w:before="120" w:after="0" w:line="240" w:lineRule="exact"/>
      <w:ind w:left="-284"/>
      <w:rPr>
        <w:rFonts w:ascii="Arial" w:eastAsia="Times New Roman" w:hAnsi="Arial" w:cs="Arial"/>
        <w:sz w:val="16"/>
        <w:szCs w:val="24"/>
      </w:rPr>
    </w:pPr>
  </w:p>
  <w:p w14:paraId="22FC053D" w14:textId="77777777" w:rsidR="000712A2" w:rsidRPr="00EC27FA" w:rsidRDefault="000712A2" w:rsidP="000712A2">
    <w:pPr>
      <w:tabs>
        <w:tab w:val="left" w:pos="5112"/>
      </w:tabs>
      <w:spacing w:before="120" w:after="0" w:line="240" w:lineRule="exact"/>
      <w:rPr>
        <w:rFonts w:ascii="Arial" w:eastAsia="Times New Roman" w:hAnsi="Arial" w:cs="Arial"/>
        <w:sz w:val="16"/>
        <w:szCs w:val="24"/>
      </w:rPr>
    </w:pPr>
  </w:p>
  <w:p w14:paraId="4C43CDE7" w14:textId="397472A9" w:rsidR="00F327D8" w:rsidRPr="00EC27FA" w:rsidRDefault="000712A2" w:rsidP="000712A2">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0" locked="0" layoutInCell="1" allowOverlap="1" wp14:anchorId="1CA91E6A" wp14:editId="1F0081AE">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6"/>
        <w:szCs w:val="24"/>
      </w:rPr>
      <w:t xml:space="preserve">            </w:t>
    </w:r>
    <w:r w:rsidRPr="00EC27FA">
      <w:rPr>
        <w:rFonts w:ascii="Arial" w:eastAsia="Times New Roman" w:hAnsi="Arial" w:cs="Arial"/>
        <w:sz w:val="16"/>
        <w:szCs w:val="24"/>
      </w:rPr>
      <w:t>Štefanova ulica 5, 1000 Ljubljana</w:t>
    </w:r>
    <w:r w:rsidR="00F327D8" w:rsidRPr="00EC27FA">
      <w:rPr>
        <w:rFonts w:ascii="Arial" w:eastAsia="Times New Roman" w:hAnsi="Arial" w:cs="Arial"/>
        <w:sz w:val="16"/>
        <w:szCs w:val="24"/>
      </w:rPr>
      <w:tab/>
      <w:t>T: 01 478 60 01</w:t>
    </w:r>
  </w:p>
  <w:p w14:paraId="603EEA29" w14:textId="654846DC"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68AA1F87"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618868D0"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4929ED8C"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8DE"/>
    <w:multiLevelType w:val="hybridMultilevel"/>
    <w:tmpl w:val="440A9A9E"/>
    <w:lvl w:ilvl="0" w:tplc="3F4CB6B2">
      <w:start w:val="1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026DA"/>
    <w:multiLevelType w:val="hybridMultilevel"/>
    <w:tmpl w:val="5E925D9A"/>
    <w:lvl w:ilvl="0" w:tplc="3FB682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D4663"/>
    <w:multiLevelType w:val="hybridMultilevel"/>
    <w:tmpl w:val="3D8472B8"/>
    <w:lvl w:ilvl="0" w:tplc="6C4ACBC6">
      <w:start w:val="11"/>
      <w:numFmt w:val="bullet"/>
      <w:lvlText w:val="–"/>
      <w:lvlJc w:val="left"/>
      <w:pPr>
        <w:ind w:left="720" w:hanging="360"/>
      </w:pPr>
      <w:rPr>
        <w:rFonts w:ascii="Corbel" w:eastAsiaTheme="minorHAnsi" w:hAnsi="Corbel" w:cstheme="minorBidi"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5609BA"/>
    <w:multiLevelType w:val="hybridMultilevel"/>
    <w:tmpl w:val="DBBEC696"/>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431FF3"/>
    <w:multiLevelType w:val="hybridMultilevel"/>
    <w:tmpl w:val="B06A4874"/>
    <w:lvl w:ilvl="0" w:tplc="AA38AA4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9C2650F"/>
    <w:multiLevelType w:val="hybridMultilevel"/>
    <w:tmpl w:val="C99862D4"/>
    <w:lvl w:ilvl="0" w:tplc="DB2817B4">
      <w:start w:val="3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6A6700"/>
    <w:multiLevelType w:val="hybridMultilevel"/>
    <w:tmpl w:val="DBBEC696"/>
    <w:lvl w:ilvl="0" w:tplc="E7320A3C">
      <w:start w:val="1"/>
      <w:numFmt w:val="decimal"/>
      <w:lvlText w:val="%1."/>
      <w:lvlJc w:val="left"/>
      <w:pPr>
        <w:ind w:left="720" w:hanging="360"/>
      </w:pPr>
      <w:rPr>
        <w:rFonts w:hint="default"/>
        <w:b/>
        <w:bCs/>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6D236B"/>
    <w:multiLevelType w:val="hybridMultilevel"/>
    <w:tmpl w:val="DBBEC696"/>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635FD6"/>
    <w:multiLevelType w:val="hybridMultilevel"/>
    <w:tmpl w:val="33D01870"/>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5"/>
  </w:num>
  <w:num w:numId="5">
    <w:abstractNumId w:val="17"/>
  </w:num>
  <w:num w:numId="6">
    <w:abstractNumId w:val="11"/>
  </w:num>
  <w:num w:numId="7">
    <w:abstractNumId w:val="8"/>
  </w:num>
  <w:num w:numId="8">
    <w:abstractNumId w:val="12"/>
  </w:num>
  <w:num w:numId="9">
    <w:abstractNumId w:val="1"/>
  </w:num>
  <w:num w:numId="10">
    <w:abstractNumId w:val="2"/>
  </w:num>
  <w:num w:numId="11">
    <w:abstractNumId w:val="10"/>
  </w:num>
  <w:num w:numId="12">
    <w:abstractNumId w:val="5"/>
  </w:num>
  <w:num w:numId="13">
    <w:abstractNumId w:val="4"/>
  </w:num>
  <w:num w:numId="14">
    <w:abstractNumId w:val="7"/>
  </w:num>
  <w:num w:numId="15">
    <w:abstractNumId w:val="0"/>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712A2"/>
    <w:rsid w:val="00081412"/>
    <w:rsid w:val="00155597"/>
    <w:rsid w:val="001973E4"/>
    <w:rsid w:val="001F2E64"/>
    <w:rsid w:val="00277C7F"/>
    <w:rsid w:val="00321A64"/>
    <w:rsid w:val="003864C0"/>
    <w:rsid w:val="003D4EB9"/>
    <w:rsid w:val="00435BF7"/>
    <w:rsid w:val="00450E6F"/>
    <w:rsid w:val="00453F55"/>
    <w:rsid w:val="00465414"/>
    <w:rsid w:val="004B6741"/>
    <w:rsid w:val="004E062F"/>
    <w:rsid w:val="00597BDE"/>
    <w:rsid w:val="0062106A"/>
    <w:rsid w:val="00684FDA"/>
    <w:rsid w:val="006870C9"/>
    <w:rsid w:val="00693E0F"/>
    <w:rsid w:val="00695448"/>
    <w:rsid w:val="00695EC3"/>
    <w:rsid w:val="006B1B99"/>
    <w:rsid w:val="007011E3"/>
    <w:rsid w:val="0076741A"/>
    <w:rsid w:val="0078445A"/>
    <w:rsid w:val="00894FBD"/>
    <w:rsid w:val="008F210F"/>
    <w:rsid w:val="00933F8A"/>
    <w:rsid w:val="0098458A"/>
    <w:rsid w:val="00990888"/>
    <w:rsid w:val="009C74D8"/>
    <w:rsid w:val="00AE1F83"/>
    <w:rsid w:val="00B23456"/>
    <w:rsid w:val="00B379A0"/>
    <w:rsid w:val="00BC1355"/>
    <w:rsid w:val="00C24B2C"/>
    <w:rsid w:val="00C44C5F"/>
    <w:rsid w:val="00C76AC6"/>
    <w:rsid w:val="00DD43C8"/>
    <w:rsid w:val="00F327D8"/>
    <w:rsid w:val="00FB397B"/>
    <w:rsid w:val="00FC7849"/>
    <w:rsid w:val="00FE1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40C8"/>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F2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465414"/>
    <w:pPr>
      <w:ind w:left="720"/>
      <w:contextualSpacing/>
    </w:pPr>
  </w:style>
  <w:style w:type="character" w:styleId="Pripombasklic">
    <w:name w:val="annotation reference"/>
    <w:basedOn w:val="Privzetapisavaodstavka"/>
    <w:uiPriority w:val="99"/>
    <w:semiHidden/>
    <w:unhideWhenUsed/>
    <w:rsid w:val="00933F8A"/>
    <w:rPr>
      <w:sz w:val="16"/>
      <w:szCs w:val="16"/>
    </w:rPr>
  </w:style>
  <w:style w:type="paragraph" w:styleId="Pripombabesedilo">
    <w:name w:val="annotation text"/>
    <w:basedOn w:val="Navaden"/>
    <w:link w:val="PripombabesediloZnak"/>
    <w:uiPriority w:val="99"/>
    <w:semiHidden/>
    <w:unhideWhenUsed/>
    <w:rsid w:val="00933F8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33F8A"/>
    <w:rPr>
      <w:sz w:val="20"/>
      <w:szCs w:val="20"/>
    </w:rPr>
  </w:style>
  <w:style w:type="paragraph" w:styleId="Zadevapripombe">
    <w:name w:val="annotation subject"/>
    <w:basedOn w:val="Pripombabesedilo"/>
    <w:next w:val="Pripombabesedilo"/>
    <w:link w:val="ZadevapripombeZnak"/>
    <w:uiPriority w:val="99"/>
    <w:semiHidden/>
    <w:unhideWhenUsed/>
    <w:rsid w:val="00933F8A"/>
    <w:rPr>
      <w:b/>
      <w:bCs/>
    </w:rPr>
  </w:style>
  <w:style w:type="character" w:customStyle="1" w:styleId="ZadevapripombeZnak">
    <w:name w:val="Zadeva pripombe Znak"/>
    <w:basedOn w:val="PripombabesediloZnak"/>
    <w:link w:val="Zadevapripombe"/>
    <w:uiPriority w:val="99"/>
    <w:semiHidden/>
    <w:rsid w:val="00933F8A"/>
    <w:rPr>
      <w:b/>
      <w:bCs/>
      <w:sz w:val="20"/>
      <w:szCs w:val="20"/>
    </w:rPr>
  </w:style>
  <w:style w:type="paragraph" w:customStyle="1" w:styleId="Oddelek">
    <w:name w:val="Oddelek"/>
    <w:basedOn w:val="Navaden"/>
    <w:link w:val="OddelekZnak1"/>
    <w:qFormat/>
    <w:rsid w:val="00155597"/>
    <w:pPr>
      <w:numPr>
        <w:numId w:val="1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155597"/>
  </w:style>
  <w:style w:type="character" w:customStyle="1" w:styleId="OdsekZnak">
    <w:name w:val="Odsek Znak"/>
    <w:basedOn w:val="Privzetapisavaodstavka"/>
    <w:link w:val="Odsek"/>
    <w:rsid w:val="00155597"/>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D43C8"/>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D43C8"/>
    <w:rPr>
      <w:rFonts w:ascii="Arial" w:eastAsia="Times New Roman" w:hAnsi="Arial" w:cs="Arial"/>
      <w:lang w:eastAsia="sl-SI"/>
    </w:rPr>
  </w:style>
  <w:style w:type="character" w:customStyle="1" w:styleId="OddelekZnak1">
    <w:name w:val="Oddelek Znak1"/>
    <w:link w:val="Oddelek"/>
    <w:rsid w:val="00DD43C8"/>
    <w:rPr>
      <w:rFonts w:ascii="Arial" w:eastAsia="Times New Roman" w:hAnsi="Arial" w:cs="Arial"/>
      <w:b/>
      <w:lang w:eastAsia="sl-SI"/>
    </w:rPr>
  </w:style>
  <w:style w:type="paragraph" w:customStyle="1" w:styleId="Alineazaodstavkom">
    <w:name w:val="Alinea za odstavkom"/>
    <w:basedOn w:val="Navaden"/>
    <w:link w:val="AlineazaodstavkomZnak"/>
    <w:qFormat/>
    <w:rsid w:val="00DD43C8"/>
    <w:pPr>
      <w:numPr>
        <w:numId w:val="1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DD43C8"/>
    <w:rPr>
      <w:rFonts w:ascii="Arial" w:eastAsia="Times New Roman" w:hAnsi="Arial" w:cs="Arial"/>
      <w:lang w:eastAsia="sl-SI"/>
    </w:rPr>
  </w:style>
  <w:style w:type="character" w:customStyle="1" w:styleId="Naslov1Znak">
    <w:name w:val="Naslov 1 Znak"/>
    <w:basedOn w:val="Privzetapisavaodstavka"/>
    <w:link w:val="Naslov1"/>
    <w:uiPriority w:val="9"/>
    <w:rsid w:val="001F2E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4CDF6A72CEB4899C7BB7A4D971786" ma:contentTypeVersion="2" ma:contentTypeDescription="Ustvari nov dokument." ma:contentTypeScope="" ma:versionID="27a68f6a93523bf882d906d8a0c96121">
  <xsd:schema xmlns:xsd="http://www.w3.org/2001/XMLSchema" xmlns:xs="http://www.w3.org/2001/XMLSchema" xmlns:p="http://schemas.microsoft.com/office/2006/metadata/properties" xmlns:ns2="4c8facfd-b5e1-42b7-a1f5-53b131855db1" targetNamespace="http://schemas.microsoft.com/office/2006/metadata/properties" ma:root="true" ma:fieldsID="9a74fcd75ccec662ff19e1de78441a65" ns2:_="">
    <xsd:import namespace="4c8facfd-b5e1-42b7-a1f5-53b131855db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B9C38-B5E9-4555-9D31-BAEE7762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acfd-b5e1-42b7-a1f5-53b1318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6272-5896-414A-A2FC-9D8EDC792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7F30F-B399-4060-99D9-A45735B02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3709</Words>
  <Characters>21142</Characters>
  <Application>Microsoft Office Word</Application>
  <DocSecurity>4</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Nataša Skubic (MZ)</cp:lastModifiedBy>
  <cp:revision>2</cp:revision>
  <dcterms:created xsi:type="dcterms:W3CDTF">2022-10-12T14:07:00Z</dcterms:created>
  <dcterms:modified xsi:type="dcterms:W3CDTF">2022-10-12T14:07:00Z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0x010100AAA4CDF6A72CEB4899C7BB7A4D971786</vt:lpwstr>
  </property>
</Properties>
</file>