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14"/>
        <w:gridCol w:w="885"/>
        <w:gridCol w:w="1407"/>
        <w:gridCol w:w="417"/>
        <w:gridCol w:w="939"/>
        <w:gridCol w:w="494"/>
        <w:gridCol w:w="188"/>
        <w:gridCol w:w="384"/>
        <w:gridCol w:w="223"/>
        <w:gridCol w:w="80"/>
        <w:gridCol w:w="2121"/>
      </w:tblGrid>
      <w:tr w:rsidR="00C642E8" w:rsidRPr="008D1759" w14:paraId="468EB4B7" w14:textId="77777777" w:rsidTr="4885E88D">
        <w:trPr>
          <w:gridAfter w:val="5"/>
          <w:wAfter w:w="2996" w:type="dxa"/>
          <w:trHeight w:val="300"/>
        </w:trPr>
        <w:tc>
          <w:tcPr>
            <w:tcW w:w="6204" w:type="dxa"/>
            <w:gridSpan w:val="7"/>
          </w:tcPr>
          <w:p w14:paraId="323F6EE9" w14:textId="37360AE9" w:rsidR="00C642E8" w:rsidRPr="008D1759" w:rsidRDefault="00C642E8" w:rsidP="00086B42">
            <w:pPr>
              <w:pStyle w:val="Neotevilenodstavek"/>
              <w:spacing w:before="0" w:after="0" w:line="260" w:lineRule="exact"/>
              <w:jc w:val="left"/>
              <w:rPr>
                <w:sz w:val="20"/>
                <w:szCs w:val="20"/>
              </w:rPr>
            </w:pPr>
            <w:r>
              <w:rPr>
                <w:sz w:val="20"/>
                <w:szCs w:val="20"/>
              </w:rPr>
              <w:t xml:space="preserve">Številka: </w:t>
            </w:r>
            <w:r w:rsidR="00242525">
              <w:rPr>
                <w:sz w:val="20"/>
                <w:szCs w:val="20"/>
              </w:rPr>
              <w:t>007-</w:t>
            </w:r>
            <w:r w:rsidR="0042559B">
              <w:rPr>
                <w:sz w:val="20"/>
                <w:szCs w:val="20"/>
              </w:rPr>
              <w:t>283</w:t>
            </w:r>
            <w:r w:rsidR="00FE328D">
              <w:rPr>
                <w:sz w:val="20"/>
                <w:szCs w:val="20"/>
              </w:rPr>
              <w:t>/2023-</w:t>
            </w:r>
            <w:r w:rsidR="00AA0FF3">
              <w:rPr>
                <w:sz w:val="20"/>
                <w:szCs w:val="20"/>
              </w:rPr>
              <w:t>80</w:t>
            </w:r>
          </w:p>
        </w:tc>
      </w:tr>
      <w:tr w:rsidR="00C642E8" w:rsidRPr="008D1759" w14:paraId="7EE8AAA6" w14:textId="77777777" w:rsidTr="4885E88D">
        <w:trPr>
          <w:gridAfter w:val="5"/>
          <w:wAfter w:w="2996" w:type="dxa"/>
          <w:trHeight w:val="300"/>
        </w:trPr>
        <w:tc>
          <w:tcPr>
            <w:tcW w:w="6204" w:type="dxa"/>
            <w:gridSpan w:val="7"/>
          </w:tcPr>
          <w:p w14:paraId="6BB7A2AD" w14:textId="741A3710" w:rsidR="00C642E8" w:rsidRPr="008D1759" w:rsidRDefault="00C642E8" w:rsidP="00B93859">
            <w:pPr>
              <w:pStyle w:val="Neotevilenodstavek"/>
              <w:spacing w:before="0" w:after="0" w:line="260" w:lineRule="exact"/>
              <w:jc w:val="left"/>
              <w:rPr>
                <w:sz w:val="20"/>
                <w:szCs w:val="20"/>
              </w:rPr>
            </w:pPr>
            <w:r>
              <w:rPr>
                <w:sz w:val="20"/>
                <w:szCs w:val="20"/>
              </w:rPr>
              <w:t>Ljubljana,</w:t>
            </w:r>
            <w:r w:rsidR="00721F73">
              <w:rPr>
                <w:sz w:val="20"/>
                <w:szCs w:val="20"/>
              </w:rPr>
              <w:t xml:space="preserve"> </w:t>
            </w:r>
            <w:r w:rsidR="00FB185D">
              <w:rPr>
                <w:sz w:val="20"/>
                <w:szCs w:val="20"/>
              </w:rPr>
              <w:t>1</w:t>
            </w:r>
            <w:r w:rsidR="00F764F7">
              <w:rPr>
                <w:sz w:val="20"/>
                <w:szCs w:val="20"/>
              </w:rPr>
              <w:t>7</w:t>
            </w:r>
            <w:r w:rsidR="00CC2F3C">
              <w:rPr>
                <w:sz w:val="20"/>
                <w:szCs w:val="20"/>
              </w:rPr>
              <w:t xml:space="preserve">. </w:t>
            </w:r>
            <w:r w:rsidR="00FB185D">
              <w:rPr>
                <w:sz w:val="20"/>
                <w:szCs w:val="20"/>
              </w:rPr>
              <w:t>6</w:t>
            </w:r>
            <w:r w:rsidR="00CC2F3C">
              <w:rPr>
                <w:sz w:val="20"/>
                <w:szCs w:val="20"/>
              </w:rPr>
              <w:t>. 202</w:t>
            </w:r>
            <w:r w:rsidR="00493F75">
              <w:rPr>
                <w:sz w:val="20"/>
                <w:szCs w:val="20"/>
              </w:rPr>
              <w:t>4</w:t>
            </w:r>
          </w:p>
        </w:tc>
      </w:tr>
      <w:tr w:rsidR="00C642E8" w:rsidRPr="008D1759" w14:paraId="5701AA98" w14:textId="77777777" w:rsidTr="4885E88D">
        <w:trPr>
          <w:gridAfter w:val="5"/>
          <w:wAfter w:w="2996" w:type="dxa"/>
          <w:trHeight w:val="300"/>
        </w:trPr>
        <w:tc>
          <w:tcPr>
            <w:tcW w:w="6204" w:type="dxa"/>
            <w:gridSpan w:val="7"/>
          </w:tcPr>
          <w:p w14:paraId="3EE7A069" w14:textId="77777777" w:rsidR="00C642E8" w:rsidRPr="00594B90" w:rsidRDefault="00C642E8" w:rsidP="00B735EF">
            <w:pPr>
              <w:pStyle w:val="Neotevilenodstavek"/>
              <w:spacing w:before="0" w:after="0" w:line="260" w:lineRule="exact"/>
              <w:jc w:val="left"/>
              <w:rPr>
                <w:sz w:val="20"/>
                <w:szCs w:val="20"/>
              </w:rPr>
            </w:pPr>
            <w:r w:rsidRPr="00594B90">
              <w:rPr>
                <w:iCs/>
                <w:sz w:val="20"/>
                <w:szCs w:val="20"/>
              </w:rPr>
              <w:t>EVA</w:t>
            </w:r>
            <w:r>
              <w:rPr>
                <w:iCs/>
                <w:sz w:val="20"/>
                <w:szCs w:val="20"/>
              </w:rPr>
              <w:t>:</w:t>
            </w:r>
            <w:r w:rsidRPr="00594B90">
              <w:rPr>
                <w:iCs/>
                <w:sz w:val="20"/>
                <w:szCs w:val="20"/>
              </w:rPr>
              <w:t xml:space="preserve"> </w:t>
            </w:r>
            <w:r w:rsidR="00B45DAC" w:rsidRPr="00B45DAC">
              <w:rPr>
                <w:iCs/>
                <w:sz w:val="20"/>
                <w:szCs w:val="20"/>
              </w:rPr>
              <w:t>2023-2180-0042</w:t>
            </w:r>
          </w:p>
        </w:tc>
      </w:tr>
      <w:tr w:rsidR="00C642E8" w:rsidRPr="008D1759" w14:paraId="4A6D2F6A" w14:textId="77777777" w:rsidTr="4885E88D">
        <w:trPr>
          <w:gridAfter w:val="5"/>
          <w:wAfter w:w="2996" w:type="dxa"/>
          <w:trHeight w:val="300"/>
        </w:trPr>
        <w:tc>
          <w:tcPr>
            <w:tcW w:w="6204" w:type="dxa"/>
            <w:gridSpan w:val="7"/>
          </w:tcPr>
          <w:p w14:paraId="75FA69E0" w14:textId="77777777" w:rsidR="00C642E8" w:rsidRPr="008D1759" w:rsidRDefault="00C642E8" w:rsidP="00764194">
            <w:pPr>
              <w:rPr>
                <w:rFonts w:cs="Arial"/>
                <w:szCs w:val="20"/>
              </w:rPr>
            </w:pPr>
          </w:p>
          <w:p w14:paraId="22BC9C5B" w14:textId="77777777" w:rsidR="00C642E8" w:rsidRPr="008D1759" w:rsidRDefault="00C642E8" w:rsidP="00764194">
            <w:pPr>
              <w:rPr>
                <w:rFonts w:cs="Arial"/>
                <w:szCs w:val="20"/>
              </w:rPr>
            </w:pPr>
            <w:r w:rsidRPr="008D1759">
              <w:rPr>
                <w:rFonts w:cs="Arial"/>
                <w:szCs w:val="20"/>
              </w:rPr>
              <w:t>GENERALNI SEKRETARIAT VLADE REPUBLIKE SLOVENIJE</w:t>
            </w:r>
          </w:p>
          <w:p w14:paraId="38C70AC7" w14:textId="77777777" w:rsidR="00C642E8" w:rsidRPr="008D1759" w:rsidRDefault="00CD6413" w:rsidP="00764194">
            <w:pPr>
              <w:rPr>
                <w:rFonts w:cs="Arial"/>
                <w:szCs w:val="20"/>
              </w:rPr>
            </w:pPr>
            <w:r>
              <w:rPr>
                <w:szCs w:val="20"/>
              </w:rPr>
              <w:t>g</w:t>
            </w:r>
            <w:r w:rsidRPr="00CD6413">
              <w:rPr>
                <w:szCs w:val="20"/>
              </w:rPr>
              <w:t>p.gs@gov.si</w:t>
            </w:r>
          </w:p>
          <w:p w14:paraId="46F54537" w14:textId="77777777" w:rsidR="00C642E8" w:rsidRPr="008D1759" w:rsidRDefault="00C642E8" w:rsidP="00764194">
            <w:pPr>
              <w:rPr>
                <w:rFonts w:cs="Arial"/>
                <w:szCs w:val="20"/>
              </w:rPr>
            </w:pPr>
          </w:p>
        </w:tc>
      </w:tr>
      <w:tr w:rsidR="00C642E8" w:rsidRPr="008D1759" w14:paraId="538F0A22" w14:textId="77777777" w:rsidTr="4885E88D">
        <w:trPr>
          <w:trHeight w:val="300"/>
        </w:trPr>
        <w:tc>
          <w:tcPr>
            <w:tcW w:w="9200" w:type="dxa"/>
            <w:gridSpan w:val="12"/>
          </w:tcPr>
          <w:p w14:paraId="59C0C694" w14:textId="03600BA5" w:rsidR="00C642E8" w:rsidRPr="008D1759" w:rsidRDefault="00C642E8" w:rsidP="00086B42">
            <w:pPr>
              <w:pStyle w:val="Naslovpredpisa"/>
              <w:spacing w:before="0" w:after="0" w:line="260" w:lineRule="exact"/>
              <w:jc w:val="left"/>
              <w:rPr>
                <w:sz w:val="20"/>
                <w:szCs w:val="20"/>
              </w:rPr>
            </w:pPr>
            <w:r>
              <w:rPr>
                <w:sz w:val="20"/>
                <w:szCs w:val="20"/>
              </w:rPr>
              <w:t xml:space="preserve">ZADEVA: </w:t>
            </w:r>
            <w:r w:rsidR="00AA0FF3">
              <w:rPr>
                <w:sz w:val="20"/>
                <w:szCs w:val="20"/>
              </w:rPr>
              <w:t xml:space="preserve">NOVO GRADIVO ŠT. 2 - </w:t>
            </w:r>
            <w:r w:rsidRPr="00C04017">
              <w:rPr>
                <w:rFonts w:eastAsia="Arial"/>
                <w:sz w:val="20"/>
                <w:szCs w:val="20"/>
              </w:rPr>
              <w:t>Predlog Zakona o spremembah in dopolnitvah Zakona o gospodarskih družbah</w:t>
            </w:r>
            <w:r>
              <w:rPr>
                <w:rFonts w:eastAsia="Arial"/>
                <w:sz w:val="20"/>
                <w:szCs w:val="20"/>
              </w:rPr>
              <w:t xml:space="preserve"> </w:t>
            </w:r>
            <w:r w:rsidR="00065CE9">
              <w:rPr>
                <w:rFonts w:eastAsia="Arial"/>
                <w:sz w:val="20"/>
                <w:szCs w:val="20"/>
              </w:rPr>
              <w:t>– predlog za obravnavo</w:t>
            </w:r>
          </w:p>
        </w:tc>
      </w:tr>
      <w:tr w:rsidR="00C642E8" w:rsidRPr="008D1759" w14:paraId="4969289D" w14:textId="77777777" w:rsidTr="4885E88D">
        <w:trPr>
          <w:trHeight w:val="300"/>
        </w:trPr>
        <w:tc>
          <w:tcPr>
            <w:tcW w:w="9200" w:type="dxa"/>
            <w:gridSpan w:val="12"/>
          </w:tcPr>
          <w:p w14:paraId="3184A98C" w14:textId="77777777" w:rsidR="00C642E8" w:rsidRPr="008D1759" w:rsidRDefault="00C642E8" w:rsidP="00764194">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642E8" w:rsidRPr="008D1759" w14:paraId="45B24FBB" w14:textId="77777777" w:rsidTr="4885E88D">
        <w:trPr>
          <w:trHeight w:val="300"/>
        </w:trPr>
        <w:tc>
          <w:tcPr>
            <w:tcW w:w="9200" w:type="dxa"/>
            <w:gridSpan w:val="12"/>
          </w:tcPr>
          <w:p w14:paraId="6247F72F" w14:textId="77777777" w:rsidR="00AF1E74" w:rsidRDefault="00C642E8" w:rsidP="00764194">
            <w:pPr>
              <w:pBdr>
                <w:top w:val="nil"/>
                <w:left w:val="nil"/>
                <w:bottom w:val="nil"/>
                <w:right w:val="nil"/>
                <w:between w:val="nil"/>
              </w:pBdr>
              <w:spacing w:line="240" w:lineRule="auto"/>
              <w:ind w:hanging="2"/>
              <w:jc w:val="both"/>
              <w:rPr>
                <w:rFonts w:eastAsia="Arial" w:cs="Arial"/>
                <w:szCs w:val="20"/>
              </w:rPr>
            </w:pPr>
            <w:r w:rsidRPr="00C04017">
              <w:rPr>
                <w:rFonts w:eastAsia="Arial" w:cs="Arial"/>
                <w:szCs w:val="20"/>
              </w:rPr>
              <w:t>Na podlagi drugega odstavka 2. člena Zakona o Vladi Republike Slovenije (Uradni list RS, št. 24/05 – uradno prečiščeno besedilo, 109/08, 38/10 – ZUKN, 8/12, 21/13, 47/13 – ZDU-1G, 65/14</w:t>
            </w:r>
            <w:r w:rsidR="00764194">
              <w:rPr>
                <w:rFonts w:eastAsia="Arial" w:cs="Arial"/>
                <w:szCs w:val="20"/>
              </w:rPr>
              <w:t>,</w:t>
            </w:r>
            <w:r w:rsidRPr="00C04017">
              <w:rPr>
                <w:rFonts w:eastAsia="Arial" w:cs="Arial"/>
                <w:szCs w:val="20"/>
              </w:rPr>
              <w:t xml:space="preserve"> 55/17</w:t>
            </w:r>
            <w:r w:rsidR="00BD7068">
              <w:rPr>
                <w:rFonts w:eastAsia="Arial" w:cs="Arial"/>
                <w:szCs w:val="20"/>
              </w:rPr>
              <w:t xml:space="preserve"> in </w:t>
            </w:r>
            <w:r w:rsidR="00685B2F">
              <w:rPr>
                <w:rFonts w:eastAsia="Arial" w:cs="Arial"/>
                <w:szCs w:val="20"/>
              </w:rPr>
              <w:t>163/22</w:t>
            </w:r>
            <w:r w:rsidRPr="00C04017">
              <w:rPr>
                <w:rFonts w:eastAsia="Arial" w:cs="Arial"/>
                <w:szCs w:val="20"/>
              </w:rPr>
              <w:t>) je Vlada Republike Slovenije na ... seji</w:t>
            </w:r>
            <w:r w:rsidR="008A7FCB">
              <w:rPr>
                <w:rFonts w:eastAsia="Arial" w:cs="Arial"/>
                <w:szCs w:val="20"/>
              </w:rPr>
              <w:t xml:space="preserve">  </w:t>
            </w:r>
            <w:r w:rsidRPr="00C04017">
              <w:rPr>
                <w:rFonts w:eastAsia="Arial" w:cs="Arial"/>
                <w:szCs w:val="20"/>
              </w:rPr>
              <w:t xml:space="preserve">dne ... sprejela naslednji </w:t>
            </w:r>
          </w:p>
          <w:p w14:paraId="7DE2B258" w14:textId="77777777" w:rsidR="00AF1E74" w:rsidRDefault="00AF1E74" w:rsidP="00764194">
            <w:pPr>
              <w:pBdr>
                <w:top w:val="nil"/>
                <w:left w:val="nil"/>
                <w:bottom w:val="nil"/>
                <w:right w:val="nil"/>
                <w:between w:val="nil"/>
              </w:pBdr>
              <w:spacing w:line="240" w:lineRule="auto"/>
              <w:ind w:hanging="2"/>
              <w:jc w:val="both"/>
              <w:rPr>
                <w:rFonts w:eastAsia="Arial" w:cs="Arial"/>
                <w:szCs w:val="20"/>
              </w:rPr>
            </w:pPr>
          </w:p>
          <w:p w14:paraId="7CE0C5DD" w14:textId="77777777" w:rsidR="00AF1E74" w:rsidRDefault="00AF1E74" w:rsidP="00764194">
            <w:pPr>
              <w:pBdr>
                <w:top w:val="nil"/>
                <w:left w:val="nil"/>
                <w:bottom w:val="nil"/>
                <w:right w:val="nil"/>
                <w:between w:val="nil"/>
              </w:pBdr>
              <w:spacing w:line="240" w:lineRule="auto"/>
              <w:ind w:hanging="2"/>
              <w:jc w:val="both"/>
              <w:rPr>
                <w:rFonts w:eastAsia="Arial" w:cs="Arial"/>
                <w:szCs w:val="20"/>
              </w:rPr>
            </w:pPr>
          </w:p>
          <w:p w14:paraId="56139EB4" w14:textId="77777777" w:rsidR="00C642E8" w:rsidRPr="00C04017" w:rsidRDefault="00AF1E74" w:rsidP="00AF1E74">
            <w:pPr>
              <w:pBdr>
                <w:top w:val="nil"/>
                <w:left w:val="nil"/>
                <w:bottom w:val="nil"/>
                <w:right w:val="nil"/>
                <w:between w:val="nil"/>
              </w:pBdr>
              <w:spacing w:line="240" w:lineRule="auto"/>
              <w:ind w:hanging="2"/>
              <w:jc w:val="center"/>
              <w:rPr>
                <w:rFonts w:eastAsia="Arial" w:cs="Arial"/>
                <w:szCs w:val="20"/>
              </w:rPr>
            </w:pPr>
            <w:r w:rsidRPr="00C04017">
              <w:rPr>
                <w:rFonts w:eastAsia="Arial" w:cs="Arial"/>
                <w:szCs w:val="20"/>
              </w:rPr>
              <w:t>SKLEP</w:t>
            </w:r>
            <w:r w:rsidR="00C642E8" w:rsidRPr="00C04017">
              <w:rPr>
                <w:rFonts w:eastAsia="Arial" w:cs="Arial"/>
                <w:szCs w:val="20"/>
              </w:rPr>
              <w:t>:</w:t>
            </w:r>
          </w:p>
          <w:p w14:paraId="49BC3D20"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5581D761" w14:textId="36AD9BFD" w:rsidR="00C642E8" w:rsidRPr="00C04017"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 xml:space="preserve">Vlada Republike Slovenije je določila besedilo </w:t>
            </w:r>
            <w:r w:rsidR="00FB436D">
              <w:rPr>
                <w:rFonts w:eastAsia="Arial" w:cs="Arial"/>
                <w:szCs w:val="20"/>
              </w:rPr>
              <w:t>P</w:t>
            </w:r>
            <w:r w:rsidRPr="00C04017">
              <w:rPr>
                <w:rFonts w:eastAsia="Arial" w:cs="Arial"/>
                <w:szCs w:val="20"/>
              </w:rPr>
              <w:t xml:space="preserve">redloga </w:t>
            </w:r>
            <w:r w:rsidR="00D91BE0">
              <w:rPr>
                <w:rFonts w:eastAsia="Arial" w:cs="Arial"/>
                <w:szCs w:val="20"/>
              </w:rPr>
              <w:t>z</w:t>
            </w:r>
            <w:r w:rsidR="00D91BE0" w:rsidRPr="00C04017">
              <w:rPr>
                <w:rFonts w:eastAsia="Arial" w:cs="Arial"/>
                <w:szCs w:val="20"/>
              </w:rPr>
              <w:t xml:space="preserve">akona </w:t>
            </w:r>
            <w:r w:rsidRPr="00C04017">
              <w:rPr>
                <w:rFonts w:eastAsia="Arial" w:cs="Arial"/>
                <w:szCs w:val="20"/>
              </w:rPr>
              <w:t>o spremembah in dopolnitvah Zakona o gospodarskih družbah</w:t>
            </w:r>
            <w:r w:rsidR="00573F04">
              <w:rPr>
                <w:rFonts w:eastAsia="Arial" w:cs="Arial"/>
                <w:szCs w:val="20"/>
              </w:rPr>
              <w:t xml:space="preserve"> </w:t>
            </w:r>
            <w:r w:rsidR="00573F04" w:rsidRPr="00573F04">
              <w:rPr>
                <w:rFonts w:eastAsia="Arial" w:cs="Arial"/>
                <w:szCs w:val="20"/>
              </w:rPr>
              <w:t xml:space="preserve">(EVA: </w:t>
            </w:r>
            <w:r w:rsidR="00B45DAC" w:rsidRPr="00B45DAC">
              <w:rPr>
                <w:rFonts w:eastAsia="Arial" w:cs="Arial"/>
                <w:szCs w:val="20"/>
              </w:rPr>
              <w:t>2023-2180-0042</w:t>
            </w:r>
            <w:r w:rsidR="00573F04" w:rsidRPr="00573F04">
              <w:rPr>
                <w:rFonts w:eastAsia="Arial" w:cs="Arial"/>
                <w:szCs w:val="20"/>
              </w:rPr>
              <w:t xml:space="preserve">) </w:t>
            </w:r>
            <w:r w:rsidRPr="00C04017">
              <w:rPr>
                <w:rFonts w:eastAsia="Arial" w:cs="Arial"/>
                <w:szCs w:val="20"/>
              </w:rPr>
              <w:t xml:space="preserve"> in ga predloži Državnemu zboru</w:t>
            </w:r>
            <w:r w:rsidRPr="00C04017" w:rsidDel="009F7EC5">
              <w:rPr>
                <w:rFonts w:eastAsia="Arial" w:cs="Arial"/>
                <w:szCs w:val="20"/>
              </w:rPr>
              <w:t xml:space="preserve"> </w:t>
            </w:r>
            <w:r w:rsidRPr="00C04017">
              <w:rPr>
                <w:rFonts w:eastAsia="Arial" w:cs="Arial"/>
                <w:szCs w:val="20"/>
              </w:rPr>
              <w:t>po rednem zakonodajnem postopku.</w:t>
            </w:r>
          </w:p>
          <w:p w14:paraId="71308D83"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6EB1BC4B" w14:textId="77777777" w:rsidR="00C642E8" w:rsidRPr="00C04017" w:rsidRDefault="00C642E8" w:rsidP="00764194">
            <w:pPr>
              <w:pBdr>
                <w:top w:val="nil"/>
                <w:left w:val="nil"/>
                <w:bottom w:val="nil"/>
                <w:right w:val="nil"/>
                <w:between w:val="nil"/>
              </w:pBdr>
              <w:ind w:hanging="2"/>
              <w:jc w:val="center"/>
              <w:rPr>
                <w:rFonts w:eastAsia="Arial" w:cs="Arial"/>
                <w:szCs w:val="20"/>
              </w:rPr>
            </w:pPr>
            <w:r w:rsidRPr="00C04017">
              <w:rPr>
                <w:rFonts w:eastAsia="Arial" w:cs="Arial"/>
                <w:szCs w:val="20"/>
              </w:rPr>
              <w:t xml:space="preserve">                         </w:t>
            </w:r>
            <w:r>
              <w:rPr>
                <w:rFonts w:eastAsia="Arial" w:cs="Arial"/>
                <w:szCs w:val="20"/>
              </w:rPr>
              <w:t xml:space="preserve">                </w:t>
            </w:r>
          </w:p>
          <w:p w14:paraId="3391840E" w14:textId="77777777" w:rsidR="00C642E8" w:rsidRDefault="00C642E8" w:rsidP="00764194">
            <w:pPr>
              <w:pStyle w:val="Heading3"/>
              <w:spacing w:before="0"/>
              <w:textAlignment w:val="baseline"/>
              <w:rPr>
                <w:rFonts w:ascii="Republika" w:hAnsi="Republika"/>
                <w:color w:val="111111"/>
                <w:sz w:val="25"/>
                <w:szCs w:val="25"/>
                <w:lang w:eastAsia="sl-SI"/>
              </w:rPr>
            </w:pPr>
            <w:r w:rsidRPr="00C04017">
              <w:rPr>
                <w:rFonts w:eastAsia="Arial" w:cs="Arial"/>
                <w:szCs w:val="20"/>
              </w:rPr>
              <w:t xml:space="preserve">                          </w:t>
            </w:r>
            <w:r>
              <w:rPr>
                <w:rFonts w:eastAsia="Arial" w:cs="Arial"/>
                <w:szCs w:val="20"/>
              </w:rPr>
              <w:t xml:space="preserve">                                               </w:t>
            </w:r>
          </w:p>
          <w:p w14:paraId="7083DBD5" w14:textId="77777777" w:rsidR="00C642E8" w:rsidRPr="00125806" w:rsidRDefault="00C642E8" w:rsidP="00764194">
            <w:pPr>
              <w:pBdr>
                <w:top w:val="nil"/>
                <w:left w:val="nil"/>
                <w:bottom w:val="nil"/>
                <w:right w:val="nil"/>
                <w:between w:val="nil"/>
              </w:pBdr>
              <w:ind w:left="4322" w:hanging="2"/>
              <w:jc w:val="center"/>
              <w:rPr>
                <w:rFonts w:eastAsia="Arial" w:cs="Arial"/>
                <w:szCs w:val="20"/>
              </w:rPr>
            </w:pPr>
            <w:r w:rsidRPr="00125806">
              <w:rPr>
                <w:rFonts w:cs="Arial"/>
                <w:color w:val="111111"/>
                <w:szCs w:val="20"/>
              </w:rPr>
              <w:t>Barbara Kolenko Helbl</w:t>
            </w:r>
          </w:p>
          <w:p w14:paraId="0D9576EA" w14:textId="77777777" w:rsidR="00C642E8" w:rsidRPr="00125806" w:rsidRDefault="00C642E8" w:rsidP="00764194">
            <w:pPr>
              <w:pBdr>
                <w:top w:val="nil"/>
                <w:left w:val="nil"/>
                <w:bottom w:val="nil"/>
                <w:right w:val="nil"/>
                <w:between w:val="nil"/>
              </w:pBdr>
              <w:ind w:hanging="2"/>
              <w:jc w:val="both"/>
              <w:rPr>
                <w:rFonts w:eastAsia="Arial" w:cs="Arial"/>
                <w:szCs w:val="20"/>
              </w:rPr>
            </w:pPr>
            <w:r w:rsidRPr="00125806">
              <w:rPr>
                <w:rFonts w:eastAsia="Arial" w:cs="Arial"/>
                <w:szCs w:val="20"/>
              </w:rPr>
              <w:t xml:space="preserve">                                                                                         </w:t>
            </w:r>
            <w:r w:rsidR="00001359">
              <w:rPr>
                <w:rFonts w:eastAsia="Arial" w:cs="Arial"/>
                <w:szCs w:val="20"/>
              </w:rPr>
              <w:t xml:space="preserve">        </w:t>
            </w:r>
            <w:r w:rsidRPr="00125806">
              <w:rPr>
                <w:rFonts w:eastAsia="Arial" w:cs="Arial"/>
                <w:szCs w:val="20"/>
              </w:rPr>
              <w:t>GENERALNA SEKRETARKA</w:t>
            </w:r>
          </w:p>
          <w:p w14:paraId="39FF9E4A" w14:textId="77777777" w:rsidR="00C642E8" w:rsidRPr="00C04017" w:rsidRDefault="00C642E8" w:rsidP="00764194">
            <w:pPr>
              <w:pBdr>
                <w:top w:val="nil"/>
                <w:left w:val="nil"/>
                <w:bottom w:val="nil"/>
                <w:right w:val="nil"/>
                <w:between w:val="nil"/>
              </w:pBdr>
              <w:jc w:val="both"/>
              <w:rPr>
                <w:rFonts w:eastAsia="Arial" w:cs="Arial"/>
                <w:szCs w:val="20"/>
              </w:rPr>
            </w:pPr>
          </w:p>
          <w:p w14:paraId="1E6847F7" w14:textId="77777777" w:rsidR="00C642E8" w:rsidRPr="00C04017" w:rsidRDefault="00C642E8" w:rsidP="00764194">
            <w:pPr>
              <w:pBdr>
                <w:top w:val="nil"/>
                <w:left w:val="nil"/>
                <w:bottom w:val="nil"/>
                <w:right w:val="nil"/>
                <w:between w:val="nil"/>
              </w:pBdr>
              <w:ind w:hanging="2"/>
              <w:jc w:val="both"/>
              <w:rPr>
                <w:rFonts w:eastAsia="Arial" w:cs="Arial"/>
                <w:szCs w:val="20"/>
              </w:rPr>
            </w:pPr>
            <w:r w:rsidRPr="00C04017">
              <w:rPr>
                <w:rFonts w:eastAsia="Arial" w:cs="Arial"/>
                <w:szCs w:val="20"/>
              </w:rPr>
              <w:t>Priloga:</w:t>
            </w:r>
          </w:p>
          <w:p w14:paraId="219D825C" w14:textId="77777777" w:rsidR="00C642E8" w:rsidRPr="00C04017" w:rsidRDefault="00C642E8" w:rsidP="000F78A4">
            <w:pPr>
              <w:numPr>
                <w:ilvl w:val="0"/>
                <w:numId w:val="14"/>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 xml:space="preserve">Predlog </w:t>
            </w:r>
            <w:r w:rsidR="00D91BE0">
              <w:rPr>
                <w:rFonts w:eastAsia="Arial" w:cs="Arial"/>
                <w:szCs w:val="20"/>
              </w:rPr>
              <w:t>z</w:t>
            </w:r>
            <w:r w:rsidR="00D91BE0" w:rsidRPr="00C04017">
              <w:rPr>
                <w:rFonts w:eastAsia="Arial" w:cs="Arial"/>
                <w:szCs w:val="20"/>
              </w:rPr>
              <w:t xml:space="preserve">akona </w:t>
            </w:r>
            <w:r w:rsidRPr="00C04017">
              <w:rPr>
                <w:rFonts w:eastAsia="Arial" w:cs="Arial"/>
                <w:szCs w:val="20"/>
              </w:rPr>
              <w:t>o spremembah in dopolnitvah Zakona o gospodarskih družbah</w:t>
            </w:r>
          </w:p>
          <w:p w14:paraId="329EBCAB" w14:textId="77777777" w:rsidR="00C642E8" w:rsidRPr="00C04017" w:rsidRDefault="00C642E8" w:rsidP="00764194">
            <w:pPr>
              <w:pBdr>
                <w:top w:val="nil"/>
                <w:left w:val="nil"/>
                <w:bottom w:val="nil"/>
                <w:right w:val="nil"/>
                <w:between w:val="nil"/>
              </w:pBdr>
              <w:ind w:hanging="2"/>
              <w:jc w:val="both"/>
              <w:rPr>
                <w:rFonts w:eastAsia="Arial" w:cs="Arial"/>
                <w:szCs w:val="20"/>
              </w:rPr>
            </w:pPr>
          </w:p>
          <w:p w14:paraId="0EB8BD46"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Sklep prejmejo:</w:t>
            </w:r>
          </w:p>
          <w:p w14:paraId="6041CF0A" w14:textId="77777777" w:rsidR="00C642E8" w:rsidRPr="00C04017" w:rsidRDefault="00C642E8" w:rsidP="000F78A4">
            <w:pPr>
              <w:numPr>
                <w:ilvl w:val="0"/>
                <w:numId w:val="14"/>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Državni zbor republike Slovenije,</w:t>
            </w:r>
          </w:p>
          <w:p w14:paraId="57B09DB4" w14:textId="77777777" w:rsidR="00C642E8" w:rsidRPr="00C04017" w:rsidRDefault="00C642E8" w:rsidP="000F78A4">
            <w:pPr>
              <w:numPr>
                <w:ilvl w:val="0"/>
                <w:numId w:val="14"/>
              </w:numPr>
              <w:pBdr>
                <w:top w:val="nil"/>
                <w:left w:val="nil"/>
                <w:bottom w:val="nil"/>
                <w:right w:val="nil"/>
                <w:between w:val="nil"/>
              </w:pBdr>
              <w:suppressAutoHyphens/>
              <w:spacing w:line="259" w:lineRule="auto"/>
              <w:jc w:val="both"/>
              <w:textAlignment w:val="top"/>
              <w:outlineLvl w:val="0"/>
              <w:rPr>
                <w:rFonts w:eastAsia="Arial" w:cs="Arial"/>
                <w:szCs w:val="20"/>
              </w:rPr>
            </w:pPr>
            <w:r w:rsidRPr="00C04017">
              <w:rPr>
                <w:rFonts w:eastAsia="Arial" w:cs="Arial"/>
                <w:szCs w:val="20"/>
              </w:rPr>
              <w:t>Ministrstvo za gospodars</w:t>
            </w:r>
            <w:r w:rsidR="00BD7068">
              <w:rPr>
                <w:rFonts w:eastAsia="Arial" w:cs="Arial"/>
                <w:szCs w:val="20"/>
              </w:rPr>
              <w:t>tvo, turizem</w:t>
            </w:r>
            <w:r w:rsidRPr="00C04017">
              <w:rPr>
                <w:rFonts w:eastAsia="Arial" w:cs="Arial"/>
                <w:szCs w:val="20"/>
              </w:rPr>
              <w:t xml:space="preserve"> in </w:t>
            </w:r>
            <w:r w:rsidR="00BD7068">
              <w:rPr>
                <w:rFonts w:eastAsia="Arial" w:cs="Arial"/>
                <w:szCs w:val="20"/>
              </w:rPr>
              <w:t>špor</w:t>
            </w:r>
            <w:r w:rsidRPr="00C04017">
              <w:rPr>
                <w:rFonts w:eastAsia="Arial" w:cs="Arial"/>
                <w:szCs w:val="20"/>
              </w:rPr>
              <w:t>t,</w:t>
            </w:r>
          </w:p>
          <w:p w14:paraId="2D9EF1E3" w14:textId="77777777" w:rsidR="00C642E8" w:rsidRPr="00F96BFA" w:rsidRDefault="00C642E8" w:rsidP="000F78A4">
            <w:pPr>
              <w:numPr>
                <w:ilvl w:val="0"/>
                <w:numId w:val="14"/>
              </w:numPr>
              <w:pBdr>
                <w:top w:val="nil"/>
                <w:left w:val="nil"/>
                <w:bottom w:val="nil"/>
                <w:right w:val="nil"/>
                <w:between w:val="nil"/>
              </w:pBdr>
              <w:suppressAutoHyphens/>
              <w:spacing w:line="259" w:lineRule="auto"/>
              <w:textAlignment w:val="top"/>
              <w:outlineLvl w:val="0"/>
              <w:rPr>
                <w:rFonts w:eastAsia="Arial" w:cs="Arial"/>
                <w:szCs w:val="20"/>
              </w:rPr>
            </w:pPr>
            <w:r w:rsidRPr="00C04017">
              <w:rPr>
                <w:rFonts w:eastAsia="Arial" w:cs="Arial"/>
                <w:szCs w:val="20"/>
              </w:rPr>
              <w:t>Služba Vlade Republike Slovenije za zakonodajo.</w:t>
            </w:r>
          </w:p>
        </w:tc>
      </w:tr>
      <w:tr w:rsidR="00C642E8" w:rsidRPr="008D1759" w14:paraId="581D2B5A" w14:textId="77777777" w:rsidTr="4885E88D">
        <w:trPr>
          <w:trHeight w:val="300"/>
        </w:trPr>
        <w:tc>
          <w:tcPr>
            <w:tcW w:w="9200" w:type="dxa"/>
            <w:gridSpan w:val="12"/>
          </w:tcPr>
          <w:p w14:paraId="64A99099" w14:textId="77777777" w:rsidR="00C642E8" w:rsidRPr="00D43F59" w:rsidRDefault="00C642E8" w:rsidP="00764194">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C642E8" w:rsidRPr="008D1759" w14:paraId="29B4B397" w14:textId="77777777" w:rsidTr="4885E88D">
        <w:trPr>
          <w:trHeight w:val="300"/>
        </w:trPr>
        <w:tc>
          <w:tcPr>
            <w:tcW w:w="9200" w:type="dxa"/>
            <w:gridSpan w:val="12"/>
          </w:tcPr>
          <w:p w14:paraId="7214F981" w14:textId="77777777" w:rsidR="00C642E8" w:rsidRPr="008D1759" w:rsidRDefault="00C642E8" w:rsidP="00764194">
            <w:pPr>
              <w:pStyle w:val="Neotevilenodstavek"/>
              <w:spacing w:before="0" w:after="0" w:line="260" w:lineRule="exact"/>
              <w:rPr>
                <w:iCs/>
                <w:sz w:val="20"/>
                <w:szCs w:val="20"/>
              </w:rPr>
            </w:pPr>
            <w:r>
              <w:rPr>
                <w:iCs/>
                <w:sz w:val="20"/>
                <w:szCs w:val="20"/>
              </w:rPr>
              <w:t>/</w:t>
            </w:r>
          </w:p>
        </w:tc>
      </w:tr>
      <w:tr w:rsidR="00C642E8" w:rsidRPr="008D1759" w14:paraId="6B2389E4" w14:textId="77777777" w:rsidTr="4885E88D">
        <w:trPr>
          <w:trHeight w:val="300"/>
        </w:trPr>
        <w:tc>
          <w:tcPr>
            <w:tcW w:w="9200" w:type="dxa"/>
            <w:gridSpan w:val="12"/>
          </w:tcPr>
          <w:p w14:paraId="145A66B9" w14:textId="77777777" w:rsidR="00C642E8" w:rsidRPr="00D43F59" w:rsidRDefault="00C642E8" w:rsidP="00764194">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C642E8" w:rsidRPr="008D1759" w14:paraId="4309A10F" w14:textId="77777777" w:rsidTr="4885E88D">
        <w:trPr>
          <w:trHeight w:val="300"/>
        </w:trPr>
        <w:tc>
          <w:tcPr>
            <w:tcW w:w="9200" w:type="dxa"/>
            <w:gridSpan w:val="12"/>
          </w:tcPr>
          <w:p w14:paraId="4D6DE2FE"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p w14:paraId="0BAA0B29" w14:textId="1A6712C2" w:rsidR="00C642E8" w:rsidRDefault="00296B99" w:rsidP="00764194">
            <w:pPr>
              <w:pBdr>
                <w:top w:val="nil"/>
                <w:left w:val="nil"/>
                <w:bottom w:val="nil"/>
                <w:right w:val="nil"/>
                <w:between w:val="nil"/>
              </w:pBdr>
              <w:ind w:hanging="2"/>
              <w:jc w:val="both"/>
              <w:rPr>
                <w:rFonts w:eastAsia="Arial" w:cs="Arial"/>
                <w:szCs w:val="20"/>
              </w:rPr>
            </w:pPr>
            <w:r>
              <w:rPr>
                <w:rFonts w:eastAsia="Arial" w:cs="Arial"/>
                <w:szCs w:val="20"/>
              </w:rPr>
              <w:t>Martina Gašperlin</w:t>
            </w:r>
            <w:r w:rsidR="00C642E8">
              <w:rPr>
                <w:rFonts w:eastAsia="Arial" w:cs="Arial"/>
                <w:szCs w:val="20"/>
              </w:rPr>
              <w:t>, sekretarka,</w:t>
            </w:r>
            <w:r w:rsidR="00C642E8" w:rsidRPr="00C04017">
              <w:rPr>
                <w:rFonts w:eastAsia="Arial" w:cs="Arial"/>
                <w:szCs w:val="20"/>
              </w:rPr>
              <w:t xml:space="preserve"> vodja Sektorja za gospodarsko pravo, Direktorat za notranji trg </w:t>
            </w:r>
          </w:p>
          <w:p w14:paraId="157AD20E" w14:textId="0D61BF3C" w:rsidR="00A54542" w:rsidRPr="00C04017" w:rsidRDefault="00A54542" w:rsidP="00764194">
            <w:pPr>
              <w:pBdr>
                <w:top w:val="nil"/>
                <w:left w:val="nil"/>
                <w:bottom w:val="nil"/>
                <w:right w:val="nil"/>
                <w:between w:val="nil"/>
              </w:pBdr>
              <w:ind w:hanging="2"/>
              <w:jc w:val="both"/>
              <w:rPr>
                <w:rFonts w:eastAsia="Arial" w:cs="Arial"/>
                <w:szCs w:val="20"/>
              </w:rPr>
            </w:pPr>
            <w:r w:rsidRPr="00A54542">
              <w:rPr>
                <w:rFonts w:eastAsia="Arial" w:cs="Arial"/>
                <w:szCs w:val="20"/>
              </w:rPr>
              <w:t>Aleš Gorišek, sekretar, Sektor za gospodarsko pravo, Direktorat za notranji trg</w:t>
            </w:r>
          </w:p>
          <w:p w14:paraId="23D9125E" w14:textId="77777777" w:rsidR="00C642E8" w:rsidRDefault="00C642E8" w:rsidP="00764194">
            <w:pPr>
              <w:pBdr>
                <w:top w:val="nil"/>
                <w:left w:val="nil"/>
                <w:bottom w:val="nil"/>
                <w:right w:val="nil"/>
                <w:between w:val="nil"/>
              </w:pBdr>
              <w:ind w:hanging="2"/>
              <w:jc w:val="both"/>
              <w:rPr>
                <w:rFonts w:eastAsia="Arial" w:cs="Arial"/>
                <w:szCs w:val="20"/>
              </w:rPr>
            </w:pPr>
            <w:r>
              <w:rPr>
                <w:rFonts w:eastAsia="Arial" w:cs="Arial"/>
                <w:szCs w:val="20"/>
              </w:rPr>
              <w:t>Sabina Trokić, podsekretarka</w:t>
            </w:r>
            <w:r w:rsidRPr="00C04017">
              <w:rPr>
                <w:rFonts w:eastAsia="Arial" w:cs="Arial"/>
                <w:szCs w:val="20"/>
              </w:rPr>
              <w:t>, Sektor za gospodarsko pravo, Direktorat za notranji trg</w:t>
            </w:r>
          </w:p>
          <w:p w14:paraId="59A26B3A" w14:textId="77777777" w:rsidR="00DF6DBE" w:rsidRPr="00C04017" w:rsidRDefault="00DF6DBE" w:rsidP="00DF6DBE">
            <w:pPr>
              <w:pBdr>
                <w:top w:val="nil"/>
                <w:left w:val="nil"/>
                <w:bottom w:val="nil"/>
                <w:right w:val="nil"/>
                <w:between w:val="nil"/>
              </w:pBdr>
              <w:ind w:hanging="2"/>
              <w:jc w:val="both"/>
              <w:rPr>
                <w:rFonts w:eastAsia="Arial" w:cs="Arial"/>
                <w:szCs w:val="20"/>
              </w:rPr>
            </w:pPr>
            <w:r>
              <w:rPr>
                <w:rFonts w:eastAsia="Arial" w:cs="Arial"/>
                <w:szCs w:val="20"/>
              </w:rPr>
              <w:t>Katja Manojlović</w:t>
            </w:r>
            <w:r w:rsidRPr="00C04017">
              <w:rPr>
                <w:rFonts w:eastAsia="Arial" w:cs="Arial"/>
                <w:szCs w:val="20"/>
              </w:rPr>
              <w:t xml:space="preserve">, </w:t>
            </w:r>
            <w:r>
              <w:rPr>
                <w:rFonts w:eastAsia="Arial" w:cs="Arial"/>
                <w:szCs w:val="20"/>
              </w:rPr>
              <w:t>podsekretarka</w:t>
            </w:r>
            <w:r w:rsidRPr="00C04017">
              <w:rPr>
                <w:rFonts w:eastAsia="Arial" w:cs="Arial"/>
                <w:szCs w:val="20"/>
              </w:rPr>
              <w:t>, Sektor za gospodarsko pravo, Direktorat za notranji trg</w:t>
            </w:r>
          </w:p>
          <w:p w14:paraId="46F86A0F" w14:textId="77777777" w:rsidR="00DF6DBE" w:rsidRPr="00E630F9" w:rsidRDefault="00DF6DBE" w:rsidP="00DF6DBE">
            <w:pPr>
              <w:pBdr>
                <w:top w:val="nil"/>
                <w:left w:val="nil"/>
                <w:bottom w:val="nil"/>
                <w:right w:val="nil"/>
                <w:between w:val="nil"/>
              </w:pBdr>
              <w:ind w:hanging="2"/>
              <w:jc w:val="both"/>
              <w:rPr>
                <w:rFonts w:eastAsia="Arial" w:cs="Arial"/>
                <w:szCs w:val="20"/>
              </w:rPr>
            </w:pPr>
            <w:r>
              <w:rPr>
                <w:rFonts w:eastAsia="Arial" w:cs="Arial"/>
                <w:szCs w:val="20"/>
              </w:rPr>
              <w:t>Zlatko Ratej</w:t>
            </w:r>
            <w:r w:rsidRPr="00C04017">
              <w:rPr>
                <w:rFonts w:eastAsia="Arial" w:cs="Arial"/>
                <w:szCs w:val="20"/>
              </w:rPr>
              <w:t>, sekretar, Sektor za gospodarsko pravo, Direktorat za notranji trg</w:t>
            </w:r>
          </w:p>
        </w:tc>
      </w:tr>
      <w:tr w:rsidR="00C642E8" w:rsidRPr="008D1759" w14:paraId="0968F58F" w14:textId="77777777" w:rsidTr="4885E88D">
        <w:trPr>
          <w:trHeight w:val="300"/>
        </w:trPr>
        <w:tc>
          <w:tcPr>
            <w:tcW w:w="9200" w:type="dxa"/>
            <w:gridSpan w:val="12"/>
          </w:tcPr>
          <w:p w14:paraId="63748D98" w14:textId="77777777" w:rsidR="00C642E8" w:rsidRPr="005F3DC6" w:rsidRDefault="00C642E8" w:rsidP="00764194">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C642E8" w:rsidRPr="008D1759" w14:paraId="3547A387" w14:textId="77777777" w:rsidTr="4885E88D">
        <w:trPr>
          <w:trHeight w:val="300"/>
        </w:trPr>
        <w:tc>
          <w:tcPr>
            <w:tcW w:w="9200" w:type="dxa"/>
            <w:gridSpan w:val="12"/>
          </w:tcPr>
          <w:p w14:paraId="1AA133A9" w14:textId="77777777" w:rsidR="00C642E8" w:rsidRPr="008D1759" w:rsidRDefault="00C642E8" w:rsidP="00764194">
            <w:pPr>
              <w:pStyle w:val="Neotevilenodstavek"/>
              <w:spacing w:before="0" w:after="0" w:line="260" w:lineRule="exact"/>
              <w:rPr>
                <w:iCs/>
                <w:sz w:val="20"/>
                <w:szCs w:val="20"/>
              </w:rPr>
            </w:pPr>
            <w:r>
              <w:rPr>
                <w:iCs/>
                <w:sz w:val="20"/>
                <w:szCs w:val="20"/>
              </w:rPr>
              <w:t>/</w:t>
            </w:r>
          </w:p>
        </w:tc>
      </w:tr>
      <w:tr w:rsidR="00C642E8" w:rsidRPr="008D1759" w14:paraId="309F1E5E" w14:textId="77777777" w:rsidTr="4885E88D">
        <w:trPr>
          <w:trHeight w:val="300"/>
        </w:trPr>
        <w:tc>
          <w:tcPr>
            <w:tcW w:w="9200" w:type="dxa"/>
            <w:gridSpan w:val="12"/>
          </w:tcPr>
          <w:p w14:paraId="18593050" w14:textId="77777777" w:rsidR="00C642E8" w:rsidRPr="00D43F59" w:rsidRDefault="00C642E8" w:rsidP="00764194">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C642E8" w:rsidRPr="008D1759" w14:paraId="30CBB859" w14:textId="77777777" w:rsidTr="4885E88D">
        <w:trPr>
          <w:trHeight w:val="300"/>
        </w:trPr>
        <w:tc>
          <w:tcPr>
            <w:tcW w:w="9200" w:type="dxa"/>
            <w:gridSpan w:val="12"/>
          </w:tcPr>
          <w:p w14:paraId="635CC38E"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Matjaž Han</w:t>
            </w:r>
            <w:r w:rsidRPr="00C04017">
              <w:rPr>
                <w:rFonts w:eastAsia="Arial" w:cs="Arial"/>
                <w:szCs w:val="20"/>
              </w:rPr>
              <w:t>, minister za gospodars</w:t>
            </w:r>
            <w:r w:rsidR="00BD7068">
              <w:rPr>
                <w:rFonts w:eastAsia="Arial" w:cs="Arial"/>
                <w:szCs w:val="20"/>
              </w:rPr>
              <w:t>tvo, turizem</w:t>
            </w:r>
            <w:r w:rsidRPr="00C04017">
              <w:rPr>
                <w:rFonts w:eastAsia="Arial" w:cs="Arial"/>
                <w:szCs w:val="20"/>
              </w:rPr>
              <w:t xml:space="preserve"> in </w:t>
            </w:r>
            <w:r w:rsidR="00BD7068">
              <w:rPr>
                <w:rFonts w:eastAsia="Arial" w:cs="Arial"/>
                <w:szCs w:val="20"/>
              </w:rPr>
              <w:t>špor</w:t>
            </w:r>
            <w:r w:rsidRPr="00C04017">
              <w:rPr>
                <w:rFonts w:eastAsia="Arial" w:cs="Arial"/>
                <w:szCs w:val="20"/>
              </w:rPr>
              <w:t>t</w:t>
            </w:r>
          </w:p>
          <w:p w14:paraId="78C6FC65" w14:textId="77777777" w:rsidR="00C642E8" w:rsidRDefault="00C642E8" w:rsidP="00764194">
            <w:pPr>
              <w:pBdr>
                <w:top w:val="nil"/>
                <w:left w:val="nil"/>
                <w:bottom w:val="nil"/>
                <w:right w:val="nil"/>
                <w:between w:val="nil"/>
              </w:pBdr>
              <w:ind w:hanging="2"/>
              <w:jc w:val="both"/>
              <w:rPr>
                <w:rFonts w:eastAsia="Arial" w:cs="Arial"/>
                <w:szCs w:val="20"/>
              </w:rPr>
            </w:pPr>
            <w:r>
              <w:rPr>
                <w:rFonts w:eastAsia="Arial" w:cs="Arial"/>
                <w:szCs w:val="20"/>
              </w:rPr>
              <w:lastRenderedPageBreak/>
              <w:t>mag. Dejan Židan</w:t>
            </w:r>
            <w:r w:rsidRPr="00C04017">
              <w:rPr>
                <w:rFonts w:eastAsia="Arial" w:cs="Arial"/>
                <w:szCs w:val="20"/>
              </w:rPr>
              <w:t>, državni sekretar</w:t>
            </w:r>
          </w:p>
          <w:p w14:paraId="71BDD15A" w14:textId="101AC1BA" w:rsidR="00B34AF8" w:rsidRDefault="00B34AF8" w:rsidP="00764194">
            <w:pPr>
              <w:pBdr>
                <w:top w:val="nil"/>
                <w:left w:val="nil"/>
                <w:bottom w:val="nil"/>
                <w:right w:val="nil"/>
                <w:between w:val="nil"/>
              </w:pBdr>
              <w:ind w:hanging="2"/>
              <w:jc w:val="both"/>
              <w:rPr>
                <w:rFonts w:eastAsia="Arial" w:cs="Arial"/>
                <w:szCs w:val="20"/>
              </w:rPr>
            </w:pPr>
            <w:r>
              <w:rPr>
                <w:rFonts w:eastAsia="Arial" w:cs="Arial"/>
                <w:szCs w:val="20"/>
              </w:rPr>
              <w:t>Matjaž Frangež, državni sekretar</w:t>
            </w:r>
          </w:p>
          <w:p w14:paraId="04CD986B" w14:textId="77777777" w:rsidR="00C642E8" w:rsidRPr="00C04017" w:rsidRDefault="00C642E8" w:rsidP="00764194">
            <w:pPr>
              <w:pBdr>
                <w:top w:val="nil"/>
                <w:left w:val="nil"/>
                <w:bottom w:val="nil"/>
                <w:right w:val="nil"/>
                <w:between w:val="nil"/>
              </w:pBdr>
              <w:ind w:hanging="2"/>
              <w:jc w:val="both"/>
              <w:rPr>
                <w:rFonts w:eastAsia="Arial" w:cs="Arial"/>
                <w:szCs w:val="20"/>
              </w:rPr>
            </w:pPr>
            <w:r>
              <w:rPr>
                <w:rFonts w:eastAsia="Arial" w:cs="Arial"/>
                <w:szCs w:val="20"/>
              </w:rPr>
              <w:t>m</w:t>
            </w:r>
            <w:r w:rsidRPr="00C04017">
              <w:rPr>
                <w:rFonts w:eastAsia="Arial" w:cs="Arial"/>
                <w:szCs w:val="20"/>
              </w:rPr>
              <w:t>ag. Karla Pinter, generalna direktorica Direktorata za notranji trg</w:t>
            </w:r>
          </w:p>
          <w:p w14:paraId="669A85CF" w14:textId="77777777" w:rsidR="00C642E8" w:rsidRDefault="00FC1338" w:rsidP="00764194">
            <w:pPr>
              <w:pBdr>
                <w:top w:val="nil"/>
                <w:left w:val="nil"/>
                <w:bottom w:val="nil"/>
                <w:right w:val="nil"/>
                <w:between w:val="nil"/>
              </w:pBdr>
              <w:ind w:hanging="2"/>
              <w:jc w:val="both"/>
              <w:rPr>
                <w:rFonts w:eastAsia="Arial" w:cs="Arial"/>
                <w:szCs w:val="20"/>
              </w:rPr>
            </w:pPr>
            <w:r>
              <w:rPr>
                <w:rFonts w:eastAsia="Arial" w:cs="Arial"/>
                <w:szCs w:val="20"/>
              </w:rPr>
              <w:t>Martina Gašperlin</w:t>
            </w:r>
            <w:r w:rsidR="00C642E8">
              <w:rPr>
                <w:rFonts w:eastAsia="Arial" w:cs="Arial"/>
                <w:szCs w:val="20"/>
              </w:rPr>
              <w:t>, sekretarka,</w:t>
            </w:r>
            <w:r w:rsidR="00C642E8" w:rsidRPr="00C04017">
              <w:rPr>
                <w:rFonts w:eastAsia="Arial" w:cs="Arial"/>
                <w:szCs w:val="20"/>
              </w:rPr>
              <w:t xml:space="preserve"> vodja Sektorja za gospodarsko pravo, Direktorat za notranji trg </w:t>
            </w:r>
          </w:p>
          <w:p w14:paraId="601640D2" w14:textId="74DAEA77" w:rsidR="00B34AF8" w:rsidRPr="00C04017" w:rsidRDefault="00B34AF8" w:rsidP="00B34AF8">
            <w:pPr>
              <w:pBdr>
                <w:top w:val="nil"/>
                <w:left w:val="nil"/>
                <w:bottom w:val="nil"/>
                <w:right w:val="nil"/>
                <w:between w:val="nil"/>
              </w:pBdr>
              <w:ind w:hanging="2"/>
              <w:jc w:val="both"/>
              <w:rPr>
                <w:rFonts w:eastAsia="Arial" w:cs="Arial"/>
                <w:szCs w:val="20"/>
              </w:rPr>
            </w:pPr>
            <w:r w:rsidRPr="00A54542">
              <w:rPr>
                <w:rFonts w:eastAsia="Arial" w:cs="Arial"/>
                <w:szCs w:val="20"/>
              </w:rPr>
              <w:t>Aleš Gorišek, sekretar, Sektor za gospodarsko pravo, Direktorat za notranji trg</w:t>
            </w:r>
          </w:p>
          <w:p w14:paraId="50C1A862" w14:textId="77777777" w:rsidR="00B34AF8" w:rsidRDefault="00B34AF8" w:rsidP="00B34AF8">
            <w:pPr>
              <w:pBdr>
                <w:top w:val="nil"/>
                <w:left w:val="nil"/>
                <w:bottom w:val="nil"/>
                <w:right w:val="nil"/>
                <w:between w:val="nil"/>
              </w:pBdr>
              <w:ind w:hanging="2"/>
              <w:jc w:val="both"/>
              <w:rPr>
                <w:rFonts w:eastAsia="Arial" w:cs="Arial"/>
                <w:szCs w:val="20"/>
              </w:rPr>
            </w:pPr>
            <w:r>
              <w:rPr>
                <w:rFonts w:eastAsia="Arial" w:cs="Arial"/>
                <w:szCs w:val="20"/>
              </w:rPr>
              <w:t>Sabina Trokić, podsekretarka</w:t>
            </w:r>
            <w:r w:rsidRPr="00C04017">
              <w:rPr>
                <w:rFonts w:eastAsia="Arial" w:cs="Arial"/>
                <w:szCs w:val="20"/>
              </w:rPr>
              <w:t>, Sektor za gospodarsko pravo, Direktorat za notranji trg</w:t>
            </w:r>
          </w:p>
          <w:p w14:paraId="30658740" w14:textId="77777777" w:rsidR="00B34AF8" w:rsidRPr="00C04017" w:rsidRDefault="00B34AF8" w:rsidP="00B34AF8">
            <w:pPr>
              <w:pBdr>
                <w:top w:val="nil"/>
                <w:left w:val="nil"/>
                <w:bottom w:val="nil"/>
                <w:right w:val="nil"/>
                <w:between w:val="nil"/>
              </w:pBdr>
              <w:ind w:hanging="2"/>
              <w:jc w:val="both"/>
              <w:rPr>
                <w:rFonts w:eastAsia="Arial" w:cs="Arial"/>
                <w:szCs w:val="20"/>
              </w:rPr>
            </w:pPr>
            <w:r>
              <w:rPr>
                <w:rFonts w:eastAsia="Arial" w:cs="Arial"/>
                <w:szCs w:val="20"/>
              </w:rPr>
              <w:t>Katja Manojlović</w:t>
            </w:r>
            <w:r w:rsidRPr="00C04017">
              <w:rPr>
                <w:rFonts w:eastAsia="Arial" w:cs="Arial"/>
                <w:szCs w:val="20"/>
              </w:rPr>
              <w:t xml:space="preserve">, </w:t>
            </w:r>
            <w:r>
              <w:rPr>
                <w:rFonts w:eastAsia="Arial" w:cs="Arial"/>
                <w:szCs w:val="20"/>
              </w:rPr>
              <w:t>podsekretarka</w:t>
            </w:r>
            <w:r w:rsidRPr="00C04017">
              <w:rPr>
                <w:rFonts w:eastAsia="Arial" w:cs="Arial"/>
                <w:szCs w:val="20"/>
              </w:rPr>
              <w:t>, Sektor za gospodarsko pravo, Direktorat za notranji trg</w:t>
            </w:r>
          </w:p>
          <w:p w14:paraId="5E5CFFBC" w14:textId="42027F50" w:rsidR="00B34AF8" w:rsidRPr="00E630F9" w:rsidRDefault="00B34AF8" w:rsidP="00B34AF8">
            <w:pPr>
              <w:pBdr>
                <w:top w:val="nil"/>
                <w:left w:val="nil"/>
                <w:bottom w:val="nil"/>
                <w:right w:val="nil"/>
                <w:between w:val="nil"/>
              </w:pBdr>
              <w:ind w:hanging="2"/>
              <w:jc w:val="both"/>
              <w:rPr>
                <w:rFonts w:eastAsia="Arial" w:cs="Arial"/>
                <w:szCs w:val="20"/>
              </w:rPr>
            </w:pPr>
            <w:r>
              <w:rPr>
                <w:rFonts w:eastAsia="Arial" w:cs="Arial"/>
                <w:szCs w:val="20"/>
              </w:rPr>
              <w:t>Zlatko Ratej</w:t>
            </w:r>
            <w:r w:rsidRPr="00C04017">
              <w:rPr>
                <w:rFonts w:eastAsia="Arial" w:cs="Arial"/>
                <w:szCs w:val="20"/>
              </w:rPr>
              <w:t>, sekretar, Sektor za gospodarsko pravo, Direktorat za notranji trg</w:t>
            </w:r>
          </w:p>
        </w:tc>
      </w:tr>
      <w:tr w:rsidR="00C642E8" w:rsidRPr="008D1759" w14:paraId="538E2828" w14:textId="77777777" w:rsidTr="4885E88D">
        <w:trPr>
          <w:trHeight w:val="300"/>
        </w:trPr>
        <w:tc>
          <w:tcPr>
            <w:tcW w:w="9200" w:type="dxa"/>
            <w:gridSpan w:val="12"/>
          </w:tcPr>
          <w:p w14:paraId="126BFB23" w14:textId="77777777" w:rsidR="00C642E8" w:rsidRPr="008D1759" w:rsidRDefault="00C642E8" w:rsidP="00764194">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C642E8" w:rsidRPr="008D1759" w14:paraId="1FEDE9D1" w14:textId="77777777" w:rsidTr="4885E88D">
        <w:trPr>
          <w:trHeight w:val="300"/>
        </w:trPr>
        <w:tc>
          <w:tcPr>
            <w:tcW w:w="9200" w:type="dxa"/>
            <w:gridSpan w:val="12"/>
          </w:tcPr>
          <w:p w14:paraId="0FA77A73" w14:textId="77777777" w:rsidR="00530FFB" w:rsidRDefault="00530FFB" w:rsidP="00530FFB">
            <w:pPr>
              <w:pStyle w:val="Neotevilenodstavek"/>
              <w:spacing w:before="0" w:after="0" w:line="260" w:lineRule="exact"/>
              <w:rPr>
                <w:sz w:val="20"/>
                <w:szCs w:val="20"/>
              </w:rPr>
            </w:pPr>
            <w:r w:rsidRPr="00121587">
              <w:rPr>
                <w:sz w:val="20"/>
                <w:szCs w:val="20"/>
              </w:rPr>
              <w:t>S predlogom zakona se v slovenski pravni red prenašajo</w:t>
            </w:r>
            <w:r>
              <w:rPr>
                <w:sz w:val="20"/>
                <w:szCs w:val="20"/>
              </w:rPr>
              <w:t>:</w:t>
            </w:r>
            <w:r w:rsidRPr="00121587">
              <w:rPr>
                <w:sz w:val="20"/>
                <w:szCs w:val="20"/>
              </w:rPr>
              <w:t xml:space="preserve"> </w:t>
            </w:r>
          </w:p>
          <w:p w14:paraId="2711412E" w14:textId="77777777" w:rsidR="00530FFB" w:rsidRPr="00C80A0E" w:rsidRDefault="00530FFB" w:rsidP="00530FFB">
            <w:pPr>
              <w:pStyle w:val="Neotevilenodstavek"/>
              <w:spacing w:before="0" w:after="0" w:line="260" w:lineRule="exact"/>
              <w:rPr>
                <w:sz w:val="20"/>
                <w:szCs w:val="20"/>
              </w:rPr>
            </w:pPr>
            <w:r>
              <w:rPr>
                <w:sz w:val="20"/>
                <w:szCs w:val="20"/>
              </w:rPr>
              <w:t>1. Direktiva (EU) 2021/2101 Evropskega parlamenta in S</w:t>
            </w:r>
            <w:r w:rsidRPr="00C80A0E">
              <w:rPr>
                <w:sz w:val="20"/>
                <w:szCs w:val="20"/>
              </w:rPr>
              <w:t>veta</w:t>
            </w:r>
            <w:r>
              <w:rPr>
                <w:sz w:val="20"/>
                <w:szCs w:val="20"/>
              </w:rPr>
              <w:t xml:space="preserve"> z dne 24. novembra 2021 </w:t>
            </w:r>
            <w:r w:rsidRPr="00C80A0E">
              <w:rPr>
                <w:sz w:val="20"/>
                <w:szCs w:val="20"/>
              </w:rPr>
              <w:t>o spremembi Direktive 2013/34/EU glede razkritja davčnih informacij v zvezi z dohodki</w:t>
            </w:r>
            <w:r w:rsidR="00D251E4">
              <w:rPr>
                <w:sz w:val="20"/>
                <w:szCs w:val="20"/>
              </w:rPr>
              <w:t xml:space="preserve"> </w:t>
            </w:r>
            <w:r w:rsidRPr="00C80A0E">
              <w:rPr>
                <w:sz w:val="20"/>
                <w:szCs w:val="20"/>
              </w:rPr>
              <w:t xml:space="preserve"> s strani nekaterih podjetij in podružnic</w:t>
            </w:r>
            <w:r w:rsidR="00D251E4">
              <w:rPr>
                <w:sz w:val="20"/>
                <w:szCs w:val="20"/>
              </w:rPr>
              <w:t xml:space="preserve"> (</w:t>
            </w:r>
            <w:r w:rsidR="00D251E4" w:rsidRPr="00D251E4">
              <w:rPr>
                <w:sz w:val="20"/>
                <w:szCs w:val="20"/>
              </w:rPr>
              <w:t xml:space="preserve">UL L </w:t>
            </w:r>
            <w:r w:rsidR="00B83213">
              <w:rPr>
                <w:sz w:val="20"/>
                <w:szCs w:val="20"/>
              </w:rPr>
              <w:t xml:space="preserve">št. </w:t>
            </w:r>
            <w:r w:rsidR="00D251E4" w:rsidRPr="00D251E4">
              <w:rPr>
                <w:sz w:val="20"/>
                <w:szCs w:val="20"/>
              </w:rPr>
              <w:t>429</w:t>
            </w:r>
            <w:r w:rsidR="006173A3">
              <w:rPr>
                <w:sz w:val="20"/>
                <w:szCs w:val="20"/>
              </w:rPr>
              <w:t xml:space="preserve"> z dne</w:t>
            </w:r>
            <w:r w:rsidR="00D251E4" w:rsidRPr="00D251E4">
              <w:rPr>
                <w:sz w:val="20"/>
                <w:szCs w:val="20"/>
              </w:rPr>
              <w:t xml:space="preserve"> 1.</w:t>
            </w:r>
            <w:r w:rsidR="00217856">
              <w:rPr>
                <w:sz w:val="20"/>
                <w:szCs w:val="20"/>
              </w:rPr>
              <w:t xml:space="preserve"> </w:t>
            </w:r>
            <w:r w:rsidR="00D251E4" w:rsidRPr="00D251E4">
              <w:rPr>
                <w:sz w:val="20"/>
                <w:szCs w:val="20"/>
              </w:rPr>
              <w:t>12.</w:t>
            </w:r>
            <w:r w:rsidR="00217856">
              <w:rPr>
                <w:sz w:val="20"/>
                <w:szCs w:val="20"/>
              </w:rPr>
              <w:t xml:space="preserve"> </w:t>
            </w:r>
            <w:r w:rsidR="00D251E4" w:rsidRPr="00D251E4">
              <w:rPr>
                <w:sz w:val="20"/>
                <w:szCs w:val="20"/>
              </w:rPr>
              <w:t>2021, str. 1</w:t>
            </w:r>
            <w:r w:rsidR="00D251E4">
              <w:rPr>
                <w:sz w:val="20"/>
                <w:szCs w:val="20"/>
              </w:rPr>
              <w:t>)</w:t>
            </w:r>
            <w:r>
              <w:rPr>
                <w:sz w:val="20"/>
                <w:szCs w:val="20"/>
              </w:rPr>
              <w:t>;</w:t>
            </w:r>
          </w:p>
          <w:p w14:paraId="5BFE4C6A" w14:textId="77777777" w:rsidR="00530FFB" w:rsidRDefault="00530FFB" w:rsidP="00530FFB">
            <w:pPr>
              <w:pStyle w:val="Neotevilenodstavek"/>
              <w:spacing w:before="0" w:after="0" w:line="260" w:lineRule="exact"/>
              <w:rPr>
                <w:sz w:val="20"/>
                <w:szCs w:val="20"/>
                <w:shd w:val="clear" w:color="auto" w:fill="FFFFFF"/>
              </w:rPr>
            </w:pPr>
            <w:r w:rsidRPr="00687B13">
              <w:rPr>
                <w:sz w:val="20"/>
                <w:szCs w:val="20"/>
                <w:shd w:val="clear" w:color="auto" w:fill="FFFFFF"/>
              </w:rPr>
              <w:t>2. Direktiva</w:t>
            </w:r>
            <w:r w:rsidRPr="00E7517F">
              <w:rPr>
                <w:sz w:val="20"/>
                <w:szCs w:val="20"/>
                <w:shd w:val="clear" w:color="auto" w:fill="FFFFFF"/>
              </w:rPr>
              <w:t xml:space="preserve"> (EU) 2022/2464 </w:t>
            </w:r>
            <w:r>
              <w:rPr>
                <w:sz w:val="20"/>
                <w:szCs w:val="20"/>
                <w:shd w:val="clear" w:color="auto" w:fill="FFFFFF"/>
              </w:rPr>
              <w:t>Evropskega parlamenta in S</w:t>
            </w:r>
            <w:r w:rsidRPr="00E7517F">
              <w:rPr>
                <w:sz w:val="20"/>
                <w:szCs w:val="20"/>
                <w:shd w:val="clear" w:color="auto" w:fill="FFFFFF"/>
              </w:rPr>
              <w:t>veta z dne 14. decembra 2022 o spremembi Uredbe (EU) št. 537/2014, Direktive 2004/109/ES, Direktive 2006/43/ES in Direktive 2013/34/EU glede poročanja podjetij o trajnostnosti</w:t>
            </w:r>
            <w:r w:rsidR="00857469">
              <w:rPr>
                <w:sz w:val="20"/>
                <w:szCs w:val="20"/>
                <w:shd w:val="clear" w:color="auto" w:fill="FFFFFF"/>
              </w:rPr>
              <w:t xml:space="preserve"> (</w:t>
            </w:r>
            <w:r w:rsidR="00857469" w:rsidRPr="00857469">
              <w:rPr>
                <w:sz w:val="20"/>
                <w:szCs w:val="20"/>
                <w:shd w:val="clear" w:color="auto" w:fill="FFFFFF"/>
              </w:rPr>
              <w:t xml:space="preserve">UL L </w:t>
            </w:r>
            <w:r w:rsidR="00C90468">
              <w:rPr>
                <w:sz w:val="20"/>
                <w:szCs w:val="20"/>
                <w:shd w:val="clear" w:color="auto" w:fill="FFFFFF"/>
              </w:rPr>
              <w:t xml:space="preserve">št. </w:t>
            </w:r>
            <w:r w:rsidR="00857469" w:rsidRPr="00857469">
              <w:rPr>
                <w:sz w:val="20"/>
                <w:szCs w:val="20"/>
                <w:shd w:val="clear" w:color="auto" w:fill="FFFFFF"/>
              </w:rPr>
              <w:t>322</w:t>
            </w:r>
            <w:r w:rsidR="00C90468">
              <w:rPr>
                <w:sz w:val="20"/>
                <w:szCs w:val="20"/>
                <w:shd w:val="clear" w:color="auto" w:fill="FFFFFF"/>
              </w:rPr>
              <w:t xml:space="preserve"> z dne</w:t>
            </w:r>
            <w:r w:rsidR="00857469" w:rsidRPr="00857469">
              <w:rPr>
                <w:sz w:val="20"/>
                <w:szCs w:val="20"/>
                <w:shd w:val="clear" w:color="auto" w:fill="FFFFFF"/>
              </w:rPr>
              <w:t xml:space="preserve"> 16.</w:t>
            </w:r>
            <w:r w:rsidR="00217856">
              <w:rPr>
                <w:sz w:val="20"/>
                <w:szCs w:val="20"/>
                <w:shd w:val="clear" w:color="auto" w:fill="FFFFFF"/>
              </w:rPr>
              <w:t xml:space="preserve"> </w:t>
            </w:r>
            <w:r w:rsidR="00857469" w:rsidRPr="00857469">
              <w:rPr>
                <w:sz w:val="20"/>
                <w:szCs w:val="20"/>
                <w:shd w:val="clear" w:color="auto" w:fill="FFFFFF"/>
              </w:rPr>
              <w:t>12.</w:t>
            </w:r>
            <w:r w:rsidR="00217856">
              <w:rPr>
                <w:sz w:val="20"/>
                <w:szCs w:val="20"/>
                <w:shd w:val="clear" w:color="auto" w:fill="FFFFFF"/>
              </w:rPr>
              <w:t xml:space="preserve"> </w:t>
            </w:r>
            <w:r w:rsidR="00857469" w:rsidRPr="00857469">
              <w:rPr>
                <w:sz w:val="20"/>
                <w:szCs w:val="20"/>
                <w:shd w:val="clear" w:color="auto" w:fill="FFFFFF"/>
              </w:rPr>
              <w:t>2022, str. 15</w:t>
            </w:r>
            <w:r w:rsidR="00857469">
              <w:rPr>
                <w:sz w:val="20"/>
                <w:szCs w:val="20"/>
                <w:shd w:val="clear" w:color="auto" w:fill="FFFFFF"/>
              </w:rPr>
              <w:t>)</w:t>
            </w:r>
            <w:r>
              <w:rPr>
                <w:sz w:val="20"/>
                <w:szCs w:val="20"/>
                <w:shd w:val="clear" w:color="auto" w:fill="FFFFFF"/>
              </w:rPr>
              <w:t>;</w:t>
            </w:r>
          </w:p>
          <w:p w14:paraId="45C65C05" w14:textId="77777777" w:rsidR="00EA028E" w:rsidRDefault="00530FFB" w:rsidP="00530FFB">
            <w:pPr>
              <w:pStyle w:val="Neotevilenodstavek"/>
              <w:spacing w:before="0" w:after="0" w:line="260" w:lineRule="exact"/>
              <w:rPr>
                <w:sz w:val="20"/>
                <w:szCs w:val="20"/>
                <w:shd w:val="clear" w:color="auto" w:fill="FFFFFF"/>
              </w:rPr>
            </w:pPr>
            <w:r w:rsidRPr="00687B13">
              <w:rPr>
                <w:sz w:val="20"/>
                <w:szCs w:val="20"/>
                <w:shd w:val="clear" w:color="auto" w:fill="FFFFFF"/>
              </w:rPr>
              <w:t>3.</w:t>
            </w:r>
            <w:r>
              <w:t xml:space="preserve"> </w:t>
            </w:r>
            <w:r w:rsidRPr="00687B13">
              <w:rPr>
                <w:sz w:val="20"/>
                <w:szCs w:val="20"/>
                <w:shd w:val="clear" w:color="auto" w:fill="FFFFFF"/>
              </w:rPr>
              <w:t>Direktiva (EU) 2022/2381 Evropskega parlamenta in Sveta z dne 23. novembra 2022 o zagotavljanju uravnotežene zastopanosti spolov med direktorji družb, ki kotirajo na borzi, in s tem povezanih ukrepih</w:t>
            </w:r>
            <w:r w:rsidR="00857469">
              <w:rPr>
                <w:sz w:val="20"/>
                <w:szCs w:val="20"/>
                <w:shd w:val="clear" w:color="auto" w:fill="FFFFFF"/>
              </w:rPr>
              <w:t xml:space="preserve"> (</w:t>
            </w:r>
            <w:r w:rsidR="00857469" w:rsidRPr="00857469">
              <w:rPr>
                <w:sz w:val="20"/>
                <w:szCs w:val="20"/>
                <w:shd w:val="clear" w:color="auto" w:fill="FFFFFF"/>
              </w:rPr>
              <w:t xml:space="preserve">UL L </w:t>
            </w:r>
            <w:r w:rsidR="0025247E">
              <w:rPr>
                <w:sz w:val="20"/>
                <w:szCs w:val="20"/>
                <w:shd w:val="clear" w:color="auto" w:fill="FFFFFF"/>
              </w:rPr>
              <w:t xml:space="preserve">št. </w:t>
            </w:r>
            <w:r w:rsidR="00857469" w:rsidRPr="00857469">
              <w:rPr>
                <w:sz w:val="20"/>
                <w:szCs w:val="20"/>
                <w:shd w:val="clear" w:color="auto" w:fill="FFFFFF"/>
              </w:rPr>
              <w:t>315</w:t>
            </w:r>
            <w:r w:rsidR="0025247E">
              <w:rPr>
                <w:sz w:val="20"/>
                <w:szCs w:val="20"/>
                <w:shd w:val="clear" w:color="auto" w:fill="FFFFFF"/>
              </w:rPr>
              <w:t xml:space="preserve"> z dne</w:t>
            </w:r>
            <w:r w:rsidR="00857469" w:rsidRPr="00857469">
              <w:rPr>
                <w:sz w:val="20"/>
                <w:szCs w:val="20"/>
                <w:shd w:val="clear" w:color="auto" w:fill="FFFFFF"/>
              </w:rPr>
              <w:t xml:space="preserve"> 7.</w:t>
            </w:r>
            <w:r w:rsidR="00217856">
              <w:rPr>
                <w:sz w:val="20"/>
                <w:szCs w:val="20"/>
                <w:shd w:val="clear" w:color="auto" w:fill="FFFFFF"/>
              </w:rPr>
              <w:t xml:space="preserve"> </w:t>
            </w:r>
            <w:r w:rsidR="00857469" w:rsidRPr="00857469">
              <w:rPr>
                <w:sz w:val="20"/>
                <w:szCs w:val="20"/>
                <w:shd w:val="clear" w:color="auto" w:fill="FFFFFF"/>
              </w:rPr>
              <w:t>12.</w:t>
            </w:r>
            <w:r w:rsidR="00217856">
              <w:rPr>
                <w:sz w:val="20"/>
                <w:szCs w:val="20"/>
                <w:shd w:val="clear" w:color="auto" w:fill="FFFFFF"/>
              </w:rPr>
              <w:t xml:space="preserve"> </w:t>
            </w:r>
            <w:r w:rsidR="00857469" w:rsidRPr="00857469">
              <w:rPr>
                <w:sz w:val="20"/>
                <w:szCs w:val="20"/>
                <w:shd w:val="clear" w:color="auto" w:fill="FFFFFF"/>
              </w:rPr>
              <w:t>2022, str. 44</w:t>
            </w:r>
            <w:r w:rsidR="00857469">
              <w:rPr>
                <w:sz w:val="20"/>
                <w:szCs w:val="20"/>
                <w:shd w:val="clear" w:color="auto" w:fill="FFFFFF"/>
              </w:rPr>
              <w:t>)</w:t>
            </w:r>
            <w:r w:rsidR="00EA028E">
              <w:rPr>
                <w:sz w:val="20"/>
                <w:szCs w:val="20"/>
                <w:shd w:val="clear" w:color="auto" w:fill="FFFFFF"/>
              </w:rPr>
              <w:t>;</w:t>
            </w:r>
          </w:p>
          <w:p w14:paraId="65C4F9AA" w14:textId="77777777" w:rsidR="00530FFB" w:rsidRPr="00687B13" w:rsidRDefault="00A329C6" w:rsidP="00530FFB">
            <w:pPr>
              <w:pStyle w:val="Neotevilenodstavek"/>
              <w:spacing w:before="0" w:after="0" w:line="260" w:lineRule="exact"/>
              <w:rPr>
                <w:sz w:val="20"/>
                <w:szCs w:val="20"/>
                <w:highlight w:val="yellow"/>
                <w:shd w:val="clear" w:color="auto" w:fill="FFFFFF"/>
              </w:rPr>
            </w:pPr>
            <w:r>
              <w:rPr>
                <w:sz w:val="20"/>
                <w:szCs w:val="20"/>
                <w:shd w:val="clear" w:color="auto" w:fill="FFFFFF"/>
              </w:rPr>
              <w:t xml:space="preserve">4. </w:t>
            </w:r>
            <w:r w:rsidRPr="00A329C6">
              <w:rPr>
                <w:sz w:val="20"/>
                <w:szCs w:val="20"/>
                <w:shd w:val="clear" w:color="auto" w:fill="FFFFFF"/>
              </w:rPr>
              <w:t>Delegirana direktiva Komisije (EU) 2023/2775 z dne 17. oktobra 2023 o spremembi Direktive 2013/34/EU Evropskega parlamenta in Sveta v zvezi s prilagoditvijo meril velikosti mikro, malih, srednjih in velikih podjetij ali skupin</w:t>
            </w:r>
            <w:r w:rsidR="00217856">
              <w:rPr>
                <w:sz w:val="20"/>
                <w:szCs w:val="20"/>
                <w:shd w:val="clear" w:color="auto" w:fill="FFFFFF"/>
              </w:rPr>
              <w:t xml:space="preserve"> (</w:t>
            </w:r>
            <w:r w:rsidR="00217856" w:rsidRPr="00217856">
              <w:rPr>
                <w:sz w:val="20"/>
                <w:szCs w:val="20"/>
                <w:shd w:val="clear" w:color="auto" w:fill="FFFFFF"/>
              </w:rPr>
              <w:t>UL L</w:t>
            </w:r>
            <w:r w:rsidR="00946F49">
              <w:rPr>
                <w:sz w:val="20"/>
                <w:szCs w:val="20"/>
                <w:shd w:val="clear" w:color="auto" w:fill="FFFFFF"/>
              </w:rPr>
              <w:t xml:space="preserve"> št.</w:t>
            </w:r>
            <w:r w:rsidR="00217856" w:rsidRPr="00217856">
              <w:rPr>
                <w:sz w:val="20"/>
                <w:szCs w:val="20"/>
                <w:shd w:val="clear" w:color="auto" w:fill="FFFFFF"/>
              </w:rPr>
              <w:t xml:space="preserve"> 2023/2775</w:t>
            </w:r>
            <w:r w:rsidR="00946F49">
              <w:rPr>
                <w:sz w:val="20"/>
                <w:szCs w:val="20"/>
                <w:shd w:val="clear" w:color="auto" w:fill="FFFFFF"/>
              </w:rPr>
              <w:t xml:space="preserve"> z dne</w:t>
            </w:r>
            <w:r w:rsidR="00217856" w:rsidRPr="00217856">
              <w:rPr>
                <w:sz w:val="20"/>
                <w:szCs w:val="20"/>
                <w:shd w:val="clear" w:color="auto" w:fill="FFFFFF"/>
              </w:rPr>
              <w:t xml:space="preserve"> 21.</w:t>
            </w:r>
            <w:r w:rsidR="00217856">
              <w:rPr>
                <w:sz w:val="20"/>
                <w:szCs w:val="20"/>
                <w:shd w:val="clear" w:color="auto" w:fill="FFFFFF"/>
              </w:rPr>
              <w:t xml:space="preserve"> </w:t>
            </w:r>
            <w:r w:rsidR="00217856" w:rsidRPr="00217856">
              <w:rPr>
                <w:sz w:val="20"/>
                <w:szCs w:val="20"/>
                <w:shd w:val="clear" w:color="auto" w:fill="FFFFFF"/>
              </w:rPr>
              <w:t>12.</w:t>
            </w:r>
            <w:r w:rsidR="00217856">
              <w:rPr>
                <w:sz w:val="20"/>
                <w:szCs w:val="20"/>
                <w:shd w:val="clear" w:color="auto" w:fill="FFFFFF"/>
              </w:rPr>
              <w:t xml:space="preserve"> </w:t>
            </w:r>
            <w:r w:rsidR="00217856" w:rsidRPr="00217856">
              <w:rPr>
                <w:sz w:val="20"/>
                <w:szCs w:val="20"/>
                <w:shd w:val="clear" w:color="auto" w:fill="FFFFFF"/>
              </w:rPr>
              <w:t>2023</w:t>
            </w:r>
            <w:r w:rsidR="00217856">
              <w:rPr>
                <w:sz w:val="20"/>
                <w:szCs w:val="20"/>
                <w:shd w:val="clear" w:color="auto" w:fill="FFFFFF"/>
              </w:rPr>
              <w:t>)</w:t>
            </w:r>
            <w:r w:rsidR="00530FFB">
              <w:rPr>
                <w:sz w:val="20"/>
                <w:szCs w:val="20"/>
                <w:shd w:val="clear" w:color="auto" w:fill="FFFFFF"/>
              </w:rPr>
              <w:t>.</w:t>
            </w:r>
          </w:p>
          <w:p w14:paraId="50AAE465" w14:textId="77777777" w:rsidR="00037490" w:rsidRDefault="00037490" w:rsidP="00DC78A9">
            <w:pPr>
              <w:pStyle w:val="Neotevilenodstavek"/>
              <w:spacing w:before="0" w:after="0" w:line="276" w:lineRule="auto"/>
              <w:rPr>
                <w:sz w:val="20"/>
                <w:szCs w:val="20"/>
              </w:rPr>
            </w:pPr>
          </w:p>
          <w:p w14:paraId="249B848F" w14:textId="77777777" w:rsidR="00E51CDE" w:rsidRDefault="074E5BE4" w:rsidP="00DC78A9">
            <w:pPr>
              <w:pStyle w:val="Neotevilenodstavek"/>
              <w:spacing w:before="0" w:after="0" w:line="276" w:lineRule="auto"/>
              <w:rPr>
                <w:sz w:val="20"/>
                <w:szCs w:val="20"/>
              </w:rPr>
            </w:pPr>
            <w:r w:rsidRPr="7FFC38C1">
              <w:rPr>
                <w:sz w:val="20"/>
                <w:szCs w:val="20"/>
              </w:rPr>
              <w:t>Poleg navedenega predlog zakona</w:t>
            </w:r>
            <w:r w:rsidR="0365B836" w:rsidRPr="7FFC38C1">
              <w:rPr>
                <w:sz w:val="20"/>
                <w:szCs w:val="20"/>
              </w:rPr>
              <w:t xml:space="preserve"> določa obveznost označevanja gospodarskih družb in samostojnih podjetnikov posameznikov na vidnih mestih na poslovnih naslovih</w:t>
            </w:r>
            <w:r w:rsidR="00374B5A">
              <w:rPr>
                <w:sz w:val="20"/>
                <w:szCs w:val="20"/>
              </w:rPr>
              <w:t xml:space="preserve">, </w:t>
            </w:r>
            <w:r w:rsidR="00320E13">
              <w:rPr>
                <w:sz w:val="20"/>
                <w:szCs w:val="20"/>
              </w:rPr>
              <w:t xml:space="preserve">na novo </w:t>
            </w:r>
            <w:r w:rsidR="00374B5A">
              <w:rPr>
                <w:sz w:val="20"/>
                <w:szCs w:val="20"/>
              </w:rPr>
              <w:t xml:space="preserve">pa </w:t>
            </w:r>
            <w:r w:rsidR="0058026F">
              <w:rPr>
                <w:sz w:val="20"/>
                <w:szCs w:val="20"/>
              </w:rPr>
              <w:t xml:space="preserve">se </w:t>
            </w:r>
            <w:r w:rsidR="00320E13">
              <w:rPr>
                <w:sz w:val="20"/>
                <w:szCs w:val="20"/>
              </w:rPr>
              <w:t xml:space="preserve">ureja </w:t>
            </w:r>
            <w:r w:rsidR="00374B5A">
              <w:rPr>
                <w:sz w:val="20"/>
                <w:szCs w:val="20"/>
              </w:rPr>
              <w:t xml:space="preserve">tudi </w:t>
            </w:r>
            <w:r w:rsidR="00B32DAA">
              <w:rPr>
                <w:sz w:val="20"/>
                <w:szCs w:val="20"/>
              </w:rPr>
              <w:t>opredelitev</w:t>
            </w:r>
            <w:r w:rsidR="00320E13">
              <w:rPr>
                <w:sz w:val="20"/>
                <w:szCs w:val="20"/>
              </w:rPr>
              <w:t xml:space="preserve"> subjektov javnega interesa, ki je bila predhodno ureje</w:t>
            </w:r>
            <w:r w:rsidR="001A1072">
              <w:rPr>
                <w:sz w:val="20"/>
                <w:szCs w:val="20"/>
              </w:rPr>
              <w:t>na v zakonu, ki ureja revidiranje</w:t>
            </w:r>
            <w:r w:rsidR="6E7DD878" w:rsidRPr="7FFC38C1">
              <w:rPr>
                <w:sz w:val="20"/>
                <w:szCs w:val="20"/>
              </w:rPr>
              <w:t>.</w:t>
            </w:r>
          </w:p>
          <w:p w14:paraId="1305FC1E" w14:textId="77777777" w:rsidR="00F764F7" w:rsidRDefault="00F764F7" w:rsidP="00DC78A9">
            <w:pPr>
              <w:pStyle w:val="Neotevilenodstavek"/>
              <w:spacing w:before="0" w:after="0" w:line="276" w:lineRule="auto"/>
              <w:rPr>
                <w:sz w:val="20"/>
                <w:szCs w:val="20"/>
              </w:rPr>
            </w:pPr>
          </w:p>
          <w:p w14:paraId="39377771" w14:textId="4F8341A8" w:rsidR="00F764F7" w:rsidRPr="001D49E3" w:rsidRDefault="00F764F7" w:rsidP="00DC78A9">
            <w:pPr>
              <w:pStyle w:val="Neotevilenodstavek"/>
              <w:spacing w:before="0" w:after="0" w:line="276" w:lineRule="auto"/>
              <w:rPr>
                <w:sz w:val="20"/>
                <w:szCs w:val="20"/>
              </w:rPr>
            </w:pPr>
            <w:r>
              <w:rPr>
                <w:b/>
                <w:sz w:val="20"/>
                <w:szCs w:val="20"/>
              </w:rPr>
              <w:t>Novo gradivo št. 2</w:t>
            </w:r>
            <w:r w:rsidRPr="00086B42">
              <w:rPr>
                <w:sz w:val="20"/>
                <w:szCs w:val="20"/>
              </w:rPr>
              <w:t xml:space="preserve"> vsebuje </w:t>
            </w:r>
            <w:r>
              <w:rPr>
                <w:sz w:val="20"/>
                <w:szCs w:val="20"/>
              </w:rPr>
              <w:t>redakcijske</w:t>
            </w:r>
            <w:r w:rsidRPr="00086B42">
              <w:rPr>
                <w:sz w:val="20"/>
                <w:szCs w:val="20"/>
              </w:rPr>
              <w:t xml:space="preserve"> </w:t>
            </w:r>
            <w:r>
              <w:rPr>
                <w:sz w:val="20"/>
                <w:szCs w:val="20"/>
              </w:rPr>
              <w:t xml:space="preserve">spremembe in </w:t>
            </w:r>
            <w:r w:rsidRPr="00086B42">
              <w:rPr>
                <w:sz w:val="20"/>
                <w:szCs w:val="20"/>
              </w:rPr>
              <w:t>dopolnitve</w:t>
            </w:r>
            <w:r>
              <w:rPr>
                <w:sz w:val="20"/>
                <w:szCs w:val="20"/>
              </w:rPr>
              <w:t>.</w:t>
            </w:r>
          </w:p>
        </w:tc>
      </w:tr>
      <w:tr w:rsidR="00C642E8" w:rsidRPr="008D1759" w14:paraId="13F8FCF1" w14:textId="77777777" w:rsidTr="4885E88D">
        <w:trPr>
          <w:trHeight w:val="300"/>
        </w:trPr>
        <w:tc>
          <w:tcPr>
            <w:tcW w:w="9200" w:type="dxa"/>
            <w:gridSpan w:val="12"/>
          </w:tcPr>
          <w:p w14:paraId="052FC082" w14:textId="77777777" w:rsidR="00C642E8" w:rsidRPr="008D1759" w:rsidRDefault="00C642E8" w:rsidP="00764194">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C642E8" w:rsidRPr="008D1759" w14:paraId="127973C3" w14:textId="77777777" w:rsidTr="4885E88D">
        <w:trPr>
          <w:trHeight w:val="300"/>
        </w:trPr>
        <w:tc>
          <w:tcPr>
            <w:tcW w:w="1548" w:type="dxa"/>
          </w:tcPr>
          <w:p w14:paraId="520C687D"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a)</w:t>
            </w:r>
          </w:p>
        </w:tc>
        <w:tc>
          <w:tcPr>
            <w:tcW w:w="5451" w:type="dxa"/>
            <w:gridSpan w:val="9"/>
          </w:tcPr>
          <w:p w14:paraId="4111736E" w14:textId="77777777" w:rsidR="00C642E8" w:rsidRPr="008D1759" w:rsidRDefault="00C642E8" w:rsidP="00764194">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01" w:type="dxa"/>
            <w:gridSpan w:val="2"/>
            <w:vAlign w:val="center"/>
          </w:tcPr>
          <w:p w14:paraId="55860BA4" w14:textId="77777777" w:rsidR="00C642E8" w:rsidRPr="00927F5D" w:rsidRDefault="003E609D" w:rsidP="00764194">
            <w:pPr>
              <w:pStyle w:val="Neotevilenodstavek"/>
              <w:spacing w:before="0" w:after="0" w:line="260" w:lineRule="exact"/>
              <w:jc w:val="center"/>
              <w:rPr>
                <w:bCs/>
                <w:iCs/>
                <w:sz w:val="20"/>
                <w:szCs w:val="20"/>
              </w:rPr>
            </w:pPr>
            <w:r w:rsidRPr="003A1511">
              <w:rPr>
                <w:b/>
                <w:sz w:val="20"/>
                <w:szCs w:val="20"/>
              </w:rPr>
              <w:t>DA</w:t>
            </w:r>
            <w:r w:rsidR="00C642E8" w:rsidRPr="00927F5D">
              <w:rPr>
                <w:bCs/>
                <w:sz w:val="20"/>
                <w:szCs w:val="20"/>
              </w:rPr>
              <w:t>/NE</w:t>
            </w:r>
          </w:p>
        </w:tc>
      </w:tr>
      <w:tr w:rsidR="00C642E8" w:rsidRPr="008D1759" w14:paraId="64875137" w14:textId="77777777" w:rsidTr="4885E88D">
        <w:trPr>
          <w:trHeight w:val="300"/>
        </w:trPr>
        <w:tc>
          <w:tcPr>
            <w:tcW w:w="1548" w:type="dxa"/>
          </w:tcPr>
          <w:p w14:paraId="585AC9D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b)</w:t>
            </w:r>
          </w:p>
        </w:tc>
        <w:tc>
          <w:tcPr>
            <w:tcW w:w="5451" w:type="dxa"/>
            <w:gridSpan w:val="9"/>
          </w:tcPr>
          <w:p w14:paraId="2DFF352C" w14:textId="77777777" w:rsidR="00C642E8" w:rsidRPr="008D1759" w:rsidRDefault="00C642E8" w:rsidP="00764194">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01" w:type="dxa"/>
            <w:gridSpan w:val="2"/>
            <w:vAlign w:val="center"/>
          </w:tcPr>
          <w:p w14:paraId="32A7A590" w14:textId="77777777" w:rsidR="00C642E8" w:rsidRPr="00927F5D" w:rsidRDefault="003E609D" w:rsidP="00764194">
            <w:pPr>
              <w:pStyle w:val="Neotevilenodstavek"/>
              <w:spacing w:before="0" w:after="0" w:line="260" w:lineRule="exact"/>
              <w:jc w:val="center"/>
              <w:rPr>
                <w:bCs/>
                <w:iCs/>
                <w:sz w:val="20"/>
                <w:szCs w:val="20"/>
              </w:rPr>
            </w:pPr>
            <w:r w:rsidRPr="003A1511">
              <w:rPr>
                <w:b/>
                <w:sz w:val="20"/>
                <w:szCs w:val="20"/>
              </w:rPr>
              <w:t>DA</w:t>
            </w:r>
            <w:r w:rsidR="00C642E8" w:rsidRPr="00927F5D">
              <w:rPr>
                <w:bCs/>
                <w:sz w:val="20"/>
                <w:szCs w:val="20"/>
              </w:rPr>
              <w:t>/NE</w:t>
            </w:r>
          </w:p>
        </w:tc>
      </w:tr>
      <w:tr w:rsidR="00C642E8" w:rsidRPr="008D1759" w14:paraId="79A533E7" w14:textId="77777777" w:rsidTr="4885E88D">
        <w:trPr>
          <w:trHeight w:val="300"/>
        </w:trPr>
        <w:tc>
          <w:tcPr>
            <w:tcW w:w="1548" w:type="dxa"/>
          </w:tcPr>
          <w:p w14:paraId="364384E5"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c)</w:t>
            </w:r>
          </w:p>
        </w:tc>
        <w:tc>
          <w:tcPr>
            <w:tcW w:w="5451" w:type="dxa"/>
            <w:gridSpan w:val="9"/>
          </w:tcPr>
          <w:p w14:paraId="574E1DD5" w14:textId="77777777" w:rsidR="00C642E8" w:rsidRPr="008D1759" w:rsidRDefault="00C642E8" w:rsidP="00764194">
            <w:pPr>
              <w:pStyle w:val="Neotevilenodstavek"/>
              <w:spacing w:before="0" w:after="0" w:line="260" w:lineRule="exact"/>
              <w:rPr>
                <w:iCs/>
                <w:sz w:val="20"/>
                <w:szCs w:val="20"/>
              </w:rPr>
            </w:pPr>
            <w:r w:rsidRPr="008D1759">
              <w:rPr>
                <w:sz w:val="20"/>
                <w:szCs w:val="20"/>
              </w:rPr>
              <w:t>administrativne posledice</w:t>
            </w:r>
          </w:p>
        </w:tc>
        <w:tc>
          <w:tcPr>
            <w:tcW w:w="2201" w:type="dxa"/>
            <w:gridSpan w:val="2"/>
            <w:vAlign w:val="center"/>
          </w:tcPr>
          <w:p w14:paraId="6ADB49A5" w14:textId="77777777" w:rsidR="00C642E8" w:rsidRPr="00927F5D" w:rsidRDefault="003E609D" w:rsidP="00764194">
            <w:pPr>
              <w:pStyle w:val="Neotevilenodstavek"/>
              <w:spacing w:before="0" w:after="0" w:line="260" w:lineRule="exact"/>
              <w:jc w:val="center"/>
              <w:rPr>
                <w:bCs/>
                <w:sz w:val="20"/>
                <w:szCs w:val="20"/>
              </w:rPr>
            </w:pPr>
            <w:r w:rsidRPr="003A1511">
              <w:rPr>
                <w:b/>
                <w:sz w:val="20"/>
                <w:szCs w:val="20"/>
              </w:rPr>
              <w:t>DA</w:t>
            </w:r>
            <w:r w:rsidR="00C642E8" w:rsidRPr="00927F5D">
              <w:rPr>
                <w:bCs/>
                <w:sz w:val="20"/>
                <w:szCs w:val="20"/>
              </w:rPr>
              <w:t>/NE</w:t>
            </w:r>
          </w:p>
        </w:tc>
      </w:tr>
      <w:tr w:rsidR="00C642E8" w:rsidRPr="008D1759" w14:paraId="6B1947A6" w14:textId="77777777" w:rsidTr="4885E88D">
        <w:trPr>
          <w:trHeight w:val="300"/>
        </w:trPr>
        <w:tc>
          <w:tcPr>
            <w:tcW w:w="1548" w:type="dxa"/>
          </w:tcPr>
          <w:p w14:paraId="51C51396"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č)</w:t>
            </w:r>
          </w:p>
        </w:tc>
        <w:tc>
          <w:tcPr>
            <w:tcW w:w="5451" w:type="dxa"/>
            <w:gridSpan w:val="9"/>
          </w:tcPr>
          <w:p w14:paraId="108D4646" w14:textId="77777777" w:rsidR="00C642E8" w:rsidRPr="008D1759" w:rsidRDefault="00C642E8" w:rsidP="00764194">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01" w:type="dxa"/>
            <w:gridSpan w:val="2"/>
            <w:vAlign w:val="center"/>
          </w:tcPr>
          <w:p w14:paraId="16CDAAAC" w14:textId="77777777" w:rsidR="00C642E8" w:rsidRPr="00927F5D" w:rsidRDefault="003E609D" w:rsidP="00764194">
            <w:pPr>
              <w:pStyle w:val="Neotevilenodstavek"/>
              <w:spacing w:before="0" w:after="0" w:line="260" w:lineRule="exact"/>
              <w:jc w:val="center"/>
              <w:rPr>
                <w:bCs/>
                <w:iCs/>
                <w:sz w:val="20"/>
                <w:szCs w:val="20"/>
              </w:rPr>
            </w:pPr>
            <w:r w:rsidRPr="003A1511">
              <w:rPr>
                <w:b/>
                <w:sz w:val="20"/>
                <w:szCs w:val="20"/>
              </w:rPr>
              <w:t>DA</w:t>
            </w:r>
            <w:r w:rsidR="00C642E8" w:rsidRPr="00927F5D">
              <w:rPr>
                <w:bCs/>
                <w:sz w:val="20"/>
                <w:szCs w:val="20"/>
              </w:rPr>
              <w:t>/NE</w:t>
            </w:r>
          </w:p>
        </w:tc>
      </w:tr>
      <w:tr w:rsidR="00C642E8" w:rsidRPr="008D1759" w14:paraId="275E4DE1" w14:textId="77777777" w:rsidTr="4885E88D">
        <w:trPr>
          <w:trHeight w:val="300"/>
        </w:trPr>
        <w:tc>
          <w:tcPr>
            <w:tcW w:w="1548" w:type="dxa"/>
          </w:tcPr>
          <w:p w14:paraId="43DE89DD"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d)</w:t>
            </w:r>
          </w:p>
        </w:tc>
        <w:tc>
          <w:tcPr>
            <w:tcW w:w="5451" w:type="dxa"/>
            <w:gridSpan w:val="9"/>
          </w:tcPr>
          <w:p w14:paraId="4B5BC61D" w14:textId="77777777" w:rsidR="00C642E8" w:rsidRPr="008D1759" w:rsidRDefault="00C642E8" w:rsidP="00764194">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01" w:type="dxa"/>
            <w:gridSpan w:val="2"/>
            <w:vAlign w:val="center"/>
          </w:tcPr>
          <w:p w14:paraId="1ACC36C8" w14:textId="77777777" w:rsidR="00C642E8" w:rsidRPr="00927F5D" w:rsidRDefault="00C642E8" w:rsidP="00764194">
            <w:pPr>
              <w:pStyle w:val="Neotevilenodstavek"/>
              <w:spacing w:before="0" w:after="0" w:line="260" w:lineRule="exact"/>
              <w:jc w:val="center"/>
              <w:rPr>
                <w:bCs/>
                <w:iCs/>
                <w:sz w:val="20"/>
                <w:szCs w:val="20"/>
              </w:rPr>
            </w:pPr>
            <w:r w:rsidRPr="00927F5D">
              <w:rPr>
                <w:bCs/>
                <w:sz w:val="20"/>
                <w:szCs w:val="20"/>
              </w:rPr>
              <w:t>DA/NE</w:t>
            </w:r>
          </w:p>
        </w:tc>
      </w:tr>
      <w:tr w:rsidR="00C642E8" w:rsidRPr="008D1759" w14:paraId="04CC92E9" w14:textId="77777777" w:rsidTr="4885E88D">
        <w:trPr>
          <w:trHeight w:val="300"/>
        </w:trPr>
        <w:tc>
          <w:tcPr>
            <w:tcW w:w="1548" w:type="dxa"/>
          </w:tcPr>
          <w:p w14:paraId="67DE858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e)</w:t>
            </w:r>
          </w:p>
        </w:tc>
        <w:tc>
          <w:tcPr>
            <w:tcW w:w="5451" w:type="dxa"/>
            <w:gridSpan w:val="9"/>
          </w:tcPr>
          <w:p w14:paraId="5EB68A1A" w14:textId="77777777" w:rsidR="00C642E8" w:rsidRPr="008D1759" w:rsidRDefault="00C642E8" w:rsidP="00764194">
            <w:pPr>
              <w:pStyle w:val="Neotevilenodstavek"/>
              <w:spacing w:before="0" w:after="0" w:line="260" w:lineRule="exact"/>
              <w:rPr>
                <w:bCs/>
                <w:sz w:val="20"/>
                <w:szCs w:val="20"/>
              </w:rPr>
            </w:pPr>
            <w:r w:rsidRPr="008D1759">
              <w:rPr>
                <w:bCs/>
                <w:sz w:val="20"/>
                <w:szCs w:val="20"/>
              </w:rPr>
              <w:t>socialno področje</w:t>
            </w:r>
          </w:p>
        </w:tc>
        <w:tc>
          <w:tcPr>
            <w:tcW w:w="2201" w:type="dxa"/>
            <w:gridSpan w:val="2"/>
            <w:vAlign w:val="center"/>
          </w:tcPr>
          <w:p w14:paraId="1BDCE868" w14:textId="77777777" w:rsidR="00C642E8" w:rsidRPr="00927F5D" w:rsidRDefault="00C642E8" w:rsidP="00764194">
            <w:pPr>
              <w:pStyle w:val="Neotevilenodstavek"/>
              <w:spacing w:before="0" w:after="0" w:line="260" w:lineRule="exact"/>
              <w:jc w:val="center"/>
              <w:rPr>
                <w:bCs/>
                <w:iCs/>
                <w:sz w:val="20"/>
                <w:szCs w:val="20"/>
              </w:rPr>
            </w:pPr>
            <w:r w:rsidRPr="00880DC2">
              <w:rPr>
                <w:b/>
                <w:sz w:val="20"/>
                <w:szCs w:val="20"/>
              </w:rPr>
              <w:t>DA</w:t>
            </w:r>
            <w:r w:rsidRPr="00927F5D">
              <w:rPr>
                <w:bCs/>
                <w:sz w:val="20"/>
                <w:szCs w:val="20"/>
              </w:rPr>
              <w:t>/NE</w:t>
            </w:r>
          </w:p>
        </w:tc>
      </w:tr>
      <w:tr w:rsidR="00C642E8" w:rsidRPr="008D1759" w14:paraId="05E45222" w14:textId="77777777" w:rsidTr="4885E88D">
        <w:trPr>
          <w:trHeight w:val="300"/>
        </w:trPr>
        <w:tc>
          <w:tcPr>
            <w:tcW w:w="1548" w:type="dxa"/>
            <w:tcBorders>
              <w:bottom w:val="single" w:sz="4" w:space="0" w:color="auto"/>
            </w:tcBorders>
          </w:tcPr>
          <w:p w14:paraId="372C9FCE" w14:textId="77777777" w:rsidR="00C642E8" w:rsidRPr="008D1759" w:rsidRDefault="00C642E8" w:rsidP="00764194">
            <w:pPr>
              <w:pStyle w:val="Neotevilenodstavek"/>
              <w:spacing w:before="0" w:after="0" w:line="260" w:lineRule="exact"/>
              <w:ind w:left="360"/>
              <w:rPr>
                <w:iCs/>
                <w:sz w:val="20"/>
                <w:szCs w:val="20"/>
              </w:rPr>
            </w:pPr>
            <w:r w:rsidRPr="008D1759">
              <w:rPr>
                <w:iCs/>
                <w:sz w:val="20"/>
                <w:szCs w:val="20"/>
              </w:rPr>
              <w:t>f)</w:t>
            </w:r>
          </w:p>
        </w:tc>
        <w:tc>
          <w:tcPr>
            <w:tcW w:w="5451" w:type="dxa"/>
            <w:gridSpan w:val="9"/>
            <w:tcBorders>
              <w:bottom w:val="single" w:sz="4" w:space="0" w:color="auto"/>
            </w:tcBorders>
          </w:tcPr>
          <w:p w14:paraId="45FB6D4A" w14:textId="77777777" w:rsidR="00C642E8" w:rsidRPr="008D1759" w:rsidRDefault="00C642E8" w:rsidP="00764194">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599C8659" w14:textId="77777777" w:rsidR="00C642E8" w:rsidRPr="008D1759" w:rsidRDefault="00C642E8" w:rsidP="000F78A4">
            <w:pPr>
              <w:pStyle w:val="Neotevilenodstavek"/>
              <w:numPr>
                <w:ilvl w:val="0"/>
                <w:numId w:val="15"/>
              </w:numPr>
              <w:spacing w:before="0" w:after="0" w:line="260" w:lineRule="exact"/>
              <w:rPr>
                <w:bCs/>
                <w:sz w:val="20"/>
                <w:szCs w:val="20"/>
              </w:rPr>
            </w:pPr>
            <w:r w:rsidRPr="008D1759">
              <w:rPr>
                <w:bCs/>
                <w:sz w:val="20"/>
                <w:szCs w:val="20"/>
              </w:rPr>
              <w:t>nacionalne d</w:t>
            </w:r>
            <w:r>
              <w:rPr>
                <w:bCs/>
                <w:sz w:val="20"/>
                <w:szCs w:val="20"/>
              </w:rPr>
              <w:t>okumente razvojnega načrtovanja</w:t>
            </w:r>
          </w:p>
          <w:p w14:paraId="64DAF5B2" w14:textId="77777777" w:rsidR="00C642E8" w:rsidRPr="008D1759" w:rsidRDefault="00C642E8" w:rsidP="000F78A4">
            <w:pPr>
              <w:pStyle w:val="Neotevilenodstavek"/>
              <w:numPr>
                <w:ilvl w:val="0"/>
                <w:numId w:val="1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F10A70C" w14:textId="77777777" w:rsidR="00C642E8" w:rsidRPr="008D1759" w:rsidRDefault="00C642E8" w:rsidP="000F78A4">
            <w:pPr>
              <w:pStyle w:val="Neotevilenodstavek"/>
              <w:numPr>
                <w:ilvl w:val="0"/>
                <w:numId w:val="15"/>
              </w:numPr>
              <w:spacing w:before="0" w:after="0" w:line="260" w:lineRule="exact"/>
              <w:rPr>
                <w:bCs/>
                <w:sz w:val="20"/>
                <w:szCs w:val="20"/>
              </w:rPr>
            </w:pPr>
            <w:r w:rsidRPr="008D1759">
              <w:rPr>
                <w:bCs/>
                <w:sz w:val="20"/>
                <w:szCs w:val="20"/>
              </w:rPr>
              <w:t>razvojne dokumente Evropske unije in mednarodnih organizacij</w:t>
            </w:r>
          </w:p>
        </w:tc>
        <w:tc>
          <w:tcPr>
            <w:tcW w:w="2201" w:type="dxa"/>
            <w:gridSpan w:val="2"/>
            <w:tcBorders>
              <w:bottom w:val="single" w:sz="4" w:space="0" w:color="auto"/>
            </w:tcBorders>
            <w:vAlign w:val="center"/>
          </w:tcPr>
          <w:p w14:paraId="7CE55B16" w14:textId="77777777" w:rsidR="00C642E8" w:rsidRPr="00927F5D" w:rsidRDefault="00C642E8" w:rsidP="00764194">
            <w:pPr>
              <w:pStyle w:val="Neotevilenodstavek"/>
              <w:spacing w:before="0" w:after="0" w:line="260" w:lineRule="exact"/>
              <w:jc w:val="center"/>
              <w:rPr>
                <w:bCs/>
                <w:iCs/>
                <w:sz w:val="20"/>
                <w:szCs w:val="20"/>
              </w:rPr>
            </w:pPr>
            <w:r w:rsidRPr="00880DC2">
              <w:rPr>
                <w:b/>
                <w:sz w:val="20"/>
                <w:szCs w:val="20"/>
              </w:rPr>
              <w:t>DA</w:t>
            </w:r>
            <w:r w:rsidRPr="00927F5D">
              <w:rPr>
                <w:bCs/>
                <w:sz w:val="20"/>
                <w:szCs w:val="20"/>
              </w:rPr>
              <w:t>/NE</w:t>
            </w:r>
          </w:p>
        </w:tc>
      </w:tr>
      <w:tr w:rsidR="00C642E8" w:rsidRPr="008D1759" w14:paraId="67DD2B52" w14:textId="77777777" w:rsidTr="4885E88D">
        <w:trPr>
          <w:trHeight w:val="300"/>
        </w:trPr>
        <w:tc>
          <w:tcPr>
            <w:tcW w:w="9200" w:type="dxa"/>
            <w:gridSpan w:val="12"/>
            <w:tcBorders>
              <w:top w:val="single" w:sz="4" w:space="0" w:color="auto"/>
              <w:left w:val="single" w:sz="4" w:space="0" w:color="auto"/>
              <w:bottom w:val="single" w:sz="4" w:space="0" w:color="auto"/>
              <w:right w:val="single" w:sz="4" w:space="0" w:color="auto"/>
            </w:tcBorders>
          </w:tcPr>
          <w:p w14:paraId="232F8EA3" w14:textId="77777777" w:rsidR="00C642E8" w:rsidRPr="008D1759" w:rsidRDefault="00C642E8" w:rsidP="00764194">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727FC41A" w14:textId="77777777" w:rsidR="00D44915" w:rsidRPr="00D44915" w:rsidRDefault="00C642E8" w:rsidP="2A887E61">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p w14:paraId="2A92FED3" w14:textId="77777777" w:rsidR="00704174" w:rsidRDefault="00704174" w:rsidP="00B72797">
            <w:pPr>
              <w:pStyle w:val="Oddelek"/>
              <w:widowControl w:val="0"/>
              <w:numPr>
                <w:ilvl w:val="0"/>
                <w:numId w:val="0"/>
              </w:numPr>
              <w:spacing w:before="0" w:after="0" w:line="260" w:lineRule="exact"/>
              <w:jc w:val="left"/>
              <w:rPr>
                <w:b w:val="0"/>
                <w:sz w:val="20"/>
                <w:szCs w:val="20"/>
              </w:rPr>
            </w:pPr>
          </w:p>
          <w:p w14:paraId="068DAFF9" w14:textId="77777777" w:rsidR="004074D8" w:rsidRDefault="5BC258EB" w:rsidP="003A1511">
            <w:pPr>
              <w:pStyle w:val="Oddelek"/>
              <w:widowControl w:val="0"/>
              <w:numPr>
                <w:ilvl w:val="0"/>
                <w:numId w:val="0"/>
              </w:numPr>
              <w:spacing w:before="0" w:after="0" w:line="260" w:lineRule="exact"/>
              <w:jc w:val="both"/>
              <w:rPr>
                <w:b w:val="0"/>
                <w:sz w:val="20"/>
                <w:szCs w:val="20"/>
              </w:rPr>
            </w:pPr>
            <w:r w:rsidRPr="2A887E61">
              <w:rPr>
                <w:b w:val="0"/>
                <w:sz w:val="20"/>
                <w:szCs w:val="20"/>
              </w:rPr>
              <w:t>Ocena finančnih posledic, povezanih z nadgradnjo oz</w:t>
            </w:r>
            <w:r w:rsidR="3D06DB5C" w:rsidRPr="2A887E61">
              <w:rPr>
                <w:b w:val="0"/>
                <w:sz w:val="20"/>
                <w:szCs w:val="20"/>
              </w:rPr>
              <w:t xml:space="preserve">iroma prenovo programske opreme za zajem letnih in drugih poročil ter drugih nalog v skladu </w:t>
            </w:r>
            <w:r w:rsidR="00336A13">
              <w:rPr>
                <w:b w:val="0"/>
                <w:sz w:val="20"/>
                <w:szCs w:val="20"/>
              </w:rPr>
              <w:t>z</w:t>
            </w:r>
            <w:r w:rsidR="3D06DB5C" w:rsidRPr="2A887E61">
              <w:rPr>
                <w:b w:val="0"/>
                <w:sz w:val="20"/>
                <w:szCs w:val="20"/>
              </w:rPr>
              <w:t xml:space="preserve"> novelo ZGD-1M j</w:t>
            </w:r>
            <w:r w:rsidR="267602D2" w:rsidRPr="2A887E61">
              <w:rPr>
                <w:b w:val="0"/>
                <w:sz w:val="20"/>
                <w:szCs w:val="20"/>
              </w:rPr>
              <w:t>e 250.000 EUR</w:t>
            </w:r>
            <w:r w:rsidR="007B3CBB">
              <w:rPr>
                <w:b w:val="0"/>
                <w:sz w:val="20"/>
                <w:szCs w:val="20"/>
              </w:rPr>
              <w:t>, ki jih je treba zagotoviti AJPES</w:t>
            </w:r>
            <w:r w:rsidR="267602D2" w:rsidRPr="2A887E61">
              <w:rPr>
                <w:b w:val="0"/>
                <w:sz w:val="20"/>
                <w:szCs w:val="20"/>
              </w:rPr>
              <w:t xml:space="preserve">. </w:t>
            </w:r>
            <w:r w:rsidR="1E423637" w:rsidRPr="2A887E61">
              <w:rPr>
                <w:b w:val="0"/>
                <w:sz w:val="20"/>
                <w:szCs w:val="20"/>
              </w:rPr>
              <w:t>Prav tako AJPES ocenjuje, da potrebuje dve novi zaposlitvi za čas trajanja prenove programske opreme</w:t>
            </w:r>
            <w:r w:rsidR="009A537B">
              <w:rPr>
                <w:b w:val="0"/>
                <w:sz w:val="20"/>
                <w:szCs w:val="20"/>
              </w:rPr>
              <w:t xml:space="preserve">, kar bi na letni ravni pomenilo </w:t>
            </w:r>
            <w:r w:rsidR="00C95F78">
              <w:rPr>
                <w:b w:val="0"/>
                <w:sz w:val="20"/>
                <w:szCs w:val="20"/>
              </w:rPr>
              <w:t>približno 60.400 EUR dodatnih stroškov.</w:t>
            </w:r>
          </w:p>
          <w:p w14:paraId="07A8093A" w14:textId="77777777" w:rsidR="00374B5A" w:rsidRDefault="00374B5A" w:rsidP="00DB7C39">
            <w:pPr>
              <w:pStyle w:val="Oddelek"/>
              <w:widowControl w:val="0"/>
              <w:numPr>
                <w:ilvl w:val="0"/>
                <w:numId w:val="0"/>
              </w:numPr>
              <w:spacing w:before="0" w:after="0" w:line="260" w:lineRule="exact"/>
              <w:jc w:val="both"/>
              <w:rPr>
                <w:bCs/>
              </w:rPr>
            </w:pPr>
          </w:p>
          <w:p w14:paraId="5476AD24" w14:textId="0DF24D6A" w:rsidR="00374B5A" w:rsidRDefault="1E423637" w:rsidP="003A1511">
            <w:pPr>
              <w:pStyle w:val="Oddelek"/>
              <w:widowControl w:val="0"/>
              <w:numPr>
                <w:ilvl w:val="0"/>
                <w:numId w:val="0"/>
              </w:numPr>
              <w:spacing w:before="0" w:after="0" w:line="260" w:lineRule="exact"/>
              <w:jc w:val="both"/>
            </w:pPr>
            <w:r w:rsidRPr="2A887E61">
              <w:rPr>
                <w:b w:val="0"/>
                <w:sz w:val="20"/>
                <w:szCs w:val="20"/>
              </w:rPr>
              <w:lastRenderedPageBreak/>
              <w:t xml:space="preserve">Zagovorniku načela enakosti je treba zagotoviti </w:t>
            </w:r>
            <w:r w:rsidR="00595EB5">
              <w:rPr>
                <w:b w:val="0"/>
                <w:sz w:val="20"/>
                <w:szCs w:val="20"/>
              </w:rPr>
              <w:t>finančna sredstva za</w:t>
            </w:r>
            <w:r w:rsidR="009D465D">
              <w:rPr>
                <w:b w:val="0"/>
                <w:sz w:val="20"/>
                <w:szCs w:val="20"/>
              </w:rPr>
              <w:t xml:space="preserve"> eno</w:t>
            </w:r>
            <w:r w:rsidR="00595EB5">
              <w:rPr>
                <w:b w:val="0"/>
                <w:sz w:val="20"/>
                <w:szCs w:val="20"/>
              </w:rPr>
              <w:t xml:space="preserve"> novo</w:t>
            </w:r>
            <w:r w:rsidRPr="2A887E61">
              <w:rPr>
                <w:b w:val="0"/>
                <w:sz w:val="20"/>
                <w:szCs w:val="20"/>
              </w:rPr>
              <w:t xml:space="preserve"> zaposlit</w:t>
            </w:r>
            <w:r w:rsidR="009D465D">
              <w:rPr>
                <w:b w:val="0"/>
                <w:sz w:val="20"/>
                <w:szCs w:val="20"/>
              </w:rPr>
              <w:t>ev</w:t>
            </w:r>
            <w:r w:rsidRPr="2A887E61">
              <w:rPr>
                <w:b w:val="0"/>
                <w:sz w:val="20"/>
                <w:szCs w:val="20"/>
              </w:rPr>
              <w:t xml:space="preserve"> za izvajanje pooblastil določenih s tem zakonom</w:t>
            </w:r>
            <w:r w:rsidR="009D465D">
              <w:rPr>
                <w:b w:val="0"/>
                <w:sz w:val="20"/>
                <w:szCs w:val="20"/>
              </w:rPr>
              <w:t xml:space="preserve">, kar znaša </w:t>
            </w:r>
            <w:r w:rsidR="00300D90">
              <w:rPr>
                <w:b w:val="0"/>
                <w:sz w:val="20"/>
                <w:szCs w:val="20"/>
              </w:rPr>
              <w:t xml:space="preserve">približno </w:t>
            </w:r>
            <w:r w:rsidR="007D23E3">
              <w:rPr>
                <w:b w:val="0"/>
                <w:sz w:val="20"/>
                <w:szCs w:val="20"/>
              </w:rPr>
              <w:t>45</w:t>
            </w:r>
            <w:r w:rsidR="0B448178" w:rsidRPr="4DB7FD0D">
              <w:rPr>
                <w:b w:val="0"/>
                <w:sz w:val="20"/>
                <w:szCs w:val="20"/>
              </w:rPr>
              <w:t>.</w:t>
            </w:r>
            <w:r w:rsidR="007D23E3">
              <w:rPr>
                <w:b w:val="0"/>
                <w:sz w:val="20"/>
                <w:szCs w:val="20"/>
              </w:rPr>
              <w:t xml:space="preserve">000 </w:t>
            </w:r>
            <w:r w:rsidR="00FC034F">
              <w:rPr>
                <w:b w:val="0"/>
                <w:sz w:val="20"/>
                <w:szCs w:val="20"/>
              </w:rPr>
              <w:t>EUR</w:t>
            </w:r>
            <w:r w:rsidRPr="2A887E61">
              <w:rPr>
                <w:b w:val="0"/>
                <w:sz w:val="20"/>
                <w:szCs w:val="20"/>
              </w:rPr>
              <w:t>.</w:t>
            </w:r>
          </w:p>
        </w:tc>
      </w:tr>
      <w:tr w:rsidR="00C642E8" w:rsidRPr="008D1759" w14:paraId="1DA6F512" w14:textId="77777777" w:rsidTr="4885E88D">
        <w:trPr>
          <w:trHeight w:val="300"/>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D3E28D" w14:textId="77777777" w:rsidR="00C642E8" w:rsidRPr="008D1759" w:rsidRDefault="00C642E8" w:rsidP="00764194">
            <w:pPr>
              <w:pStyle w:val="Oddelek"/>
              <w:numPr>
                <w:ilvl w:val="0"/>
                <w:numId w:val="0"/>
              </w:numPr>
              <w:jc w:val="left"/>
              <w:rPr>
                <w:sz w:val="20"/>
                <w:szCs w:val="20"/>
              </w:rPr>
            </w:pPr>
            <w:r w:rsidRPr="008D1759">
              <w:rPr>
                <w:sz w:val="20"/>
                <w:szCs w:val="20"/>
              </w:rPr>
              <w:lastRenderedPageBreak/>
              <w:t>I. Ocena finančnih posledic, ki niso načrtovane v sprejetem proračunu</w:t>
            </w:r>
          </w:p>
        </w:tc>
      </w:tr>
      <w:tr w:rsidR="00C642E8" w:rsidRPr="008D1759" w14:paraId="37F494D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7" w:type="dxa"/>
            <w:gridSpan w:val="3"/>
            <w:tcBorders>
              <w:top w:val="single" w:sz="4" w:space="0" w:color="auto"/>
              <w:left w:val="single" w:sz="4" w:space="0" w:color="auto"/>
              <w:bottom w:val="single" w:sz="4" w:space="0" w:color="auto"/>
              <w:right w:val="single" w:sz="4" w:space="0" w:color="auto"/>
            </w:tcBorders>
            <w:vAlign w:val="center"/>
          </w:tcPr>
          <w:p w14:paraId="29146FB5" w14:textId="77777777" w:rsidR="00C642E8" w:rsidRPr="008D1759" w:rsidRDefault="00C642E8" w:rsidP="00764194">
            <w:pPr>
              <w:widowControl w:val="0"/>
              <w:ind w:left="-122" w:right="-112"/>
              <w:jc w:val="center"/>
              <w:rPr>
                <w:rFonts w:cs="Arial"/>
                <w:szCs w:val="20"/>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100E4720" w14:textId="77777777" w:rsidR="00C642E8" w:rsidRPr="008D1759" w:rsidRDefault="00C642E8" w:rsidP="00764194">
            <w:pPr>
              <w:widowControl w:val="0"/>
              <w:jc w:val="center"/>
              <w:rPr>
                <w:rFonts w:cs="Arial"/>
                <w:szCs w:val="20"/>
              </w:rPr>
            </w:pPr>
            <w:r w:rsidRPr="008D1759">
              <w:rPr>
                <w:rFonts w:cs="Arial"/>
                <w:szCs w:val="20"/>
              </w:rPr>
              <w:t>Tekoče leto (t)</w:t>
            </w:r>
          </w:p>
        </w:tc>
        <w:tc>
          <w:tcPr>
            <w:tcW w:w="939" w:type="dxa"/>
            <w:tcBorders>
              <w:top w:val="single" w:sz="4" w:space="0" w:color="auto"/>
              <w:left w:val="single" w:sz="4" w:space="0" w:color="auto"/>
              <w:bottom w:val="single" w:sz="4" w:space="0" w:color="auto"/>
              <w:right w:val="single" w:sz="4" w:space="0" w:color="auto"/>
            </w:tcBorders>
            <w:vAlign w:val="center"/>
          </w:tcPr>
          <w:p w14:paraId="0ECB5E56"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AEEB633"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1" w:type="dxa"/>
            <w:tcBorders>
              <w:top w:val="single" w:sz="4" w:space="0" w:color="auto"/>
              <w:left w:val="single" w:sz="4" w:space="0" w:color="auto"/>
              <w:bottom w:val="single" w:sz="4" w:space="0" w:color="auto"/>
              <w:right w:val="single" w:sz="4" w:space="0" w:color="auto"/>
            </w:tcBorders>
            <w:vAlign w:val="center"/>
          </w:tcPr>
          <w:p w14:paraId="22D09BC5" w14:textId="77777777" w:rsidR="00C642E8" w:rsidRPr="008D1759" w:rsidRDefault="00C642E8" w:rsidP="0076419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C642E8" w:rsidRPr="008D1759" w14:paraId="79D09BB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3CFF698E" w14:textId="77777777" w:rsidR="00C642E8" w:rsidRPr="008D1759" w:rsidRDefault="00C642E8"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2D8137D1" w14:textId="77777777" w:rsidR="00C642E8" w:rsidRPr="008D1759" w:rsidRDefault="00C642E8" w:rsidP="00AA0FF3">
            <w:pPr>
              <w:pStyle w:val="Heading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51470E7D" w14:textId="77777777" w:rsidR="00C642E8" w:rsidRPr="008D1759" w:rsidRDefault="00C642E8" w:rsidP="00AA0FF3">
            <w:pPr>
              <w:pStyle w:val="Heading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E03A8C7" w14:textId="77777777" w:rsidR="00C642E8" w:rsidRPr="008D1759" w:rsidRDefault="00C642E8"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5D6EAC30" w14:textId="77777777" w:rsidR="00C642E8" w:rsidRPr="008D1759" w:rsidRDefault="00C642E8" w:rsidP="00AA0FF3">
            <w:pPr>
              <w:pStyle w:val="Heading1"/>
              <w:framePr w:hSpace="0" w:wrap="auto" w:vAnchor="margin" w:yAlign="inline"/>
              <w:suppressOverlap w:val="0"/>
            </w:pPr>
          </w:p>
        </w:tc>
      </w:tr>
      <w:tr w:rsidR="00C642E8" w:rsidRPr="008D1759" w14:paraId="22C18F9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52F33D28" w14:textId="77777777" w:rsidR="00C642E8" w:rsidRPr="008D1759" w:rsidRDefault="00C642E8"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587E1AD8" w14:textId="77777777" w:rsidR="00C642E8" w:rsidRPr="008D1759" w:rsidRDefault="00C642E8" w:rsidP="00AA0FF3">
            <w:pPr>
              <w:pStyle w:val="Heading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78D8BF36" w14:textId="77777777" w:rsidR="00C642E8" w:rsidRPr="008D1759" w:rsidRDefault="00C642E8" w:rsidP="00AA0FF3">
            <w:pPr>
              <w:pStyle w:val="Heading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E2C664A" w14:textId="77777777" w:rsidR="00C642E8" w:rsidRPr="008D1759" w:rsidRDefault="00C642E8"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785CFF78" w14:textId="77777777" w:rsidR="00C642E8" w:rsidRPr="008D1759" w:rsidRDefault="00C642E8" w:rsidP="00AA0FF3">
            <w:pPr>
              <w:pStyle w:val="Heading1"/>
              <w:framePr w:hSpace="0" w:wrap="auto" w:vAnchor="margin" w:yAlign="inline"/>
              <w:suppressOverlap w:val="0"/>
            </w:pPr>
          </w:p>
        </w:tc>
      </w:tr>
      <w:tr w:rsidR="000D4BE5" w:rsidRPr="008D1759" w14:paraId="5EE18B37"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76AE4408" w14:textId="77777777" w:rsidR="000D4BE5" w:rsidRPr="008D1759" w:rsidRDefault="000D4BE5"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1674DF3E" w14:textId="77777777" w:rsidR="000D4BE5" w:rsidRPr="008D1759" w:rsidRDefault="000D4BE5" w:rsidP="00764194">
            <w:pPr>
              <w:widowControl w:val="0"/>
              <w:jc w:val="center"/>
              <w:rPr>
                <w:rFonts w:cs="Arial"/>
                <w:szCs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1CA51C93" w14:textId="1833DE8A" w:rsidR="000D4BE5" w:rsidRPr="008D1759" w:rsidRDefault="005938D9" w:rsidP="00764194">
            <w:pPr>
              <w:widowControl w:val="0"/>
              <w:jc w:val="center"/>
              <w:rPr>
                <w:rFonts w:cs="Arial"/>
                <w:szCs w:val="20"/>
              </w:rPr>
            </w:pPr>
            <w:r>
              <w:rPr>
                <w:rFonts w:cs="Arial"/>
                <w:szCs w:val="20"/>
              </w:rPr>
              <w:t>2</w:t>
            </w:r>
            <w:r w:rsidR="00CD0EEF">
              <w:rPr>
                <w:rFonts w:cs="Arial"/>
                <w:szCs w:val="20"/>
              </w:rPr>
              <w:t>55</w:t>
            </w:r>
            <w:r>
              <w:rPr>
                <w:rFonts w:cs="Arial"/>
                <w:szCs w:val="20"/>
              </w:rPr>
              <w:t>.400</w:t>
            </w:r>
            <w:r w:rsidR="00DF047A">
              <w:rPr>
                <w:rFonts w:cs="Arial"/>
                <w:szCs w:val="20"/>
              </w:rPr>
              <w:t xml:space="preserve"> EUR</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22CAFAC7" w14:textId="77777777" w:rsidR="004A54B0" w:rsidRDefault="004A54B0" w:rsidP="00764194">
            <w:pPr>
              <w:widowControl w:val="0"/>
              <w:jc w:val="center"/>
              <w:rPr>
                <w:rFonts w:cs="Arial"/>
                <w:szCs w:val="20"/>
              </w:rPr>
            </w:pPr>
            <w:r>
              <w:rPr>
                <w:rFonts w:cs="Arial"/>
                <w:szCs w:val="20"/>
              </w:rPr>
              <w:t xml:space="preserve"> </w:t>
            </w:r>
          </w:p>
          <w:p w14:paraId="2128A4B4" w14:textId="1945B8B0" w:rsidR="000D4BE5" w:rsidRDefault="00DF047A" w:rsidP="00764194">
            <w:pPr>
              <w:widowControl w:val="0"/>
              <w:jc w:val="center"/>
              <w:rPr>
                <w:rFonts w:cs="Arial"/>
                <w:szCs w:val="20"/>
              </w:rPr>
            </w:pPr>
            <w:r>
              <w:rPr>
                <w:rFonts w:cs="Arial"/>
                <w:szCs w:val="20"/>
              </w:rPr>
              <w:t>160.400 EUR</w:t>
            </w:r>
          </w:p>
          <w:p w14:paraId="0545FF15" w14:textId="40EF99E6" w:rsidR="000C7BE8" w:rsidRPr="008D1759" w:rsidRDefault="000C7BE8" w:rsidP="00764194">
            <w:pPr>
              <w:widowControl w:val="0"/>
              <w:jc w:val="center"/>
              <w:rPr>
                <w:rFonts w:cs="Arial"/>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69578DA3" w14:textId="77777777" w:rsidR="000D4BE5" w:rsidRPr="008D1759" w:rsidRDefault="000D4BE5" w:rsidP="00764194">
            <w:pPr>
              <w:widowControl w:val="0"/>
              <w:jc w:val="center"/>
              <w:rPr>
                <w:rFonts w:cs="Arial"/>
                <w:szCs w:val="20"/>
              </w:rPr>
            </w:pPr>
          </w:p>
        </w:tc>
      </w:tr>
      <w:tr w:rsidR="000D4BE5" w:rsidRPr="008D1759" w14:paraId="7A3DC0A0"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0DA6B77E" w14:textId="77777777" w:rsidR="000D4BE5" w:rsidRPr="008D1759" w:rsidRDefault="000D4BE5" w:rsidP="00764194">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4FDA0F93" w14:textId="77777777" w:rsidR="000D4BE5" w:rsidRPr="008D1759" w:rsidRDefault="000D4BE5" w:rsidP="00764194">
            <w:pPr>
              <w:widowControl w:val="0"/>
              <w:jc w:val="center"/>
              <w:rPr>
                <w:rFonts w:cs="Arial"/>
                <w:szCs w:val="20"/>
              </w:rPr>
            </w:pPr>
          </w:p>
        </w:tc>
        <w:tc>
          <w:tcPr>
            <w:tcW w:w="939" w:type="dxa"/>
            <w:tcBorders>
              <w:top w:val="single" w:sz="4" w:space="0" w:color="auto"/>
              <w:left w:val="single" w:sz="4" w:space="0" w:color="auto"/>
              <w:bottom w:val="single" w:sz="4" w:space="0" w:color="auto"/>
              <w:right w:val="single" w:sz="4" w:space="0" w:color="auto"/>
            </w:tcBorders>
            <w:vAlign w:val="center"/>
          </w:tcPr>
          <w:p w14:paraId="7B945A15" w14:textId="77777777" w:rsidR="000D4BE5" w:rsidRPr="008D1759" w:rsidRDefault="000D4BE5" w:rsidP="00764194">
            <w:pPr>
              <w:widowControl w:val="0"/>
              <w:jc w:val="center"/>
              <w:rPr>
                <w:rFonts w:cs="Arial"/>
                <w:szCs w:val="20"/>
              </w:rPr>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550D61D" w14:textId="77777777" w:rsidR="000D4BE5" w:rsidRPr="008D1759" w:rsidRDefault="000D4BE5" w:rsidP="00764194">
            <w:pPr>
              <w:widowControl w:val="0"/>
              <w:jc w:val="center"/>
              <w:rPr>
                <w:rFonts w:cs="Arial"/>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0932BB07" w14:textId="77777777" w:rsidR="000D4BE5" w:rsidRPr="008D1759" w:rsidRDefault="000D4BE5" w:rsidP="00764194">
            <w:pPr>
              <w:widowControl w:val="0"/>
              <w:jc w:val="center"/>
              <w:rPr>
                <w:rFonts w:cs="Arial"/>
                <w:szCs w:val="20"/>
              </w:rPr>
            </w:pPr>
          </w:p>
        </w:tc>
      </w:tr>
      <w:tr w:rsidR="000D4BE5" w:rsidRPr="008D1759" w14:paraId="26564B4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7" w:type="dxa"/>
            <w:gridSpan w:val="3"/>
            <w:tcBorders>
              <w:top w:val="single" w:sz="4" w:space="0" w:color="auto"/>
              <w:left w:val="single" w:sz="4" w:space="0" w:color="auto"/>
              <w:bottom w:val="single" w:sz="4" w:space="0" w:color="auto"/>
              <w:right w:val="single" w:sz="4" w:space="0" w:color="auto"/>
            </w:tcBorders>
            <w:vAlign w:val="center"/>
          </w:tcPr>
          <w:p w14:paraId="2E13A619" w14:textId="77777777" w:rsidR="000D4BE5" w:rsidRPr="008D1759" w:rsidRDefault="000D4BE5" w:rsidP="0076419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42D7DD2E" w14:textId="77777777" w:rsidR="000D4BE5" w:rsidRPr="008D1759" w:rsidRDefault="000D4BE5" w:rsidP="00AA0FF3">
            <w:pPr>
              <w:pStyle w:val="Heading1"/>
              <w:framePr w:hSpace="0" w:wrap="auto" w:vAnchor="margin" w:yAlign="inline"/>
              <w:suppressOverlap w:val="0"/>
            </w:pPr>
          </w:p>
        </w:tc>
        <w:tc>
          <w:tcPr>
            <w:tcW w:w="939" w:type="dxa"/>
            <w:tcBorders>
              <w:top w:val="single" w:sz="4" w:space="0" w:color="auto"/>
              <w:left w:val="single" w:sz="4" w:space="0" w:color="auto"/>
              <w:bottom w:val="single" w:sz="4" w:space="0" w:color="auto"/>
              <w:right w:val="single" w:sz="4" w:space="0" w:color="auto"/>
            </w:tcBorders>
            <w:vAlign w:val="center"/>
          </w:tcPr>
          <w:p w14:paraId="6E4D0E37" w14:textId="77777777" w:rsidR="000D4BE5" w:rsidRPr="008D1759" w:rsidRDefault="000D4BE5" w:rsidP="00AA0FF3">
            <w:pPr>
              <w:pStyle w:val="Heading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1D275263" w14:textId="77777777" w:rsidR="000D4BE5" w:rsidRPr="008D1759" w:rsidRDefault="000D4BE5"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089063EE" w14:textId="77777777" w:rsidR="000D4BE5" w:rsidRPr="008D1759" w:rsidRDefault="000D4BE5" w:rsidP="00AA0FF3">
            <w:pPr>
              <w:pStyle w:val="Heading1"/>
              <w:framePr w:hSpace="0" w:wrap="auto" w:vAnchor="margin" w:yAlign="inline"/>
              <w:suppressOverlap w:val="0"/>
            </w:pPr>
          </w:p>
        </w:tc>
      </w:tr>
      <w:tr w:rsidR="000D4BE5" w:rsidRPr="008D1759" w14:paraId="29E7116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927D8B" w14:textId="77777777" w:rsidR="000D4BE5" w:rsidRPr="00AA0FF3" w:rsidRDefault="000D4BE5" w:rsidP="00AA0FF3">
            <w:pPr>
              <w:pStyle w:val="Heading1"/>
              <w:framePr w:hSpace="0" w:wrap="auto" w:vAnchor="margin" w:yAlign="inline"/>
              <w:suppressOverlap w:val="0"/>
            </w:pPr>
            <w:r w:rsidRPr="00AA0FF3">
              <w:t>II. Finančne posledice za državni proračun</w:t>
            </w:r>
          </w:p>
        </w:tc>
      </w:tr>
      <w:tr w:rsidR="000D4BE5" w:rsidRPr="008D1759" w14:paraId="67EFB008"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93FA22" w14:textId="77777777" w:rsidR="000D4BE5" w:rsidRPr="00AA0FF3" w:rsidRDefault="000D4BE5" w:rsidP="00AA0FF3">
            <w:pPr>
              <w:pStyle w:val="Heading1"/>
              <w:framePr w:hSpace="0" w:wrap="auto" w:vAnchor="margin" w:yAlign="inline"/>
              <w:suppressOverlap w:val="0"/>
            </w:pPr>
            <w:r w:rsidRPr="00AA0FF3">
              <w:t>II.a Pravice porabe za izvedbo predlaganih rešitev so zagotovljene:</w:t>
            </w:r>
          </w:p>
        </w:tc>
      </w:tr>
      <w:tr w:rsidR="000D4BE5" w:rsidRPr="008D1759" w14:paraId="464C177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2" w:type="dxa"/>
            <w:gridSpan w:val="2"/>
            <w:tcBorders>
              <w:top w:val="single" w:sz="4" w:space="0" w:color="auto"/>
              <w:left w:val="single" w:sz="4" w:space="0" w:color="auto"/>
              <w:bottom w:val="single" w:sz="4" w:space="0" w:color="auto"/>
              <w:right w:val="single" w:sz="4" w:space="0" w:color="auto"/>
            </w:tcBorders>
            <w:vAlign w:val="center"/>
          </w:tcPr>
          <w:p w14:paraId="71412042" w14:textId="77777777" w:rsidR="000D4BE5" w:rsidRPr="00597EB6" w:rsidRDefault="000D4BE5" w:rsidP="00764194">
            <w:pPr>
              <w:widowControl w:val="0"/>
              <w:jc w:val="center"/>
              <w:rPr>
                <w:rFonts w:cs="Arial"/>
                <w:szCs w:val="20"/>
              </w:rPr>
            </w:pPr>
            <w:r w:rsidRPr="00597EB6">
              <w:rPr>
                <w:rFonts w:cs="Arial"/>
                <w:szCs w:val="20"/>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6A7F7FC1" w14:textId="77777777" w:rsidR="000D4BE5" w:rsidRPr="00AA0FF3" w:rsidRDefault="000D4BE5" w:rsidP="00764194">
            <w:pPr>
              <w:widowControl w:val="0"/>
              <w:jc w:val="center"/>
              <w:rPr>
                <w:rFonts w:cs="Arial"/>
                <w:szCs w:val="20"/>
              </w:rPr>
            </w:pPr>
            <w:r w:rsidRPr="00AA0FF3">
              <w:rPr>
                <w:rFonts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38551204" w14:textId="77777777" w:rsidR="000D4BE5" w:rsidRPr="00AA0FF3" w:rsidRDefault="000D4BE5" w:rsidP="00764194">
            <w:pPr>
              <w:widowControl w:val="0"/>
              <w:jc w:val="center"/>
              <w:rPr>
                <w:rFonts w:cs="Arial"/>
                <w:szCs w:val="20"/>
              </w:rPr>
            </w:pPr>
            <w:r w:rsidRPr="00AA0FF3">
              <w:rPr>
                <w:rFonts w:cs="Arial"/>
                <w:szCs w:val="20"/>
              </w:rPr>
              <w:t>Šifra in naziv proračunske postavke</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32A0E371" w14:textId="77777777" w:rsidR="000D4BE5" w:rsidRPr="00AA0FF3" w:rsidRDefault="000D4BE5" w:rsidP="00764194">
            <w:pPr>
              <w:widowControl w:val="0"/>
              <w:jc w:val="center"/>
              <w:rPr>
                <w:rFonts w:cs="Arial"/>
                <w:szCs w:val="20"/>
              </w:rPr>
            </w:pPr>
            <w:r w:rsidRPr="00AA0FF3">
              <w:rPr>
                <w:rFonts w:cs="Arial"/>
                <w:szCs w:val="20"/>
              </w:rPr>
              <w:t>Znesek za tekoče leto (t)</w:t>
            </w:r>
          </w:p>
        </w:tc>
        <w:tc>
          <w:tcPr>
            <w:tcW w:w="2121" w:type="dxa"/>
            <w:tcBorders>
              <w:top w:val="single" w:sz="4" w:space="0" w:color="auto"/>
              <w:left w:val="single" w:sz="4" w:space="0" w:color="auto"/>
              <w:bottom w:val="single" w:sz="4" w:space="0" w:color="auto"/>
              <w:right w:val="single" w:sz="4" w:space="0" w:color="auto"/>
            </w:tcBorders>
            <w:vAlign w:val="center"/>
          </w:tcPr>
          <w:p w14:paraId="61424489" w14:textId="77777777" w:rsidR="000D4BE5" w:rsidRPr="00AA0FF3" w:rsidRDefault="000D4BE5" w:rsidP="00764194">
            <w:pPr>
              <w:widowControl w:val="0"/>
              <w:jc w:val="center"/>
              <w:rPr>
                <w:rFonts w:cs="Arial"/>
                <w:szCs w:val="20"/>
              </w:rPr>
            </w:pPr>
            <w:r w:rsidRPr="00AA0FF3">
              <w:rPr>
                <w:rFonts w:cs="Arial"/>
                <w:szCs w:val="20"/>
              </w:rPr>
              <w:t>Znesek za t + 1</w:t>
            </w:r>
          </w:p>
        </w:tc>
      </w:tr>
      <w:tr w:rsidR="000D4BE5" w:rsidRPr="008D1759" w14:paraId="707B48BF"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2" w:type="dxa"/>
            <w:gridSpan w:val="2"/>
            <w:tcBorders>
              <w:top w:val="single" w:sz="4" w:space="0" w:color="auto"/>
              <w:left w:val="single" w:sz="4" w:space="0" w:color="auto"/>
              <w:bottom w:val="single" w:sz="4" w:space="0" w:color="auto"/>
              <w:right w:val="single" w:sz="4" w:space="0" w:color="auto"/>
            </w:tcBorders>
            <w:vAlign w:val="center"/>
          </w:tcPr>
          <w:p w14:paraId="702DB01C" w14:textId="0A792877" w:rsidR="000D4BE5" w:rsidRPr="00AA0FF3" w:rsidRDefault="00210BC4" w:rsidP="00AA0FF3">
            <w:pPr>
              <w:pStyle w:val="Heading1"/>
              <w:framePr w:hSpace="0" w:wrap="auto" w:vAnchor="margin" w:yAlign="inline"/>
              <w:suppressOverlap w:val="0"/>
              <w:rPr>
                <w:b w:val="0"/>
                <w:bCs/>
              </w:rPr>
            </w:pPr>
            <w:r w:rsidRPr="00AA0FF3">
              <w:rPr>
                <w:b w:val="0"/>
                <w:bCs/>
              </w:rPr>
              <w:t>Ministrstvo za gospodarstvo, turizem in šport</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23CA07A0" w14:textId="33B978FA" w:rsidR="000D4BE5" w:rsidRPr="00AA0FF3" w:rsidRDefault="00210BC4" w:rsidP="00AA0FF3">
            <w:pPr>
              <w:pStyle w:val="Heading1"/>
              <w:framePr w:hSpace="0" w:wrap="auto" w:vAnchor="margin" w:yAlign="inline"/>
              <w:suppressOverlap w:val="0"/>
              <w:rPr>
                <w:b w:val="0"/>
                <w:bCs/>
              </w:rPr>
            </w:pPr>
            <w:r w:rsidRPr="00AA0FF3">
              <w:rPr>
                <w:b w:val="0"/>
                <w:bCs/>
              </w:rPr>
              <w:t>Privatizacija in upravljanje državnega premoženja</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18935CDE" w14:textId="4EEB55D7" w:rsidR="000D4BE5" w:rsidRPr="00AA0FF3" w:rsidRDefault="00210BC4" w:rsidP="00AA0FF3">
            <w:pPr>
              <w:pStyle w:val="Heading1"/>
              <w:framePr w:hSpace="0" w:wrap="auto" w:vAnchor="margin" w:yAlign="inline"/>
              <w:suppressOverlap w:val="0"/>
              <w:rPr>
                <w:b w:val="0"/>
                <w:bCs/>
              </w:rPr>
            </w:pPr>
            <w:r w:rsidRPr="00AA0FF3">
              <w:rPr>
                <w:b w:val="0"/>
                <w:bCs/>
              </w:rPr>
              <w:t>23</w:t>
            </w:r>
            <w:r w:rsidR="00D67DB0" w:rsidRPr="00AA0FF3">
              <w:rPr>
                <w:b w:val="0"/>
                <w:bCs/>
              </w:rPr>
              <w:t>1</w:t>
            </w:r>
            <w:r w:rsidRPr="00AA0FF3">
              <w:rPr>
                <w:b w:val="0"/>
                <w:bCs/>
              </w:rPr>
              <w:t>733</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685E7F05" w14:textId="77777777" w:rsidR="000D4BE5" w:rsidRPr="00AA0FF3" w:rsidRDefault="000D4BE5" w:rsidP="00AA0FF3">
            <w:pPr>
              <w:pStyle w:val="Heading1"/>
              <w:framePr w:hSpace="0" w:wrap="auto" w:vAnchor="margin" w:yAlign="inline"/>
              <w:suppressOverlap w:val="0"/>
              <w:rPr>
                <w:b w:val="0"/>
                <w:bCs/>
              </w:rPr>
            </w:pPr>
          </w:p>
        </w:tc>
        <w:tc>
          <w:tcPr>
            <w:tcW w:w="2121" w:type="dxa"/>
            <w:tcBorders>
              <w:top w:val="single" w:sz="4" w:space="0" w:color="auto"/>
              <w:left w:val="single" w:sz="4" w:space="0" w:color="auto"/>
              <w:bottom w:val="single" w:sz="4" w:space="0" w:color="auto"/>
              <w:right w:val="single" w:sz="4" w:space="0" w:color="auto"/>
            </w:tcBorders>
            <w:vAlign w:val="center"/>
          </w:tcPr>
          <w:p w14:paraId="0C3BE2DF" w14:textId="6C256FB7" w:rsidR="000D4BE5" w:rsidRPr="00AA0FF3" w:rsidRDefault="00210BC4" w:rsidP="00AA0FF3">
            <w:pPr>
              <w:pStyle w:val="Heading1"/>
              <w:framePr w:hSpace="0" w:wrap="auto" w:vAnchor="margin" w:yAlign="inline"/>
              <w:suppressOverlap w:val="0"/>
              <w:rPr>
                <w:b w:val="0"/>
                <w:bCs/>
              </w:rPr>
            </w:pPr>
            <w:r w:rsidRPr="00AA0FF3">
              <w:rPr>
                <w:b w:val="0"/>
                <w:bCs/>
              </w:rPr>
              <w:t>255.400 EUR</w:t>
            </w:r>
          </w:p>
        </w:tc>
      </w:tr>
      <w:tr w:rsidR="000D4BE5" w:rsidRPr="008D1759" w14:paraId="15E9D557"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44A2A905" w14:textId="77777777" w:rsidR="000D4BE5" w:rsidRPr="00AA0FF3" w:rsidRDefault="000D4BE5" w:rsidP="00AA0FF3">
            <w:pPr>
              <w:pStyle w:val="Heading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2F3AF25E" w14:textId="77777777" w:rsidR="000D4BE5" w:rsidRPr="00AA0FF3" w:rsidRDefault="000D4BE5" w:rsidP="00AA0FF3">
            <w:pPr>
              <w:pStyle w:val="Heading1"/>
              <w:framePr w:hSpace="0" w:wrap="auto" w:vAnchor="margin" w:yAlign="inline"/>
              <w:suppressOverlap w:val="0"/>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0370D9EB" w14:textId="77777777" w:rsidR="000D4BE5" w:rsidRPr="00AA0FF3" w:rsidRDefault="000D4BE5" w:rsidP="00AA0FF3">
            <w:pPr>
              <w:pStyle w:val="Heading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1B64B0B7" w14:textId="77777777" w:rsidR="000D4BE5" w:rsidRPr="00AA0FF3" w:rsidRDefault="000D4BE5"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00DC13A2" w14:textId="77777777" w:rsidR="000D4BE5" w:rsidRPr="00AA0FF3" w:rsidRDefault="000D4BE5" w:rsidP="00AA0FF3">
            <w:pPr>
              <w:pStyle w:val="Heading1"/>
              <w:framePr w:hSpace="0" w:wrap="auto" w:vAnchor="margin" w:yAlign="inline"/>
              <w:suppressOverlap w:val="0"/>
            </w:pPr>
          </w:p>
        </w:tc>
      </w:tr>
      <w:tr w:rsidR="000D4BE5" w:rsidRPr="008D1759" w14:paraId="4D216363"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0" w:type="dxa"/>
            <w:gridSpan w:val="6"/>
            <w:tcBorders>
              <w:top w:val="single" w:sz="4" w:space="0" w:color="auto"/>
              <w:left w:val="single" w:sz="4" w:space="0" w:color="auto"/>
              <w:bottom w:val="single" w:sz="4" w:space="0" w:color="auto"/>
              <w:right w:val="single" w:sz="4" w:space="0" w:color="auto"/>
            </w:tcBorders>
            <w:vAlign w:val="center"/>
          </w:tcPr>
          <w:p w14:paraId="46AA39E1" w14:textId="77777777" w:rsidR="000D4BE5" w:rsidRPr="00AA0FF3" w:rsidRDefault="000D4BE5" w:rsidP="00AA0FF3">
            <w:pPr>
              <w:pStyle w:val="Heading1"/>
              <w:framePr w:hSpace="0" w:wrap="auto" w:vAnchor="margin" w:yAlign="inline"/>
              <w:suppressOverlap w:val="0"/>
            </w:pPr>
            <w:r w:rsidRPr="00AA0FF3">
              <w:t>SKUPAJ</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B7B58D3" w14:textId="77777777" w:rsidR="000D4BE5" w:rsidRPr="00AA0FF3" w:rsidRDefault="000D4BE5" w:rsidP="00764194">
            <w:pPr>
              <w:widowControl w:val="0"/>
              <w:jc w:val="center"/>
              <w:rPr>
                <w:rFonts w:cs="Arial"/>
                <w:bCs/>
                <w:szCs w:val="20"/>
              </w:rPr>
            </w:pPr>
          </w:p>
        </w:tc>
        <w:tc>
          <w:tcPr>
            <w:tcW w:w="2121" w:type="dxa"/>
            <w:tcBorders>
              <w:top w:val="single" w:sz="4" w:space="0" w:color="auto"/>
              <w:left w:val="single" w:sz="4" w:space="0" w:color="auto"/>
              <w:bottom w:val="single" w:sz="4" w:space="0" w:color="auto"/>
              <w:right w:val="single" w:sz="4" w:space="0" w:color="auto"/>
            </w:tcBorders>
            <w:vAlign w:val="center"/>
          </w:tcPr>
          <w:p w14:paraId="160B5DFD" w14:textId="6DEA044D" w:rsidR="000D4BE5" w:rsidRPr="00AA0FF3" w:rsidRDefault="00210BC4" w:rsidP="00AA0FF3">
            <w:pPr>
              <w:pStyle w:val="Heading1"/>
              <w:framePr w:hSpace="0" w:wrap="auto" w:vAnchor="margin" w:yAlign="inline"/>
              <w:suppressOverlap w:val="0"/>
            </w:pPr>
            <w:r w:rsidRPr="00AA0FF3">
              <w:t>255.400 EUR</w:t>
            </w:r>
          </w:p>
        </w:tc>
      </w:tr>
      <w:tr w:rsidR="000D4BE5" w:rsidRPr="008D1759" w14:paraId="25817BF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EEBAD0" w14:textId="77777777" w:rsidR="000D4BE5" w:rsidRPr="00AA0FF3" w:rsidRDefault="000D4BE5" w:rsidP="00AA0FF3">
            <w:pPr>
              <w:pStyle w:val="Heading1"/>
              <w:framePr w:hSpace="0" w:wrap="auto" w:vAnchor="margin" w:yAlign="inline"/>
              <w:suppressOverlap w:val="0"/>
            </w:pPr>
            <w:r w:rsidRPr="00AA0FF3">
              <w:t>II.b Manjkajoče pravice porabe bodo zagotovljene s prerazporeditvijo:</w:t>
            </w:r>
          </w:p>
        </w:tc>
      </w:tr>
      <w:tr w:rsidR="000D4BE5" w:rsidRPr="008D1759" w14:paraId="68A318F9"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2" w:type="dxa"/>
            <w:gridSpan w:val="2"/>
            <w:tcBorders>
              <w:top w:val="single" w:sz="4" w:space="0" w:color="auto"/>
              <w:left w:val="single" w:sz="4" w:space="0" w:color="auto"/>
              <w:bottom w:val="single" w:sz="4" w:space="0" w:color="auto"/>
              <w:right w:val="single" w:sz="4" w:space="0" w:color="auto"/>
            </w:tcBorders>
            <w:vAlign w:val="center"/>
          </w:tcPr>
          <w:p w14:paraId="737E0B6C" w14:textId="77777777" w:rsidR="000D4BE5" w:rsidRPr="00597EB6" w:rsidRDefault="000D4BE5" w:rsidP="00764194">
            <w:pPr>
              <w:widowControl w:val="0"/>
              <w:jc w:val="center"/>
              <w:rPr>
                <w:rFonts w:cs="Arial"/>
                <w:szCs w:val="20"/>
              </w:rPr>
            </w:pPr>
            <w:r w:rsidRPr="00597EB6">
              <w:rPr>
                <w:rFonts w:cs="Arial"/>
                <w:szCs w:val="20"/>
              </w:rPr>
              <w:t xml:space="preserve">Ime proračunskega uporabnika </w:t>
            </w: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458913C3" w14:textId="77777777" w:rsidR="000D4BE5" w:rsidRPr="00AA0FF3" w:rsidRDefault="000D4BE5" w:rsidP="00764194">
            <w:pPr>
              <w:widowControl w:val="0"/>
              <w:jc w:val="center"/>
              <w:rPr>
                <w:rFonts w:cs="Arial"/>
                <w:szCs w:val="20"/>
              </w:rPr>
            </w:pPr>
            <w:r w:rsidRPr="00AA0FF3">
              <w:rPr>
                <w:rFonts w:cs="Arial"/>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36C7FE7A" w14:textId="77777777" w:rsidR="000D4BE5" w:rsidRPr="00AA0FF3" w:rsidRDefault="000D4BE5" w:rsidP="00764194">
            <w:pPr>
              <w:widowControl w:val="0"/>
              <w:jc w:val="center"/>
              <w:rPr>
                <w:rFonts w:cs="Arial"/>
                <w:szCs w:val="20"/>
              </w:rPr>
            </w:pPr>
            <w:r w:rsidRPr="00AA0FF3">
              <w:rPr>
                <w:rFonts w:cs="Arial"/>
                <w:szCs w:val="20"/>
              </w:rPr>
              <w:t xml:space="preserve">Šifra in naziv proračunske postavke </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317A519B" w14:textId="77777777" w:rsidR="000D4BE5" w:rsidRPr="00AA0FF3" w:rsidRDefault="000D4BE5" w:rsidP="00764194">
            <w:pPr>
              <w:widowControl w:val="0"/>
              <w:jc w:val="center"/>
              <w:rPr>
                <w:rFonts w:cs="Arial"/>
                <w:szCs w:val="20"/>
              </w:rPr>
            </w:pPr>
            <w:r w:rsidRPr="00AA0FF3">
              <w:rPr>
                <w:rFonts w:cs="Arial"/>
                <w:szCs w:val="20"/>
              </w:rPr>
              <w:t>Znesek za tekoče leto (t)</w:t>
            </w:r>
          </w:p>
        </w:tc>
        <w:tc>
          <w:tcPr>
            <w:tcW w:w="2121" w:type="dxa"/>
            <w:tcBorders>
              <w:top w:val="single" w:sz="4" w:space="0" w:color="auto"/>
              <w:left w:val="single" w:sz="4" w:space="0" w:color="auto"/>
              <w:bottom w:val="single" w:sz="4" w:space="0" w:color="auto"/>
              <w:right w:val="single" w:sz="4" w:space="0" w:color="auto"/>
            </w:tcBorders>
            <w:vAlign w:val="center"/>
          </w:tcPr>
          <w:p w14:paraId="3C99857E" w14:textId="77777777" w:rsidR="000D4BE5" w:rsidRPr="00AA0FF3" w:rsidRDefault="000D4BE5" w:rsidP="00764194">
            <w:pPr>
              <w:widowControl w:val="0"/>
              <w:jc w:val="center"/>
              <w:rPr>
                <w:rFonts w:cs="Arial"/>
                <w:szCs w:val="20"/>
              </w:rPr>
            </w:pPr>
            <w:r w:rsidRPr="00AA0FF3">
              <w:rPr>
                <w:rFonts w:cs="Arial"/>
                <w:szCs w:val="20"/>
              </w:rPr>
              <w:t xml:space="preserve">Znesek za t + 1 </w:t>
            </w:r>
          </w:p>
        </w:tc>
      </w:tr>
      <w:tr w:rsidR="000D4BE5" w:rsidRPr="008D1759" w14:paraId="4A3616F4"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5401FF5E" w14:textId="77777777" w:rsidR="000D4BE5" w:rsidRPr="00597EB6" w:rsidRDefault="000D4BE5" w:rsidP="00AA0FF3">
            <w:pPr>
              <w:pStyle w:val="Heading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6BAE9D1A" w14:textId="77777777" w:rsidR="000D4BE5" w:rsidRPr="00AA0FF3" w:rsidRDefault="000D4BE5" w:rsidP="00764194">
            <w:pPr>
              <w:rPr>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4CDD420" w14:textId="77777777" w:rsidR="000D4BE5" w:rsidRPr="00AA0FF3" w:rsidRDefault="000D4BE5" w:rsidP="00764194">
            <w:pPr>
              <w:rPr>
                <w:szCs w:val="20"/>
                <w:lang w:eastAsia="sl-SI"/>
              </w:rPr>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74F95D6" w14:textId="77777777" w:rsidR="000D4BE5" w:rsidRPr="00AA0FF3" w:rsidRDefault="000D4BE5"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1333EDCA" w14:textId="77777777" w:rsidR="000D4BE5" w:rsidRPr="00AA0FF3" w:rsidRDefault="000D4BE5" w:rsidP="00AA0FF3">
            <w:pPr>
              <w:pStyle w:val="Heading1"/>
              <w:framePr w:hSpace="0" w:wrap="auto" w:vAnchor="margin" w:yAlign="inline"/>
              <w:suppressOverlap w:val="0"/>
            </w:pPr>
          </w:p>
        </w:tc>
      </w:tr>
      <w:tr w:rsidR="000D4BE5" w:rsidRPr="008D1759" w14:paraId="226F711B"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2" w:type="dxa"/>
            <w:gridSpan w:val="2"/>
            <w:tcBorders>
              <w:top w:val="single" w:sz="4" w:space="0" w:color="auto"/>
              <w:left w:val="single" w:sz="4" w:space="0" w:color="auto"/>
              <w:bottom w:val="single" w:sz="4" w:space="0" w:color="auto"/>
              <w:right w:val="single" w:sz="4" w:space="0" w:color="auto"/>
            </w:tcBorders>
            <w:vAlign w:val="center"/>
          </w:tcPr>
          <w:p w14:paraId="181B6DCD" w14:textId="77777777" w:rsidR="000D4BE5" w:rsidRPr="00597EB6" w:rsidRDefault="000D4BE5" w:rsidP="00AA0FF3">
            <w:pPr>
              <w:pStyle w:val="Heading1"/>
              <w:framePr w:hSpace="0" w:wrap="auto" w:vAnchor="margin" w:yAlign="inline"/>
              <w:suppressOverlap w:val="0"/>
            </w:pPr>
          </w:p>
        </w:tc>
        <w:tc>
          <w:tcPr>
            <w:tcW w:w="2292" w:type="dxa"/>
            <w:gridSpan w:val="2"/>
            <w:tcBorders>
              <w:top w:val="single" w:sz="4" w:space="0" w:color="auto"/>
              <w:left w:val="single" w:sz="4" w:space="0" w:color="auto"/>
              <w:bottom w:val="single" w:sz="4" w:space="0" w:color="auto"/>
              <w:right w:val="single" w:sz="4" w:space="0" w:color="auto"/>
            </w:tcBorders>
            <w:vAlign w:val="center"/>
          </w:tcPr>
          <w:p w14:paraId="6F501F2C" w14:textId="77777777" w:rsidR="000D4BE5" w:rsidRPr="00AA0FF3" w:rsidRDefault="000D4BE5" w:rsidP="00AA0FF3">
            <w:pPr>
              <w:pStyle w:val="Heading1"/>
              <w:framePr w:hSpace="0" w:wrap="auto" w:vAnchor="margin" w:yAlign="inline"/>
              <w:suppressOverlap w:val="0"/>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6FC8C2AF" w14:textId="77777777" w:rsidR="000D4BE5" w:rsidRPr="00AA0FF3" w:rsidRDefault="000D4BE5" w:rsidP="00AA0FF3">
            <w:pPr>
              <w:pStyle w:val="Heading1"/>
              <w:framePr w:hSpace="0" w:wrap="auto" w:vAnchor="margin" w:yAlign="inline"/>
              <w:suppressOverlap w:val="0"/>
            </w:pP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3E19C67" w14:textId="77777777" w:rsidR="000D4BE5" w:rsidRPr="00AA0FF3" w:rsidRDefault="000D4BE5"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0139D365" w14:textId="77777777" w:rsidR="000D4BE5" w:rsidRPr="00AA0FF3" w:rsidRDefault="000D4BE5" w:rsidP="00AA0FF3">
            <w:pPr>
              <w:pStyle w:val="Heading1"/>
              <w:framePr w:hSpace="0" w:wrap="auto" w:vAnchor="margin" w:yAlign="inline"/>
              <w:suppressOverlap w:val="0"/>
            </w:pPr>
          </w:p>
        </w:tc>
      </w:tr>
      <w:tr w:rsidR="000D4BE5" w:rsidRPr="008D1759" w14:paraId="4FA6D79C"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0" w:type="dxa"/>
            <w:gridSpan w:val="6"/>
            <w:tcBorders>
              <w:top w:val="single" w:sz="4" w:space="0" w:color="auto"/>
              <w:left w:val="single" w:sz="4" w:space="0" w:color="auto"/>
              <w:bottom w:val="single" w:sz="4" w:space="0" w:color="auto"/>
              <w:right w:val="single" w:sz="4" w:space="0" w:color="auto"/>
            </w:tcBorders>
            <w:vAlign w:val="center"/>
          </w:tcPr>
          <w:p w14:paraId="2852E11E" w14:textId="77777777" w:rsidR="000D4BE5" w:rsidRPr="00AA0FF3" w:rsidRDefault="000D4BE5" w:rsidP="00AA0FF3">
            <w:pPr>
              <w:pStyle w:val="Heading1"/>
              <w:framePr w:hSpace="0" w:wrap="auto" w:vAnchor="margin" w:yAlign="inline"/>
              <w:suppressOverlap w:val="0"/>
            </w:pPr>
            <w:r w:rsidRPr="00AA0FF3">
              <w:t>SKUPAJ</w:t>
            </w:r>
          </w:p>
        </w:tc>
        <w:tc>
          <w:tcPr>
            <w:tcW w:w="1369" w:type="dxa"/>
            <w:gridSpan w:val="5"/>
            <w:tcBorders>
              <w:top w:val="single" w:sz="4" w:space="0" w:color="auto"/>
              <w:left w:val="single" w:sz="4" w:space="0" w:color="auto"/>
              <w:bottom w:val="single" w:sz="4" w:space="0" w:color="auto"/>
              <w:right w:val="single" w:sz="4" w:space="0" w:color="auto"/>
            </w:tcBorders>
            <w:vAlign w:val="center"/>
          </w:tcPr>
          <w:p w14:paraId="0E9305BE" w14:textId="77777777" w:rsidR="000D4BE5" w:rsidRPr="00AA0FF3" w:rsidRDefault="000D4BE5" w:rsidP="00AA0FF3">
            <w:pPr>
              <w:pStyle w:val="Heading1"/>
              <w:framePr w:hSpace="0" w:wrap="auto" w:vAnchor="margin" w:yAlign="inline"/>
              <w:suppressOverlap w:val="0"/>
            </w:pPr>
          </w:p>
        </w:tc>
        <w:tc>
          <w:tcPr>
            <w:tcW w:w="2121" w:type="dxa"/>
            <w:tcBorders>
              <w:top w:val="single" w:sz="4" w:space="0" w:color="auto"/>
              <w:left w:val="single" w:sz="4" w:space="0" w:color="auto"/>
              <w:bottom w:val="single" w:sz="4" w:space="0" w:color="auto"/>
              <w:right w:val="single" w:sz="4" w:space="0" w:color="auto"/>
            </w:tcBorders>
            <w:vAlign w:val="center"/>
          </w:tcPr>
          <w:p w14:paraId="395010F2" w14:textId="77777777" w:rsidR="000D4BE5" w:rsidRPr="00AA0FF3" w:rsidRDefault="000D4BE5" w:rsidP="00AA0FF3">
            <w:pPr>
              <w:pStyle w:val="Heading1"/>
              <w:framePr w:hSpace="0" w:wrap="auto" w:vAnchor="margin" w:yAlign="inline"/>
              <w:suppressOverlap w:val="0"/>
            </w:pPr>
          </w:p>
        </w:tc>
      </w:tr>
      <w:tr w:rsidR="000D4BE5" w:rsidRPr="008D1759" w14:paraId="7B230BC8"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AA6CF6" w14:textId="77777777" w:rsidR="000D4BE5" w:rsidRPr="00AA0FF3" w:rsidRDefault="000D4BE5" w:rsidP="00AA0FF3">
            <w:pPr>
              <w:pStyle w:val="Heading1"/>
              <w:framePr w:hSpace="0" w:wrap="auto" w:vAnchor="margin" w:yAlign="inline"/>
              <w:suppressOverlap w:val="0"/>
            </w:pPr>
            <w:r w:rsidRPr="00AA0FF3">
              <w:t>II.c Načrtovana nadomestitev zmanjšanih prihodkov in povečanih odhodkov proračuna:</w:t>
            </w:r>
          </w:p>
        </w:tc>
      </w:tr>
      <w:tr w:rsidR="000D4BE5" w:rsidRPr="008D1759" w14:paraId="0B77F4C8"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54" w:type="dxa"/>
            <w:gridSpan w:val="4"/>
            <w:tcBorders>
              <w:top w:val="single" w:sz="4" w:space="0" w:color="auto"/>
              <w:left w:val="single" w:sz="4" w:space="0" w:color="auto"/>
              <w:bottom w:val="single" w:sz="4" w:space="0" w:color="auto"/>
              <w:right w:val="single" w:sz="4" w:space="0" w:color="auto"/>
            </w:tcBorders>
            <w:vAlign w:val="center"/>
          </w:tcPr>
          <w:p w14:paraId="0A87DF83" w14:textId="77777777" w:rsidR="000D4BE5" w:rsidRPr="00AA0FF3" w:rsidRDefault="000D4BE5" w:rsidP="00764194">
            <w:pPr>
              <w:widowControl w:val="0"/>
              <w:ind w:left="-122" w:right="-112"/>
              <w:jc w:val="center"/>
              <w:rPr>
                <w:rFonts w:cs="Arial"/>
                <w:szCs w:val="20"/>
              </w:rPr>
            </w:pPr>
            <w:r w:rsidRPr="00AA0FF3">
              <w:rPr>
                <w:rFonts w:cs="Arial"/>
                <w:szCs w:val="20"/>
              </w:rPr>
              <w:t>Novi prihodki</w:t>
            </w: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19964EC7" w14:textId="77777777" w:rsidR="000D4BE5" w:rsidRPr="00AA0FF3" w:rsidRDefault="000D4BE5" w:rsidP="00764194">
            <w:pPr>
              <w:widowControl w:val="0"/>
              <w:ind w:left="-122" w:right="-112"/>
              <w:jc w:val="center"/>
              <w:rPr>
                <w:rFonts w:cs="Arial"/>
                <w:szCs w:val="20"/>
              </w:rPr>
            </w:pPr>
            <w:r w:rsidRPr="00AA0FF3">
              <w:rPr>
                <w:rFonts w:cs="Arial"/>
                <w:szCs w:val="20"/>
              </w:rPr>
              <w:t>Znesek za tekoče leto (t)</w:t>
            </w: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3658E5E3" w14:textId="77777777" w:rsidR="000D4BE5" w:rsidRPr="00AA0FF3" w:rsidRDefault="000D4BE5" w:rsidP="00764194">
            <w:pPr>
              <w:widowControl w:val="0"/>
              <w:ind w:left="-122" w:right="-112"/>
              <w:jc w:val="center"/>
              <w:rPr>
                <w:rFonts w:cs="Arial"/>
                <w:szCs w:val="20"/>
              </w:rPr>
            </w:pPr>
            <w:r w:rsidRPr="00AA0FF3">
              <w:rPr>
                <w:rFonts w:cs="Arial"/>
                <w:szCs w:val="20"/>
              </w:rPr>
              <w:t>Znesek za t + 1</w:t>
            </w:r>
          </w:p>
        </w:tc>
      </w:tr>
      <w:tr w:rsidR="000D4BE5" w:rsidRPr="008D1759" w14:paraId="01D75EE8"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13F662CB" w14:textId="77777777" w:rsidR="000D4BE5" w:rsidRPr="00AA0FF3" w:rsidRDefault="000D4BE5" w:rsidP="00AA0FF3">
            <w:pPr>
              <w:pStyle w:val="Heading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6E38B9D2" w14:textId="77777777" w:rsidR="000D4BE5" w:rsidRPr="00AA0FF3" w:rsidRDefault="000D4BE5" w:rsidP="00AA0FF3">
            <w:pPr>
              <w:pStyle w:val="Heading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113D9059" w14:textId="77777777" w:rsidR="000D4BE5" w:rsidRPr="00AA0FF3" w:rsidRDefault="000D4BE5" w:rsidP="00AA0FF3">
            <w:pPr>
              <w:pStyle w:val="Heading1"/>
              <w:framePr w:hSpace="0" w:wrap="auto" w:vAnchor="margin" w:yAlign="inline"/>
              <w:suppressOverlap w:val="0"/>
            </w:pPr>
          </w:p>
        </w:tc>
      </w:tr>
      <w:tr w:rsidR="000D4BE5" w:rsidRPr="008D1759" w14:paraId="15D29716"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3E60A314" w14:textId="77777777" w:rsidR="000D4BE5" w:rsidRPr="00AA0FF3" w:rsidRDefault="000D4BE5" w:rsidP="00AA0FF3">
            <w:pPr>
              <w:pStyle w:val="Heading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1C5D03F9" w14:textId="77777777" w:rsidR="000D4BE5" w:rsidRPr="00AA0FF3" w:rsidRDefault="000D4BE5" w:rsidP="00AA0FF3">
            <w:pPr>
              <w:pStyle w:val="Heading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376E196F" w14:textId="77777777" w:rsidR="000D4BE5" w:rsidRPr="00AA0FF3" w:rsidRDefault="000D4BE5" w:rsidP="00AA0FF3">
            <w:pPr>
              <w:pStyle w:val="Heading1"/>
              <w:framePr w:hSpace="0" w:wrap="auto" w:vAnchor="margin" w:yAlign="inline"/>
              <w:suppressOverlap w:val="0"/>
            </w:pPr>
          </w:p>
        </w:tc>
      </w:tr>
      <w:tr w:rsidR="000D4BE5" w:rsidRPr="008D1759" w14:paraId="5F872E23" w14:textId="77777777" w:rsidTr="007641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54" w:type="dxa"/>
            <w:gridSpan w:val="4"/>
            <w:tcBorders>
              <w:top w:val="single" w:sz="4" w:space="0" w:color="auto"/>
              <w:left w:val="single" w:sz="4" w:space="0" w:color="auto"/>
              <w:bottom w:val="single" w:sz="4" w:space="0" w:color="auto"/>
              <w:right w:val="single" w:sz="4" w:space="0" w:color="auto"/>
            </w:tcBorders>
            <w:vAlign w:val="center"/>
          </w:tcPr>
          <w:p w14:paraId="4AFADFB6" w14:textId="77777777" w:rsidR="000D4BE5" w:rsidRPr="00AA0FF3" w:rsidRDefault="000D4BE5" w:rsidP="00AA0FF3">
            <w:pPr>
              <w:pStyle w:val="Heading1"/>
              <w:framePr w:hSpace="0" w:wrap="auto" w:vAnchor="margin" w:yAlign="inline"/>
              <w:suppressOverlap w:val="0"/>
            </w:pP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15653637" w14:textId="77777777" w:rsidR="000D4BE5" w:rsidRPr="00AA0FF3" w:rsidRDefault="000D4BE5" w:rsidP="00AA0FF3">
            <w:pPr>
              <w:pStyle w:val="Heading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66DDA170" w14:textId="77777777" w:rsidR="000D4BE5" w:rsidRPr="00AA0FF3" w:rsidRDefault="000D4BE5" w:rsidP="00AA0FF3">
            <w:pPr>
              <w:pStyle w:val="Heading1"/>
              <w:framePr w:hSpace="0" w:wrap="auto" w:vAnchor="margin" w:yAlign="inline"/>
              <w:suppressOverlap w:val="0"/>
            </w:pPr>
          </w:p>
        </w:tc>
      </w:tr>
      <w:tr w:rsidR="000D4BE5" w:rsidRPr="008D1759" w14:paraId="643869DD" w14:textId="77777777" w:rsidTr="4DB7F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00"/>
        </w:trPr>
        <w:tc>
          <w:tcPr>
            <w:tcW w:w="4354" w:type="dxa"/>
            <w:gridSpan w:val="4"/>
            <w:tcBorders>
              <w:top w:val="single" w:sz="4" w:space="0" w:color="auto"/>
              <w:left w:val="single" w:sz="4" w:space="0" w:color="auto"/>
              <w:bottom w:val="single" w:sz="4" w:space="0" w:color="auto"/>
              <w:right w:val="single" w:sz="4" w:space="0" w:color="auto"/>
            </w:tcBorders>
            <w:vAlign w:val="center"/>
          </w:tcPr>
          <w:p w14:paraId="6001D67F" w14:textId="77777777" w:rsidR="000D4BE5" w:rsidRPr="00AA0FF3" w:rsidRDefault="000D4BE5" w:rsidP="00AA0FF3">
            <w:pPr>
              <w:pStyle w:val="Heading1"/>
              <w:framePr w:hSpace="0" w:wrap="auto" w:vAnchor="margin" w:yAlign="inline"/>
              <w:suppressOverlap w:val="0"/>
            </w:pPr>
            <w:r w:rsidRPr="00AA0FF3">
              <w:t>SKUPAJ</w:t>
            </w:r>
          </w:p>
        </w:tc>
        <w:tc>
          <w:tcPr>
            <w:tcW w:w="2038" w:type="dxa"/>
            <w:gridSpan w:val="4"/>
            <w:tcBorders>
              <w:top w:val="single" w:sz="4" w:space="0" w:color="auto"/>
              <w:left w:val="single" w:sz="4" w:space="0" w:color="auto"/>
              <w:bottom w:val="single" w:sz="4" w:space="0" w:color="auto"/>
              <w:right w:val="single" w:sz="4" w:space="0" w:color="auto"/>
            </w:tcBorders>
            <w:vAlign w:val="center"/>
          </w:tcPr>
          <w:p w14:paraId="418EA18D" w14:textId="77777777" w:rsidR="000D4BE5" w:rsidRPr="00AA0FF3" w:rsidRDefault="000D4BE5" w:rsidP="00AA0FF3">
            <w:pPr>
              <w:pStyle w:val="Heading1"/>
              <w:framePr w:hSpace="0" w:wrap="auto" w:vAnchor="margin" w:yAlign="inline"/>
              <w:suppressOverlap w:val="0"/>
            </w:pPr>
          </w:p>
        </w:tc>
        <w:tc>
          <w:tcPr>
            <w:tcW w:w="2808" w:type="dxa"/>
            <w:gridSpan w:val="4"/>
            <w:tcBorders>
              <w:top w:val="single" w:sz="4" w:space="0" w:color="auto"/>
              <w:left w:val="single" w:sz="4" w:space="0" w:color="auto"/>
              <w:bottom w:val="single" w:sz="4" w:space="0" w:color="auto"/>
              <w:right w:val="single" w:sz="4" w:space="0" w:color="auto"/>
            </w:tcBorders>
            <w:vAlign w:val="center"/>
          </w:tcPr>
          <w:p w14:paraId="17D868C7" w14:textId="77777777" w:rsidR="000D4BE5" w:rsidRPr="00AA0FF3" w:rsidRDefault="000D4BE5" w:rsidP="00AA0FF3">
            <w:pPr>
              <w:pStyle w:val="Heading1"/>
              <w:framePr w:hSpace="0" w:wrap="auto" w:vAnchor="margin" w:yAlign="inline"/>
              <w:suppressOverlap w:val="0"/>
            </w:pPr>
          </w:p>
        </w:tc>
      </w:tr>
      <w:tr w:rsidR="000D4BE5" w:rsidRPr="008D1759" w14:paraId="796D5748" w14:textId="77777777" w:rsidTr="00764194">
        <w:trPr>
          <w:trHeight w:val="1910"/>
        </w:trPr>
        <w:tc>
          <w:tcPr>
            <w:tcW w:w="9200" w:type="dxa"/>
            <w:gridSpan w:val="12"/>
          </w:tcPr>
          <w:p w14:paraId="63423FBD" w14:textId="77777777" w:rsidR="000D4BE5" w:rsidRPr="008D1759" w:rsidRDefault="000D4BE5" w:rsidP="00764194">
            <w:pPr>
              <w:widowControl w:val="0"/>
              <w:rPr>
                <w:rFonts w:cs="Arial"/>
                <w:b/>
                <w:szCs w:val="20"/>
              </w:rPr>
            </w:pPr>
          </w:p>
          <w:p w14:paraId="7F942A8B" w14:textId="77777777" w:rsidR="000D4BE5" w:rsidRPr="008D1759" w:rsidRDefault="000D4BE5" w:rsidP="00764194">
            <w:pPr>
              <w:widowControl w:val="0"/>
              <w:rPr>
                <w:rFonts w:cs="Arial"/>
                <w:b/>
                <w:szCs w:val="20"/>
              </w:rPr>
            </w:pPr>
            <w:r w:rsidRPr="008D1759">
              <w:rPr>
                <w:rFonts w:cs="Arial"/>
                <w:b/>
                <w:szCs w:val="20"/>
              </w:rPr>
              <w:t>OBRAZLOŽITEV:</w:t>
            </w:r>
          </w:p>
          <w:p w14:paraId="7231247C" w14:textId="77777777" w:rsidR="000D4BE5" w:rsidRPr="008D1759" w:rsidRDefault="000D4BE5" w:rsidP="000F78A4">
            <w:pPr>
              <w:widowControl w:val="0"/>
              <w:numPr>
                <w:ilvl w:val="0"/>
                <w:numId w:val="16"/>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62518AFA" w14:textId="77777777" w:rsidR="000D4BE5" w:rsidRPr="008D1759" w:rsidRDefault="000D4BE5" w:rsidP="00764194">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6D4D823E" w14:textId="77777777" w:rsidR="000D4BE5" w:rsidRPr="008D1759" w:rsidRDefault="000D4BE5" w:rsidP="000F78A4">
            <w:pPr>
              <w:widowControl w:val="0"/>
              <w:numPr>
                <w:ilvl w:val="0"/>
                <w:numId w:val="1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518A742A" w14:textId="77777777" w:rsidR="000D4BE5" w:rsidRPr="008D1759" w:rsidRDefault="000D4BE5" w:rsidP="000F78A4">
            <w:pPr>
              <w:widowControl w:val="0"/>
              <w:numPr>
                <w:ilvl w:val="0"/>
                <w:numId w:val="1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479761F9" w14:textId="77777777" w:rsidR="000D4BE5" w:rsidRPr="008D1759" w:rsidRDefault="000D4BE5" w:rsidP="000F78A4">
            <w:pPr>
              <w:widowControl w:val="0"/>
              <w:numPr>
                <w:ilvl w:val="0"/>
                <w:numId w:val="1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15966AD2" w14:textId="77777777" w:rsidR="000D4BE5" w:rsidRPr="008D1759" w:rsidRDefault="000D4BE5" w:rsidP="00764194">
            <w:pPr>
              <w:widowControl w:val="0"/>
              <w:ind w:left="284"/>
              <w:rPr>
                <w:rFonts w:cs="Arial"/>
                <w:szCs w:val="20"/>
                <w:lang w:eastAsia="sl-SI"/>
              </w:rPr>
            </w:pPr>
          </w:p>
          <w:p w14:paraId="468CBA34" w14:textId="77777777" w:rsidR="000D4BE5" w:rsidRPr="008D1759" w:rsidRDefault="000D4BE5" w:rsidP="000F78A4">
            <w:pPr>
              <w:widowControl w:val="0"/>
              <w:numPr>
                <w:ilvl w:val="0"/>
                <w:numId w:val="16"/>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FD03469"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1177599E" w14:textId="77777777" w:rsidR="000D4BE5" w:rsidRPr="008D1759" w:rsidRDefault="000D4BE5" w:rsidP="00764194">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AB5C217"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19E3AEF8" w14:textId="77777777" w:rsidR="000D4BE5" w:rsidRPr="008D1759" w:rsidRDefault="000D4BE5" w:rsidP="000F78A4">
            <w:pPr>
              <w:widowControl w:val="0"/>
              <w:numPr>
                <w:ilvl w:val="0"/>
                <w:numId w:val="1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4EBC25ED" w14:textId="77777777" w:rsidR="000D4BE5" w:rsidRPr="008D1759" w:rsidRDefault="000D4BE5" w:rsidP="000F78A4">
            <w:pPr>
              <w:widowControl w:val="0"/>
              <w:numPr>
                <w:ilvl w:val="0"/>
                <w:numId w:val="1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2307DA07" w14:textId="77777777" w:rsidR="000D4BE5" w:rsidRPr="008D1759" w:rsidRDefault="000D4BE5" w:rsidP="000F78A4">
            <w:pPr>
              <w:widowControl w:val="0"/>
              <w:numPr>
                <w:ilvl w:val="0"/>
                <w:numId w:val="18"/>
              </w:numPr>
              <w:suppressAutoHyphens/>
              <w:jc w:val="both"/>
              <w:rPr>
                <w:rFonts w:cs="Arial"/>
                <w:szCs w:val="20"/>
                <w:lang w:eastAsia="sl-SI"/>
              </w:rPr>
            </w:pPr>
            <w:r w:rsidRPr="008D1759">
              <w:rPr>
                <w:rFonts w:cs="Arial"/>
                <w:szCs w:val="20"/>
                <w:lang w:eastAsia="sl-SI"/>
              </w:rPr>
              <w:t>proračunske postavke.</w:t>
            </w:r>
          </w:p>
          <w:p w14:paraId="7F440BB7"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70826F20" w14:textId="77777777" w:rsidR="000D4BE5" w:rsidRPr="008D1759" w:rsidRDefault="000D4BE5" w:rsidP="00764194">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6EE245F" w14:textId="77777777" w:rsidR="000D4BE5" w:rsidRPr="008D1759" w:rsidRDefault="000D4BE5" w:rsidP="0076419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14:paraId="08F63332" w14:textId="77777777" w:rsidR="000D4BE5" w:rsidRPr="008D1759" w:rsidRDefault="000D4BE5" w:rsidP="00764194">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6816C11B" w14:textId="77777777" w:rsidR="000D4BE5" w:rsidRPr="008D1759" w:rsidRDefault="000D4BE5" w:rsidP="00764194">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4BFB0EA3" w14:textId="77777777" w:rsidR="000D4BE5" w:rsidRPr="008D1759" w:rsidRDefault="000D4BE5" w:rsidP="00764194">
            <w:pPr>
              <w:pStyle w:val="Vrstapredpisa"/>
              <w:widowControl w:val="0"/>
              <w:spacing w:before="0" w:line="260" w:lineRule="exact"/>
              <w:jc w:val="both"/>
              <w:rPr>
                <w:color w:val="auto"/>
                <w:sz w:val="20"/>
                <w:szCs w:val="20"/>
              </w:rPr>
            </w:pPr>
          </w:p>
        </w:tc>
      </w:tr>
      <w:tr w:rsidR="000D4BE5" w:rsidRPr="00D063BD" w14:paraId="1048DD24" w14:textId="77777777" w:rsidTr="5019ECE4">
        <w:trPr>
          <w:trHeight w:val="1152"/>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A5DB7" w14:textId="77777777" w:rsidR="000D4BE5" w:rsidRPr="00D731F3" w:rsidRDefault="000D4BE5" w:rsidP="00764194">
            <w:pPr>
              <w:rPr>
                <w:rFonts w:cs="Arial"/>
                <w:b/>
                <w:szCs w:val="20"/>
              </w:rPr>
            </w:pPr>
            <w:r w:rsidRPr="00D731F3">
              <w:rPr>
                <w:rFonts w:cs="Arial"/>
                <w:b/>
                <w:szCs w:val="20"/>
              </w:rPr>
              <w:t>7.b Predstavitev ocene finančnih posledic pod 40.000 EUR:</w:t>
            </w:r>
          </w:p>
          <w:p w14:paraId="72AA195B" w14:textId="77777777" w:rsidR="000D4BE5" w:rsidRPr="00171E3B" w:rsidRDefault="000D4BE5" w:rsidP="00764194">
            <w:pPr>
              <w:rPr>
                <w:rFonts w:cs="Arial"/>
                <w:szCs w:val="20"/>
              </w:rPr>
            </w:pPr>
            <w:r w:rsidRPr="00171E3B">
              <w:rPr>
                <w:rFonts w:cs="Arial"/>
                <w:szCs w:val="20"/>
              </w:rPr>
              <w:t>(Samo če izberete NE pod točko 6.a.)</w:t>
            </w:r>
          </w:p>
          <w:p w14:paraId="029BBD36" w14:textId="77777777" w:rsidR="000D4BE5" w:rsidRDefault="000D4BE5" w:rsidP="00764194">
            <w:pPr>
              <w:rPr>
                <w:rFonts w:cs="Arial"/>
                <w:b/>
                <w:szCs w:val="20"/>
              </w:rPr>
            </w:pPr>
            <w:r w:rsidRPr="00D731F3">
              <w:rPr>
                <w:rFonts w:cs="Arial"/>
                <w:b/>
                <w:szCs w:val="20"/>
              </w:rPr>
              <w:t>Kratka obrazložitev</w:t>
            </w:r>
          </w:p>
          <w:p w14:paraId="2BB66B8D" w14:textId="77777777" w:rsidR="000D4BE5" w:rsidRPr="00D731F3" w:rsidRDefault="000D4BE5" w:rsidP="00764194">
            <w:pPr>
              <w:rPr>
                <w:rFonts w:cs="Arial"/>
                <w:b/>
                <w:szCs w:val="20"/>
              </w:rPr>
            </w:pPr>
            <w:r>
              <w:rPr>
                <w:rFonts w:cs="Arial"/>
                <w:b/>
                <w:szCs w:val="20"/>
              </w:rPr>
              <w:t>/</w:t>
            </w:r>
          </w:p>
        </w:tc>
      </w:tr>
      <w:tr w:rsidR="000D4BE5" w:rsidRPr="00D063BD" w14:paraId="16AF0141" w14:textId="77777777" w:rsidTr="5019ECE4">
        <w:trPr>
          <w:trHeight w:val="371"/>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5B2F" w14:textId="77777777" w:rsidR="000D4BE5" w:rsidRPr="00171E3B" w:rsidRDefault="000D4BE5" w:rsidP="00764194">
            <w:pPr>
              <w:rPr>
                <w:rFonts w:cs="Arial"/>
                <w:b/>
                <w:szCs w:val="20"/>
              </w:rPr>
            </w:pPr>
            <w:r w:rsidRPr="00171E3B">
              <w:rPr>
                <w:rFonts w:cs="Arial"/>
                <w:b/>
                <w:szCs w:val="20"/>
              </w:rPr>
              <w:t>8. Predstavitev sodelovanja z združenji občin:</w:t>
            </w:r>
          </w:p>
        </w:tc>
      </w:tr>
      <w:tr w:rsidR="000D4BE5" w:rsidRPr="00D063BD" w14:paraId="5375A1EA" w14:textId="77777777" w:rsidTr="4885E88D">
        <w:trPr>
          <w:trHeight w:val="300"/>
        </w:trPr>
        <w:tc>
          <w:tcPr>
            <w:tcW w:w="6776" w:type="dxa"/>
            <w:gridSpan w:val="9"/>
          </w:tcPr>
          <w:p w14:paraId="52CFD2A9" w14:textId="77777777" w:rsidR="000D4BE5" w:rsidRPr="00171E3B" w:rsidRDefault="000D4BE5" w:rsidP="00764194">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09D17224" w14:textId="77777777" w:rsidR="000D4BE5" w:rsidRDefault="000D4BE5" w:rsidP="000F78A4">
            <w:pPr>
              <w:pStyle w:val="Neotevilenodstavek"/>
              <w:widowControl w:val="0"/>
              <w:numPr>
                <w:ilvl w:val="1"/>
                <w:numId w:val="17"/>
              </w:numPr>
              <w:spacing w:before="0" w:after="0" w:line="260" w:lineRule="exact"/>
              <w:rPr>
                <w:iCs/>
                <w:sz w:val="20"/>
                <w:szCs w:val="20"/>
              </w:rPr>
            </w:pPr>
            <w:r w:rsidRPr="5019ECE4">
              <w:rPr>
                <w:sz w:val="20"/>
                <w:szCs w:val="20"/>
              </w:rPr>
              <w:t>pristojnosti občin,</w:t>
            </w:r>
          </w:p>
          <w:p w14:paraId="43149343" w14:textId="77777777" w:rsidR="000D4BE5" w:rsidRPr="00171E3B" w:rsidRDefault="000D4BE5" w:rsidP="000F78A4">
            <w:pPr>
              <w:pStyle w:val="Neotevilenodstavek"/>
              <w:widowControl w:val="0"/>
              <w:numPr>
                <w:ilvl w:val="1"/>
                <w:numId w:val="17"/>
              </w:numPr>
              <w:spacing w:before="0" w:after="0" w:line="260" w:lineRule="exact"/>
              <w:rPr>
                <w:iCs/>
                <w:sz w:val="20"/>
                <w:szCs w:val="20"/>
              </w:rPr>
            </w:pPr>
            <w:r w:rsidRPr="5019ECE4">
              <w:rPr>
                <w:sz w:val="20"/>
                <w:szCs w:val="20"/>
              </w:rPr>
              <w:t>delovanje občin,</w:t>
            </w:r>
          </w:p>
          <w:p w14:paraId="0762566C" w14:textId="77777777" w:rsidR="000D4BE5" w:rsidRPr="00171E3B" w:rsidRDefault="000D4BE5" w:rsidP="000F78A4">
            <w:pPr>
              <w:pStyle w:val="Neotevilenodstavek"/>
              <w:widowControl w:val="0"/>
              <w:numPr>
                <w:ilvl w:val="1"/>
                <w:numId w:val="17"/>
              </w:numPr>
              <w:spacing w:before="0" w:after="0" w:line="260" w:lineRule="exact"/>
              <w:rPr>
                <w:iCs/>
                <w:sz w:val="20"/>
                <w:szCs w:val="20"/>
              </w:rPr>
            </w:pPr>
            <w:r w:rsidRPr="5019ECE4">
              <w:rPr>
                <w:sz w:val="20"/>
                <w:szCs w:val="20"/>
              </w:rPr>
              <w:t>financiranje občin.</w:t>
            </w:r>
          </w:p>
          <w:p w14:paraId="629A21FB" w14:textId="77777777" w:rsidR="000D4BE5" w:rsidRPr="00171E3B" w:rsidRDefault="000D4BE5" w:rsidP="00764194">
            <w:pPr>
              <w:pStyle w:val="Neotevilenodstavek"/>
              <w:widowControl w:val="0"/>
              <w:spacing w:before="0" w:after="0" w:line="260" w:lineRule="exact"/>
              <w:ind w:left="1440"/>
              <w:rPr>
                <w:iCs/>
                <w:sz w:val="20"/>
                <w:szCs w:val="20"/>
              </w:rPr>
            </w:pPr>
          </w:p>
        </w:tc>
        <w:tc>
          <w:tcPr>
            <w:tcW w:w="2424" w:type="dxa"/>
            <w:gridSpan w:val="3"/>
          </w:tcPr>
          <w:p w14:paraId="4E169597" w14:textId="77777777" w:rsidR="000D4BE5" w:rsidRPr="00927F5D" w:rsidRDefault="000D4BE5" w:rsidP="00764194">
            <w:pPr>
              <w:pStyle w:val="Neotevilenodstavek"/>
              <w:widowControl w:val="0"/>
              <w:spacing w:before="0" w:after="0" w:line="260" w:lineRule="exact"/>
              <w:jc w:val="center"/>
              <w:rPr>
                <w:sz w:val="20"/>
                <w:szCs w:val="20"/>
              </w:rPr>
            </w:pPr>
            <w:r w:rsidRPr="00927F5D">
              <w:rPr>
                <w:sz w:val="20"/>
                <w:szCs w:val="20"/>
              </w:rPr>
              <w:t>DA/</w:t>
            </w:r>
            <w:r w:rsidRPr="00D5580E">
              <w:rPr>
                <w:b/>
                <w:sz w:val="20"/>
                <w:szCs w:val="20"/>
              </w:rPr>
              <w:t>NE</w:t>
            </w:r>
          </w:p>
        </w:tc>
      </w:tr>
      <w:tr w:rsidR="000D4BE5" w:rsidRPr="00D063BD" w14:paraId="3FF92313" w14:textId="77777777" w:rsidTr="00764194">
        <w:trPr>
          <w:trHeight w:val="274"/>
        </w:trPr>
        <w:tc>
          <w:tcPr>
            <w:tcW w:w="9200" w:type="dxa"/>
            <w:gridSpan w:val="12"/>
          </w:tcPr>
          <w:p w14:paraId="62D1629A" w14:textId="77777777" w:rsidR="000D4BE5" w:rsidRPr="00171E3B" w:rsidRDefault="000D4BE5" w:rsidP="0076419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5C08A8F" w14:textId="77777777" w:rsidR="000D4BE5" w:rsidRPr="00927F5D" w:rsidRDefault="000D4BE5" w:rsidP="000F78A4">
            <w:pPr>
              <w:pStyle w:val="Neotevilenodstavek"/>
              <w:widowControl w:val="0"/>
              <w:numPr>
                <w:ilvl w:val="0"/>
                <w:numId w:val="19"/>
              </w:numPr>
              <w:spacing w:before="0" w:after="0" w:line="260" w:lineRule="exact"/>
              <w:rPr>
                <w:iCs/>
                <w:sz w:val="20"/>
                <w:szCs w:val="20"/>
              </w:rPr>
            </w:pPr>
            <w:r w:rsidRPr="00927F5D">
              <w:rPr>
                <w:iCs/>
                <w:sz w:val="20"/>
                <w:szCs w:val="20"/>
              </w:rPr>
              <w:t xml:space="preserve">Skupnosti občin Slovenije SOS: </w:t>
            </w:r>
            <w:r w:rsidRPr="00D5580E">
              <w:rPr>
                <w:b/>
                <w:sz w:val="20"/>
                <w:szCs w:val="20"/>
              </w:rPr>
              <w:t>DA</w:t>
            </w:r>
            <w:r w:rsidRPr="00927F5D">
              <w:rPr>
                <w:iCs/>
                <w:sz w:val="20"/>
                <w:szCs w:val="20"/>
              </w:rPr>
              <w:t>/NE</w:t>
            </w:r>
          </w:p>
          <w:p w14:paraId="169056E9" w14:textId="77777777" w:rsidR="000D4BE5" w:rsidRPr="00927F5D" w:rsidRDefault="000D4BE5" w:rsidP="000F78A4">
            <w:pPr>
              <w:pStyle w:val="Neotevilenodstavek"/>
              <w:widowControl w:val="0"/>
              <w:numPr>
                <w:ilvl w:val="0"/>
                <w:numId w:val="19"/>
              </w:numPr>
              <w:spacing w:before="0" w:after="0" w:line="260" w:lineRule="exact"/>
              <w:rPr>
                <w:iCs/>
                <w:sz w:val="20"/>
                <w:szCs w:val="20"/>
              </w:rPr>
            </w:pPr>
            <w:r w:rsidRPr="00927F5D">
              <w:rPr>
                <w:iCs/>
                <w:sz w:val="20"/>
                <w:szCs w:val="20"/>
              </w:rPr>
              <w:lastRenderedPageBreak/>
              <w:t xml:space="preserve">Združenju občin Slovenije ZOS: </w:t>
            </w:r>
            <w:r w:rsidRPr="00D5580E">
              <w:rPr>
                <w:b/>
                <w:sz w:val="20"/>
                <w:szCs w:val="20"/>
              </w:rPr>
              <w:t>DA</w:t>
            </w:r>
            <w:r w:rsidRPr="00927F5D">
              <w:rPr>
                <w:iCs/>
                <w:sz w:val="20"/>
                <w:szCs w:val="20"/>
              </w:rPr>
              <w:t>/NE</w:t>
            </w:r>
          </w:p>
          <w:p w14:paraId="3A62DCA5" w14:textId="77777777" w:rsidR="000D4BE5" w:rsidRPr="00927F5D" w:rsidRDefault="000D4BE5" w:rsidP="000F78A4">
            <w:pPr>
              <w:pStyle w:val="Neotevilenodstavek"/>
              <w:widowControl w:val="0"/>
              <w:numPr>
                <w:ilvl w:val="0"/>
                <w:numId w:val="19"/>
              </w:numPr>
              <w:spacing w:before="0" w:after="0" w:line="260" w:lineRule="exact"/>
              <w:rPr>
                <w:iCs/>
                <w:sz w:val="20"/>
                <w:szCs w:val="20"/>
              </w:rPr>
            </w:pPr>
            <w:r w:rsidRPr="00927F5D">
              <w:rPr>
                <w:iCs/>
                <w:sz w:val="20"/>
                <w:szCs w:val="20"/>
              </w:rPr>
              <w:t xml:space="preserve">Združenju mestnih občin Slovenije ZMOS: </w:t>
            </w:r>
            <w:r w:rsidRPr="00D5580E">
              <w:rPr>
                <w:b/>
                <w:sz w:val="20"/>
                <w:szCs w:val="20"/>
              </w:rPr>
              <w:t>DA</w:t>
            </w:r>
            <w:r w:rsidRPr="00927F5D">
              <w:rPr>
                <w:iCs/>
                <w:sz w:val="20"/>
                <w:szCs w:val="20"/>
              </w:rPr>
              <w:t>/NE</w:t>
            </w:r>
          </w:p>
          <w:p w14:paraId="7DB78206" w14:textId="77777777" w:rsidR="000D4BE5" w:rsidRPr="00171E3B" w:rsidRDefault="000D4BE5" w:rsidP="00764194">
            <w:pPr>
              <w:pStyle w:val="Neotevilenodstavek"/>
              <w:widowControl w:val="0"/>
              <w:spacing w:before="0" w:after="0" w:line="260" w:lineRule="exact"/>
              <w:rPr>
                <w:iCs/>
                <w:sz w:val="20"/>
                <w:szCs w:val="20"/>
              </w:rPr>
            </w:pPr>
          </w:p>
          <w:p w14:paraId="04042974" w14:textId="77777777" w:rsidR="004E5B6A" w:rsidRDefault="004E5B6A" w:rsidP="00764194">
            <w:pPr>
              <w:pStyle w:val="Neotevilenodstavek"/>
              <w:widowControl w:val="0"/>
              <w:spacing w:before="0" w:after="0" w:line="260" w:lineRule="exact"/>
              <w:rPr>
                <w:iCs/>
                <w:sz w:val="20"/>
                <w:szCs w:val="20"/>
              </w:rPr>
            </w:pPr>
            <w:r>
              <w:rPr>
                <w:iCs/>
                <w:sz w:val="20"/>
                <w:szCs w:val="20"/>
              </w:rPr>
              <w:t>Predlogov in pr</w:t>
            </w:r>
            <w:r w:rsidR="00AF2B74">
              <w:rPr>
                <w:iCs/>
                <w:sz w:val="20"/>
                <w:szCs w:val="20"/>
              </w:rPr>
              <w:t>i</w:t>
            </w:r>
            <w:r>
              <w:rPr>
                <w:iCs/>
                <w:sz w:val="20"/>
                <w:szCs w:val="20"/>
              </w:rPr>
              <w:t xml:space="preserve">pomb združenj </w:t>
            </w:r>
            <w:r w:rsidR="00AF2B74">
              <w:rPr>
                <w:iCs/>
                <w:sz w:val="20"/>
                <w:szCs w:val="20"/>
              </w:rPr>
              <w:t xml:space="preserve">nismo prejeli. </w:t>
            </w:r>
          </w:p>
          <w:p w14:paraId="09F6110F" w14:textId="77777777" w:rsidR="000D4BE5" w:rsidRPr="00171E3B" w:rsidRDefault="000D4BE5" w:rsidP="00764194">
            <w:pPr>
              <w:pStyle w:val="Neotevilenodstavek"/>
              <w:widowControl w:val="0"/>
              <w:spacing w:before="0" w:after="0" w:line="260" w:lineRule="exact"/>
              <w:rPr>
                <w:iCs/>
                <w:sz w:val="20"/>
                <w:szCs w:val="20"/>
              </w:rPr>
            </w:pPr>
          </w:p>
        </w:tc>
      </w:tr>
      <w:tr w:rsidR="000D4BE5" w:rsidRPr="00D063BD" w14:paraId="0760F65E" w14:textId="77777777" w:rsidTr="4885E88D">
        <w:trPr>
          <w:trHeight w:val="300"/>
        </w:trPr>
        <w:tc>
          <w:tcPr>
            <w:tcW w:w="9200" w:type="dxa"/>
            <w:gridSpan w:val="12"/>
            <w:vAlign w:val="center"/>
          </w:tcPr>
          <w:p w14:paraId="53C35356" w14:textId="77777777" w:rsidR="000D4BE5" w:rsidRPr="00D063BD" w:rsidRDefault="000D4BE5" w:rsidP="00764194">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0D4BE5" w:rsidRPr="00D063BD" w14:paraId="4B4D897C" w14:textId="77777777" w:rsidTr="4885E88D">
        <w:trPr>
          <w:trHeight w:val="300"/>
        </w:trPr>
        <w:tc>
          <w:tcPr>
            <w:tcW w:w="6776" w:type="dxa"/>
            <w:gridSpan w:val="9"/>
          </w:tcPr>
          <w:p w14:paraId="2DD82BBF" w14:textId="77777777" w:rsidR="000D4BE5" w:rsidRPr="00D063BD" w:rsidRDefault="000D4BE5" w:rsidP="0076419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24" w:type="dxa"/>
            <w:gridSpan w:val="3"/>
          </w:tcPr>
          <w:p w14:paraId="59130FAF" w14:textId="77777777" w:rsidR="000D4BE5" w:rsidRPr="00927F5D" w:rsidRDefault="000D4BE5" w:rsidP="00764194">
            <w:pPr>
              <w:pStyle w:val="Neotevilenodstavek"/>
              <w:widowControl w:val="0"/>
              <w:spacing w:before="0" w:after="0" w:line="260" w:lineRule="exact"/>
              <w:jc w:val="center"/>
              <w:rPr>
                <w:bCs/>
                <w:iCs/>
                <w:sz w:val="20"/>
                <w:szCs w:val="20"/>
              </w:rPr>
            </w:pPr>
            <w:r w:rsidRPr="00041EA6">
              <w:rPr>
                <w:b/>
                <w:sz w:val="20"/>
                <w:szCs w:val="20"/>
              </w:rPr>
              <w:t>DA</w:t>
            </w:r>
            <w:r w:rsidRPr="00927F5D">
              <w:rPr>
                <w:bCs/>
                <w:sz w:val="20"/>
                <w:szCs w:val="20"/>
              </w:rPr>
              <w:t>/NE</w:t>
            </w:r>
          </w:p>
        </w:tc>
      </w:tr>
      <w:tr w:rsidR="000D4BE5" w:rsidRPr="00D063BD" w14:paraId="364C4D9E" w14:textId="77777777" w:rsidTr="4885E88D">
        <w:trPr>
          <w:trHeight w:val="300"/>
        </w:trPr>
        <w:tc>
          <w:tcPr>
            <w:tcW w:w="9200" w:type="dxa"/>
            <w:gridSpan w:val="12"/>
          </w:tcPr>
          <w:p w14:paraId="78A03CE0"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0D4BE5" w:rsidRPr="00D063BD" w14:paraId="5757D67B" w14:textId="77777777" w:rsidTr="4885E88D">
        <w:trPr>
          <w:trHeight w:val="300"/>
        </w:trPr>
        <w:tc>
          <w:tcPr>
            <w:tcW w:w="9200" w:type="dxa"/>
            <w:gridSpan w:val="12"/>
          </w:tcPr>
          <w:p w14:paraId="284A8423"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(Če je odgovor DA, navedite:</w:t>
            </w:r>
            <w:r w:rsidR="00A96511">
              <w:rPr>
                <w:iCs/>
                <w:sz w:val="20"/>
                <w:szCs w:val="20"/>
              </w:rPr>
              <w:t xml:space="preserve"> </w:t>
            </w:r>
            <w:r w:rsidR="006178DB" w:rsidRPr="00D063BD">
              <w:rPr>
                <w:iCs/>
                <w:sz w:val="20"/>
                <w:szCs w:val="20"/>
              </w:rPr>
              <w:t xml:space="preserve"> Datum objave: ………</w:t>
            </w:r>
            <w:r w:rsidR="005A7235">
              <w:rPr>
                <w:iCs/>
                <w:sz w:val="20"/>
                <w:szCs w:val="20"/>
              </w:rPr>
              <w:t>)</w:t>
            </w:r>
            <w:r w:rsidR="00C66171">
              <w:rPr>
                <w:iCs/>
                <w:sz w:val="20"/>
                <w:szCs w:val="20"/>
              </w:rPr>
              <w:t xml:space="preserve"> </w:t>
            </w:r>
          </w:p>
          <w:p w14:paraId="4DBBEF1B" w14:textId="77777777" w:rsidR="005A7235" w:rsidRDefault="005A7235" w:rsidP="00764194">
            <w:pPr>
              <w:pStyle w:val="Neotevilenodstavek"/>
              <w:widowControl w:val="0"/>
              <w:spacing w:before="0" w:after="0" w:line="260" w:lineRule="exact"/>
              <w:rPr>
                <w:iCs/>
                <w:sz w:val="20"/>
                <w:szCs w:val="20"/>
              </w:rPr>
            </w:pPr>
          </w:p>
          <w:p w14:paraId="3DD0C815" w14:textId="77777777" w:rsidR="005A7235" w:rsidRDefault="005A7235" w:rsidP="00425708">
            <w:pPr>
              <w:pStyle w:val="Neotevilenodstavek"/>
              <w:widowControl w:val="0"/>
              <w:spacing w:before="0" w:after="0" w:line="260" w:lineRule="exact"/>
              <w:rPr>
                <w:iCs/>
                <w:sz w:val="20"/>
                <w:szCs w:val="20"/>
              </w:rPr>
            </w:pPr>
            <w:r>
              <w:rPr>
                <w:iCs/>
                <w:sz w:val="20"/>
                <w:szCs w:val="20"/>
              </w:rPr>
              <w:t>Gradivo je bilo dne 29. 9. do 29. 10. 2023 objavljeno na portalu e-demokracija</w:t>
            </w:r>
            <w:r w:rsidR="009C5F50">
              <w:rPr>
                <w:iCs/>
                <w:sz w:val="20"/>
                <w:szCs w:val="20"/>
              </w:rPr>
              <w:t xml:space="preserve"> in 3. 10. 2023 na spletnih straneh predlagatelja</w:t>
            </w:r>
            <w:r>
              <w:rPr>
                <w:iCs/>
                <w:sz w:val="20"/>
                <w:szCs w:val="20"/>
              </w:rPr>
              <w:t>.</w:t>
            </w:r>
          </w:p>
          <w:p w14:paraId="0D98AF57" w14:textId="77777777" w:rsidR="005A7235" w:rsidRPr="00D063BD" w:rsidRDefault="005A7235" w:rsidP="00764194">
            <w:pPr>
              <w:pStyle w:val="Neotevilenodstavek"/>
              <w:widowControl w:val="0"/>
              <w:spacing w:before="0" w:after="0" w:line="260" w:lineRule="exact"/>
              <w:rPr>
                <w:iCs/>
                <w:sz w:val="20"/>
                <w:szCs w:val="20"/>
              </w:rPr>
            </w:pPr>
          </w:p>
          <w:p w14:paraId="358B4AB0" w14:textId="77777777" w:rsidR="000D4BE5" w:rsidRPr="00D063BD" w:rsidRDefault="000D4BE5" w:rsidP="00764194">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3BBD109D" w14:textId="77777777" w:rsidR="000D4BE5" w:rsidRPr="00D063BD" w:rsidRDefault="000D4BE5" w:rsidP="000F78A4">
            <w:pPr>
              <w:pStyle w:val="Neotevilenodstavek"/>
              <w:widowControl w:val="0"/>
              <w:numPr>
                <w:ilvl w:val="0"/>
                <w:numId w:val="19"/>
              </w:numPr>
              <w:spacing w:before="0" w:after="0" w:line="260" w:lineRule="exact"/>
              <w:rPr>
                <w:iCs/>
                <w:sz w:val="20"/>
                <w:szCs w:val="20"/>
              </w:rPr>
            </w:pPr>
            <w:r w:rsidRPr="00D063BD">
              <w:rPr>
                <w:iCs/>
                <w:sz w:val="20"/>
                <w:szCs w:val="20"/>
              </w:rPr>
              <w:t xml:space="preserve">nevladne organizacije, </w:t>
            </w:r>
          </w:p>
          <w:p w14:paraId="5F33263C" w14:textId="77777777" w:rsidR="000D4BE5" w:rsidRPr="00D063BD" w:rsidRDefault="000D4BE5" w:rsidP="000F78A4">
            <w:pPr>
              <w:pStyle w:val="Neotevilenodstavek"/>
              <w:widowControl w:val="0"/>
              <w:numPr>
                <w:ilvl w:val="0"/>
                <w:numId w:val="19"/>
              </w:numPr>
              <w:spacing w:before="0" w:after="0" w:line="260" w:lineRule="exact"/>
              <w:rPr>
                <w:iCs/>
                <w:sz w:val="20"/>
                <w:szCs w:val="20"/>
              </w:rPr>
            </w:pPr>
            <w:r w:rsidRPr="00D063BD">
              <w:rPr>
                <w:iCs/>
                <w:sz w:val="20"/>
                <w:szCs w:val="20"/>
              </w:rPr>
              <w:t>predstavniki zainteresirane javnosti,</w:t>
            </w:r>
          </w:p>
          <w:p w14:paraId="0C2C9047" w14:textId="059A2894" w:rsidR="00D736CB" w:rsidRPr="00274BD3" w:rsidRDefault="000D4BE5" w:rsidP="000F78A4">
            <w:pPr>
              <w:pStyle w:val="Neotevilenodstavek"/>
              <w:widowControl w:val="0"/>
              <w:numPr>
                <w:ilvl w:val="0"/>
                <w:numId w:val="19"/>
              </w:numPr>
              <w:spacing w:before="0" w:after="0" w:line="260" w:lineRule="exact"/>
              <w:rPr>
                <w:iCs/>
                <w:sz w:val="20"/>
                <w:szCs w:val="20"/>
              </w:rPr>
            </w:pPr>
            <w:r w:rsidRPr="00D063BD">
              <w:rPr>
                <w:iCs/>
                <w:sz w:val="20"/>
                <w:szCs w:val="20"/>
              </w:rPr>
              <w:t>predstavniki strokovne javnosti.</w:t>
            </w:r>
          </w:p>
          <w:p w14:paraId="24A7B32F" w14:textId="77777777" w:rsidR="000D4BE5" w:rsidRPr="00D063BD" w:rsidRDefault="000D4BE5" w:rsidP="00BD7A98">
            <w:pPr>
              <w:pStyle w:val="Neotevilenodstavek"/>
              <w:widowControl w:val="0"/>
              <w:spacing w:before="0" w:after="0" w:line="260" w:lineRule="exact"/>
              <w:rPr>
                <w:iCs/>
                <w:sz w:val="20"/>
                <w:szCs w:val="20"/>
              </w:rPr>
            </w:pPr>
          </w:p>
          <w:p w14:paraId="5091DF2D" w14:textId="77777777" w:rsidR="000D4BE5" w:rsidRPr="00425708" w:rsidRDefault="000D4BE5" w:rsidP="00764194">
            <w:pPr>
              <w:pStyle w:val="Neotevilenodstavek"/>
              <w:widowControl w:val="0"/>
              <w:spacing w:before="0" w:after="0" w:line="260" w:lineRule="exact"/>
              <w:rPr>
                <w:rFonts w:eastAsia="Arial"/>
                <w:color w:val="000000"/>
                <w:sz w:val="20"/>
                <w:szCs w:val="18"/>
              </w:rPr>
            </w:pPr>
            <w:r w:rsidRPr="00BD7A98">
              <w:rPr>
                <w:rFonts w:eastAsia="Arial"/>
                <w:color w:val="000000"/>
                <w:sz w:val="20"/>
                <w:szCs w:val="18"/>
              </w:rPr>
              <w:t xml:space="preserve">Mnenja, predlogi </w:t>
            </w:r>
            <w:r w:rsidRPr="00710EE9">
              <w:rPr>
                <w:rFonts w:eastAsia="Arial"/>
                <w:color w:val="000000"/>
                <w:sz w:val="20"/>
                <w:szCs w:val="18"/>
              </w:rPr>
              <w:t>in pripombe z navedbo predlagateljev (imen in priimkov fizičnih oseb, ki niso poslovni subjekti, ne navajajte):</w:t>
            </w:r>
          </w:p>
          <w:p w14:paraId="072B97AB" w14:textId="77777777" w:rsidR="000D4BE5" w:rsidRDefault="000D4BE5" w:rsidP="00764194">
            <w:pPr>
              <w:pStyle w:val="Neotevilenodstavek"/>
              <w:widowControl w:val="0"/>
              <w:spacing w:before="0" w:after="0" w:line="260" w:lineRule="exact"/>
              <w:rPr>
                <w:rFonts w:eastAsia="Arial"/>
                <w:color w:val="000000"/>
                <w:szCs w:val="20"/>
              </w:rPr>
            </w:pPr>
          </w:p>
          <w:p w14:paraId="2E663830" w14:textId="77777777" w:rsidR="00B05BA0" w:rsidRDefault="00B05BA0" w:rsidP="00B05BA0">
            <w:pPr>
              <w:pBdr>
                <w:top w:val="nil"/>
                <w:left w:val="nil"/>
                <w:bottom w:val="nil"/>
                <w:right w:val="nil"/>
                <w:between w:val="nil"/>
              </w:pBdr>
              <w:spacing w:before="60" w:after="60"/>
              <w:ind w:hanging="2"/>
              <w:rPr>
                <w:rFonts w:eastAsia="Arial" w:cs="Arial"/>
                <w:color w:val="000000"/>
                <w:szCs w:val="20"/>
                <w:u w:val="single"/>
              </w:rPr>
            </w:pPr>
            <w:r>
              <w:rPr>
                <w:rFonts w:eastAsia="Arial" w:cs="Arial"/>
                <w:color w:val="000000"/>
                <w:szCs w:val="20"/>
                <w:u w:val="single"/>
              </w:rPr>
              <w:t>Upoštevani so bili:</w:t>
            </w:r>
          </w:p>
          <w:p w14:paraId="228664B4" w14:textId="77777777" w:rsidR="00B05BA0" w:rsidRPr="0092779A" w:rsidRDefault="00B05BA0" w:rsidP="000F78A4">
            <w:pPr>
              <w:widowControl w:val="0"/>
              <w:numPr>
                <w:ilvl w:val="0"/>
                <w:numId w:val="96"/>
              </w:numPr>
              <w:pBdr>
                <w:top w:val="nil"/>
                <w:left w:val="nil"/>
                <w:bottom w:val="nil"/>
                <w:right w:val="nil"/>
                <w:between w:val="nil"/>
              </w:pBdr>
              <w:suppressAutoHyphens/>
              <w:spacing w:line="259" w:lineRule="auto"/>
              <w:ind w:leftChars="-1" w:left="0" w:hangingChars="1" w:hanging="2"/>
              <w:textAlignment w:val="top"/>
              <w:outlineLvl w:val="0"/>
              <w:rPr>
                <w:rFonts w:eastAsia="Arial" w:cs="Arial"/>
                <w:color w:val="000000"/>
                <w:szCs w:val="20"/>
              </w:rPr>
            </w:pPr>
            <w:r w:rsidRPr="0092779A">
              <w:rPr>
                <w:rFonts w:eastAsia="Arial" w:cs="Arial"/>
                <w:color w:val="000000"/>
                <w:szCs w:val="20"/>
              </w:rPr>
              <w:t>v celoti,</w:t>
            </w:r>
          </w:p>
          <w:p w14:paraId="18D20A03" w14:textId="77777777" w:rsidR="00B05BA0" w:rsidRPr="00251158" w:rsidRDefault="00B05BA0" w:rsidP="000F78A4">
            <w:pPr>
              <w:widowControl w:val="0"/>
              <w:numPr>
                <w:ilvl w:val="0"/>
                <w:numId w:val="96"/>
              </w:numPr>
              <w:pBdr>
                <w:top w:val="nil"/>
                <w:left w:val="nil"/>
                <w:bottom w:val="nil"/>
                <w:right w:val="nil"/>
                <w:between w:val="nil"/>
              </w:pBdr>
              <w:suppressAutoHyphens/>
              <w:spacing w:line="259" w:lineRule="auto"/>
              <w:ind w:leftChars="-1" w:left="0" w:hangingChars="1" w:hanging="2"/>
              <w:textAlignment w:val="top"/>
              <w:outlineLvl w:val="0"/>
              <w:rPr>
                <w:rFonts w:eastAsia="Arial" w:cs="Arial"/>
                <w:bCs/>
                <w:color w:val="000000"/>
                <w:szCs w:val="20"/>
              </w:rPr>
            </w:pPr>
            <w:r w:rsidRPr="00251158">
              <w:rPr>
                <w:rFonts w:eastAsia="Arial" w:cs="Arial"/>
                <w:bCs/>
                <w:color w:val="000000"/>
                <w:szCs w:val="20"/>
                <w:u w:val="single"/>
              </w:rPr>
              <w:t>večinoma</w:t>
            </w:r>
            <w:r w:rsidRPr="00251158">
              <w:rPr>
                <w:rFonts w:eastAsia="Arial" w:cs="Arial"/>
                <w:bCs/>
                <w:color w:val="000000"/>
                <w:szCs w:val="20"/>
              </w:rPr>
              <w:t>,</w:t>
            </w:r>
          </w:p>
          <w:p w14:paraId="4CD6C68B" w14:textId="77777777" w:rsidR="00B05BA0" w:rsidRPr="0010046F" w:rsidRDefault="00B05BA0" w:rsidP="000F78A4">
            <w:pPr>
              <w:widowControl w:val="0"/>
              <w:numPr>
                <w:ilvl w:val="0"/>
                <w:numId w:val="96"/>
              </w:numPr>
              <w:pBdr>
                <w:top w:val="nil"/>
                <w:left w:val="nil"/>
                <w:bottom w:val="nil"/>
                <w:right w:val="nil"/>
                <w:between w:val="nil"/>
              </w:pBdr>
              <w:suppressAutoHyphens/>
              <w:spacing w:line="259" w:lineRule="auto"/>
              <w:ind w:leftChars="-1" w:left="0" w:hangingChars="1" w:hanging="2"/>
              <w:textAlignment w:val="top"/>
              <w:outlineLvl w:val="0"/>
              <w:rPr>
                <w:rFonts w:eastAsia="Arial" w:cs="Arial"/>
                <w:b/>
                <w:bCs/>
                <w:color w:val="000000"/>
                <w:szCs w:val="20"/>
              </w:rPr>
            </w:pPr>
            <w:r w:rsidRPr="0092779A">
              <w:rPr>
                <w:rFonts w:eastAsia="Arial" w:cs="Arial"/>
                <w:color w:val="000000"/>
                <w:szCs w:val="20"/>
              </w:rPr>
              <w:t>delno,</w:t>
            </w:r>
          </w:p>
          <w:p w14:paraId="668B97D6" w14:textId="77777777" w:rsidR="00B05BA0" w:rsidRPr="0092779A" w:rsidRDefault="00B05BA0" w:rsidP="000F78A4">
            <w:pPr>
              <w:widowControl w:val="0"/>
              <w:numPr>
                <w:ilvl w:val="0"/>
                <w:numId w:val="96"/>
              </w:numPr>
              <w:pBdr>
                <w:top w:val="nil"/>
                <w:left w:val="nil"/>
                <w:bottom w:val="nil"/>
                <w:right w:val="nil"/>
                <w:between w:val="nil"/>
              </w:pBdr>
              <w:suppressAutoHyphens/>
              <w:spacing w:line="259" w:lineRule="auto"/>
              <w:ind w:leftChars="-1" w:left="0" w:hangingChars="1" w:hanging="2"/>
              <w:textAlignment w:val="top"/>
              <w:outlineLvl w:val="0"/>
              <w:rPr>
                <w:rFonts w:eastAsia="Arial" w:cs="Arial"/>
                <w:color w:val="000000"/>
                <w:szCs w:val="20"/>
              </w:rPr>
            </w:pPr>
            <w:r w:rsidRPr="0092779A">
              <w:rPr>
                <w:rFonts w:eastAsia="Arial" w:cs="Arial"/>
                <w:color w:val="000000"/>
                <w:szCs w:val="20"/>
              </w:rPr>
              <w:t>niso bili upoštevani.</w:t>
            </w:r>
          </w:p>
          <w:p w14:paraId="144CE8AD" w14:textId="77777777" w:rsidR="00B05BA0" w:rsidRPr="00764E14" w:rsidRDefault="00B05BA0" w:rsidP="00B05BA0">
            <w:pPr>
              <w:pBdr>
                <w:top w:val="nil"/>
                <w:left w:val="nil"/>
                <w:bottom w:val="nil"/>
                <w:right w:val="nil"/>
                <w:between w:val="nil"/>
              </w:pBdr>
              <w:spacing w:before="60"/>
              <w:rPr>
                <w:rFonts w:eastAsia="Arial" w:cs="Arial"/>
                <w:color w:val="000000"/>
                <w:szCs w:val="20"/>
                <w:u w:val="single"/>
              </w:rPr>
            </w:pPr>
          </w:p>
          <w:p w14:paraId="6586F8F5" w14:textId="77777777" w:rsidR="00B65AE1" w:rsidRDefault="00B05BA0" w:rsidP="0010046F">
            <w:pPr>
              <w:widowControl w:val="0"/>
              <w:pBdr>
                <w:top w:val="nil"/>
                <w:left w:val="nil"/>
                <w:bottom w:val="nil"/>
                <w:right w:val="nil"/>
                <w:between w:val="nil"/>
              </w:pBdr>
              <w:ind w:hanging="2"/>
              <w:rPr>
                <w:rFonts w:eastAsia="Arial" w:cs="Arial"/>
                <w:color w:val="000000"/>
                <w:szCs w:val="20"/>
                <w:u w:val="single"/>
              </w:rPr>
            </w:pPr>
            <w:r>
              <w:rPr>
                <w:rFonts w:eastAsia="Arial" w:cs="Arial"/>
                <w:color w:val="000000"/>
                <w:szCs w:val="20"/>
                <w:u w:val="single"/>
              </w:rPr>
              <w:t>Bistvena mnenja, predlogi in pripombe, ki niso bili upoštevani, ter razlogi za neupoštevanje</w:t>
            </w:r>
            <w:r w:rsidR="00B65AE1">
              <w:rPr>
                <w:rFonts w:eastAsia="Arial" w:cs="Arial"/>
                <w:color w:val="000000"/>
                <w:szCs w:val="20"/>
                <w:u w:val="single"/>
              </w:rPr>
              <w:t>:</w:t>
            </w:r>
          </w:p>
          <w:p w14:paraId="0609AD1E" w14:textId="77777777" w:rsidR="006054E4" w:rsidRPr="0010046F" w:rsidRDefault="006054E4" w:rsidP="0010046F">
            <w:pPr>
              <w:widowControl w:val="0"/>
              <w:pBdr>
                <w:top w:val="nil"/>
                <w:left w:val="nil"/>
                <w:bottom w:val="nil"/>
                <w:right w:val="nil"/>
                <w:between w:val="nil"/>
              </w:pBdr>
              <w:ind w:hanging="2"/>
              <w:rPr>
                <w:rFonts w:eastAsia="Arial"/>
                <w:color w:val="000000"/>
                <w:szCs w:val="20"/>
                <w:u w:val="single"/>
              </w:rPr>
            </w:pPr>
          </w:p>
          <w:p w14:paraId="1C150A0B" w14:textId="77777777" w:rsidR="00526E23" w:rsidRDefault="00526E23" w:rsidP="00526E23">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sidRPr="00FC3309">
              <w:rPr>
                <w:rFonts w:cs="Arial"/>
                <w:color w:val="000000" w:themeColor="text1"/>
              </w:rPr>
              <w:t xml:space="preserve">predlaga </w:t>
            </w:r>
            <w:r>
              <w:rPr>
                <w:rFonts w:cs="Arial"/>
                <w:color w:val="000000" w:themeColor="text1"/>
              </w:rPr>
              <w:t>n</w:t>
            </w:r>
            <w:r w:rsidRPr="00FC3309">
              <w:rPr>
                <w:rFonts w:cs="Arial"/>
                <w:color w:val="000000" w:themeColor="text1"/>
              </w:rPr>
              <w:t>avedb</w:t>
            </w:r>
            <w:r>
              <w:rPr>
                <w:rFonts w:cs="Arial"/>
                <w:color w:val="000000" w:themeColor="text1"/>
              </w:rPr>
              <w:t>o</w:t>
            </w:r>
            <w:r w:rsidRPr="00FC3309">
              <w:rPr>
                <w:rFonts w:cs="Arial"/>
                <w:color w:val="000000" w:themeColor="text1"/>
              </w:rPr>
              <w:t xml:space="preserve"> vseh direktiv </w:t>
            </w:r>
            <w:r>
              <w:rPr>
                <w:rFonts w:cs="Arial"/>
                <w:color w:val="000000" w:themeColor="text1"/>
              </w:rPr>
              <w:t>ali</w:t>
            </w:r>
            <w:r w:rsidRPr="00FC3309">
              <w:rPr>
                <w:rFonts w:cs="Arial"/>
                <w:color w:val="000000" w:themeColor="text1"/>
              </w:rPr>
              <w:t xml:space="preserve"> uredb s</w:t>
            </w:r>
            <w:r w:rsidRPr="00FC3309" w:rsidDel="00744600">
              <w:rPr>
                <w:rFonts w:cs="Arial"/>
                <w:color w:val="000000" w:themeColor="text1"/>
              </w:rPr>
              <w:t xml:space="preserve"> </w:t>
            </w:r>
            <w:r w:rsidRPr="00FC3309">
              <w:rPr>
                <w:rFonts w:cs="Arial"/>
                <w:color w:val="000000" w:themeColor="text1"/>
              </w:rPr>
              <w:t xml:space="preserve">spremembami, ki so v </w:t>
            </w:r>
            <w:r>
              <w:rPr>
                <w:rFonts w:cs="Arial"/>
                <w:color w:val="000000" w:themeColor="text1"/>
              </w:rPr>
              <w:t xml:space="preserve">osnutku </w:t>
            </w:r>
            <w:r w:rsidRPr="00FC3309">
              <w:rPr>
                <w:rFonts w:cs="Arial"/>
                <w:color w:val="000000" w:themeColor="text1"/>
              </w:rPr>
              <w:t>predlog</w:t>
            </w:r>
            <w:r>
              <w:rPr>
                <w:rFonts w:cs="Arial"/>
                <w:color w:val="000000" w:themeColor="text1"/>
              </w:rPr>
              <w:t>a novele</w:t>
            </w:r>
            <w:r w:rsidRPr="00FC3309">
              <w:rPr>
                <w:rFonts w:cs="Arial"/>
                <w:color w:val="000000" w:themeColor="text1"/>
              </w:rPr>
              <w:t xml:space="preserve"> ZGD-1M navedene v posameznih členih, določbe posameznih členov pa naj se obravnavajo zgolj po vsebini</w:t>
            </w:r>
            <w:r>
              <w:rPr>
                <w:rFonts w:cs="Arial"/>
                <w:color w:val="000000" w:themeColor="text1"/>
              </w:rPr>
              <w:t>.</w:t>
            </w:r>
            <w:r w:rsidRPr="00FC3309">
              <w:rPr>
                <w:rFonts w:cs="Arial"/>
                <w:color w:val="000000" w:themeColor="text1"/>
              </w:rPr>
              <w:t xml:space="preserve"> </w:t>
            </w:r>
            <w:r w:rsidRPr="00296AC0">
              <w:rPr>
                <w:rFonts w:cs="Arial"/>
                <w:color w:val="000000" w:themeColor="text1"/>
              </w:rPr>
              <w:t xml:space="preserve">Navajanje posameznih direktiv in uredb z datumi objave </w:t>
            </w:r>
            <w:r>
              <w:rPr>
                <w:rFonts w:cs="Arial"/>
                <w:color w:val="000000" w:themeColor="text1"/>
              </w:rPr>
              <w:t>v</w:t>
            </w:r>
            <w:r w:rsidRPr="00296AC0">
              <w:rPr>
                <w:rFonts w:cs="Arial"/>
                <w:color w:val="000000" w:themeColor="text1"/>
              </w:rPr>
              <w:t xml:space="preserve"> člen</w:t>
            </w:r>
            <w:r>
              <w:rPr>
                <w:rFonts w:cs="Arial"/>
                <w:color w:val="000000" w:themeColor="text1"/>
              </w:rPr>
              <w:t>ih</w:t>
            </w:r>
            <w:r w:rsidRPr="00296AC0">
              <w:rPr>
                <w:rFonts w:cs="Arial"/>
                <w:color w:val="000000" w:themeColor="text1"/>
              </w:rPr>
              <w:t xml:space="preserve"> zakona namreč preveč obremenjuje besedilo zakona in zamegljuje bistvo.</w:t>
            </w:r>
            <w:r>
              <w:rPr>
                <w:rFonts w:cs="Arial"/>
                <w:color w:val="000000" w:themeColor="text1"/>
              </w:rPr>
              <w:t xml:space="preserve"> Predlagajo</w:t>
            </w:r>
            <w:r w:rsidRPr="005A0936" w:rsidDel="00744600">
              <w:rPr>
                <w:rFonts w:cs="Arial"/>
                <w:color w:val="000000" w:themeColor="text1"/>
              </w:rPr>
              <w:t xml:space="preserve"> </w:t>
            </w:r>
            <w:r>
              <w:rPr>
                <w:rFonts w:cs="Arial"/>
                <w:color w:val="000000" w:themeColor="text1"/>
              </w:rPr>
              <w:t>črtanje</w:t>
            </w:r>
            <w:r w:rsidRPr="005A0936">
              <w:rPr>
                <w:rFonts w:cs="Arial"/>
                <w:color w:val="000000" w:themeColor="text1"/>
              </w:rPr>
              <w:t xml:space="preserve"> navedbe, da se v 2. členu v prvi alineji drugega odstavka nadomesti del besedila z »Direktivo (EU) 2022/2464 Evropskega parlamenta in Sveta z dne 14. decembra 2022 o spremembi Uredbe</w:t>
            </w:r>
            <w:r>
              <w:rPr>
                <w:rFonts w:cs="Arial"/>
                <w:color w:val="000000" w:themeColor="text1"/>
              </w:rPr>
              <w:t xml:space="preserve"> </w:t>
            </w:r>
            <w:r w:rsidRPr="005A0936">
              <w:rPr>
                <w:rFonts w:cs="Arial"/>
                <w:color w:val="000000" w:themeColor="text1"/>
              </w:rPr>
              <w:t>(EU) št. 537/2014, Direktive 2004/109/E5, Direktive 2006/43/ES in Direktive 2013/34/EU glede poročanja podjetij o trajnostnosti (UL L št. 322 z dne 16. 12. 2022, str. 15)«</w:t>
            </w:r>
            <w:r>
              <w:rPr>
                <w:rFonts w:cs="Arial"/>
                <w:color w:val="000000" w:themeColor="text1"/>
              </w:rPr>
              <w:t xml:space="preserve">. </w:t>
            </w:r>
            <w:r w:rsidRPr="00502B54">
              <w:rPr>
                <w:rFonts w:cs="Arial"/>
                <w:color w:val="000000" w:themeColor="text1"/>
              </w:rPr>
              <w:t xml:space="preserve">Sklicevanje na spremembo Direktive 2013/34/EU glede poročanja podjetij o trajnostnosti </w:t>
            </w:r>
            <w:r>
              <w:rPr>
                <w:rFonts w:cs="Arial"/>
                <w:color w:val="000000" w:themeColor="text1"/>
              </w:rPr>
              <w:t xml:space="preserve">je po mnenju Ajpesa </w:t>
            </w:r>
            <w:r w:rsidRPr="00502B54">
              <w:rPr>
                <w:rFonts w:cs="Arial"/>
                <w:color w:val="000000" w:themeColor="text1"/>
              </w:rPr>
              <w:t>nepotrebno, saj je ta določba že vsebovana v drugi alineji drugega odstavka 2. člena ZGD-1</w:t>
            </w:r>
            <w:r>
              <w:rPr>
                <w:rFonts w:cs="Arial"/>
                <w:color w:val="000000" w:themeColor="text1"/>
              </w:rPr>
              <w:t xml:space="preserve">. </w:t>
            </w:r>
            <w:r w:rsidRPr="000C6094">
              <w:rPr>
                <w:rFonts w:cs="Arial"/>
                <w:color w:val="000000" w:themeColor="text1"/>
              </w:rPr>
              <w:t>V drugi alineji drugega odstavka 2. člena ZGD-1 manjka navedba prenosa Direktive 2021/2101/EU z dne 24. 11. 2021, s katero se spreminja (oziroma dopolnjuje) Direktiva 2013/34/EU glede razkritja davčnih informacij v zvezi z dohodki</w:t>
            </w:r>
            <w:r>
              <w:rPr>
                <w:rFonts w:cs="Arial"/>
                <w:color w:val="000000" w:themeColor="text1"/>
              </w:rPr>
              <w:t xml:space="preserve">. </w:t>
            </w:r>
            <w:r w:rsidRPr="004F60F5">
              <w:rPr>
                <w:rFonts w:cs="Arial"/>
                <w:color w:val="000000" w:themeColor="text1"/>
              </w:rPr>
              <w:t xml:space="preserve">Navedba prenosa te direktive je </w:t>
            </w:r>
            <w:r>
              <w:rPr>
                <w:rFonts w:cs="Arial"/>
                <w:color w:val="000000" w:themeColor="text1"/>
              </w:rPr>
              <w:t xml:space="preserve">po mnenju Ajpesa </w:t>
            </w:r>
            <w:r w:rsidRPr="004F60F5">
              <w:rPr>
                <w:rFonts w:cs="Arial"/>
                <w:color w:val="000000" w:themeColor="text1"/>
              </w:rPr>
              <w:t>nujna, saj tudi 2.</w:t>
            </w:r>
            <w:r>
              <w:rPr>
                <w:rFonts w:cs="Arial"/>
                <w:color w:val="000000" w:themeColor="text1"/>
              </w:rPr>
              <w:t> </w:t>
            </w:r>
            <w:r w:rsidRPr="004F60F5">
              <w:rPr>
                <w:rFonts w:cs="Arial"/>
                <w:color w:val="000000" w:themeColor="text1"/>
              </w:rPr>
              <w:t>člen Direktive 2021/2101/EU države članice</w:t>
            </w:r>
            <w:r>
              <w:rPr>
                <w:rFonts w:cs="Arial"/>
                <w:color w:val="000000" w:themeColor="text1"/>
              </w:rPr>
              <w:t xml:space="preserve"> </w:t>
            </w:r>
            <w:r w:rsidRPr="004F60F5">
              <w:rPr>
                <w:rFonts w:cs="Arial"/>
                <w:color w:val="000000" w:themeColor="text1"/>
              </w:rPr>
              <w:t>zavezuje, da se v sprejetih predpisih sklicujejo na to direktivo.</w:t>
            </w:r>
          </w:p>
          <w:p w14:paraId="6E2EFB05" w14:textId="77777777" w:rsidR="00526E23" w:rsidRDefault="00526E23" w:rsidP="00526E23">
            <w:pPr>
              <w:pStyle w:val="rkovnatokazaodstavkom"/>
              <w:numPr>
                <w:ilvl w:val="0"/>
                <w:numId w:val="0"/>
              </w:numPr>
              <w:spacing w:line="260" w:lineRule="exact"/>
              <w:ind w:left="322"/>
              <w:rPr>
                <w:rFonts w:cs="Arial"/>
                <w:color w:val="000000" w:themeColor="text1"/>
              </w:rPr>
            </w:pPr>
          </w:p>
          <w:p w14:paraId="1B60E368" w14:textId="77777777" w:rsidR="00526E23" w:rsidRDefault="00526E23" w:rsidP="00526E23">
            <w:pPr>
              <w:pStyle w:val="rkovnatokazaodstavkom"/>
              <w:numPr>
                <w:ilvl w:val="0"/>
                <w:numId w:val="0"/>
              </w:numPr>
              <w:spacing w:line="260" w:lineRule="exact"/>
              <w:ind w:left="322"/>
              <w:rPr>
                <w:rFonts w:cs="Arial"/>
                <w:color w:val="000000" w:themeColor="text1"/>
              </w:rPr>
            </w:pPr>
            <w:r w:rsidRPr="00A26AB4">
              <w:rPr>
                <w:rFonts w:cs="Arial"/>
                <w:b/>
                <w:bCs/>
                <w:color w:val="000000" w:themeColor="text1"/>
              </w:rPr>
              <w:t>Ministrstvo za gospodarstvo, turizem in šport</w:t>
            </w:r>
            <w:r>
              <w:rPr>
                <w:rFonts w:cs="Arial"/>
                <w:color w:val="000000" w:themeColor="text1"/>
              </w:rPr>
              <w:t xml:space="preserve"> meni, </w:t>
            </w:r>
            <w:r w:rsidRPr="00A26AB4">
              <w:rPr>
                <w:rFonts w:cs="Arial"/>
                <w:color w:val="000000" w:themeColor="text1"/>
              </w:rPr>
              <w:t>da predlog ni primeren</w:t>
            </w:r>
            <w:r>
              <w:rPr>
                <w:rFonts w:cs="Arial"/>
                <w:color w:val="000000" w:themeColor="text1"/>
              </w:rPr>
              <w:t xml:space="preserve">. </w:t>
            </w:r>
            <w:r w:rsidRPr="00E01A37">
              <w:rPr>
                <w:rFonts w:cs="Arial"/>
                <w:color w:val="000000" w:themeColor="text1"/>
              </w:rPr>
              <w:t>Direktiva 2022/2464</w:t>
            </w:r>
            <w:r>
              <w:rPr>
                <w:rFonts w:cs="Arial"/>
                <w:color w:val="000000" w:themeColor="text1"/>
              </w:rPr>
              <w:t>/EU</w:t>
            </w:r>
            <w:r w:rsidRPr="00E01A37">
              <w:rPr>
                <w:rFonts w:cs="Arial"/>
                <w:color w:val="000000" w:themeColor="text1"/>
              </w:rPr>
              <w:t xml:space="preserve"> spreminja štiri evropske pravne akte, in sicer (1) Uredbo 537/2014</w:t>
            </w:r>
            <w:r>
              <w:rPr>
                <w:rFonts w:cs="Arial"/>
                <w:color w:val="000000" w:themeColor="text1"/>
              </w:rPr>
              <w:t>/EU</w:t>
            </w:r>
            <w:r w:rsidRPr="00E01A37">
              <w:rPr>
                <w:rFonts w:cs="Arial"/>
                <w:color w:val="000000" w:themeColor="text1"/>
              </w:rPr>
              <w:t xml:space="preserve">, (2) Direktivo 2004/109/ES, (3) Direktivo 2006/43/ES in (4) Direktivo 2013/34/EU. Od teh evropskih pravnih aktov so vsebine Direktive 2006/43/ES (revizijska direktiva) in Direktive 2013/34/EU (računovodska direktiva) predmet urejanja ZGD-1. Ker </w:t>
            </w:r>
            <w:r w:rsidRPr="004E55D6">
              <w:rPr>
                <w:rFonts w:cs="Arial"/>
                <w:color w:val="000000" w:themeColor="text1"/>
              </w:rPr>
              <w:t xml:space="preserve">Direktiva 2022/2464/EU </w:t>
            </w:r>
            <w:r w:rsidRPr="00E01A37">
              <w:rPr>
                <w:rFonts w:cs="Arial"/>
                <w:color w:val="000000" w:themeColor="text1"/>
              </w:rPr>
              <w:t xml:space="preserve">torej predstavlja noveliranje več </w:t>
            </w:r>
            <w:r>
              <w:rPr>
                <w:rFonts w:cs="Arial"/>
                <w:color w:val="000000" w:themeColor="text1"/>
              </w:rPr>
              <w:t>evropskih zakonodajnih</w:t>
            </w:r>
            <w:r w:rsidRPr="00E01A37">
              <w:rPr>
                <w:rFonts w:cs="Arial"/>
                <w:color w:val="000000" w:themeColor="text1"/>
              </w:rPr>
              <w:t xml:space="preserve"> aktov z več različnih področij, je treba zadnjo spremembo upoštevati pri navedbi področnega </w:t>
            </w:r>
            <w:r>
              <w:rPr>
                <w:rFonts w:cs="Arial"/>
                <w:color w:val="000000" w:themeColor="text1"/>
              </w:rPr>
              <w:t xml:space="preserve">evropskega zakonodajnega akta, ki je </w:t>
            </w:r>
            <w:r w:rsidRPr="00E01A37">
              <w:rPr>
                <w:rFonts w:cs="Arial"/>
                <w:color w:val="000000" w:themeColor="text1"/>
              </w:rPr>
              <w:t>predmet urejanja ZGD-1.</w:t>
            </w:r>
            <w:r>
              <w:rPr>
                <w:rFonts w:cs="Arial"/>
                <w:color w:val="000000" w:themeColor="text1"/>
              </w:rPr>
              <w:t xml:space="preserve"> </w:t>
            </w:r>
            <w:r w:rsidRPr="00E034E9">
              <w:rPr>
                <w:rFonts w:cs="Arial"/>
                <w:color w:val="000000" w:themeColor="text1"/>
              </w:rPr>
              <w:t>Na podlagi</w:t>
            </w:r>
            <w:r>
              <w:t xml:space="preserve"> </w:t>
            </w:r>
            <w:r>
              <w:rPr>
                <w:rFonts w:cs="Arial"/>
                <w:color w:val="000000" w:themeColor="text1"/>
              </w:rPr>
              <w:lastRenderedPageBreak/>
              <w:t>t</w:t>
            </w:r>
            <w:r w:rsidRPr="00482ED9">
              <w:rPr>
                <w:rFonts w:cs="Arial"/>
                <w:color w:val="000000" w:themeColor="text1"/>
              </w:rPr>
              <w:t>retj</w:t>
            </w:r>
            <w:r>
              <w:rPr>
                <w:rFonts w:cs="Arial"/>
                <w:color w:val="000000" w:themeColor="text1"/>
              </w:rPr>
              <w:t>e</w:t>
            </w:r>
            <w:r w:rsidRPr="00482ED9">
              <w:rPr>
                <w:rFonts w:cs="Arial"/>
                <w:color w:val="000000" w:themeColor="text1"/>
              </w:rPr>
              <w:t>, spremenjen</w:t>
            </w:r>
            <w:r>
              <w:rPr>
                <w:rFonts w:cs="Arial"/>
                <w:color w:val="000000" w:themeColor="text1"/>
              </w:rPr>
              <w:t>e</w:t>
            </w:r>
            <w:r w:rsidRPr="00482ED9">
              <w:rPr>
                <w:rFonts w:cs="Arial"/>
                <w:color w:val="000000" w:themeColor="text1"/>
              </w:rPr>
              <w:t xml:space="preserve"> in dopolnjen</w:t>
            </w:r>
            <w:r>
              <w:rPr>
                <w:rFonts w:cs="Arial"/>
                <w:color w:val="000000" w:themeColor="text1"/>
              </w:rPr>
              <w:t>e</w:t>
            </w:r>
            <w:r w:rsidRPr="00482ED9">
              <w:rPr>
                <w:rFonts w:cs="Arial"/>
                <w:color w:val="000000" w:themeColor="text1"/>
              </w:rPr>
              <w:t xml:space="preserve"> izdaj</w:t>
            </w:r>
            <w:r>
              <w:rPr>
                <w:rFonts w:cs="Arial"/>
                <w:color w:val="000000" w:themeColor="text1"/>
              </w:rPr>
              <w:t xml:space="preserve">e </w:t>
            </w:r>
            <w:r w:rsidRPr="00E034E9">
              <w:rPr>
                <w:rFonts w:cs="Arial"/>
                <w:color w:val="000000" w:themeColor="text1"/>
              </w:rPr>
              <w:t>nomotehničnih smernic</w:t>
            </w:r>
            <w:r>
              <w:rPr>
                <w:rFonts w:cs="Arial"/>
                <w:color w:val="000000" w:themeColor="text1"/>
              </w:rPr>
              <w:t>, ki so se</w:t>
            </w:r>
            <w:r w:rsidRPr="00482ED9">
              <w:rPr>
                <w:rFonts w:cs="Arial"/>
                <w:color w:val="000000" w:themeColor="text1"/>
              </w:rPr>
              <w:t xml:space="preserve"> začel</w:t>
            </w:r>
            <w:r>
              <w:rPr>
                <w:rFonts w:cs="Arial"/>
                <w:color w:val="000000" w:themeColor="text1"/>
              </w:rPr>
              <w:t>e</w:t>
            </w:r>
            <w:r w:rsidRPr="00482ED9">
              <w:rPr>
                <w:rFonts w:cs="Arial"/>
                <w:color w:val="000000" w:themeColor="text1"/>
              </w:rPr>
              <w:t xml:space="preserve"> uporabljati 1. januarja 2019</w:t>
            </w:r>
            <w:r>
              <w:rPr>
                <w:rFonts w:cs="Arial"/>
                <w:color w:val="000000" w:themeColor="text1"/>
              </w:rPr>
              <w:t>,</w:t>
            </w:r>
            <w:r w:rsidRPr="00E034E9">
              <w:rPr>
                <w:rFonts w:cs="Arial"/>
                <w:color w:val="000000" w:themeColor="text1"/>
              </w:rPr>
              <w:t xml:space="preserve"> navedba zadnje spremembe </w:t>
            </w:r>
            <w:r>
              <w:rPr>
                <w:rFonts w:cs="Arial"/>
                <w:color w:val="000000" w:themeColor="text1"/>
              </w:rPr>
              <w:t>evropskega zakonodajnega akta</w:t>
            </w:r>
            <w:r w:rsidRPr="00E034E9">
              <w:rPr>
                <w:rFonts w:cs="Arial"/>
                <w:color w:val="000000" w:themeColor="text1"/>
              </w:rPr>
              <w:t xml:space="preserve"> pomeni, da so vključen</w:t>
            </w:r>
            <w:r>
              <w:rPr>
                <w:rFonts w:cs="Arial"/>
                <w:color w:val="000000" w:themeColor="text1"/>
              </w:rPr>
              <w:t>i</w:t>
            </w:r>
            <w:r w:rsidRPr="00E034E9">
              <w:rPr>
                <w:rFonts w:cs="Arial"/>
                <w:color w:val="000000" w:themeColor="text1"/>
              </w:rPr>
              <w:t xml:space="preserve"> v navedbo vs</w:t>
            </w:r>
            <w:r>
              <w:rPr>
                <w:rFonts w:cs="Arial"/>
                <w:color w:val="000000" w:themeColor="text1"/>
              </w:rPr>
              <w:t>i</w:t>
            </w:r>
            <w:r w:rsidRPr="00E034E9">
              <w:rPr>
                <w:rFonts w:cs="Arial"/>
                <w:color w:val="000000" w:themeColor="text1"/>
              </w:rPr>
              <w:t xml:space="preserve"> predhodn</w:t>
            </w:r>
            <w:r>
              <w:rPr>
                <w:rFonts w:cs="Arial"/>
                <w:color w:val="000000" w:themeColor="text1"/>
              </w:rPr>
              <w:t>i evropski zakonodajni akti, ki so ga do tedaj spreminjali</w:t>
            </w:r>
            <w:r w:rsidRPr="00E034E9">
              <w:rPr>
                <w:rFonts w:cs="Arial"/>
                <w:color w:val="000000" w:themeColor="text1"/>
              </w:rPr>
              <w:t>.</w:t>
            </w:r>
            <w:r>
              <w:rPr>
                <w:rFonts w:cs="Arial"/>
                <w:color w:val="000000" w:themeColor="text1"/>
              </w:rPr>
              <w:t xml:space="preserve"> Ker</w:t>
            </w:r>
            <w:r w:rsidRPr="00E034E9">
              <w:rPr>
                <w:rFonts w:cs="Arial"/>
                <w:color w:val="000000" w:themeColor="text1"/>
              </w:rPr>
              <w:t xml:space="preserve"> je bila v času priprave </w:t>
            </w:r>
            <w:r>
              <w:rPr>
                <w:rFonts w:cs="Arial"/>
                <w:color w:val="000000" w:themeColor="text1"/>
              </w:rPr>
              <w:t xml:space="preserve">osnutka </w:t>
            </w:r>
            <w:r w:rsidRPr="00E034E9">
              <w:rPr>
                <w:rFonts w:cs="Arial"/>
                <w:color w:val="000000" w:themeColor="text1"/>
              </w:rPr>
              <w:t xml:space="preserve">predloga novele ZGD-1M </w:t>
            </w:r>
            <w:r>
              <w:rPr>
                <w:rFonts w:cs="Arial"/>
                <w:color w:val="000000" w:themeColor="text1"/>
              </w:rPr>
              <w:t xml:space="preserve">sprejeta </w:t>
            </w:r>
            <w:r w:rsidRPr="00E034E9">
              <w:rPr>
                <w:rFonts w:cs="Arial"/>
                <w:color w:val="000000" w:themeColor="text1"/>
              </w:rPr>
              <w:t>Delegirana direktiva Komisije (EU) 2023/2775 z dne 17. 10. 2023 o spremembi Direktive 2013/34/EU Evropskega parlamenta in Sveta v zvezi s prilagoditvijo meril velikosti mikro, malih, srednjih in velikih podjetij ali skupin (UL L št. 2023/2775 z dne 21. 12. 2023)</w:t>
            </w:r>
            <w:r>
              <w:rPr>
                <w:rFonts w:cs="Arial"/>
                <w:color w:val="000000" w:themeColor="text1"/>
              </w:rPr>
              <w:t>, bo ta nadomestila navedbo zadnjega evropskega zakonodajnega akta</w:t>
            </w:r>
            <w:r w:rsidRPr="00E034E9">
              <w:rPr>
                <w:rFonts w:cs="Arial"/>
                <w:color w:val="000000" w:themeColor="text1"/>
              </w:rPr>
              <w:t>.</w:t>
            </w:r>
          </w:p>
          <w:p w14:paraId="6F00D888" w14:textId="77777777" w:rsidR="00526E23" w:rsidRDefault="00526E23" w:rsidP="00526E23">
            <w:pPr>
              <w:pStyle w:val="rkovnatokazaodstavkom"/>
              <w:numPr>
                <w:ilvl w:val="0"/>
                <w:numId w:val="0"/>
              </w:numPr>
              <w:spacing w:line="260" w:lineRule="exact"/>
              <w:ind w:left="322"/>
              <w:rPr>
                <w:rFonts w:cs="Arial"/>
                <w:color w:val="000000" w:themeColor="text1"/>
              </w:rPr>
            </w:pPr>
          </w:p>
          <w:p w14:paraId="0E7FCBC0" w14:textId="77777777" w:rsidR="00831DA4" w:rsidRPr="00FC3309" w:rsidRDefault="00831DA4" w:rsidP="00831DA4">
            <w:pPr>
              <w:pStyle w:val="rkovnatokazaodstavkom"/>
              <w:numPr>
                <w:ilvl w:val="0"/>
                <w:numId w:val="0"/>
              </w:numPr>
              <w:spacing w:line="260" w:lineRule="exact"/>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meni</w:t>
            </w:r>
            <w:r>
              <w:t>, da n</w:t>
            </w:r>
            <w:r w:rsidRPr="00494C1C">
              <w:rPr>
                <w:rFonts w:cs="Arial"/>
                <w:color w:val="000000" w:themeColor="text1"/>
              </w:rPr>
              <w:t xml:space="preserve">i nobene potrebe, da bi </w:t>
            </w:r>
            <w:r w:rsidR="00526E23" w:rsidRPr="00494C1C">
              <w:rPr>
                <w:rFonts w:cs="Arial"/>
                <w:color w:val="000000" w:themeColor="text1"/>
              </w:rPr>
              <w:t xml:space="preserve">moral </w:t>
            </w:r>
            <w:r w:rsidRPr="00494C1C">
              <w:rPr>
                <w:rFonts w:cs="Arial"/>
                <w:color w:val="000000" w:themeColor="text1"/>
              </w:rPr>
              <w:t>revizor ob revidiranju računovodskih izkazov zadnjega poslovnega leta preveriti tudi, ali je družba za prejšnje poslovno leto pripravila in objavila poročilo o davčnih informacijah, kot je predlagano (kar je tudi v skladu z direktivo) v peti alineji prvega odstavka spremenjenega 57. člena ZGD-1.</w:t>
            </w:r>
            <w:r>
              <w:rPr>
                <w:rFonts w:cs="Arial"/>
                <w:color w:val="000000" w:themeColor="text1"/>
              </w:rPr>
              <w:t xml:space="preserve"> </w:t>
            </w:r>
          </w:p>
          <w:p w14:paraId="57B83F6B" w14:textId="77777777" w:rsidR="00831DA4" w:rsidRPr="00FC3309" w:rsidRDefault="00831DA4" w:rsidP="00831DA4">
            <w:pPr>
              <w:pStyle w:val="rkovnatokazaodstavkom"/>
              <w:numPr>
                <w:ilvl w:val="0"/>
                <w:numId w:val="0"/>
              </w:numPr>
              <w:spacing w:line="260" w:lineRule="exact"/>
              <w:rPr>
                <w:rFonts w:cs="Arial"/>
                <w:color w:val="000000" w:themeColor="text1"/>
              </w:rPr>
            </w:pPr>
          </w:p>
          <w:p w14:paraId="5265CE53" w14:textId="77777777" w:rsidR="00831DA4" w:rsidRDefault="00831DA4" w:rsidP="00831DA4">
            <w:pPr>
              <w:pStyle w:val="rkovnatokazaodstavkom"/>
              <w:numPr>
                <w:ilvl w:val="0"/>
                <w:numId w:val="0"/>
              </w:numPr>
              <w:spacing w:line="260" w:lineRule="exact"/>
              <w:rPr>
                <w:rFonts w:cs="Arial"/>
                <w:color w:val="000000" w:themeColor="text1"/>
              </w:rPr>
            </w:pPr>
            <w:r w:rsidRPr="00A26AB4">
              <w:rPr>
                <w:rFonts w:cs="Arial"/>
                <w:b/>
                <w:bCs/>
                <w:color w:val="000000" w:themeColor="text1"/>
              </w:rPr>
              <w:t>Ministrstvo za gospodarstvo, turizem in šport</w:t>
            </w:r>
            <w:r>
              <w:rPr>
                <w:rFonts w:cs="Arial"/>
                <w:color w:val="000000" w:themeColor="text1"/>
              </w:rPr>
              <w:t xml:space="preserve"> </w:t>
            </w:r>
            <w:r w:rsidR="00526E23">
              <w:rPr>
                <w:rFonts w:cs="Arial"/>
                <w:color w:val="000000" w:themeColor="text1"/>
              </w:rPr>
              <w:t xml:space="preserve">meni, </w:t>
            </w:r>
            <w:r w:rsidR="00526E23" w:rsidRPr="00A26AB4">
              <w:rPr>
                <w:rFonts w:cs="Arial"/>
                <w:color w:val="000000" w:themeColor="text1"/>
              </w:rPr>
              <w:t>da predlog ni primeren</w:t>
            </w:r>
            <w:r w:rsidR="00526E23">
              <w:rPr>
                <w:rFonts w:cs="Arial"/>
                <w:color w:val="000000" w:themeColor="text1"/>
              </w:rPr>
              <w:t xml:space="preserve">. Direktiva </w:t>
            </w:r>
            <w:r w:rsidR="00526E23" w:rsidRPr="0059274D">
              <w:rPr>
                <w:rFonts w:cs="Arial"/>
                <w:color w:val="000000" w:themeColor="text1"/>
              </w:rPr>
              <w:t>2021/2101</w:t>
            </w:r>
            <w:r w:rsidR="00526E23">
              <w:rPr>
                <w:rFonts w:cs="Arial"/>
                <w:color w:val="000000" w:themeColor="text1"/>
              </w:rPr>
              <w:t xml:space="preserve">/EU v 1. členu ureja novi, člen </w:t>
            </w:r>
            <w:r w:rsidR="00526E23" w:rsidRPr="00626065">
              <w:rPr>
                <w:rFonts w:cs="Arial"/>
                <w:color w:val="000000" w:themeColor="text1"/>
              </w:rPr>
              <w:t>48f</w:t>
            </w:r>
            <w:r w:rsidR="00526E23" w:rsidDel="00744600">
              <w:rPr>
                <w:rFonts w:cs="Arial"/>
                <w:color w:val="000000" w:themeColor="text1"/>
              </w:rPr>
              <w:t xml:space="preserve"> </w:t>
            </w:r>
            <w:r w:rsidR="00526E23" w:rsidRPr="00B051C3">
              <w:rPr>
                <w:rFonts w:cs="Arial"/>
                <w:color w:val="000000" w:themeColor="text1"/>
              </w:rPr>
              <w:t>Direktive 2013/34/EU</w:t>
            </w:r>
            <w:r w:rsidR="00526E23">
              <w:rPr>
                <w:rFonts w:cs="Arial"/>
                <w:color w:val="000000" w:themeColor="text1"/>
              </w:rPr>
              <w:t>, ki določa, da d</w:t>
            </w:r>
            <w:r w:rsidR="00526E23" w:rsidRPr="00626065">
              <w:rPr>
                <w:rFonts w:cs="Arial"/>
                <w:color w:val="000000" w:themeColor="text1"/>
              </w:rPr>
              <w:t>ržave članice zahtevajo, da se, k</w:t>
            </w:r>
            <w:r w:rsidR="00526E23">
              <w:rPr>
                <w:rFonts w:cs="Arial"/>
                <w:color w:val="000000" w:themeColor="text1"/>
              </w:rPr>
              <w:t>adar</w:t>
            </w:r>
            <w:r w:rsidRPr="00626065">
              <w:rPr>
                <w:rFonts w:cs="Arial"/>
                <w:color w:val="000000" w:themeColor="text1"/>
              </w:rPr>
              <w:t xml:space="preserve"> računovodske izkaze podjetja, za katero velja pravo države članice, revidira eden ali več zakonitih revizorjev ali revizijskih podjetij, v revizijskem poročilu navede, ali je moralo podjetje za poslovno leto pred poslovnim letom, za katero so bili pripravljeni računovodski izkazi, ki se revidirajo, objaviti poročilo o davčnih informacijah v zvezi z dohodki v skladu s členom 48b, in če, ali je bilo poročilo objavljeno v skladu s členom 48d.</w:t>
            </w:r>
            <w:r>
              <w:rPr>
                <w:rFonts w:cs="Arial"/>
                <w:color w:val="000000" w:themeColor="text1"/>
              </w:rPr>
              <w:t xml:space="preserve"> Zaradi ustreznega prenosa te določbe </w:t>
            </w:r>
            <w:r w:rsidRPr="00361852">
              <w:rPr>
                <w:rFonts w:cs="Arial"/>
                <w:color w:val="000000" w:themeColor="text1"/>
              </w:rPr>
              <w:t>Direktiv</w:t>
            </w:r>
            <w:r>
              <w:rPr>
                <w:rFonts w:cs="Arial"/>
                <w:color w:val="000000" w:themeColor="text1"/>
              </w:rPr>
              <w:t>e</w:t>
            </w:r>
            <w:r w:rsidRPr="00361852">
              <w:rPr>
                <w:rFonts w:cs="Arial"/>
                <w:color w:val="000000" w:themeColor="text1"/>
              </w:rPr>
              <w:t xml:space="preserve"> 2021/2101/EU</w:t>
            </w:r>
            <w:r>
              <w:rPr>
                <w:rFonts w:cs="Arial"/>
                <w:color w:val="000000" w:themeColor="text1"/>
              </w:rPr>
              <w:t xml:space="preserve"> v slovenski pravni red je treba dopolniti drugi odstavek 57. člena osnutka novele ZGD-1M. </w:t>
            </w:r>
          </w:p>
          <w:p w14:paraId="26A939EB" w14:textId="77777777" w:rsidR="00831DA4" w:rsidRDefault="00831DA4" w:rsidP="00831DA4">
            <w:pPr>
              <w:pStyle w:val="rkovnatokazaodstavkom"/>
              <w:numPr>
                <w:ilvl w:val="0"/>
                <w:numId w:val="0"/>
              </w:numPr>
              <w:spacing w:line="260" w:lineRule="exact"/>
              <w:rPr>
                <w:rFonts w:cs="Arial"/>
                <w:color w:val="000000" w:themeColor="text1"/>
              </w:rPr>
            </w:pPr>
          </w:p>
          <w:p w14:paraId="451FB833"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CER Partnerstvo za trajnostno gospodarstvo</w:t>
            </w:r>
            <w:r>
              <w:rPr>
                <w:rFonts w:cs="Arial"/>
                <w:color w:val="000000" w:themeColor="text1"/>
              </w:rPr>
              <w:t xml:space="preserve"> predlaga drugačno </w:t>
            </w:r>
            <w:r w:rsidRPr="000C6937">
              <w:rPr>
                <w:rFonts w:cs="Arial"/>
                <w:color w:val="000000" w:themeColor="text1"/>
              </w:rPr>
              <w:t>dikcij</w:t>
            </w:r>
            <w:r>
              <w:rPr>
                <w:rFonts w:cs="Arial"/>
                <w:color w:val="000000" w:themeColor="text1"/>
              </w:rPr>
              <w:t>o</w:t>
            </w:r>
            <w:r w:rsidRPr="000C6937">
              <w:rPr>
                <w:rFonts w:cs="Arial"/>
                <w:color w:val="000000" w:themeColor="text1"/>
              </w:rPr>
              <w:t xml:space="preserve"> za besedno zvezo postopek skrbnega pregleda</w:t>
            </w:r>
            <w:r>
              <w:rPr>
                <w:rFonts w:cs="Arial"/>
                <w:color w:val="000000" w:themeColor="text1"/>
              </w:rPr>
              <w:t>. Pri predlogu izhajajo iz</w:t>
            </w:r>
            <w:r w:rsidRPr="009F1346">
              <w:rPr>
                <w:rFonts w:cs="Arial"/>
                <w:color w:val="000000" w:themeColor="text1"/>
              </w:rPr>
              <w:t xml:space="preserve"> drugačn</w:t>
            </w:r>
            <w:r>
              <w:rPr>
                <w:rFonts w:cs="Arial"/>
                <w:color w:val="000000" w:themeColor="text1"/>
              </w:rPr>
              <w:t>ega</w:t>
            </w:r>
            <w:r w:rsidRPr="009F1346">
              <w:rPr>
                <w:rFonts w:cs="Arial"/>
                <w:color w:val="000000" w:themeColor="text1"/>
              </w:rPr>
              <w:t xml:space="preserve"> prevajanj</w:t>
            </w:r>
            <w:r>
              <w:rPr>
                <w:rFonts w:cs="Arial"/>
                <w:color w:val="000000" w:themeColor="text1"/>
              </w:rPr>
              <w:t>a</w:t>
            </w:r>
            <w:r w:rsidRPr="009F1346">
              <w:rPr>
                <w:rFonts w:cs="Arial"/>
                <w:color w:val="000000" w:themeColor="text1"/>
              </w:rPr>
              <w:t xml:space="preserve"> besedne zveze</w:t>
            </w:r>
            <w:r>
              <w:rPr>
                <w:rFonts w:cs="Arial"/>
                <w:color w:val="000000" w:themeColor="text1"/>
              </w:rPr>
              <w:t>,</w:t>
            </w:r>
            <w:r w:rsidRPr="009F1346">
              <w:rPr>
                <w:rFonts w:cs="Arial"/>
                <w:color w:val="000000" w:themeColor="text1"/>
              </w:rPr>
              <w:t xml:space="preserve"> in sicer po vzoru nemškega, francoskega in italijanskega jezika, ki postopek due diligence v tem kontekstu prevajajo kot postopek dolžne skrbnosti ali postopek skrbnega ravnanje družbe.</w:t>
            </w:r>
          </w:p>
          <w:p w14:paraId="6CEA4F78" w14:textId="77777777" w:rsidR="00526E23" w:rsidRDefault="00526E23" w:rsidP="00526E23">
            <w:pPr>
              <w:pStyle w:val="rkovnatokazaodstavkom"/>
              <w:numPr>
                <w:ilvl w:val="0"/>
                <w:numId w:val="0"/>
              </w:numPr>
              <w:spacing w:line="260" w:lineRule="exact"/>
              <w:ind w:left="322"/>
              <w:rPr>
                <w:rFonts w:cs="Arial"/>
                <w:color w:val="000000" w:themeColor="text1"/>
              </w:rPr>
            </w:pPr>
          </w:p>
          <w:p w14:paraId="73F7B1B7"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Odvetnik Mark Jo Moggi</w:t>
            </w:r>
            <w:r>
              <w:rPr>
                <w:rFonts w:cs="Arial"/>
                <w:color w:val="000000" w:themeColor="text1"/>
              </w:rPr>
              <w:t xml:space="preserve"> p</w:t>
            </w:r>
            <w:r w:rsidRPr="00136C5A">
              <w:rPr>
                <w:rFonts w:cs="Arial"/>
                <w:color w:val="000000" w:themeColor="text1"/>
              </w:rPr>
              <w:t>redlaga, da se namesto</w:t>
            </w:r>
            <w:r>
              <w:rPr>
                <w:rFonts w:cs="Arial"/>
                <w:color w:val="000000" w:themeColor="text1"/>
              </w:rPr>
              <w:t xml:space="preserve"> izraza</w:t>
            </w:r>
            <w:r w:rsidRPr="00136C5A">
              <w:rPr>
                <w:rFonts w:cs="Arial"/>
                <w:color w:val="000000" w:themeColor="text1"/>
              </w:rPr>
              <w:t xml:space="preserve"> postopek skrbnega pregleda uporablja izraz postopek skrbnega ravnanja ali postopek dolžne skrbnosti. Alternativa (po njegovem mnenju sicer slabša) bi bila, da se </w:t>
            </w:r>
            <w:r>
              <w:rPr>
                <w:rFonts w:cs="Arial"/>
                <w:color w:val="000000" w:themeColor="text1"/>
              </w:rPr>
              <w:t>izraz</w:t>
            </w:r>
            <w:r w:rsidRPr="00136C5A">
              <w:rPr>
                <w:rFonts w:cs="Arial"/>
                <w:color w:val="000000" w:themeColor="text1"/>
              </w:rPr>
              <w:t xml:space="preserve"> skrbni pregled pojasni v </w:t>
            </w:r>
            <w:r>
              <w:rPr>
                <w:rFonts w:cs="Arial"/>
                <w:color w:val="000000" w:themeColor="text1"/>
              </w:rPr>
              <w:t>opredelitvah</w:t>
            </w:r>
            <w:r w:rsidRPr="00136C5A">
              <w:rPr>
                <w:rFonts w:cs="Arial"/>
                <w:color w:val="000000" w:themeColor="text1"/>
              </w:rPr>
              <w:t xml:space="preserve"> zakona v skladu </w:t>
            </w:r>
            <w:r>
              <w:rPr>
                <w:rFonts w:cs="Arial"/>
                <w:color w:val="000000" w:themeColor="text1"/>
              </w:rPr>
              <w:t>z 31. uvodno izjavo</w:t>
            </w:r>
            <w:r w:rsidRPr="00136C5A">
              <w:rPr>
                <w:rFonts w:cs="Arial"/>
                <w:color w:val="000000" w:themeColor="text1"/>
              </w:rPr>
              <w:t xml:space="preserve"> </w:t>
            </w:r>
            <w:r w:rsidRPr="00744600">
              <w:rPr>
                <w:rFonts w:cs="Arial"/>
                <w:color w:val="000000" w:themeColor="text1"/>
              </w:rPr>
              <w:t>Direktiv</w:t>
            </w:r>
            <w:r>
              <w:rPr>
                <w:rFonts w:cs="Arial"/>
                <w:color w:val="000000" w:themeColor="text1"/>
              </w:rPr>
              <w:t>e</w:t>
            </w:r>
            <w:r w:rsidRPr="00744600">
              <w:rPr>
                <w:rFonts w:cs="Arial"/>
                <w:color w:val="000000" w:themeColor="text1"/>
              </w:rPr>
              <w:t xml:space="preserve"> 2022/2464/EU</w:t>
            </w:r>
            <w:r w:rsidRPr="00136C5A">
              <w:rPr>
                <w:rFonts w:cs="Arial"/>
                <w:color w:val="000000" w:themeColor="text1"/>
              </w:rPr>
              <w:t>.</w:t>
            </w:r>
            <w:r>
              <w:rPr>
                <w:rFonts w:cs="Arial"/>
                <w:color w:val="000000" w:themeColor="text1"/>
              </w:rPr>
              <w:t xml:space="preserve"> </w:t>
            </w:r>
            <w:r w:rsidRPr="002C01E2">
              <w:rPr>
                <w:rFonts w:cs="Arial"/>
                <w:color w:val="000000" w:themeColor="text1"/>
              </w:rPr>
              <w:t xml:space="preserve">Uporaba </w:t>
            </w:r>
            <w:r>
              <w:rPr>
                <w:rFonts w:cs="Arial"/>
                <w:color w:val="000000" w:themeColor="text1"/>
              </w:rPr>
              <w:t>izraza</w:t>
            </w:r>
            <w:r w:rsidRPr="002C01E2">
              <w:rPr>
                <w:rFonts w:cs="Arial"/>
                <w:color w:val="000000" w:themeColor="text1"/>
              </w:rPr>
              <w:t xml:space="preserve"> skrbni pregled </w:t>
            </w:r>
            <w:r>
              <w:rPr>
                <w:rFonts w:cs="Arial"/>
                <w:color w:val="000000" w:themeColor="text1"/>
              </w:rPr>
              <w:t xml:space="preserve">po njegovem mnenju </w:t>
            </w:r>
            <w:r w:rsidRPr="002C01E2">
              <w:rPr>
                <w:rFonts w:cs="Arial"/>
                <w:color w:val="000000" w:themeColor="text1"/>
              </w:rPr>
              <w:t xml:space="preserve">ni najprimernejša. V kontekstu </w:t>
            </w:r>
            <w:r w:rsidRPr="00744600">
              <w:rPr>
                <w:rFonts w:cs="Arial"/>
                <w:color w:val="000000" w:themeColor="text1"/>
              </w:rPr>
              <w:t>Direktive 2022/2464/EU</w:t>
            </w:r>
            <w:r w:rsidRPr="002C01E2">
              <w:rPr>
                <w:rFonts w:cs="Arial"/>
                <w:color w:val="000000" w:themeColor="text1"/>
              </w:rPr>
              <w:t xml:space="preserve"> se due diligence namreč ne nanaša na postopek skrbnega pregleda v pomenu pregleda podjetja, ki ga poznamo pri gospodarskopravnih transakcijah. Gre za širši koncept skrbnega ravnanja družb, ki izhaja iz mednarodnih virov (smernice in načela OZN, OECD itd.; gl. </w:t>
            </w:r>
            <w:r>
              <w:rPr>
                <w:rFonts w:cs="Arial"/>
                <w:color w:val="000000" w:themeColor="text1"/>
              </w:rPr>
              <w:t>31. uvodno izjavo</w:t>
            </w:r>
            <w:r w:rsidRPr="002C01E2" w:rsidDel="00744600">
              <w:rPr>
                <w:rFonts w:cs="Arial"/>
                <w:color w:val="000000" w:themeColor="text1"/>
              </w:rPr>
              <w:t xml:space="preserve">  </w:t>
            </w:r>
            <w:r w:rsidRPr="00744600">
              <w:rPr>
                <w:rFonts w:cs="Arial"/>
                <w:color w:val="000000" w:themeColor="text1"/>
              </w:rPr>
              <w:t>Direktive 2022/2464/EU</w:t>
            </w:r>
            <w:r w:rsidRPr="002C01E2">
              <w:rPr>
                <w:rFonts w:cs="Arial"/>
                <w:color w:val="000000" w:themeColor="text1"/>
              </w:rPr>
              <w:t>).</w:t>
            </w:r>
            <w:r w:rsidRPr="002C01E2" w:rsidDel="00744600">
              <w:rPr>
                <w:rFonts w:cs="Arial"/>
                <w:color w:val="000000" w:themeColor="text1"/>
              </w:rPr>
              <w:t xml:space="preserve"> </w:t>
            </w:r>
            <w:r>
              <w:rPr>
                <w:rFonts w:cs="Arial"/>
                <w:color w:val="000000" w:themeColor="text1"/>
              </w:rPr>
              <w:t>Ključno</w:t>
            </w:r>
            <w:r w:rsidRPr="002C01E2">
              <w:rPr>
                <w:rFonts w:cs="Arial"/>
                <w:color w:val="000000" w:themeColor="text1"/>
              </w:rPr>
              <w:t xml:space="preserve"> je, da ta institut ne vključuje zgolj pregleda/odkrivanja škodljivih vplivov, temveč tudi njihovo preprečevanje, blaženje in odpravo (od družb torej terja ukrepanje). Jeziki drugih držav članic v navedenih mednarodnih dokumentih due diligence prevajajo kot dolžna skrbnost oziroma dolžnost skrbnosti (dovere di diligenca (ital.), Sorgfaltspflicht (nem.), devoir de diligence (fr.); v nekaterih različicah pa se v nadaljevanju teksta uporablja kar angleški izvirnik due diligence (gl. OECD Due Diligence Guidance for Responsible Business Conduct v različnih jezikovnih različicah). Nemški zakon, ki kot eden izmed prvih </w:t>
            </w:r>
            <w:r>
              <w:rPr>
                <w:rFonts w:cs="Arial"/>
                <w:color w:val="000000" w:themeColor="text1"/>
              </w:rPr>
              <w:t>prenaša</w:t>
            </w:r>
            <w:r w:rsidRPr="002C01E2">
              <w:rPr>
                <w:rFonts w:cs="Arial"/>
                <w:color w:val="000000" w:themeColor="text1"/>
              </w:rPr>
              <w:t xml:space="preserve"> institut </w:t>
            </w:r>
            <w:r>
              <w:rPr>
                <w:rFonts w:cs="Arial"/>
                <w:color w:val="000000" w:themeColor="text1"/>
              </w:rPr>
              <w:t>d</w:t>
            </w:r>
            <w:r w:rsidRPr="002C01E2">
              <w:rPr>
                <w:rFonts w:cs="Arial"/>
                <w:color w:val="000000" w:themeColor="text1"/>
              </w:rPr>
              <w:t xml:space="preserve">ue </w:t>
            </w:r>
            <w:r>
              <w:rPr>
                <w:rFonts w:cs="Arial"/>
                <w:color w:val="000000" w:themeColor="text1"/>
              </w:rPr>
              <w:t>d</w:t>
            </w:r>
            <w:r w:rsidRPr="002C01E2">
              <w:rPr>
                <w:rFonts w:cs="Arial"/>
                <w:color w:val="000000" w:themeColor="text1"/>
              </w:rPr>
              <w:t>iligence, se imenuje Lieferkettensorgfaltspflichtengesetz (</w:t>
            </w:r>
            <w:r>
              <w:rPr>
                <w:rFonts w:cs="Arial"/>
                <w:color w:val="000000" w:themeColor="text1"/>
              </w:rPr>
              <w:t>ali</w:t>
            </w:r>
            <w:r w:rsidRPr="002C01E2">
              <w:rPr>
                <w:rFonts w:cs="Arial"/>
                <w:color w:val="000000" w:themeColor="text1"/>
              </w:rPr>
              <w:t xml:space="preserve"> Gesetz über unternehmerische Sorgfaltspflichten in Lieferketten), torej zakon o dolžnosti skrbnega ravnanja (oziroma o dolžnosti skrbnosti) podjetij v dobavnih verigah. Pri slovenskih prevodih omenjenih mednarodnih aktov (in posledično tudi </w:t>
            </w:r>
            <w:r w:rsidRPr="00744600">
              <w:rPr>
                <w:rFonts w:cs="Arial"/>
                <w:color w:val="000000" w:themeColor="text1"/>
              </w:rPr>
              <w:t>Direktiva 2014/95/EU</w:t>
            </w:r>
            <w:r w:rsidRPr="002C01E2">
              <w:rPr>
                <w:rFonts w:cs="Arial"/>
                <w:color w:val="000000" w:themeColor="text1"/>
              </w:rPr>
              <w:t xml:space="preserve">) pa se že od začetka pretežno (in po našem mnenju zmotno) uporablja </w:t>
            </w:r>
            <w:r>
              <w:rPr>
                <w:rFonts w:cs="Arial"/>
                <w:color w:val="000000" w:themeColor="text1"/>
              </w:rPr>
              <w:t xml:space="preserve">izraz </w:t>
            </w:r>
            <w:r w:rsidRPr="002C01E2">
              <w:rPr>
                <w:rFonts w:cs="Arial"/>
                <w:color w:val="000000" w:themeColor="text1"/>
              </w:rPr>
              <w:t>skrbni pregled.</w:t>
            </w:r>
          </w:p>
          <w:p w14:paraId="0069B4E4" w14:textId="77777777" w:rsidR="00526E23" w:rsidRDefault="00526E23" w:rsidP="00526E23">
            <w:pPr>
              <w:pStyle w:val="rkovnatokazaodstavkom"/>
              <w:numPr>
                <w:ilvl w:val="0"/>
                <w:numId w:val="0"/>
              </w:numPr>
              <w:spacing w:line="260" w:lineRule="exact"/>
              <w:ind w:left="322"/>
              <w:rPr>
                <w:rFonts w:cs="Arial"/>
                <w:color w:val="000000" w:themeColor="text1"/>
              </w:rPr>
            </w:pPr>
          </w:p>
          <w:p w14:paraId="724D4898"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w:t>
            </w:r>
            <w:r w:rsidRPr="00215B57">
              <w:rPr>
                <w:rFonts w:cs="Arial"/>
                <w:color w:val="000000" w:themeColor="text1"/>
              </w:rPr>
              <w:t xml:space="preserve">V 2. alineji 1. odstavka 70.c člena ZGD-1 se že uporablja </w:t>
            </w:r>
            <w:r>
              <w:rPr>
                <w:rFonts w:cs="Arial"/>
                <w:color w:val="000000" w:themeColor="text1"/>
              </w:rPr>
              <w:t>izraz</w:t>
            </w:r>
            <w:r w:rsidRPr="00215B57">
              <w:rPr>
                <w:rFonts w:cs="Arial"/>
                <w:color w:val="000000" w:themeColor="text1"/>
              </w:rPr>
              <w:t xml:space="preserve"> izvajanje postopkov skrbnega pregleda, kar je tudi v skladu z Direktivo 2014/95/EU glede razkritja nefinančnih informacij in informacij o raznolikosti </w:t>
            </w:r>
            <w:r>
              <w:rPr>
                <w:rFonts w:cs="Arial"/>
                <w:color w:val="000000" w:themeColor="text1"/>
              </w:rPr>
              <w:t xml:space="preserve">v </w:t>
            </w:r>
            <w:r w:rsidRPr="00215B57">
              <w:rPr>
                <w:rFonts w:cs="Arial"/>
                <w:color w:val="000000" w:themeColor="text1"/>
              </w:rPr>
              <w:t>nekaterih velikih podjetj</w:t>
            </w:r>
            <w:r>
              <w:rPr>
                <w:rFonts w:cs="Arial"/>
                <w:color w:val="000000" w:themeColor="text1"/>
              </w:rPr>
              <w:t>ih</w:t>
            </w:r>
            <w:r w:rsidRPr="00215B57">
              <w:rPr>
                <w:rFonts w:cs="Arial"/>
                <w:color w:val="000000" w:themeColor="text1"/>
              </w:rPr>
              <w:t xml:space="preserve"> in skupin</w:t>
            </w:r>
            <w:r>
              <w:rPr>
                <w:rFonts w:cs="Arial"/>
                <w:color w:val="000000" w:themeColor="text1"/>
              </w:rPr>
              <w:t>ah</w:t>
            </w:r>
            <w:r w:rsidRPr="00215B57">
              <w:rPr>
                <w:rFonts w:cs="Arial"/>
                <w:color w:val="000000" w:themeColor="text1"/>
              </w:rPr>
              <w:t xml:space="preserve">. Vendar </w:t>
            </w:r>
            <w:r>
              <w:rPr>
                <w:rFonts w:cs="Arial"/>
                <w:color w:val="000000" w:themeColor="text1"/>
              </w:rPr>
              <w:t>navedena d</w:t>
            </w:r>
            <w:r w:rsidRPr="00744600">
              <w:rPr>
                <w:rFonts w:cs="Arial"/>
                <w:color w:val="000000" w:themeColor="text1"/>
              </w:rPr>
              <w:t xml:space="preserve">irektiva </w:t>
            </w:r>
            <w:r w:rsidRPr="00215B57">
              <w:rPr>
                <w:rFonts w:cs="Arial"/>
                <w:color w:val="000000" w:themeColor="text1"/>
              </w:rPr>
              <w:t xml:space="preserve">ne določa </w:t>
            </w:r>
            <w:r w:rsidRPr="00215B57">
              <w:rPr>
                <w:rFonts w:cs="Arial"/>
                <w:color w:val="000000" w:themeColor="text1"/>
              </w:rPr>
              <w:lastRenderedPageBreak/>
              <w:t>podrobnosti o poročanju o postopkih potrebne skrbnosti niti ne določa, kako jih je treba izvajati.</w:t>
            </w:r>
            <w:r>
              <w:rPr>
                <w:rFonts w:cs="Arial"/>
                <w:color w:val="000000" w:themeColor="text1"/>
              </w:rPr>
              <w:t xml:space="preserve"> Direktiva </w:t>
            </w:r>
            <w:r w:rsidRPr="00046CA9">
              <w:rPr>
                <w:rFonts w:cs="Arial"/>
                <w:color w:val="000000" w:themeColor="text1"/>
              </w:rPr>
              <w:t>2022/2464</w:t>
            </w:r>
            <w:r>
              <w:rPr>
                <w:rFonts w:cs="Arial"/>
                <w:color w:val="000000" w:themeColor="text1"/>
              </w:rPr>
              <w:t xml:space="preserve">/EU </w:t>
            </w:r>
            <w:r w:rsidRPr="00215B57">
              <w:rPr>
                <w:rFonts w:cs="Arial"/>
                <w:color w:val="000000" w:themeColor="text1"/>
              </w:rPr>
              <w:t xml:space="preserve">je ohranila </w:t>
            </w:r>
            <w:r>
              <w:rPr>
                <w:rFonts w:cs="Arial"/>
                <w:color w:val="000000" w:themeColor="text1"/>
              </w:rPr>
              <w:t>izraz</w:t>
            </w:r>
            <w:r w:rsidRPr="00215B57">
              <w:rPr>
                <w:rFonts w:cs="Arial"/>
                <w:color w:val="000000" w:themeColor="text1"/>
              </w:rPr>
              <w:t xml:space="preserve"> skrbnega pregleda, za katerega je značilen poudarek na zadevah v zvezi s trajnostnostjo. Ker </w:t>
            </w:r>
            <w:r>
              <w:rPr>
                <w:rFonts w:cs="Arial"/>
                <w:color w:val="000000" w:themeColor="text1"/>
              </w:rPr>
              <w:t xml:space="preserve">Direktiva </w:t>
            </w:r>
            <w:r w:rsidRPr="00046CA9">
              <w:rPr>
                <w:rFonts w:cs="Arial"/>
                <w:color w:val="000000" w:themeColor="text1"/>
              </w:rPr>
              <w:t>2022/2464</w:t>
            </w:r>
            <w:r>
              <w:rPr>
                <w:rFonts w:cs="Arial"/>
                <w:color w:val="000000" w:themeColor="text1"/>
              </w:rPr>
              <w:t>/EU</w:t>
            </w:r>
            <w:r w:rsidRPr="00215B57">
              <w:rPr>
                <w:rFonts w:cs="Arial"/>
                <w:color w:val="000000" w:themeColor="text1"/>
              </w:rPr>
              <w:t xml:space="preserve"> uporablja skoraj </w:t>
            </w:r>
            <w:r>
              <w:rPr>
                <w:rFonts w:cs="Arial"/>
                <w:color w:val="000000" w:themeColor="text1"/>
              </w:rPr>
              <w:t>enako</w:t>
            </w:r>
            <w:r w:rsidRPr="00215B57">
              <w:rPr>
                <w:rFonts w:cs="Arial"/>
                <w:color w:val="000000" w:themeColor="text1"/>
              </w:rPr>
              <w:t xml:space="preserve"> terminologijo, to je postopek skrbnega pregleda kot prevod </w:t>
            </w:r>
            <w:r>
              <w:rPr>
                <w:rFonts w:cs="Arial"/>
                <w:color w:val="000000" w:themeColor="text1"/>
              </w:rPr>
              <w:t xml:space="preserve">za </w:t>
            </w:r>
            <w:r w:rsidRPr="00215B57">
              <w:rPr>
                <w:rFonts w:cs="Arial"/>
                <w:color w:val="000000" w:themeColor="text1"/>
              </w:rPr>
              <w:t xml:space="preserve">due diligence process, bi bilo smiselno, da se </w:t>
            </w:r>
            <w:r>
              <w:rPr>
                <w:rFonts w:cs="Arial"/>
                <w:color w:val="000000" w:themeColor="text1"/>
              </w:rPr>
              <w:t>izraz</w:t>
            </w:r>
            <w:r w:rsidRPr="00215B57">
              <w:rPr>
                <w:rFonts w:cs="Arial"/>
                <w:color w:val="000000" w:themeColor="text1"/>
              </w:rPr>
              <w:t xml:space="preserve"> zaradi jasnosti in določnosti ohrani, saj je že uveljavljen. Če bi uvedli nov </w:t>
            </w:r>
            <w:r>
              <w:rPr>
                <w:rFonts w:cs="Arial"/>
                <w:color w:val="000000" w:themeColor="text1"/>
              </w:rPr>
              <w:t>izraz</w:t>
            </w:r>
            <w:r w:rsidRPr="00215B57">
              <w:rPr>
                <w:rFonts w:cs="Arial"/>
                <w:color w:val="000000" w:themeColor="text1"/>
              </w:rPr>
              <w:t>, ki bi pomenil enako kot prej uporabljen</w:t>
            </w:r>
            <w:r>
              <w:rPr>
                <w:rFonts w:cs="Arial"/>
                <w:color w:val="000000" w:themeColor="text1"/>
              </w:rPr>
              <w:t>i izraz</w:t>
            </w:r>
            <w:r w:rsidRPr="00215B57">
              <w:rPr>
                <w:rFonts w:cs="Arial"/>
                <w:color w:val="000000" w:themeColor="text1"/>
              </w:rPr>
              <w:t xml:space="preserve">, bi to lahko vneslo več nejasnosti in nedoslednosti. Če pa se odločimo za rabo novega </w:t>
            </w:r>
            <w:r>
              <w:rPr>
                <w:rFonts w:cs="Arial"/>
                <w:color w:val="000000" w:themeColor="text1"/>
              </w:rPr>
              <w:t>izraza</w:t>
            </w:r>
            <w:r w:rsidRPr="00215B57">
              <w:rPr>
                <w:rFonts w:cs="Arial"/>
                <w:color w:val="000000" w:themeColor="text1"/>
              </w:rPr>
              <w:t>,</w:t>
            </w:r>
            <w:r w:rsidRPr="00215B57" w:rsidDel="00744600">
              <w:rPr>
                <w:rFonts w:cs="Arial"/>
                <w:color w:val="000000" w:themeColor="text1"/>
              </w:rPr>
              <w:t xml:space="preserve"> </w:t>
            </w:r>
            <w:r w:rsidRPr="00215B57">
              <w:rPr>
                <w:rFonts w:cs="Arial"/>
                <w:color w:val="000000" w:themeColor="text1"/>
              </w:rPr>
              <w:t>bi morali to pojasniti v obrazložitvi, da gre za spremembo v poimenovanju</w:t>
            </w:r>
            <w:r>
              <w:rPr>
                <w:rFonts w:cs="Arial"/>
                <w:color w:val="000000" w:themeColor="text1"/>
              </w:rPr>
              <w:t>,</w:t>
            </w:r>
            <w:r w:rsidRPr="00215B57">
              <w:rPr>
                <w:rFonts w:cs="Arial"/>
                <w:color w:val="000000" w:themeColor="text1"/>
              </w:rPr>
              <w:t xml:space="preserve"> ne po vsebini. V strokovnem članku (Peter Podgorelec, Due diligence po predlogu Direktive o skrbnem pregledu glede trajnostnosti, Podjetje in delo, št. 6-7, 2023, str. 1241) pravni strokovnjak izpostavlja, da se v korporacijskem pravu in pravu kapitalskega trga </w:t>
            </w:r>
            <w:r>
              <w:rPr>
                <w:rFonts w:cs="Arial"/>
                <w:color w:val="000000" w:themeColor="text1"/>
              </w:rPr>
              <w:t>z izrazom</w:t>
            </w:r>
            <w:r w:rsidRPr="00215B57">
              <w:rPr>
                <w:rFonts w:cs="Arial"/>
                <w:color w:val="000000" w:themeColor="text1"/>
              </w:rPr>
              <w:t xml:space="preserve"> due diligence označuje postopek, ki se vodi z namenom identifikacije in vrednotenja tveganj, ki jim je podjetje izpostavljeno pri poslovanju.</w:t>
            </w:r>
            <w:r>
              <w:rPr>
                <w:rFonts w:cs="Arial"/>
                <w:color w:val="000000" w:themeColor="text1"/>
              </w:rPr>
              <w:t xml:space="preserve"> </w:t>
            </w:r>
            <w:r w:rsidRPr="00215B57">
              <w:rPr>
                <w:rFonts w:cs="Arial"/>
                <w:color w:val="000000" w:themeColor="text1"/>
              </w:rPr>
              <w:t xml:space="preserve">V strokovnem članku (Borut Bratina, Odgovornost direktorjev in nadzornikov za družbeno odgovorno poslovanje podjetja, Podjetje in delo, št. 6-7, 2023, str. 1222) je izpostavljeno, da </w:t>
            </w:r>
            <w:r>
              <w:rPr>
                <w:rFonts w:cs="Arial"/>
                <w:color w:val="000000" w:themeColor="text1"/>
              </w:rPr>
              <w:t>p</w:t>
            </w:r>
            <w:r w:rsidRPr="00922F9E">
              <w:rPr>
                <w:rFonts w:cs="Arial"/>
                <w:color w:val="000000" w:themeColor="text1"/>
              </w:rPr>
              <w:t xml:space="preserve">redlog </w:t>
            </w:r>
            <w:r>
              <w:rPr>
                <w:rFonts w:cs="Arial"/>
                <w:color w:val="000000" w:themeColor="text1"/>
              </w:rPr>
              <w:t>direktive</w:t>
            </w:r>
            <w:r w:rsidRPr="00922F9E">
              <w:rPr>
                <w:rFonts w:cs="Arial"/>
                <w:color w:val="000000" w:themeColor="text1"/>
              </w:rPr>
              <w:t xml:space="preserve"> o skrbnem pregledu v podjetjih glede trajnostnosti in spremembi Direktive (EU) 2019/1937</w:t>
            </w:r>
            <w:r w:rsidDel="00744600">
              <w:rPr>
                <w:rFonts w:cs="Arial"/>
                <w:color w:val="000000" w:themeColor="text1"/>
              </w:rPr>
              <w:t xml:space="preserve"> </w:t>
            </w:r>
            <w:r w:rsidRPr="00215B57">
              <w:rPr>
                <w:rFonts w:cs="Arial"/>
                <w:color w:val="000000" w:themeColor="text1"/>
              </w:rPr>
              <w:t>uvaja obveznost skrbnega pregleda, ki ne zajema le oblikovanja istoimenske politike in sistema obvladovanja tovrstnih tveganj, temveč tudi vzpostavljanje ukrepov za odpravo škodljivih učinkov. Med drugim predlog direktive nalaga direktorjem tudi dolžnost skrbnega ravnanja. Iz dolžnosti skrbnega ravnanja (duty of care) izpeljemo tri velike skupine konkretneje opredeljenih dolžnosti. Prva skupina dolžnosti se nanaša na zagotavljanje zakonitosti poslovanja (člani uprave morajo sami ravnati zakonito, hkrati pa morajo z ustreznimi ukrepi poskrbeti, da tudi družba kot celota deluje zakonito). Druga skupina dolžnosti so dolžnosti, ki so odvisne od okoliščin konkretnega primera, na primer od velikosti podjetja in vrste dejavnosti ter njegovega gospodarskega položaja. Pri konkretizaciji načela skrbnosti (duty of care) imajo pomembno vlogo pravila ekonomske stroke, če so v ekonomski teoriji ustaljena in tudi v praksi potrjena. Uprava mora torej voditi podjetje</w:t>
            </w:r>
            <w:r w:rsidRPr="00215B57" w:rsidDel="00744600">
              <w:rPr>
                <w:rFonts w:cs="Arial"/>
                <w:color w:val="000000" w:themeColor="text1"/>
              </w:rPr>
              <w:t xml:space="preserve"> </w:t>
            </w:r>
            <w:r w:rsidRPr="00215B57">
              <w:rPr>
                <w:rFonts w:cs="Arial"/>
                <w:color w:val="000000" w:themeColor="text1"/>
              </w:rPr>
              <w:t xml:space="preserve">v skladu s tako pravnimi normami kot priznanimi in uveljavljenimi pravili ekonomske stroke. Prav pri teh dveh dolžnostih lahko pride do konflikta med pristno trajnostnostjo (zagovarjanje interesov narave pred </w:t>
            </w:r>
            <w:r>
              <w:rPr>
                <w:rFonts w:cs="Arial"/>
                <w:color w:val="000000" w:themeColor="text1"/>
              </w:rPr>
              <w:t>gospodar</w:t>
            </w:r>
            <w:r w:rsidRPr="00215B57">
              <w:rPr>
                <w:rFonts w:cs="Arial"/>
                <w:color w:val="000000" w:themeColor="text1"/>
              </w:rPr>
              <w:t xml:space="preserve">skimi interesi človeka) in </w:t>
            </w:r>
            <w:r>
              <w:rPr>
                <w:rFonts w:cs="Arial"/>
                <w:color w:val="000000" w:themeColor="text1"/>
              </w:rPr>
              <w:t>gospodar</w:t>
            </w:r>
            <w:r w:rsidRPr="00215B57">
              <w:rPr>
                <w:rFonts w:cs="Arial"/>
                <w:color w:val="000000" w:themeColor="text1"/>
              </w:rPr>
              <w:t>sko učinkovitostjo (na primer zmanjšanje dobička na račun skrbi za naravo). V tretjo skupino pa spadajo dolžnosti nadziranja, ki je lahko horizontalno ali vertikalno.</w:t>
            </w:r>
            <w:r>
              <w:rPr>
                <w:rFonts w:cs="Arial"/>
                <w:color w:val="000000" w:themeColor="text1"/>
              </w:rPr>
              <w:t xml:space="preserve"> </w:t>
            </w:r>
            <w:r w:rsidRPr="00F97D05">
              <w:rPr>
                <w:rFonts w:cs="Arial"/>
                <w:color w:val="000000" w:themeColor="text1"/>
              </w:rPr>
              <w:t>Ministrstvo poudarja, da je veljavna ureditev edina smiselna oziroma primerna.</w:t>
            </w:r>
            <w:r w:rsidRPr="00F97D05" w:rsidDel="00744600">
              <w:rPr>
                <w:rFonts w:cs="Arial"/>
                <w:color w:val="000000" w:themeColor="text1"/>
              </w:rPr>
              <w:t xml:space="preserve"> </w:t>
            </w:r>
            <w:r>
              <w:rPr>
                <w:rFonts w:cs="Arial"/>
                <w:color w:val="000000" w:themeColor="text1"/>
              </w:rPr>
              <w:t xml:space="preserve">To </w:t>
            </w:r>
            <w:r w:rsidRPr="00F97D05">
              <w:rPr>
                <w:rFonts w:cs="Arial"/>
                <w:color w:val="000000" w:themeColor="text1"/>
              </w:rPr>
              <w:t xml:space="preserve">utemeljuje z dejstvom, da </w:t>
            </w:r>
            <w:r>
              <w:rPr>
                <w:rFonts w:cs="Arial"/>
                <w:color w:val="000000" w:themeColor="text1"/>
              </w:rPr>
              <w:t>p</w:t>
            </w:r>
            <w:r w:rsidRPr="00F97D05">
              <w:rPr>
                <w:rFonts w:cs="Arial"/>
                <w:color w:val="000000" w:themeColor="text1"/>
              </w:rPr>
              <w:t>redlog, da se besedna zveza postopek skrbnega pregleda nadomesti z drugačnim prevajanjem besedne zveze</w:t>
            </w:r>
            <w:r>
              <w:rPr>
                <w:rFonts w:cs="Arial"/>
                <w:color w:val="000000" w:themeColor="text1"/>
              </w:rPr>
              <w:t>,</w:t>
            </w:r>
            <w:r w:rsidRPr="00F97D05">
              <w:rPr>
                <w:rFonts w:cs="Arial"/>
                <w:color w:val="000000" w:themeColor="text1"/>
              </w:rPr>
              <w:t xml:space="preserve"> </w:t>
            </w:r>
            <w:r>
              <w:rPr>
                <w:rFonts w:cs="Arial"/>
                <w:color w:val="000000" w:themeColor="text1"/>
              </w:rPr>
              <w:t xml:space="preserve">da </w:t>
            </w:r>
            <w:r w:rsidRPr="00F97D05">
              <w:rPr>
                <w:rFonts w:cs="Arial"/>
                <w:color w:val="000000" w:themeColor="text1"/>
              </w:rPr>
              <w:t>bi due diligence process v tem kontekstu pomenil postopek dolžne skrbnosti ali postopek skrbnega ravnanj</w:t>
            </w:r>
            <w:r>
              <w:rPr>
                <w:rFonts w:cs="Arial"/>
                <w:color w:val="000000" w:themeColor="text1"/>
              </w:rPr>
              <w:t>a</w:t>
            </w:r>
            <w:r w:rsidRPr="00F97D05">
              <w:rPr>
                <w:rFonts w:cs="Arial"/>
                <w:color w:val="000000" w:themeColor="text1"/>
              </w:rPr>
              <w:t xml:space="preserve"> družbe lahko povzročil več pravne nepredvidljivost</w:t>
            </w:r>
            <w:r>
              <w:rPr>
                <w:rFonts w:cs="Arial"/>
                <w:color w:val="000000" w:themeColor="text1"/>
              </w:rPr>
              <w:t>i</w:t>
            </w:r>
            <w:r w:rsidRPr="00F97D05">
              <w:rPr>
                <w:rFonts w:cs="Arial"/>
                <w:color w:val="000000" w:themeColor="text1"/>
              </w:rPr>
              <w:t xml:space="preserve"> zaradi določitve novega pomena uveljavljenemu </w:t>
            </w:r>
            <w:r>
              <w:rPr>
                <w:rFonts w:cs="Arial"/>
                <w:color w:val="000000" w:themeColor="text1"/>
              </w:rPr>
              <w:t>izrazu</w:t>
            </w:r>
            <w:r w:rsidRPr="00F97D05">
              <w:rPr>
                <w:rFonts w:cs="Arial"/>
                <w:color w:val="000000" w:themeColor="text1"/>
              </w:rPr>
              <w:t>. Dodatno poudarja, da je dolžnost skrbnega ravnanja v obliki dodatne obveznosti, za kar si prizadeva predlagatelj</w:t>
            </w:r>
            <w:r>
              <w:rPr>
                <w:rFonts w:cs="Arial"/>
                <w:color w:val="000000" w:themeColor="text1"/>
              </w:rPr>
              <w:t>,</w:t>
            </w:r>
            <w:r w:rsidRPr="00F97D05">
              <w:rPr>
                <w:rFonts w:cs="Arial"/>
                <w:color w:val="000000" w:themeColor="text1"/>
              </w:rPr>
              <w:t xml:space="preserve"> predvidena v </w:t>
            </w:r>
            <w:r>
              <w:rPr>
                <w:rFonts w:cs="Arial"/>
                <w:color w:val="000000" w:themeColor="text1"/>
              </w:rPr>
              <w:t>p</w:t>
            </w:r>
            <w:r w:rsidRPr="00F97D05">
              <w:rPr>
                <w:rFonts w:cs="Arial"/>
                <w:color w:val="000000" w:themeColor="text1"/>
              </w:rPr>
              <w:t xml:space="preserve">redlogu Direktive Evropskega parlamenta in Sveta o skrbnem pregledu v podjetjih glede trajnostnosti in spremembi Direktive (EU) 2019/1937.  </w:t>
            </w:r>
          </w:p>
          <w:p w14:paraId="4BBDFF51" w14:textId="6E9116C4" w:rsidR="00526E23" w:rsidRDefault="00526E23" w:rsidP="4DB7FD0D">
            <w:pPr>
              <w:pStyle w:val="rkovnatokazaodstavkom"/>
              <w:numPr>
                <w:ilvl w:val="0"/>
                <w:numId w:val="0"/>
              </w:numPr>
              <w:spacing w:line="260" w:lineRule="exact"/>
              <w:ind w:left="322"/>
              <w:rPr>
                <w:rFonts w:cs="Arial"/>
                <w:color w:val="000000" w:themeColor="text1"/>
              </w:rPr>
            </w:pPr>
          </w:p>
          <w:p w14:paraId="52F8AF53" w14:textId="77777777" w:rsidR="00526E23" w:rsidRDefault="00526E23" w:rsidP="00526E23">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p</w:t>
            </w:r>
            <w:r w:rsidRPr="004506F5">
              <w:rPr>
                <w:rFonts w:cs="Arial"/>
                <w:color w:val="000000" w:themeColor="text1"/>
              </w:rPr>
              <w:t>redlaga</w:t>
            </w:r>
            <w:r>
              <w:rPr>
                <w:rFonts w:cs="Arial"/>
                <w:color w:val="000000" w:themeColor="text1"/>
              </w:rPr>
              <w:t xml:space="preserve"> o</w:t>
            </w:r>
            <w:r w:rsidRPr="00F9624B">
              <w:rPr>
                <w:rFonts w:cs="Arial"/>
                <w:color w:val="000000" w:themeColor="text1"/>
              </w:rPr>
              <w:t>predelitev predpisane predloge</w:t>
            </w:r>
            <w:r w:rsidRPr="009E41F1">
              <w:rPr>
                <w:rFonts w:cs="Arial"/>
                <w:color w:val="000000" w:themeColor="text1"/>
              </w:rPr>
              <w:t xml:space="preserve"> </w:t>
            </w:r>
            <w:r>
              <w:rPr>
                <w:rFonts w:cs="Arial"/>
                <w:color w:val="000000" w:themeColor="text1"/>
              </w:rPr>
              <w:t>v 1. odstavku 70.g člena osnutka predloga novele ZGD-1. Ajpesu se poraja</w:t>
            </w:r>
            <w:r w:rsidRPr="00F7659A">
              <w:rPr>
                <w:rFonts w:cs="Arial"/>
                <w:color w:val="000000" w:themeColor="text1"/>
              </w:rPr>
              <w:t xml:space="preserve"> več vprašanj: ali taka predpisana predloga že obstaja, kje </w:t>
            </w:r>
            <w:r>
              <w:rPr>
                <w:rFonts w:cs="Arial"/>
                <w:color w:val="000000" w:themeColor="text1"/>
              </w:rPr>
              <w:t>je</w:t>
            </w:r>
            <w:r w:rsidRPr="00F7659A">
              <w:rPr>
                <w:rFonts w:cs="Arial"/>
                <w:color w:val="000000" w:themeColor="text1"/>
              </w:rPr>
              <w:t xml:space="preserve">, ali gre za predlogo po prvem odstavku </w:t>
            </w:r>
            <w:r>
              <w:rPr>
                <w:rFonts w:cs="Arial"/>
                <w:color w:val="000000" w:themeColor="text1"/>
              </w:rPr>
              <w:t>70.f</w:t>
            </w:r>
            <w:r w:rsidRPr="00F7659A">
              <w:rPr>
                <w:rFonts w:cs="Arial"/>
                <w:color w:val="000000" w:themeColor="text1"/>
              </w:rPr>
              <w:t xml:space="preserve"> člena? Ali naj bi bila podobna predloga tudi po drugem odstavku </w:t>
            </w:r>
            <w:r>
              <w:rPr>
                <w:rFonts w:cs="Arial"/>
                <w:color w:val="000000" w:themeColor="text1"/>
              </w:rPr>
              <w:t>70.f</w:t>
            </w:r>
            <w:r w:rsidRPr="00F7659A">
              <w:rPr>
                <w:rFonts w:cs="Arial"/>
                <w:color w:val="000000" w:themeColor="text1"/>
              </w:rPr>
              <w:t xml:space="preserve"> člena, to je iz oddelka Ill, del</w:t>
            </w:r>
            <w:r>
              <w:rPr>
                <w:rFonts w:cs="Arial"/>
                <w:color w:val="000000" w:themeColor="text1"/>
              </w:rPr>
              <w:t>ov</w:t>
            </w:r>
            <w:r w:rsidRPr="00F7659A">
              <w:rPr>
                <w:rFonts w:cs="Arial"/>
                <w:color w:val="000000" w:themeColor="text1"/>
              </w:rPr>
              <w:t xml:space="preserve"> B in C priloge III k Direktivi Sveta 2011/16/ EU?</w:t>
            </w:r>
          </w:p>
          <w:p w14:paraId="296AE862" w14:textId="77777777" w:rsidR="00526E23" w:rsidRDefault="00526E23" w:rsidP="00526E23">
            <w:pPr>
              <w:pStyle w:val="rkovnatokazaodstavkom"/>
              <w:numPr>
                <w:ilvl w:val="0"/>
                <w:numId w:val="0"/>
              </w:numPr>
              <w:spacing w:line="260" w:lineRule="exact"/>
              <w:ind w:left="322"/>
              <w:rPr>
                <w:rFonts w:cs="Arial"/>
                <w:color w:val="000000" w:themeColor="text1"/>
              </w:rPr>
            </w:pPr>
          </w:p>
          <w:p w14:paraId="0561BA4B" w14:textId="77777777" w:rsidR="00526E23" w:rsidRDefault="00526E23" w:rsidP="00526E23">
            <w:pPr>
              <w:pStyle w:val="rkovnatokazaodstavkom"/>
              <w:numPr>
                <w:ilvl w:val="0"/>
                <w:numId w:val="0"/>
              </w:numPr>
              <w:spacing w:line="260" w:lineRule="exact"/>
              <w:ind w:left="322"/>
              <w:rPr>
                <w:rFonts w:cs="Arial"/>
                <w:color w:val="000000" w:themeColor="text1"/>
              </w:rPr>
            </w:pPr>
            <w:r w:rsidRPr="0042464D">
              <w:rPr>
                <w:rFonts w:cs="Arial"/>
                <w:b/>
                <w:bCs/>
                <w:color w:val="000000" w:themeColor="text1"/>
              </w:rPr>
              <w:t>Združenje bank Slovenije</w:t>
            </w:r>
            <w:r w:rsidRPr="0042464D" w:rsidDel="00744600">
              <w:rPr>
                <w:rFonts w:cs="Arial"/>
                <w:b/>
                <w:color w:val="000000" w:themeColor="text1"/>
              </w:rPr>
              <w:t xml:space="preserve"> </w:t>
            </w:r>
            <w:r>
              <w:rPr>
                <w:rFonts w:cs="Arial"/>
                <w:color w:val="000000" w:themeColor="text1"/>
              </w:rPr>
              <w:t>predlaga, naj se konkretno navede</w:t>
            </w:r>
            <w:r w:rsidRPr="00C84F2A">
              <w:rPr>
                <w:rFonts w:cs="Arial"/>
                <w:color w:val="000000" w:themeColor="text1"/>
              </w:rPr>
              <w:t>, kateri izvedbeni akt je mišljen in ali bo do začetka uporabe novele ZGD-1 že sprejet</w:t>
            </w:r>
            <w:r>
              <w:rPr>
                <w:rFonts w:cs="Arial"/>
                <w:color w:val="000000" w:themeColor="text1"/>
              </w:rPr>
              <w:t xml:space="preserve"> oziroma </w:t>
            </w:r>
            <w:r w:rsidRPr="00C84F2A">
              <w:rPr>
                <w:rFonts w:cs="Arial"/>
                <w:color w:val="000000" w:themeColor="text1"/>
              </w:rPr>
              <w:t>v uporabi</w:t>
            </w:r>
            <w:r>
              <w:rPr>
                <w:rFonts w:cs="Arial"/>
                <w:color w:val="000000" w:themeColor="text1"/>
              </w:rPr>
              <w:t>, saj se n</w:t>
            </w:r>
            <w:r w:rsidRPr="00275311">
              <w:rPr>
                <w:rFonts w:cs="Arial"/>
                <w:color w:val="000000" w:themeColor="text1"/>
              </w:rPr>
              <w:t xml:space="preserve">avaja upoštevanje izvedbenega akta </w:t>
            </w:r>
            <w:r>
              <w:rPr>
                <w:rFonts w:cs="Arial"/>
                <w:color w:val="000000" w:themeColor="text1"/>
              </w:rPr>
              <w:t>K</w:t>
            </w:r>
            <w:r w:rsidRPr="00275311">
              <w:rPr>
                <w:rFonts w:cs="Arial"/>
                <w:color w:val="000000" w:themeColor="text1"/>
              </w:rPr>
              <w:t xml:space="preserve">omisije, ki določa skupno predlogo in elektronske oblike poročanja. </w:t>
            </w:r>
          </w:p>
          <w:p w14:paraId="113475B0" w14:textId="77777777" w:rsidR="00526E23" w:rsidRDefault="00526E23" w:rsidP="00526E23">
            <w:pPr>
              <w:pStyle w:val="rkovnatokazaodstavkom"/>
              <w:numPr>
                <w:ilvl w:val="0"/>
                <w:numId w:val="0"/>
              </w:numPr>
              <w:spacing w:line="260" w:lineRule="exact"/>
              <w:ind w:left="322"/>
              <w:rPr>
                <w:rFonts w:cs="Arial"/>
                <w:color w:val="000000" w:themeColor="text1"/>
              </w:rPr>
            </w:pPr>
          </w:p>
          <w:p w14:paraId="24939B62"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novi člen 48.c, ki v 4. odstavku predvideva, da se i</w:t>
            </w:r>
            <w:r w:rsidRPr="007708C7">
              <w:rPr>
                <w:rFonts w:cs="Arial"/>
                <w:color w:val="000000" w:themeColor="text1"/>
              </w:rPr>
              <w:t xml:space="preserve">nformacije predstavijo z uporabo skupne predloge in elektronskih oblik poročanja, ki so strojno berljive. </w:t>
            </w:r>
            <w:r>
              <w:rPr>
                <w:rFonts w:cs="Arial"/>
                <w:color w:val="000000" w:themeColor="text1"/>
              </w:rPr>
              <w:t>K</w:t>
            </w:r>
            <w:r w:rsidRPr="007708C7">
              <w:rPr>
                <w:rFonts w:cs="Arial"/>
                <w:color w:val="000000" w:themeColor="text1"/>
              </w:rPr>
              <w:t>omisija z izvedbenimi akti določi zadevno skupno predlogo in zadevne elektronske oblike poročanja</w:t>
            </w:r>
            <w:r>
              <w:rPr>
                <w:rFonts w:cs="Arial"/>
                <w:color w:val="000000" w:themeColor="text1"/>
              </w:rPr>
              <w:t>, ob tem pa izvedbenega akta, s katerim bi določila</w:t>
            </w:r>
            <w:r w:rsidRPr="007708C7">
              <w:rPr>
                <w:rFonts w:cs="Arial"/>
                <w:color w:val="000000" w:themeColor="text1"/>
              </w:rPr>
              <w:t xml:space="preserve"> zadevno skupno predlogo in zadevne elektronske oblike poročanja</w:t>
            </w:r>
            <w:r>
              <w:rPr>
                <w:rFonts w:cs="Arial"/>
                <w:color w:val="000000" w:themeColor="text1"/>
              </w:rPr>
              <w:t>, še ni sprejela.</w:t>
            </w:r>
          </w:p>
          <w:p w14:paraId="4DBCCC27" w14:textId="77777777" w:rsidR="00526E23" w:rsidRDefault="00526E23" w:rsidP="00526E23">
            <w:pPr>
              <w:pStyle w:val="rkovnatokazaodstavkom"/>
              <w:numPr>
                <w:ilvl w:val="0"/>
                <w:numId w:val="0"/>
              </w:numPr>
              <w:spacing w:line="260" w:lineRule="exact"/>
              <w:ind w:left="322"/>
              <w:rPr>
                <w:rFonts w:cs="Arial"/>
                <w:color w:val="000000" w:themeColor="text1"/>
              </w:rPr>
            </w:pPr>
          </w:p>
          <w:p w14:paraId="5EF0CDEE" w14:textId="2581E1CA" w:rsidR="00526E23" w:rsidRDefault="00526E23" w:rsidP="00526E23">
            <w:pPr>
              <w:pStyle w:val="rkovnatokazaodstavkom"/>
              <w:numPr>
                <w:ilvl w:val="0"/>
                <w:numId w:val="0"/>
              </w:numPr>
              <w:spacing w:line="260" w:lineRule="exact"/>
              <w:ind w:left="322"/>
              <w:rPr>
                <w:rFonts w:cs="Arial"/>
              </w:rPr>
            </w:pPr>
            <w:r w:rsidRPr="00972D1A">
              <w:rPr>
                <w:rFonts w:cs="Arial"/>
                <w:b/>
                <w:bCs/>
                <w:color w:val="000000" w:themeColor="text1"/>
              </w:rPr>
              <w:t xml:space="preserve">Agencija Republike Slovenije za javnopravne evidence in storitve </w:t>
            </w:r>
            <w:r w:rsidRPr="00342FBD">
              <w:rPr>
                <w:rFonts w:cs="Arial"/>
                <w:color w:val="000000" w:themeColor="text1"/>
              </w:rPr>
              <w:t>izpostavlja, da je nepotrebno podvajanje objav na spletni strani družbe in na spletni strani Ajpes</w:t>
            </w:r>
            <w:r>
              <w:rPr>
                <w:rFonts w:cs="Arial"/>
                <w:color w:val="000000" w:themeColor="text1"/>
              </w:rPr>
              <w:t xml:space="preserve">a. </w:t>
            </w:r>
            <w:r w:rsidRPr="00172566">
              <w:rPr>
                <w:rFonts w:cs="Arial"/>
                <w:iCs/>
              </w:rPr>
              <w:t>V drugem delu prvega odstavka se določa obvezna objava poročila o davčnih informacijah tudi na spletni strani družbe. Meni</w:t>
            </w:r>
            <w:r>
              <w:rPr>
                <w:rFonts w:cs="Arial"/>
                <w:iCs/>
              </w:rPr>
              <w:t>j</w:t>
            </w:r>
            <w:r w:rsidRPr="00172566">
              <w:rPr>
                <w:rFonts w:cs="Arial"/>
                <w:iCs/>
              </w:rPr>
              <w:t xml:space="preserve">o, da gre za nepotrebno podvajanje objav, hkrati pa Direktiva </w:t>
            </w:r>
            <w:r w:rsidR="00EF0FCF" w:rsidRPr="00EF0FCF">
              <w:rPr>
                <w:rFonts w:cs="Arial"/>
                <w:iCs/>
              </w:rPr>
              <w:t>2021/2101</w:t>
            </w:r>
            <w:r w:rsidR="00EF0FCF">
              <w:rPr>
                <w:rFonts w:cs="Arial"/>
                <w:iCs/>
              </w:rPr>
              <w:t xml:space="preserve">/EU </w:t>
            </w:r>
            <w:r w:rsidRPr="00172566">
              <w:rPr>
                <w:rFonts w:cs="Arial"/>
                <w:iCs/>
              </w:rPr>
              <w:t>državam članicam</w:t>
            </w:r>
            <w:r>
              <w:rPr>
                <w:rFonts w:cs="Arial"/>
                <w:iCs/>
              </w:rPr>
              <w:t xml:space="preserve"> EU </w:t>
            </w:r>
            <w:r w:rsidRPr="00172566">
              <w:rPr>
                <w:rFonts w:cs="Arial"/>
                <w:iCs/>
              </w:rPr>
              <w:t>izrecno omogoča, da lahko, k</w:t>
            </w:r>
            <w:r>
              <w:rPr>
                <w:rFonts w:cs="Arial"/>
                <w:iCs/>
              </w:rPr>
              <w:t>adar</w:t>
            </w:r>
            <w:r w:rsidRPr="00172566">
              <w:rPr>
                <w:rFonts w:cs="Arial"/>
                <w:iCs/>
              </w:rPr>
              <w:t xml:space="preserve"> se poročilo o davčnih informacijah objavi na spletnem mestu, na katerem se objavljajo letna poročila (</w:t>
            </w:r>
            <w:r>
              <w:rPr>
                <w:rFonts w:cs="Arial"/>
                <w:iCs/>
              </w:rPr>
              <w:t>v d</w:t>
            </w:r>
            <w:r w:rsidRPr="00172566">
              <w:rPr>
                <w:rFonts w:cs="Arial"/>
                <w:iCs/>
              </w:rPr>
              <w:t>irektiv</w:t>
            </w:r>
            <w:r>
              <w:rPr>
                <w:rFonts w:cs="Arial"/>
                <w:iCs/>
              </w:rPr>
              <w:t xml:space="preserve">i se </w:t>
            </w:r>
            <w:r w:rsidRPr="00172566">
              <w:rPr>
                <w:rFonts w:cs="Arial"/>
                <w:iCs/>
              </w:rPr>
              <w:t>uporab</w:t>
            </w:r>
            <w:r>
              <w:rPr>
                <w:rFonts w:cs="Arial"/>
                <w:iCs/>
              </w:rPr>
              <w:t xml:space="preserve">lja izraz </w:t>
            </w:r>
            <w:r w:rsidRPr="00172566">
              <w:rPr>
                <w:rFonts w:cs="Arial"/>
                <w:iCs/>
              </w:rPr>
              <w:t xml:space="preserve">register, kar v Sloveniji pomeni aplikacijo JOLP </w:t>
            </w:r>
            <w:r>
              <w:rPr>
                <w:rFonts w:cs="Arial"/>
                <w:iCs/>
              </w:rPr>
              <w:t xml:space="preserve">‒ </w:t>
            </w:r>
            <w:r w:rsidRPr="00172566">
              <w:rPr>
                <w:rFonts w:cs="Arial"/>
                <w:iCs/>
              </w:rPr>
              <w:t>javna objava letnih poročil na spletni strani Ajpes</w:t>
            </w:r>
            <w:r>
              <w:rPr>
                <w:rFonts w:cs="Arial"/>
                <w:iCs/>
              </w:rPr>
              <w:t>a</w:t>
            </w:r>
            <w:r w:rsidRPr="00172566">
              <w:rPr>
                <w:rFonts w:cs="Arial"/>
                <w:iCs/>
              </w:rPr>
              <w:t xml:space="preserve">, kjer so vsa objavljena poročila dostopna brezplačno za zadnjih </w:t>
            </w:r>
            <w:r>
              <w:rPr>
                <w:rFonts w:cs="Arial"/>
                <w:iCs/>
              </w:rPr>
              <w:t>pet</w:t>
            </w:r>
            <w:r w:rsidRPr="00172566">
              <w:rPr>
                <w:rFonts w:cs="Arial"/>
                <w:iCs/>
              </w:rPr>
              <w:t xml:space="preserve"> let),</w:t>
            </w:r>
            <w:r w:rsidRPr="00172566" w:rsidDel="00744600">
              <w:rPr>
                <w:rFonts w:cs="Arial"/>
                <w:iCs/>
              </w:rPr>
              <w:t xml:space="preserve"> </w:t>
            </w:r>
            <w:r w:rsidRPr="00172566">
              <w:rPr>
                <w:rFonts w:cs="Arial"/>
                <w:iCs/>
              </w:rPr>
              <w:t>te družbe izvzamejo (ne le, če tako želijo) iz obvezne objave na svojih spletnih straneh.</w:t>
            </w:r>
            <w:r w:rsidRPr="00172566">
              <w:rPr>
                <w:rFonts w:cs="Arial"/>
              </w:rPr>
              <w:t xml:space="preserve"> </w:t>
            </w:r>
            <w:r w:rsidRPr="00172566">
              <w:rPr>
                <w:rFonts w:cs="Arial"/>
                <w:iCs/>
              </w:rPr>
              <w:t>Meni</w:t>
            </w:r>
            <w:r>
              <w:rPr>
                <w:rFonts w:cs="Arial"/>
                <w:iCs/>
              </w:rPr>
              <w:t>j</w:t>
            </w:r>
            <w:r w:rsidRPr="00172566">
              <w:rPr>
                <w:rFonts w:cs="Arial"/>
                <w:iCs/>
              </w:rPr>
              <w:t>o, da je dovolj, da družbe na svojih spletnih straneh (predvsem zaradi tujcev) objavijo zgolj informacijo, kje je poročilo objavljeno, s povezavo do spletne strani Ajpes</w:t>
            </w:r>
            <w:r>
              <w:rPr>
                <w:rFonts w:cs="Arial"/>
                <w:iCs/>
              </w:rPr>
              <w:t xml:space="preserve">a, tj. </w:t>
            </w:r>
            <w:r w:rsidRPr="00172566">
              <w:rPr>
                <w:rFonts w:cs="Arial"/>
                <w:iCs/>
              </w:rPr>
              <w:t>JOLP.</w:t>
            </w:r>
          </w:p>
          <w:p w14:paraId="57191487" w14:textId="77777777" w:rsidR="00526E23" w:rsidRDefault="00526E23" w:rsidP="00526E23">
            <w:pPr>
              <w:pStyle w:val="rkovnatokazaodstavkom"/>
              <w:numPr>
                <w:ilvl w:val="0"/>
                <w:numId w:val="0"/>
              </w:numPr>
              <w:spacing w:line="260" w:lineRule="exact"/>
              <w:ind w:left="322"/>
              <w:rPr>
                <w:rFonts w:cs="Arial"/>
                <w:color w:val="000000" w:themeColor="text1"/>
              </w:rPr>
            </w:pPr>
          </w:p>
          <w:p w14:paraId="78355C8D"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w:t>
            </w:r>
            <w:r w:rsidRPr="00787EE6">
              <w:rPr>
                <w:rFonts w:cs="Arial"/>
                <w:color w:val="000000" w:themeColor="text1"/>
              </w:rPr>
              <w:t xml:space="preserve">Direktiva </w:t>
            </w:r>
            <w:r w:rsidRPr="0059274D">
              <w:rPr>
                <w:rFonts w:cs="Arial"/>
                <w:color w:val="000000" w:themeColor="text1"/>
              </w:rPr>
              <w:t>2021/2101</w:t>
            </w:r>
            <w:r>
              <w:rPr>
                <w:rFonts w:cs="Arial"/>
                <w:color w:val="000000" w:themeColor="text1"/>
              </w:rPr>
              <w:t xml:space="preserve">/EU </w:t>
            </w:r>
            <w:r w:rsidRPr="00787EE6">
              <w:rPr>
                <w:rFonts w:cs="Arial"/>
                <w:color w:val="000000" w:themeColor="text1"/>
              </w:rPr>
              <w:t xml:space="preserve">določa, da morajo </w:t>
            </w:r>
            <w:r>
              <w:rPr>
                <w:rFonts w:cs="Arial"/>
                <w:color w:val="000000" w:themeColor="text1"/>
              </w:rPr>
              <w:t>države članice</w:t>
            </w:r>
            <w:r w:rsidRPr="00787EE6">
              <w:rPr>
                <w:rFonts w:cs="Arial"/>
                <w:color w:val="000000" w:themeColor="text1"/>
              </w:rPr>
              <w:t xml:space="preserve"> zagotoviti obveznost javne objave na spletnih straneh, lahko pa določijo izjemo, če se javna objava zagotavlja na drug način</w:t>
            </w:r>
            <w:r>
              <w:rPr>
                <w:rFonts w:cs="Arial"/>
                <w:color w:val="000000" w:themeColor="text1"/>
              </w:rPr>
              <w:t xml:space="preserve">, kot je </w:t>
            </w:r>
            <w:r w:rsidRPr="00172566">
              <w:rPr>
                <w:rFonts w:cs="Arial"/>
                <w:iCs/>
              </w:rPr>
              <w:t>javna objava letnih poročil na spletni strani Ajpes</w:t>
            </w:r>
            <w:r>
              <w:rPr>
                <w:rFonts w:cs="Arial"/>
                <w:iCs/>
              </w:rPr>
              <w:t>a</w:t>
            </w:r>
            <w:r w:rsidRPr="00787EE6">
              <w:rPr>
                <w:rFonts w:cs="Arial"/>
                <w:color w:val="000000" w:themeColor="text1"/>
              </w:rPr>
              <w:t>.</w:t>
            </w:r>
            <w:r>
              <w:rPr>
                <w:rFonts w:cs="Arial"/>
                <w:color w:val="000000" w:themeColor="text1"/>
              </w:rPr>
              <w:t xml:space="preserve"> Meni, da besedilo osnutka predloga novele ZGD-1M ureja javno poročanje na način, kot ga je predstavil Ajpes. </w:t>
            </w:r>
          </w:p>
          <w:p w14:paraId="322C8170" w14:textId="77777777" w:rsidR="00526E23" w:rsidRDefault="00526E23" w:rsidP="00526E23">
            <w:pPr>
              <w:pStyle w:val="rkovnatokazaodstavkom"/>
              <w:numPr>
                <w:ilvl w:val="0"/>
                <w:numId w:val="0"/>
              </w:numPr>
              <w:spacing w:line="260" w:lineRule="exact"/>
              <w:ind w:left="322"/>
              <w:rPr>
                <w:rFonts w:cs="Arial"/>
                <w:color w:val="000000" w:themeColor="text1"/>
              </w:rPr>
            </w:pPr>
          </w:p>
          <w:p w14:paraId="706E7509" w14:textId="77777777" w:rsidR="00831DA4" w:rsidRDefault="00831DA4" w:rsidP="00831DA4">
            <w:pPr>
              <w:pStyle w:val="rkovnatokazaodstavkom"/>
              <w:numPr>
                <w:ilvl w:val="0"/>
                <w:numId w:val="0"/>
              </w:numPr>
              <w:spacing w:line="260" w:lineRule="exact"/>
              <w:rPr>
                <w:rFonts w:cs="Arial"/>
                <w:iCs/>
              </w:rPr>
            </w:pPr>
            <w:r w:rsidRPr="00972D1A">
              <w:rPr>
                <w:rFonts w:cs="Arial"/>
                <w:b/>
                <w:bCs/>
                <w:color w:val="000000" w:themeColor="text1"/>
              </w:rPr>
              <w:t xml:space="preserve">Agencija Republike Slovenije za javnopravne evidence in storitve </w:t>
            </w:r>
            <w:r>
              <w:rPr>
                <w:rFonts w:cs="Arial"/>
                <w:color w:val="000000" w:themeColor="text1"/>
              </w:rPr>
              <w:t>predlaga d</w:t>
            </w:r>
            <w:r w:rsidRPr="00172566">
              <w:rPr>
                <w:rFonts w:cs="Arial"/>
                <w:iCs/>
              </w:rPr>
              <w:t>oločitev meril,</w:t>
            </w:r>
            <w:r w:rsidR="00054ACA">
              <w:rPr>
                <w:rFonts w:cs="Arial"/>
                <w:iCs/>
              </w:rPr>
              <w:t xml:space="preserve"> </w:t>
            </w:r>
            <w:r w:rsidR="00526E23">
              <w:rPr>
                <w:rFonts w:cs="Arial"/>
                <w:iCs/>
              </w:rPr>
              <w:t xml:space="preserve">v skladu s katerimi se </w:t>
            </w:r>
            <w:r w:rsidR="00054ACA">
              <w:rPr>
                <w:rFonts w:cs="Arial"/>
                <w:iCs/>
              </w:rPr>
              <w:t>šteje,</w:t>
            </w:r>
            <w:r w:rsidRPr="00172566">
              <w:rPr>
                <w:rFonts w:cs="Arial"/>
                <w:iCs/>
              </w:rPr>
              <w:t xml:space="preserve"> da so odvisne družbe namenoma organizirane tako, da se z neizpolnjevanjem pogojev izognejo obveznostim poročanja o davčnih informacijah v zvezi z dohodki</w:t>
            </w:r>
            <w:r>
              <w:rPr>
                <w:rFonts w:cs="Arial"/>
                <w:iCs/>
              </w:rPr>
              <w:t xml:space="preserve">. </w:t>
            </w:r>
            <w:r w:rsidRPr="00E0749B">
              <w:rPr>
                <w:rFonts w:cs="Arial"/>
                <w:iCs/>
              </w:rPr>
              <w:t>Peti odstavek določa: »Ne glede na pogoj iz prejšnjega odstavka velja obveznost poročanja o davčnih informacijah v zvezi z dohodki iz tega člena za vse odvisne družbe, če so namenoma organizirane tako, da se z neizpolnjevanjem pogojev izognejo obveznostim poročanja o davčnih informacijah v zvezi z dohodki.« Ta določba je preveč splošna, zato menijo, da bi moral zakon jasno določiti, kdaj se šteje, da so odvisne družbe namenoma organizirane tako, da se z neizpolnjevanjem pogojev izognejo obveznostim poročanja o davčnih informacijah v zvezi z dohodki. Šele ob jasnih merilih bo mogoče ugotavljati zavezanost družb k poročanju.</w:t>
            </w:r>
          </w:p>
          <w:p w14:paraId="588CC1D2" w14:textId="77777777" w:rsidR="00831DA4" w:rsidRDefault="00831DA4" w:rsidP="00831DA4">
            <w:pPr>
              <w:pStyle w:val="rkovnatokazaodstavkom"/>
              <w:numPr>
                <w:ilvl w:val="0"/>
                <w:numId w:val="0"/>
              </w:numPr>
              <w:spacing w:line="260" w:lineRule="exact"/>
              <w:rPr>
                <w:rFonts w:cs="Arial"/>
                <w:color w:val="000000" w:themeColor="text1"/>
              </w:rPr>
            </w:pPr>
          </w:p>
          <w:p w14:paraId="2AF47054" w14:textId="77777777" w:rsidR="00831DA4" w:rsidRDefault="008307B8" w:rsidP="00831DA4">
            <w:pPr>
              <w:pStyle w:val="rkovnatokazaodstavkom"/>
              <w:numPr>
                <w:ilvl w:val="0"/>
                <w:numId w:val="0"/>
              </w:numPr>
              <w:spacing w:line="260" w:lineRule="exact"/>
              <w:rPr>
                <w:rFonts w:cs="Arial"/>
                <w:color w:val="000000" w:themeColor="text1"/>
              </w:rPr>
            </w:pPr>
            <w:r w:rsidRPr="008307B8">
              <w:rPr>
                <w:rFonts w:cs="Arial"/>
                <w:b/>
                <w:bCs/>
                <w:color w:val="000000" w:themeColor="text1"/>
              </w:rPr>
              <w:t>Ministrstvo za gospodarstvo, turizem in šport</w:t>
            </w:r>
            <w:r w:rsidRPr="002C01E2">
              <w:rPr>
                <w:rFonts w:cs="Arial"/>
                <w:color w:val="000000" w:themeColor="text1"/>
              </w:rPr>
              <w:t xml:space="preserve"> </w:t>
            </w:r>
            <w:r w:rsidR="00526E23">
              <w:rPr>
                <w:rFonts w:cs="Arial"/>
                <w:color w:val="000000" w:themeColor="text1"/>
              </w:rPr>
              <w:t>meni</w:t>
            </w:r>
            <w:r w:rsidR="00526E23" w:rsidRPr="002C01E2">
              <w:rPr>
                <w:rFonts w:cs="Arial"/>
                <w:color w:val="000000" w:themeColor="text1"/>
              </w:rPr>
              <w:t>, da predlog ni primeren.</w:t>
            </w:r>
            <w:r w:rsidR="00526E23" w:rsidRPr="00787EE6">
              <w:rPr>
                <w:rFonts w:cs="Arial"/>
                <w:color w:val="000000" w:themeColor="text1"/>
              </w:rPr>
              <w:t xml:space="preserve"> </w:t>
            </w:r>
            <w:r w:rsidR="00526E23" w:rsidRPr="00111FFA">
              <w:rPr>
                <w:rFonts w:cs="Arial"/>
                <w:color w:val="000000" w:themeColor="text1"/>
              </w:rPr>
              <w:t xml:space="preserve">Direktiva 2021/2101/EU ne določa meril, </w:t>
            </w:r>
            <w:r w:rsidR="00526E23">
              <w:rPr>
                <w:rFonts w:cs="Arial"/>
                <w:color w:val="000000" w:themeColor="text1"/>
              </w:rPr>
              <w:t xml:space="preserve">v skladu s katerimi </w:t>
            </w:r>
            <w:r w:rsidR="00526E23" w:rsidRPr="00111FFA">
              <w:rPr>
                <w:rFonts w:cs="Arial"/>
                <w:color w:val="000000" w:themeColor="text1"/>
              </w:rPr>
              <w:t xml:space="preserve">se šteje, da so odvisne družbe namenoma organizirane tako, da se z neizpolnjevanjem pogojev izognejo obveznostim poročanja o davčnih informacijah v zvezi z dohodki. </w:t>
            </w:r>
            <w:r w:rsidR="00526E23">
              <w:rPr>
                <w:rFonts w:cs="Arial"/>
                <w:color w:val="000000" w:themeColor="text1"/>
              </w:rPr>
              <w:t>S</w:t>
            </w:r>
            <w:r w:rsidR="00526E23" w:rsidRPr="00111FFA">
              <w:rPr>
                <w:rFonts w:cs="Arial"/>
                <w:color w:val="000000" w:themeColor="text1"/>
              </w:rPr>
              <w:t>trinja</w:t>
            </w:r>
            <w:r w:rsidR="00526E23">
              <w:rPr>
                <w:rFonts w:cs="Arial"/>
                <w:color w:val="000000" w:themeColor="text1"/>
              </w:rPr>
              <w:t xml:space="preserve"> se</w:t>
            </w:r>
            <w:r w:rsidR="00526E23" w:rsidRPr="00111FFA">
              <w:rPr>
                <w:rFonts w:cs="Arial"/>
                <w:color w:val="000000" w:themeColor="text1"/>
              </w:rPr>
              <w:t xml:space="preserve">, da je določba zelo abstraktna, vendar poudarja, da je takšna ureditev edina smiselna oziroma primerna. </w:t>
            </w:r>
            <w:r w:rsidR="00526E23">
              <w:rPr>
                <w:rFonts w:cs="Arial"/>
                <w:color w:val="000000" w:themeColor="text1"/>
              </w:rPr>
              <w:t>To</w:t>
            </w:r>
            <w:r w:rsidR="00526E23" w:rsidRPr="00111FFA">
              <w:rPr>
                <w:rFonts w:cs="Arial"/>
                <w:color w:val="000000" w:themeColor="text1"/>
              </w:rPr>
              <w:t xml:space="preserve"> utemeljuje z dejstvom, da zaradi različnih situacij, ki lahko nastanejo v posameznem primeru</w:t>
            </w:r>
            <w:r w:rsidR="00526E23">
              <w:rPr>
                <w:rFonts w:cs="Arial"/>
                <w:color w:val="000000" w:themeColor="text1"/>
              </w:rPr>
              <w:t>,</w:t>
            </w:r>
            <w:r w:rsidR="00526E23" w:rsidRPr="00111FFA">
              <w:rPr>
                <w:rFonts w:cs="Arial"/>
                <w:color w:val="000000" w:themeColor="text1"/>
              </w:rPr>
              <w:t xml:space="preserve"> </w:t>
            </w:r>
            <w:r w:rsidR="00526E23">
              <w:rPr>
                <w:rFonts w:cs="Arial"/>
                <w:color w:val="000000" w:themeColor="text1"/>
              </w:rPr>
              <w:t>in</w:t>
            </w:r>
            <w:r w:rsidR="00526E23" w:rsidRPr="00111FFA">
              <w:rPr>
                <w:rFonts w:cs="Arial"/>
                <w:color w:val="000000" w:themeColor="text1"/>
              </w:rPr>
              <w:t xml:space="preserve"> </w:t>
            </w:r>
            <w:r w:rsidR="00526E23">
              <w:rPr>
                <w:rFonts w:cs="Arial"/>
                <w:color w:val="000000" w:themeColor="text1"/>
              </w:rPr>
              <w:t>ker</w:t>
            </w:r>
            <w:r w:rsidR="00526E23" w:rsidRPr="00111FFA">
              <w:rPr>
                <w:rFonts w:cs="Arial"/>
                <w:color w:val="000000" w:themeColor="text1"/>
              </w:rPr>
              <w:t xml:space="preserve"> praksa na tem področju še ni bila v celoti vzpostavljena, ni mogoče uporabiti taksativnega ali eksemplifikativnega normiranja</w:t>
            </w:r>
            <w:r w:rsidR="00526E23">
              <w:rPr>
                <w:rFonts w:cs="Arial"/>
                <w:color w:val="000000" w:themeColor="text1"/>
              </w:rPr>
              <w:t>,</w:t>
            </w:r>
            <w:r w:rsidR="00526E23" w:rsidRPr="00111FFA">
              <w:rPr>
                <w:rFonts w:cs="Arial"/>
                <w:color w:val="000000" w:themeColor="text1"/>
              </w:rPr>
              <w:t xml:space="preserve"> s katerim bi bilo mogoče zajeziti navedeno zakonsko določbo. Vse konkretne primere je namreč v tem trenutku nemogoče vnaprej posamično konkretno določiti in urediti. Brez metode abstraktnega normiranja bi bilo konkretno urejenih primerov lahko na tisoče, vendar še vedno ne bi bili zajeti vsi primeri. Ministrstvo pri tem dodatno poudarja, da takšnemu abstraktnemu normiranju tudi ni mogoče očitati pravne nepredvidljivosti, saj iz</w:t>
            </w:r>
            <w:r w:rsidRPr="008307B8">
              <w:rPr>
                <w:rFonts w:cs="Arial"/>
                <w:color w:val="000000" w:themeColor="text1"/>
              </w:rPr>
              <w:t xml:space="preserve"> določbe jasno izhaja, da izogibanje poročanju o davčnih informacijah v zvezi z dohodki ni dovoljeno.</w:t>
            </w:r>
            <w:r w:rsidRPr="00111FFA" w:rsidDel="008307B8">
              <w:rPr>
                <w:rFonts w:cs="Arial"/>
                <w:color w:val="000000" w:themeColor="text1"/>
              </w:rPr>
              <w:t xml:space="preserve"> </w:t>
            </w:r>
          </w:p>
          <w:p w14:paraId="7E861496" w14:textId="77777777" w:rsidR="0010046F" w:rsidRDefault="0010046F" w:rsidP="00831DA4">
            <w:pPr>
              <w:pStyle w:val="rkovnatokazaodstavkom"/>
              <w:numPr>
                <w:ilvl w:val="0"/>
                <w:numId w:val="0"/>
              </w:numPr>
              <w:spacing w:line="260" w:lineRule="exact"/>
              <w:rPr>
                <w:rFonts w:cs="Arial"/>
                <w:color w:val="000000" w:themeColor="text1"/>
              </w:rPr>
            </w:pPr>
          </w:p>
          <w:p w14:paraId="78D0C908" w14:textId="77777777" w:rsidR="00526E23" w:rsidRPr="00A138C7" w:rsidRDefault="00526E23" w:rsidP="00526E23">
            <w:pPr>
              <w:pStyle w:val="rkovnatokazaodstavkom"/>
              <w:numPr>
                <w:ilvl w:val="0"/>
                <w:numId w:val="0"/>
              </w:numPr>
              <w:spacing w:line="260" w:lineRule="exact"/>
              <w:ind w:left="322"/>
              <w:rPr>
                <w:rFonts w:cs="Arial"/>
                <w:color w:val="000000" w:themeColor="text1"/>
              </w:rPr>
            </w:pPr>
            <w:r w:rsidRPr="007D62D3">
              <w:rPr>
                <w:rFonts w:cs="Arial"/>
                <w:b/>
                <w:bCs/>
                <w:color w:val="000000" w:themeColor="text1"/>
              </w:rPr>
              <w:t>Banka Slovenije</w:t>
            </w:r>
            <w:r>
              <w:rPr>
                <w:rFonts w:cs="Arial"/>
                <w:color w:val="000000" w:themeColor="text1"/>
              </w:rPr>
              <w:t xml:space="preserve"> meni, da bi bilo z</w:t>
            </w:r>
            <w:r w:rsidRPr="007D62D3">
              <w:rPr>
                <w:rFonts w:cs="Arial"/>
                <w:color w:val="000000" w:themeColor="text1"/>
              </w:rPr>
              <w:t>a družbe, ki imajo sedež v Republiki Sloveniji</w:t>
            </w:r>
            <w:r>
              <w:rPr>
                <w:rFonts w:cs="Arial"/>
                <w:color w:val="000000" w:themeColor="text1"/>
              </w:rPr>
              <w:t xml:space="preserve">, </w:t>
            </w:r>
            <w:r w:rsidRPr="007D62D3">
              <w:rPr>
                <w:rFonts w:cs="Arial"/>
                <w:color w:val="000000" w:themeColor="text1"/>
              </w:rPr>
              <w:t>smiselno, da je poročilo vsaj v delu, ki se nanaša na njihov del poslovanja</w:t>
            </w:r>
            <w:r>
              <w:rPr>
                <w:rFonts w:cs="Arial"/>
                <w:color w:val="000000" w:themeColor="text1"/>
              </w:rPr>
              <w:t>,</w:t>
            </w:r>
            <w:r w:rsidRPr="007D62D3">
              <w:rPr>
                <w:rFonts w:cs="Arial"/>
                <w:color w:val="000000" w:themeColor="text1"/>
              </w:rPr>
              <w:t xml:space="preserve"> objavljeno v slovenskem jeziku.</w:t>
            </w:r>
            <w:r>
              <w:rPr>
                <w:rFonts w:cs="Arial"/>
                <w:color w:val="000000" w:themeColor="text1"/>
              </w:rPr>
              <w:t xml:space="preserve"> </w:t>
            </w:r>
            <w:r w:rsidRPr="007D62D3">
              <w:rPr>
                <w:rFonts w:cs="Arial"/>
                <w:color w:val="000000" w:themeColor="text1"/>
              </w:rPr>
              <w:t>Smiselno bi bilo, da se določba glede objav v slovenskem jeziku pr</w:t>
            </w:r>
            <w:r>
              <w:rPr>
                <w:rFonts w:cs="Arial"/>
                <w:color w:val="000000" w:themeColor="text1"/>
              </w:rPr>
              <w:t>o</w:t>
            </w:r>
            <w:r w:rsidRPr="007D62D3">
              <w:rPr>
                <w:rFonts w:cs="Arial"/>
                <w:color w:val="000000" w:themeColor="text1"/>
              </w:rPr>
              <w:t xml:space="preserve">uči v okviru drugih zahtev </w:t>
            </w:r>
            <w:r>
              <w:rPr>
                <w:rFonts w:cs="Arial"/>
                <w:color w:val="000000" w:themeColor="text1"/>
              </w:rPr>
              <w:t>zakona o gospodarskih družbah</w:t>
            </w:r>
            <w:r w:rsidRPr="007D62D3">
              <w:rPr>
                <w:rFonts w:cs="Arial"/>
                <w:color w:val="000000" w:themeColor="text1"/>
              </w:rPr>
              <w:t xml:space="preserve"> in drugih zakonov</w:t>
            </w:r>
            <w:r w:rsidRPr="007D62D3" w:rsidDel="00744600">
              <w:rPr>
                <w:rFonts w:cs="Arial"/>
                <w:color w:val="000000" w:themeColor="text1"/>
              </w:rPr>
              <w:t xml:space="preserve"> </w:t>
            </w:r>
            <w:r w:rsidRPr="007D62D3">
              <w:rPr>
                <w:rFonts w:cs="Arial"/>
                <w:color w:val="000000" w:themeColor="text1"/>
              </w:rPr>
              <w:t>in</w:t>
            </w:r>
            <w:r>
              <w:rPr>
                <w:rFonts w:cs="Arial"/>
                <w:color w:val="000000" w:themeColor="text1"/>
              </w:rPr>
              <w:t xml:space="preserve"> se </w:t>
            </w:r>
            <w:r w:rsidRPr="007D62D3">
              <w:rPr>
                <w:rFonts w:cs="Arial"/>
                <w:color w:val="000000" w:themeColor="text1"/>
              </w:rPr>
              <w:t>to ustrezno pojasni v obrazložitvi.</w:t>
            </w:r>
            <w:r>
              <w:rPr>
                <w:rFonts w:cs="Arial"/>
                <w:color w:val="000000" w:themeColor="text1"/>
              </w:rPr>
              <w:t xml:space="preserve"> </w:t>
            </w:r>
          </w:p>
          <w:p w14:paraId="7CBD328F" w14:textId="77777777" w:rsidR="00526E23" w:rsidRDefault="00526E23" w:rsidP="00526E23">
            <w:pPr>
              <w:pStyle w:val="rkovnatokazaodstavkom"/>
              <w:numPr>
                <w:ilvl w:val="0"/>
                <w:numId w:val="0"/>
              </w:numPr>
              <w:spacing w:line="260" w:lineRule="exact"/>
              <w:ind w:left="322"/>
              <w:rPr>
                <w:rFonts w:cs="Arial"/>
                <w:color w:val="000000" w:themeColor="text1"/>
              </w:rPr>
            </w:pPr>
          </w:p>
          <w:p w14:paraId="0149A57E" w14:textId="77777777" w:rsidR="00526E23" w:rsidRPr="00A575FE"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novi člen 48b, ki v 6. odstavku predvideva izjemo za poročevalce, če tuje podjetje iz tretje države pripravi</w:t>
            </w:r>
            <w:r w:rsidRPr="00992D9A">
              <w:rPr>
                <w:rFonts w:cs="Arial"/>
                <w:color w:val="000000" w:themeColor="text1"/>
              </w:rPr>
              <w:t xml:space="preserve"> poročilo o davčnih informacijah </w:t>
            </w:r>
            <w:r>
              <w:rPr>
                <w:rFonts w:cs="Arial"/>
                <w:color w:val="000000" w:themeColor="text1"/>
              </w:rPr>
              <w:t xml:space="preserve">in ga na ustrezen način javno objavi. </w:t>
            </w:r>
          </w:p>
          <w:p w14:paraId="015E8AE6" w14:textId="77777777" w:rsidR="00526E23" w:rsidRDefault="00526E23" w:rsidP="00526E23">
            <w:pPr>
              <w:pStyle w:val="rkovnatokazaodstavkom"/>
              <w:numPr>
                <w:ilvl w:val="0"/>
                <w:numId w:val="0"/>
              </w:numPr>
              <w:spacing w:line="260" w:lineRule="exact"/>
              <w:ind w:left="322"/>
              <w:rPr>
                <w:rFonts w:cs="Arial"/>
                <w:color w:val="000000" w:themeColor="text1"/>
              </w:rPr>
            </w:pPr>
          </w:p>
          <w:p w14:paraId="23034EE8" w14:textId="77777777" w:rsidR="00526E23" w:rsidRPr="00C61013" w:rsidRDefault="00526E23" w:rsidP="00526E23">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lastRenderedPageBreak/>
              <w:t xml:space="preserve">Agencija Republike Slovenije za javnopravne evidence in storitve </w:t>
            </w:r>
            <w:r>
              <w:rPr>
                <w:rFonts w:cs="Arial"/>
                <w:color w:val="000000" w:themeColor="text1"/>
              </w:rPr>
              <w:t>predlaga</w:t>
            </w:r>
            <w:r w:rsidRPr="00AF3548">
              <w:rPr>
                <w:rFonts w:cs="Arial"/>
                <w:color w:val="000000" w:themeColor="text1"/>
              </w:rPr>
              <w:t>, da se v določbah</w:t>
            </w:r>
            <w:r>
              <w:rPr>
                <w:rFonts w:cs="Arial"/>
                <w:color w:val="000000" w:themeColor="text1"/>
              </w:rPr>
              <w:t xml:space="preserve"> novega 683.c člena ZGD-1</w:t>
            </w:r>
            <w:r w:rsidRPr="00AF3548">
              <w:rPr>
                <w:rFonts w:cs="Arial"/>
                <w:color w:val="000000" w:themeColor="text1"/>
              </w:rPr>
              <w:t xml:space="preserve"> ne sklicuje na seznam v Prilogi I k Direktivi 2013/34/EU</w:t>
            </w:r>
            <w:r>
              <w:t>, s čimer</w:t>
            </w:r>
            <w:r w:rsidRPr="00B22CBE">
              <w:rPr>
                <w:rFonts w:cs="Arial"/>
                <w:color w:val="000000" w:themeColor="text1"/>
              </w:rPr>
              <w:t xml:space="preserve"> bi odpravili zahtevnost besedila, ki zahteva sočasno uporabo zakona in direktiv</w:t>
            </w:r>
            <w:r>
              <w:rPr>
                <w:rFonts w:cs="Arial"/>
                <w:color w:val="000000" w:themeColor="text1"/>
              </w:rPr>
              <w:t xml:space="preserve">. </w:t>
            </w:r>
          </w:p>
          <w:p w14:paraId="50F6E5D8" w14:textId="77777777" w:rsidR="00526E23" w:rsidRDefault="00526E23" w:rsidP="00526E23">
            <w:pPr>
              <w:pStyle w:val="rkovnatokazaodstavkom"/>
              <w:numPr>
                <w:ilvl w:val="0"/>
                <w:numId w:val="0"/>
              </w:numPr>
              <w:spacing w:line="260" w:lineRule="exact"/>
              <w:ind w:left="322"/>
              <w:rPr>
                <w:rFonts w:cs="Arial"/>
                <w:color w:val="000000" w:themeColor="text1"/>
              </w:rPr>
            </w:pPr>
          </w:p>
          <w:p w14:paraId="2ADC6C92" w14:textId="77777777" w:rsidR="00526E23" w:rsidRDefault="00526E23" w:rsidP="00526E23">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Sklic jasno določa primerljivost tujega podjetja iz tretje države, katerega pravnoorganizacijska oblika je primerljiva podjetjem s seznama </w:t>
            </w:r>
            <w:r w:rsidRPr="00AF3548">
              <w:rPr>
                <w:rFonts w:cs="Arial"/>
                <w:color w:val="000000" w:themeColor="text1"/>
              </w:rPr>
              <w:t>v Prilogi I k Direktivi 2013/34/EU</w:t>
            </w:r>
            <w:r>
              <w:rPr>
                <w:rFonts w:cs="Arial"/>
                <w:color w:val="000000" w:themeColor="text1"/>
              </w:rPr>
              <w:t>.</w:t>
            </w:r>
          </w:p>
          <w:p w14:paraId="653DD7C8" w14:textId="77777777" w:rsidR="00831DA4" w:rsidRPr="00A575FE" w:rsidRDefault="00831DA4" w:rsidP="00831DA4">
            <w:pPr>
              <w:pStyle w:val="rkovnatokazaodstavkom"/>
              <w:numPr>
                <w:ilvl w:val="0"/>
                <w:numId w:val="0"/>
              </w:numPr>
              <w:spacing w:line="260" w:lineRule="exact"/>
              <w:rPr>
                <w:rFonts w:cs="Arial"/>
                <w:color w:val="000000" w:themeColor="text1"/>
              </w:rPr>
            </w:pPr>
          </w:p>
          <w:p w14:paraId="108BFD15" w14:textId="77777777" w:rsidR="00831DA4" w:rsidRDefault="00831DA4" w:rsidP="00831DA4">
            <w:pPr>
              <w:pStyle w:val="rkovnatokazaodstavkom"/>
              <w:numPr>
                <w:ilvl w:val="0"/>
                <w:numId w:val="0"/>
              </w:numPr>
              <w:spacing w:line="260" w:lineRule="exact"/>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predlaga, da</w:t>
            </w:r>
            <w:r w:rsidRPr="00267E70">
              <w:rPr>
                <w:rFonts w:cs="Arial"/>
                <w:color w:val="000000" w:themeColor="text1"/>
              </w:rPr>
              <w:t xml:space="preserve"> ZGD-1 natančno določ</w:t>
            </w:r>
            <w:r>
              <w:rPr>
                <w:rFonts w:cs="Arial"/>
                <w:color w:val="000000" w:themeColor="text1"/>
              </w:rPr>
              <w:t>a</w:t>
            </w:r>
            <w:r w:rsidRPr="00267E70">
              <w:rPr>
                <w:rFonts w:cs="Arial"/>
                <w:color w:val="000000" w:themeColor="text1"/>
              </w:rPr>
              <w:t xml:space="preserve"> datum začetka</w:t>
            </w:r>
            <w:r>
              <w:rPr>
                <w:rFonts w:cs="Arial"/>
                <w:color w:val="000000" w:themeColor="text1"/>
              </w:rPr>
              <w:t xml:space="preserve"> poročanja</w:t>
            </w:r>
            <w:r w:rsidRPr="00267E70">
              <w:rPr>
                <w:rFonts w:cs="Arial"/>
                <w:color w:val="000000" w:themeColor="text1"/>
              </w:rPr>
              <w:t>, pri čemer iz enakih razlogov kot pri 29. členu predlagajo začetek poročanja prvič za poslovno leto, ki se začne 1. januarja 2026.</w:t>
            </w:r>
          </w:p>
          <w:p w14:paraId="6578D7E8" w14:textId="77777777" w:rsidR="00831DA4" w:rsidRDefault="00831DA4" w:rsidP="00831DA4">
            <w:pPr>
              <w:pStyle w:val="rkovnatokazaodstavkom"/>
              <w:numPr>
                <w:ilvl w:val="0"/>
                <w:numId w:val="0"/>
              </w:numPr>
              <w:spacing w:line="260" w:lineRule="exact"/>
              <w:rPr>
                <w:rFonts w:cs="Arial"/>
                <w:color w:val="000000" w:themeColor="text1"/>
              </w:rPr>
            </w:pPr>
          </w:p>
          <w:p w14:paraId="67FFD1D8" w14:textId="77777777" w:rsidR="00831DA4" w:rsidRPr="00831DA4" w:rsidRDefault="00831DA4" w:rsidP="00831DA4">
            <w:pPr>
              <w:pStyle w:val="rkovnatokazaodstavkom"/>
              <w:numPr>
                <w:ilvl w:val="0"/>
                <w:numId w:val="0"/>
              </w:numPr>
              <w:spacing w:line="260" w:lineRule="exact"/>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sidR="00526E23">
              <w:rPr>
                <w:rFonts w:cs="Arial"/>
                <w:color w:val="000000" w:themeColor="text1"/>
              </w:rPr>
              <w:t>meni</w:t>
            </w:r>
            <w:r w:rsidR="00526E23" w:rsidRPr="002C01E2">
              <w:rPr>
                <w:rFonts w:cs="Arial"/>
                <w:color w:val="000000" w:themeColor="text1"/>
              </w:rPr>
              <w:t>, da predlog ni primeren</w:t>
            </w:r>
            <w:r w:rsidR="00526E23">
              <w:rPr>
                <w:rFonts w:cs="Arial"/>
                <w:color w:val="000000" w:themeColor="text1"/>
              </w:rPr>
              <w:t xml:space="preserve">. Iz predlaganega besedila osnutka predloga novele ZGD-1M jasno izhaja začetek poročanja. </w:t>
            </w:r>
            <w:r w:rsidR="00526E23" w:rsidRPr="0010646F">
              <w:rPr>
                <w:rFonts w:cs="Arial"/>
                <w:color w:val="000000" w:themeColor="text1"/>
              </w:rPr>
              <w:t>Družbe in podružnice pripravijo, objavijo in zagotovijo dostop do poročila o davčnih informacijah v zvezi z dohodki v skladu s 70.e do 70.l ter 683.c do 683.d členom zakona najpozneje od datuma začetka prvega poslovnega leta, ki se začne 22. junij</w:t>
            </w:r>
            <w:r w:rsidR="00526E23">
              <w:rPr>
                <w:rFonts w:cs="Arial"/>
                <w:color w:val="000000" w:themeColor="text1"/>
              </w:rPr>
              <w:t>a</w:t>
            </w:r>
            <w:r w:rsidRPr="0010646F">
              <w:rPr>
                <w:rFonts w:cs="Arial"/>
                <w:color w:val="000000" w:themeColor="text1"/>
              </w:rPr>
              <w:t xml:space="preserve"> 2024 ali po tem datumu.</w:t>
            </w:r>
          </w:p>
          <w:p w14:paraId="5C224141" w14:textId="77777777" w:rsidR="007878FA" w:rsidRDefault="007878FA" w:rsidP="00831DA4">
            <w:pPr>
              <w:pStyle w:val="rkovnatokazaodstavkom"/>
              <w:numPr>
                <w:ilvl w:val="0"/>
                <w:numId w:val="0"/>
              </w:numPr>
              <w:spacing w:line="260" w:lineRule="exact"/>
              <w:rPr>
                <w:rFonts w:cs="Arial"/>
                <w:color w:val="000000" w:themeColor="text1"/>
              </w:rPr>
            </w:pPr>
          </w:p>
          <w:p w14:paraId="292E4922" w14:textId="77777777" w:rsidR="00526E23" w:rsidRPr="000E25E5" w:rsidRDefault="00526E23" w:rsidP="00526E23">
            <w:pPr>
              <w:ind w:left="322"/>
              <w:jc w:val="both"/>
              <w:rPr>
                <w:rFonts w:cs="Arial"/>
                <w:szCs w:val="20"/>
                <w:shd w:val="clear" w:color="auto" w:fill="FFFFFF"/>
              </w:rPr>
            </w:pPr>
            <w:r w:rsidRPr="000E25E5">
              <w:rPr>
                <w:rFonts w:cs="Arial"/>
                <w:b/>
                <w:bCs/>
                <w:szCs w:val="20"/>
              </w:rPr>
              <w:t>GEN-I</w:t>
            </w:r>
            <w:r w:rsidRPr="000E25E5">
              <w:rPr>
                <w:rFonts w:cs="Arial"/>
                <w:szCs w:val="20"/>
              </w:rPr>
              <w:t xml:space="preserve"> je predlagal, da se besedilo v 254.b členu prilagodi tako, da se </w:t>
            </w:r>
            <w:r>
              <w:rPr>
                <w:rFonts w:cs="Arial"/>
                <w:szCs w:val="20"/>
              </w:rPr>
              <w:t>opredelitev</w:t>
            </w:r>
            <w:r w:rsidRPr="000E25E5">
              <w:rPr>
                <w:rFonts w:cs="Arial"/>
                <w:szCs w:val="20"/>
              </w:rPr>
              <w:t xml:space="preserve"> družbe z večinsko kapitalsko naložbo države uskladi z </w:t>
            </w:r>
            <w:r>
              <w:rPr>
                <w:rFonts w:cs="Arial"/>
                <w:szCs w:val="20"/>
              </w:rPr>
              <w:t>opredelitvijo</w:t>
            </w:r>
            <w:r w:rsidRPr="000E25E5">
              <w:rPr>
                <w:rFonts w:cs="Arial"/>
                <w:szCs w:val="20"/>
              </w:rPr>
              <w:t xml:space="preserve">, ki jo vsebuje </w:t>
            </w:r>
            <w:r w:rsidRPr="000E25E5">
              <w:rPr>
                <w:rFonts w:cs="Arial"/>
                <w:szCs w:val="20"/>
                <w:shd w:val="clear" w:color="auto" w:fill="FFFFFF"/>
              </w:rPr>
              <w:t xml:space="preserve">Zakon o Slovenskem državnem holdingu (Uradni </w:t>
            </w:r>
            <w:r w:rsidRPr="00DB3F99">
              <w:rPr>
                <w:rFonts w:cs="Arial"/>
                <w:szCs w:val="20"/>
                <w:shd w:val="clear" w:color="auto" w:fill="FFFFFF"/>
              </w:rPr>
              <w:t>list RS, št. </w:t>
            </w:r>
            <w:hyperlink r:id="rId11" w:tgtFrame="_blank" w:tooltip="Zakon o Slovenskem državnem holdingu (ZSDH-1)" w:history="1">
              <w:r w:rsidR="007878FA" w:rsidRPr="00DB3F99">
                <w:rPr>
                  <w:rStyle w:val="Hyperlink"/>
                  <w:rFonts w:cs="Arial"/>
                  <w:color w:val="auto"/>
                  <w:szCs w:val="20"/>
                  <w:u w:val="none"/>
                  <w:shd w:val="clear" w:color="auto" w:fill="FFFFFF"/>
                </w:rPr>
                <w:t>25/14</w:t>
              </w:r>
            </w:hyperlink>
            <w:r w:rsidR="007878FA" w:rsidRPr="000E25E5">
              <w:rPr>
                <w:rFonts w:cs="Arial"/>
                <w:szCs w:val="20"/>
                <w:shd w:val="clear" w:color="auto" w:fill="FFFFFF"/>
              </w:rPr>
              <w:t> in </w:t>
            </w:r>
            <w:hyperlink r:id="rId12" w:tgtFrame="_blank" w:tooltip="Zakon o spremembah in dopolnitvah Zakona o Slovenskem državnem holdingu" w:history="1">
              <w:r w:rsidR="007878FA" w:rsidRPr="00DB3F99">
                <w:rPr>
                  <w:rStyle w:val="Hyperlink"/>
                  <w:rFonts w:cs="Arial"/>
                  <w:color w:val="auto"/>
                  <w:szCs w:val="20"/>
                  <w:u w:val="none"/>
                  <w:shd w:val="clear" w:color="auto" w:fill="FFFFFF"/>
                </w:rPr>
                <w:t>140/22</w:t>
              </w:r>
            </w:hyperlink>
            <w:r w:rsidRPr="00DB3F99">
              <w:rPr>
                <w:rFonts w:cs="Arial"/>
                <w:szCs w:val="20"/>
                <w:shd w:val="clear" w:color="auto" w:fill="FFFFFF"/>
              </w:rPr>
              <w:t xml:space="preserve"> – v nadaljevanju: ZDDH-1)</w:t>
            </w:r>
            <w:r w:rsidRPr="00DB3F99">
              <w:rPr>
                <w:rFonts w:cs="Arial"/>
                <w:szCs w:val="20"/>
              </w:rPr>
              <w:t xml:space="preserve">, ki kapitalsko naložbo države opredeljuje kot kapitalsko naložbo v lasti Republike Slovenije, KAD ali SDH, družbo s kapitalsko naložbo države pa kot pravno osebo, izdajateljico kapitalskih naložb v lasti SDH, in družbo, ki je izdajateljica kapitalskih naložb v upravljanju SDH in v lasti Republike Slovenije. Besedilo predlaganega 254.b člena družbe z večinsko kapitalsko naložbo države opredeljuje precej širše kot ZSDH-1, saj v krog družb zavezank ne vključuje le družb s kapitalsko naložbo države v smislu ZSDH-1, ampak tudi vse druge družbe, ki so posredno v večinski lasti države. Navajajo, da ni dovolj jasen namen zakonodajalca, da se v krog družb zavezank po 254.b členu poleg družb s kapitalsko naložbo države vključijo tudi vse druge družbe, ki so posredno v večinski lasti države, ker to ne izhaja iz obrazložitve k 17. členu predloga ZGD-1M. Namen določbe je, da so zavezanke za spoštovanje pravil glede uravnotežene zastopanosti spolov v organih vse družbe, ki so v posredni ali neposredni večinski lasti Republike Slovenije ali lokalne samoupravne skupnosti (v nadaljnjem besedilu: državne in lokalne družbe). Izhajali smo iz opredelitve, ki je navedena v </w:t>
            </w:r>
            <w:r w:rsidRPr="00DB3F99">
              <w:rPr>
                <w:rFonts w:cs="Arial"/>
                <w:szCs w:val="20"/>
                <w:shd w:val="clear" w:color="auto" w:fill="FFFFFF"/>
              </w:rPr>
              <w:t>Zakonu o prejemkih poslovodnih oseb v gospodarskih družbah v večinski lasti Republike Slovenije in samoupravnih lokalnih skupnosti (Uradni list RS, št. </w:t>
            </w:r>
            <w:hyperlink r:id="rId13" w:tgtFrame="_blank" w:tooltip="Zakon o prejemkih poslovodnih oseb v gospodarskih družbah v večinski lasti Republike Slovenije in samoupravnih lokalnih skupnosti (ZPPOGD)" w:history="1">
              <w:r w:rsidR="007878FA" w:rsidRPr="00DB3F99">
                <w:rPr>
                  <w:rStyle w:val="Hyperlink"/>
                  <w:rFonts w:cs="Arial"/>
                  <w:color w:val="auto"/>
                  <w:szCs w:val="20"/>
                  <w:u w:val="none"/>
                  <w:shd w:val="clear" w:color="auto" w:fill="FFFFFF"/>
                </w:rPr>
                <w:t>21/10</w:t>
              </w:r>
            </w:hyperlink>
            <w:r w:rsidR="007878FA" w:rsidRPr="000E25E5">
              <w:rPr>
                <w:rFonts w:cs="Arial"/>
                <w:szCs w:val="20"/>
                <w:shd w:val="clear" w:color="auto" w:fill="FFFFFF"/>
              </w:rPr>
              <w:t>, </w:t>
            </w:r>
            <w:hyperlink r:id="rId14" w:tgtFrame="_blank" w:tooltip="Avtentična razlaga druge alineje tretjega odstavka 4. člena Zakona o prejemkih poslovodnih oseb v gospodarskih družbah v večinski lasti Republike Slovenije in samoupravnih lokalnih skupnosti" w:history="1">
              <w:r w:rsidR="007878FA" w:rsidRPr="00DB3F99">
                <w:rPr>
                  <w:rStyle w:val="Hyperlink"/>
                  <w:rFonts w:cs="Arial"/>
                  <w:color w:val="auto"/>
                  <w:szCs w:val="20"/>
                  <w:u w:val="none"/>
                  <w:shd w:val="clear" w:color="auto" w:fill="FFFFFF"/>
                </w:rPr>
                <w:t>8/11</w:t>
              </w:r>
            </w:hyperlink>
            <w:r w:rsidR="007878FA" w:rsidRPr="000E25E5">
              <w:rPr>
                <w:rFonts w:cs="Arial"/>
                <w:szCs w:val="20"/>
                <w:shd w:val="clear" w:color="auto" w:fill="FFFFFF"/>
              </w:rPr>
              <w:t> – ORZPPOGD4 in </w:t>
            </w:r>
            <w:hyperlink r:id="rId15" w:tgtFrame="_blank" w:tooltip="Zakon o spremembah in dopolnitvah Zakona o dostopu do informacij javnega značaja" w:history="1">
              <w:r w:rsidR="007878FA" w:rsidRPr="00DB3F99">
                <w:rPr>
                  <w:rStyle w:val="Hyperlink"/>
                  <w:rFonts w:cs="Arial"/>
                  <w:color w:val="auto"/>
                  <w:szCs w:val="20"/>
                  <w:u w:val="none"/>
                  <w:shd w:val="clear" w:color="auto" w:fill="FFFFFF"/>
                </w:rPr>
                <w:t>23/14</w:t>
              </w:r>
            </w:hyperlink>
            <w:r w:rsidRPr="00DB3F99">
              <w:rPr>
                <w:rFonts w:cs="Arial"/>
                <w:szCs w:val="20"/>
                <w:shd w:val="clear" w:color="auto" w:fill="FFFFFF"/>
              </w:rPr>
              <w:t> – ZDIJZ</w:t>
            </w:r>
            <w:r w:rsidRPr="000E25E5">
              <w:rPr>
                <w:rFonts w:cs="Arial"/>
                <w:szCs w:val="20"/>
                <w:shd w:val="clear" w:color="auto" w:fill="FFFFFF"/>
              </w:rPr>
              <w:t xml:space="preserve">-C). Pri ugotavljanju lastništva družb je ključen njegov dejanski (končni) lastnik, kar je v družbah, ki so v posredni večinski lasti države </w:t>
            </w:r>
            <w:r>
              <w:rPr>
                <w:rFonts w:cs="Arial"/>
                <w:szCs w:val="20"/>
                <w:shd w:val="clear" w:color="auto" w:fill="FFFFFF"/>
              </w:rPr>
              <w:t xml:space="preserve">ali </w:t>
            </w:r>
            <w:r w:rsidRPr="000E25E5">
              <w:rPr>
                <w:rFonts w:cs="Arial"/>
                <w:szCs w:val="20"/>
                <w:shd w:val="clear" w:color="auto" w:fill="FFFFFF"/>
              </w:rPr>
              <w:t xml:space="preserve">lokalne skupnosti, Republika Slovenija ali lokalna skupnost. Podjetja v lasti države imajo v Republiki Sloveniji velik delež v gospodarstvu in pomembno vlogo v družbenem razvoju. </w:t>
            </w:r>
            <w:r>
              <w:rPr>
                <w:rFonts w:cs="Arial"/>
                <w:szCs w:val="20"/>
                <w:shd w:val="clear" w:color="auto" w:fill="FFFFFF"/>
              </w:rPr>
              <w:t>U</w:t>
            </w:r>
            <w:r w:rsidRPr="009B69A0">
              <w:rPr>
                <w:rFonts w:cs="Arial"/>
                <w:szCs w:val="20"/>
                <w:shd w:val="clear" w:color="auto" w:fill="FFFFFF"/>
              </w:rPr>
              <w:t>ravnotežen</w:t>
            </w:r>
            <w:r>
              <w:rPr>
                <w:rFonts w:cs="Arial"/>
                <w:szCs w:val="20"/>
                <w:shd w:val="clear" w:color="auto" w:fill="FFFFFF"/>
              </w:rPr>
              <w:t>a</w:t>
            </w:r>
            <w:r w:rsidRPr="009B69A0">
              <w:rPr>
                <w:rFonts w:cs="Arial"/>
                <w:szCs w:val="20"/>
                <w:shd w:val="clear" w:color="auto" w:fill="FFFFFF"/>
              </w:rPr>
              <w:t xml:space="preserve"> zastopanost spolov</w:t>
            </w:r>
            <w:r w:rsidRPr="000E25E5" w:rsidDel="009B69A0">
              <w:rPr>
                <w:rFonts w:cs="Arial"/>
                <w:szCs w:val="20"/>
                <w:shd w:val="clear" w:color="auto" w:fill="FFFFFF"/>
              </w:rPr>
              <w:t xml:space="preserve"> </w:t>
            </w:r>
            <w:r w:rsidRPr="000E25E5">
              <w:rPr>
                <w:rFonts w:cs="Arial"/>
                <w:szCs w:val="20"/>
                <w:shd w:val="clear" w:color="auto" w:fill="FFFFFF"/>
              </w:rPr>
              <w:t xml:space="preserve">v organih vodenja in nadzora družb dokazano prispeva k boljšemu upravljanju družb, kar posledično vpliva na boljše poslovanje, finančno uspešnost in dobičkonosnost. </w:t>
            </w:r>
            <w:r>
              <w:rPr>
                <w:rFonts w:cs="Arial"/>
                <w:szCs w:val="20"/>
                <w:shd w:val="clear" w:color="auto" w:fill="FFFFFF"/>
              </w:rPr>
              <w:t>To</w:t>
            </w:r>
            <w:r w:rsidRPr="000E25E5">
              <w:rPr>
                <w:rFonts w:cs="Arial"/>
                <w:szCs w:val="20"/>
                <w:shd w:val="clear" w:color="auto" w:fill="FFFFFF"/>
              </w:rPr>
              <w:t xml:space="preserve"> </w:t>
            </w:r>
            <w:r w:rsidRPr="000E25E5">
              <w:rPr>
                <w:rFonts w:cs="Arial"/>
                <w:szCs w:val="20"/>
              </w:rPr>
              <w:t>pomembno vpliva tudi na državni proračun</w:t>
            </w:r>
            <w:r>
              <w:rPr>
                <w:rFonts w:cs="Arial"/>
                <w:szCs w:val="20"/>
              </w:rPr>
              <w:t>,</w:t>
            </w:r>
            <w:r w:rsidRPr="000E25E5">
              <w:rPr>
                <w:rFonts w:cs="Arial"/>
                <w:szCs w:val="20"/>
              </w:rPr>
              <w:t xml:space="preserve"> zato je pomembno, da n</w:t>
            </w:r>
            <w:r w:rsidRPr="000E25E5">
              <w:rPr>
                <w:rFonts w:cs="Arial"/>
                <w:szCs w:val="20"/>
                <w:shd w:val="clear" w:color="auto" w:fill="FFFFFF"/>
              </w:rPr>
              <w:t xml:space="preserve">e glede na obliko kapitalske naložbe države ali lokalne skupnosti, tj. posredno ali neposredno, te družbe upoštevajo najvišje normative pri poslovanju in upravljanju, kar </w:t>
            </w:r>
            <w:r w:rsidRPr="000E25E5">
              <w:rPr>
                <w:rFonts w:cs="Arial"/>
                <w:szCs w:val="20"/>
              </w:rPr>
              <w:t>pomembno prispeva k uresničevanju razvojnih in drugih strateških ciljev države in k uresničevanju javnega interesa</w:t>
            </w:r>
            <w:r w:rsidRPr="000E25E5">
              <w:rPr>
                <w:rFonts w:cs="Arial"/>
                <w:szCs w:val="20"/>
                <w:shd w:val="clear" w:color="auto" w:fill="FFFFFF"/>
              </w:rPr>
              <w:t xml:space="preserve">, hkrati pa s tem predstavljajo pozitiven zgled za </w:t>
            </w:r>
            <w:r>
              <w:rPr>
                <w:rFonts w:cs="Arial"/>
                <w:szCs w:val="20"/>
                <w:shd w:val="clear" w:color="auto" w:fill="FFFFFF"/>
              </w:rPr>
              <w:t>druge</w:t>
            </w:r>
            <w:r w:rsidRPr="000E25E5">
              <w:rPr>
                <w:rFonts w:cs="Arial"/>
                <w:szCs w:val="20"/>
                <w:shd w:val="clear" w:color="auto" w:fill="FFFFFF"/>
              </w:rPr>
              <w:t xml:space="preserve"> gospodarske družbe.</w:t>
            </w:r>
          </w:p>
          <w:p w14:paraId="6FB8741E" w14:textId="77777777" w:rsidR="00526E23" w:rsidRDefault="00526E23" w:rsidP="00526E23">
            <w:pPr>
              <w:pStyle w:val="rkovnatokazaodstavkom"/>
              <w:numPr>
                <w:ilvl w:val="0"/>
                <w:numId w:val="0"/>
              </w:numPr>
              <w:spacing w:line="260" w:lineRule="exact"/>
              <w:ind w:left="644"/>
              <w:rPr>
                <w:rFonts w:cs="Arial"/>
                <w:color w:val="000000" w:themeColor="text1"/>
              </w:rPr>
            </w:pPr>
          </w:p>
          <w:p w14:paraId="124B89C7" w14:textId="77777777" w:rsidR="00526E23" w:rsidRPr="003555A0" w:rsidRDefault="00526E23" w:rsidP="00526E23">
            <w:pPr>
              <w:jc w:val="both"/>
              <w:rPr>
                <w:rFonts w:cs="Arial"/>
                <w:b/>
                <w:bCs/>
                <w:szCs w:val="20"/>
                <w:shd w:val="clear" w:color="auto" w:fill="FFFFFF"/>
              </w:rPr>
            </w:pPr>
            <w:r w:rsidRPr="003555A0">
              <w:rPr>
                <w:rFonts w:cs="Arial"/>
                <w:b/>
                <w:bCs/>
                <w:szCs w:val="20"/>
                <w:shd w:val="clear" w:color="auto" w:fill="FFFFFF"/>
              </w:rPr>
              <w:t>Z</w:t>
            </w:r>
            <w:r>
              <w:rPr>
                <w:rFonts w:cs="Arial"/>
                <w:b/>
                <w:bCs/>
                <w:szCs w:val="20"/>
                <w:shd w:val="clear" w:color="auto" w:fill="FFFFFF"/>
              </w:rPr>
              <w:t>agovornik načela enakosti</w:t>
            </w:r>
            <w:r w:rsidRPr="003555A0">
              <w:rPr>
                <w:rFonts w:cs="Arial"/>
                <w:b/>
                <w:bCs/>
                <w:szCs w:val="20"/>
                <w:shd w:val="clear" w:color="auto" w:fill="FFFFFF"/>
              </w:rPr>
              <w:t xml:space="preserve"> je predlagal:</w:t>
            </w:r>
          </w:p>
          <w:p w14:paraId="76F159E7" w14:textId="77777777" w:rsidR="00526E23" w:rsidRPr="006F7E65" w:rsidRDefault="00526E23" w:rsidP="00526E23">
            <w:pPr>
              <w:pStyle w:val="ListParagraph"/>
              <w:numPr>
                <w:ilvl w:val="0"/>
                <w:numId w:val="94"/>
              </w:numPr>
              <w:spacing w:after="0" w:line="260" w:lineRule="atLeast"/>
              <w:jc w:val="both"/>
              <w:rPr>
                <w:rFonts w:ascii="Arial" w:hAnsi="Arial" w:cs="Arial"/>
                <w:sz w:val="20"/>
                <w:szCs w:val="20"/>
              </w:rPr>
            </w:pPr>
            <w:r w:rsidRPr="003555A0">
              <w:rPr>
                <w:rFonts w:ascii="Arial" w:hAnsi="Arial" w:cs="Arial"/>
                <w:b/>
                <w:bCs/>
                <w:sz w:val="20"/>
                <w:szCs w:val="20"/>
              </w:rPr>
              <w:t xml:space="preserve">da se razširi krog družb, ki morajo zagotoviti ciljni delež zastopanosti manj zastopanega spola, na vse družbe z večinsko naložbo države </w:t>
            </w:r>
            <w:r>
              <w:rPr>
                <w:rFonts w:ascii="Arial" w:hAnsi="Arial" w:cs="Arial"/>
                <w:b/>
                <w:bCs/>
                <w:sz w:val="20"/>
                <w:szCs w:val="20"/>
              </w:rPr>
              <w:t>ali</w:t>
            </w:r>
            <w:r w:rsidRPr="003555A0">
              <w:rPr>
                <w:rFonts w:ascii="Arial" w:hAnsi="Arial" w:cs="Arial"/>
                <w:b/>
                <w:bCs/>
                <w:sz w:val="20"/>
                <w:szCs w:val="20"/>
              </w:rPr>
              <w:t xml:space="preserve"> samoupravne lokalne skupnosti, ne glede na njihovo velikost, in vse gospodarske družbe z več kot 250 zaposlenimi. </w:t>
            </w:r>
            <w:r w:rsidRPr="003555A0">
              <w:rPr>
                <w:rFonts w:ascii="Arial" w:hAnsi="Arial" w:cs="Arial"/>
                <w:sz w:val="20"/>
                <w:szCs w:val="20"/>
              </w:rPr>
              <w:t xml:space="preserve">Zagovornik priporoča širitev kroga zavezancev s približno 30 na prek 500 glede na pomen ciljev in namenov direktive ter določb primarnega prava EU, ki so nedvomno v najširšem javnem interesu in ker enakost spolov v družbah na splošno ni dosežena. Pri pripravi predlogov določb za prenos </w:t>
            </w:r>
            <w:r w:rsidRPr="003555A0">
              <w:rPr>
                <w:rFonts w:ascii="Arial" w:hAnsi="Arial" w:cs="Arial"/>
                <w:sz w:val="20"/>
                <w:szCs w:val="20"/>
              </w:rPr>
              <w:lastRenderedPageBreak/>
              <w:t xml:space="preserve">direktive, ki ureja </w:t>
            </w:r>
            <w:r>
              <w:rPr>
                <w:rFonts w:ascii="Arial" w:hAnsi="Arial" w:cs="Arial"/>
                <w:color w:val="000000" w:themeColor="text1"/>
                <w:sz w:val="20"/>
                <w:szCs w:val="20"/>
              </w:rPr>
              <w:t xml:space="preserve">uravnoteženo </w:t>
            </w:r>
            <w:r w:rsidRPr="003555A0">
              <w:rPr>
                <w:rFonts w:ascii="Arial" w:hAnsi="Arial" w:cs="Arial"/>
                <w:sz w:val="20"/>
                <w:szCs w:val="20"/>
              </w:rPr>
              <w:t xml:space="preserve">zastopanost </w:t>
            </w:r>
            <w:r>
              <w:rPr>
                <w:rFonts w:ascii="Arial" w:hAnsi="Arial" w:cs="Arial"/>
                <w:sz w:val="20"/>
                <w:szCs w:val="20"/>
              </w:rPr>
              <w:t xml:space="preserve">spolov </w:t>
            </w:r>
            <w:r w:rsidRPr="003555A0">
              <w:rPr>
                <w:rFonts w:ascii="Arial" w:hAnsi="Arial" w:cs="Arial"/>
                <w:sz w:val="20"/>
                <w:szCs w:val="20"/>
              </w:rPr>
              <w:t>na najvišjih položajih v gospodarskih družbah, smo pr</w:t>
            </w:r>
            <w:r>
              <w:rPr>
                <w:rFonts w:ascii="Arial" w:hAnsi="Arial" w:cs="Arial"/>
                <w:sz w:val="20"/>
                <w:szCs w:val="20"/>
              </w:rPr>
              <w:t>o</w:t>
            </w:r>
            <w:r w:rsidRPr="003555A0">
              <w:rPr>
                <w:rFonts w:ascii="Arial" w:hAnsi="Arial" w:cs="Arial"/>
                <w:sz w:val="20"/>
                <w:szCs w:val="20"/>
              </w:rPr>
              <w:t>učili stanje na področju, imeli sestanke z relevantnimi deležniki in naredili mednarodno pravno primerjavo na področju. Iskali s</w:t>
            </w:r>
            <w:r w:rsidRPr="003555A0" w:rsidDel="005C6659">
              <w:rPr>
                <w:rFonts w:ascii="Arial" w:hAnsi="Arial" w:cs="Arial"/>
                <w:sz w:val="20"/>
                <w:szCs w:val="20"/>
              </w:rPr>
              <w:t>m</w:t>
            </w:r>
            <w:r w:rsidRPr="003555A0">
              <w:rPr>
                <w:rFonts w:ascii="Arial" w:hAnsi="Arial" w:cs="Arial"/>
                <w:sz w:val="20"/>
                <w:szCs w:val="20"/>
              </w:rPr>
              <w:t xml:space="preserve">o sorazmerno rešitev, ki bi bila sprejemljiva za predstavnike gospodarstva, </w:t>
            </w:r>
            <w:r>
              <w:rPr>
                <w:rFonts w:ascii="Arial" w:hAnsi="Arial" w:cs="Arial"/>
                <w:sz w:val="20"/>
                <w:szCs w:val="20"/>
              </w:rPr>
              <w:t>ki</w:t>
            </w:r>
            <w:r w:rsidRPr="003555A0">
              <w:rPr>
                <w:rFonts w:ascii="Arial" w:hAnsi="Arial" w:cs="Arial"/>
                <w:sz w:val="20"/>
                <w:szCs w:val="20"/>
              </w:rPr>
              <w:t xml:space="preserve"> zagovarjajo minimalno harmonizacijo z direktivo</w:t>
            </w:r>
            <w:r>
              <w:rPr>
                <w:rFonts w:ascii="Arial" w:hAnsi="Arial" w:cs="Arial"/>
                <w:sz w:val="20"/>
                <w:szCs w:val="20"/>
              </w:rPr>
              <w:t>,</w:t>
            </w:r>
            <w:r w:rsidRPr="003555A0">
              <w:rPr>
                <w:rFonts w:ascii="Arial" w:hAnsi="Arial" w:cs="Arial"/>
                <w:sz w:val="20"/>
                <w:szCs w:val="20"/>
              </w:rPr>
              <w:t xml:space="preserve"> in druge deležnike, ki zagovarjajo širitev zahtev prek direktive.</w:t>
            </w:r>
            <w:r w:rsidRPr="003555A0">
              <w:rPr>
                <w:rFonts w:cs="Arial"/>
                <w:szCs w:val="20"/>
              </w:rPr>
              <w:t xml:space="preserve"> V</w:t>
            </w:r>
            <w:r w:rsidRPr="003555A0">
              <w:rPr>
                <w:rFonts w:ascii="Arial" w:hAnsi="Arial" w:cs="Arial"/>
                <w:sz w:val="20"/>
                <w:szCs w:val="20"/>
              </w:rPr>
              <w:t xml:space="preserve"> skladu z merili iz </w:t>
            </w:r>
            <w:r>
              <w:rPr>
                <w:rFonts w:ascii="Arial" w:hAnsi="Arial" w:cs="Arial"/>
                <w:sz w:val="20"/>
                <w:szCs w:val="20"/>
              </w:rPr>
              <w:t>direktive bi</w:t>
            </w:r>
            <w:r w:rsidRPr="003555A0">
              <w:rPr>
                <w:rFonts w:ascii="Arial" w:hAnsi="Arial" w:cs="Arial"/>
                <w:sz w:val="20"/>
                <w:szCs w:val="20"/>
              </w:rPr>
              <w:t xml:space="preserve"> pravila v zvezi z uravnoteženo</w:t>
            </w:r>
            <w:r w:rsidRPr="003555A0" w:rsidDel="006E0C85">
              <w:rPr>
                <w:rFonts w:ascii="Arial" w:hAnsi="Arial" w:cs="Arial"/>
                <w:sz w:val="20"/>
                <w:szCs w:val="20"/>
              </w:rPr>
              <w:t xml:space="preserve"> </w:t>
            </w:r>
            <w:r w:rsidRPr="003555A0">
              <w:rPr>
                <w:rFonts w:ascii="Arial" w:hAnsi="Arial" w:cs="Arial"/>
                <w:sz w:val="20"/>
                <w:szCs w:val="20"/>
              </w:rPr>
              <w:t xml:space="preserve">zastopanostjo </w:t>
            </w:r>
            <w:r w:rsidRPr="006E0C85">
              <w:rPr>
                <w:rFonts w:ascii="Arial" w:hAnsi="Arial" w:cs="Arial"/>
                <w:sz w:val="20"/>
                <w:szCs w:val="20"/>
              </w:rPr>
              <w:t xml:space="preserve">spolov </w:t>
            </w:r>
            <w:r w:rsidRPr="003555A0">
              <w:rPr>
                <w:rFonts w:ascii="Arial" w:hAnsi="Arial" w:cs="Arial"/>
                <w:sz w:val="20"/>
                <w:szCs w:val="20"/>
              </w:rPr>
              <w:t xml:space="preserve">med vodilnimi osebami v družbah veljala za </w:t>
            </w:r>
            <w:r>
              <w:rPr>
                <w:rFonts w:ascii="Arial" w:hAnsi="Arial" w:cs="Arial"/>
                <w:sz w:val="20"/>
                <w:szCs w:val="20"/>
              </w:rPr>
              <w:t>malo</w:t>
            </w:r>
            <w:r w:rsidRPr="003555A0">
              <w:rPr>
                <w:rFonts w:ascii="Arial" w:hAnsi="Arial" w:cs="Arial"/>
                <w:sz w:val="20"/>
                <w:szCs w:val="20"/>
              </w:rPr>
              <w:t xml:space="preserve"> zavezancev (11 družb v letu 2023), zato smo razmišljali o možnostih razširitve obsega </w:t>
            </w:r>
            <w:r w:rsidRPr="00586165">
              <w:rPr>
                <w:rFonts w:ascii="Arial" w:hAnsi="Arial" w:cs="Arial"/>
                <w:sz w:val="20"/>
                <w:szCs w:val="20"/>
              </w:rPr>
              <w:t xml:space="preserve">kroga </w:t>
            </w:r>
            <w:r w:rsidRPr="003555A0">
              <w:rPr>
                <w:rFonts w:ascii="Arial" w:hAnsi="Arial" w:cs="Arial"/>
                <w:sz w:val="20"/>
                <w:szCs w:val="20"/>
              </w:rPr>
              <w:t>zavezancev. Najprej s</w:t>
            </w:r>
            <w:r w:rsidRPr="003555A0" w:rsidDel="005C6659">
              <w:rPr>
                <w:rFonts w:ascii="Arial" w:hAnsi="Arial" w:cs="Arial"/>
                <w:sz w:val="20"/>
                <w:szCs w:val="20"/>
              </w:rPr>
              <w:t>m</w:t>
            </w:r>
            <w:r w:rsidRPr="003555A0">
              <w:rPr>
                <w:rFonts w:ascii="Arial" w:hAnsi="Arial" w:cs="Arial"/>
                <w:sz w:val="20"/>
                <w:szCs w:val="20"/>
              </w:rPr>
              <w:t xml:space="preserve">o se odločili razširiti obseg </w:t>
            </w:r>
            <w:r w:rsidRPr="00586165">
              <w:rPr>
                <w:rFonts w:ascii="Arial" w:hAnsi="Arial" w:cs="Arial"/>
                <w:sz w:val="20"/>
                <w:szCs w:val="20"/>
              </w:rPr>
              <w:t xml:space="preserve">kroga </w:t>
            </w:r>
            <w:r w:rsidRPr="003555A0">
              <w:rPr>
                <w:rFonts w:ascii="Arial" w:hAnsi="Arial" w:cs="Arial"/>
                <w:sz w:val="20"/>
                <w:szCs w:val="20"/>
              </w:rPr>
              <w:t xml:space="preserve">zavezancev na velike družbe s kapitalsko naložbo države in lokalnih skupnosti, v katerih ima država </w:t>
            </w:r>
            <w:r>
              <w:rPr>
                <w:rFonts w:ascii="Arial" w:hAnsi="Arial" w:cs="Arial"/>
                <w:sz w:val="20"/>
                <w:szCs w:val="20"/>
              </w:rPr>
              <w:t>ali</w:t>
            </w:r>
            <w:r w:rsidRPr="003555A0">
              <w:rPr>
                <w:rFonts w:ascii="Arial" w:hAnsi="Arial" w:cs="Arial"/>
                <w:sz w:val="20"/>
                <w:szCs w:val="20"/>
              </w:rPr>
              <w:t xml:space="preserve"> lokalna skupnost večinski delež v kapitalu ali večino glasovalnih pravic ter imajo več kot 250 zaposlenih. Razlog je bil predvsem, da imajo </w:t>
            </w:r>
            <w:r w:rsidRPr="003555A0">
              <w:rPr>
                <w:rFonts w:ascii="Arial" w:hAnsi="Arial" w:cs="Arial"/>
                <w:sz w:val="20"/>
                <w:szCs w:val="20"/>
                <w:shd w:val="clear" w:color="auto" w:fill="FFFFFF"/>
              </w:rPr>
              <w:t>podjetja v lasti države v Republiki Sloveniji velik delež v gospodarstvu in pomembno vlogo v družbenem razvoju. Zaradi dokazanih pozitivnih korelacij med</w:t>
            </w:r>
            <w:r w:rsidRPr="003555A0" w:rsidDel="009B69A0">
              <w:rPr>
                <w:rFonts w:ascii="Arial" w:hAnsi="Arial" w:cs="Arial"/>
                <w:sz w:val="20"/>
                <w:szCs w:val="20"/>
                <w:shd w:val="clear" w:color="auto" w:fill="FFFFFF"/>
              </w:rPr>
              <w:t xml:space="preserve"> </w:t>
            </w:r>
            <w:r w:rsidRPr="009B69A0">
              <w:rPr>
                <w:rFonts w:ascii="Arial" w:hAnsi="Arial" w:cs="Arial"/>
                <w:sz w:val="20"/>
                <w:szCs w:val="20"/>
                <w:shd w:val="clear" w:color="auto" w:fill="FFFFFF"/>
              </w:rPr>
              <w:t>uravnotežen</w:t>
            </w:r>
            <w:r>
              <w:rPr>
                <w:rFonts w:ascii="Arial" w:hAnsi="Arial" w:cs="Arial"/>
                <w:sz w:val="20"/>
                <w:szCs w:val="20"/>
                <w:shd w:val="clear" w:color="auto" w:fill="FFFFFF"/>
              </w:rPr>
              <w:t>o</w:t>
            </w:r>
            <w:r w:rsidRPr="009B69A0">
              <w:rPr>
                <w:rFonts w:ascii="Arial" w:hAnsi="Arial" w:cs="Arial"/>
                <w:sz w:val="20"/>
                <w:szCs w:val="20"/>
                <w:shd w:val="clear" w:color="auto" w:fill="FFFFFF"/>
              </w:rPr>
              <w:t xml:space="preserve"> zastopanost</w:t>
            </w:r>
            <w:r>
              <w:rPr>
                <w:rFonts w:ascii="Arial" w:hAnsi="Arial" w:cs="Arial"/>
                <w:sz w:val="20"/>
                <w:szCs w:val="20"/>
                <w:shd w:val="clear" w:color="auto" w:fill="FFFFFF"/>
              </w:rPr>
              <w:t>jo</w:t>
            </w:r>
            <w:r w:rsidRPr="009B69A0">
              <w:rPr>
                <w:rFonts w:ascii="Arial" w:hAnsi="Arial" w:cs="Arial"/>
                <w:sz w:val="20"/>
                <w:szCs w:val="20"/>
                <w:shd w:val="clear" w:color="auto" w:fill="FFFFFF"/>
              </w:rPr>
              <w:t xml:space="preserve"> spolov</w:t>
            </w:r>
            <w:r w:rsidRPr="003555A0" w:rsidDel="009B69A0">
              <w:rPr>
                <w:rFonts w:ascii="Arial" w:hAnsi="Arial" w:cs="Arial"/>
                <w:sz w:val="20"/>
                <w:szCs w:val="20"/>
                <w:shd w:val="clear" w:color="auto" w:fill="FFFFFF"/>
              </w:rPr>
              <w:t xml:space="preserve"> </w:t>
            </w:r>
            <w:r>
              <w:rPr>
                <w:rFonts w:ascii="Arial" w:hAnsi="Arial" w:cs="Arial"/>
                <w:sz w:val="20"/>
                <w:szCs w:val="20"/>
                <w:shd w:val="clear" w:color="auto" w:fill="FFFFFF"/>
              </w:rPr>
              <w:t>v</w:t>
            </w:r>
            <w:r w:rsidRPr="003555A0">
              <w:rPr>
                <w:rFonts w:ascii="Arial" w:hAnsi="Arial" w:cs="Arial"/>
                <w:sz w:val="20"/>
                <w:szCs w:val="20"/>
                <w:shd w:val="clear" w:color="auto" w:fill="FFFFFF"/>
              </w:rPr>
              <w:t xml:space="preserve"> organ</w:t>
            </w:r>
            <w:r>
              <w:rPr>
                <w:rFonts w:ascii="Arial" w:hAnsi="Arial" w:cs="Arial"/>
                <w:sz w:val="20"/>
                <w:szCs w:val="20"/>
                <w:shd w:val="clear" w:color="auto" w:fill="FFFFFF"/>
              </w:rPr>
              <w:t>u</w:t>
            </w:r>
            <w:r w:rsidRPr="003555A0">
              <w:rPr>
                <w:rFonts w:ascii="Arial" w:hAnsi="Arial" w:cs="Arial"/>
                <w:sz w:val="20"/>
                <w:szCs w:val="20"/>
                <w:shd w:val="clear" w:color="auto" w:fill="FFFFFF"/>
              </w:rPr>
              <w:t xml:space="preserve"> vodenja in nadzora ter finančno uspešnostjo in dobičkonosnostjo družbe je pomembno, da te upoštevajo najvišje normative pri poslovanju in upravljanju, kar </w:t>
            </w:r>
            <w:r w:rsidRPr="003555A0">
              <w:rPr>
                <w:rFonts w:ascii="Arial" w:hAnsi="Arial" w:cs="Arial"/>
                <w:sz w:val="20"/>
                <w:szCs w:val="20"/>
              </w:rPr>
              <w:t>pomembno prispeva k uresničevanju razvojnih in drugih strateških ciljev države ter k uresničevanju javnega interesa</w:t>
            </w:r>
            <w:r w:rsidRPr="003555A0">
              <w:rPr>
                <w:rFonts w:ascii="Arial" w:hAnsi="Arial" w:cs="Arial"/>
                <w:sz w:val="20"/>
                <w:szCs w:val="20"/>
                <w:shd w:val="clear" w:color="auto" w:fill="FFFFFF"/>
              </w:rPr>
              <w:t xml:space="preserve">. </w:t>
            </w:r>
            <w:r w:rsidRPr="003555A0">
              <w:rPr>
                <w:rFonts w:ascii="Arial" w:hAnsi="Arial" w:cs="Arial"/>
                <w:sz w:val="20"/>
                <w:szCs w:val="20"/>
              </w:rPr>
              <w:t xml:space="preserve">Med pogajanji </w:t>
            </w:r>
            <w:r>
              <w:rPr>
                <w:rFonts w:ascii="Arial" w:hAnsi="Arial" w:cs="Arial"/>
                <w:sz w:val="20"/>
                <w:szCs w:val="20"/>
              </w:rPr>
              <w:t xml:space="preserve">glede </w:t>
            </w:r>
            <w:r w:rsidRPr="003555A0">
              <w:rPr>
                <w:rFonts w:ascii="Arial" w:hAnsi="Arial" w:cs="Arial"/>
                <w:sz w:val="20"/>
                <w:szCs w:val="20"/>
              </w:rPr>
              <w:t>direktive je bilo tudi večkrat poudarjeno, da imajo javne in državne gospodarske družbe velik vpliv na gospodarstvo, so prepoznavne in zgled zasebnemu sektorju.</w:t>
            </w:r>
            <w:r w:rsidRPr="003555A0">
              <w:rPr>
                <w:rFonts w:cs="Arial"/>
                <w:szCs w:val="20"/>
              </w:rPr>
              <w:t xml:space="preserve"> </w:t>
            </w:r>
            <w:r w:rsidRPr="003555A0">
              <w:rPr>
                <w:rFonts w:ascii="Arial" w:hAnsi="Arial" w:cs="Arial"/>
                <w:sz w:val="20"/>
                <w:szCs w:val="20"/>
              </w:rPr>
              <w:t>V zvezi s predlogom, da bi bile zavezanke vse državne družbe ne glede na velikost</w:t>
            </w:r>
            <w:r>
              <w:rPr>
                <w:rFonts w:ascii="Arial" w:hAnsi="Arial" w:cs="Arial"/>
                <w:sz w:val="20"/>
                <w:szCs w:val="20"/>
              </w:rPr>
              <w:t>,</w:t>
            </w:r>
            <w:r w:rsidRPr="003555A0">
              <w:rPr>
                <w:rFonts w:ascii="Arial" w:hAnsi="Arial" w:cs="Arial"/>
                <w:sz w:val="20"/>
                <w:szCs w:val="20"/>
              </w:rPr>
              <w:t xml:space="preserve"> pojasnjujemo, da smo po analogiji </w:t>
            </w:r>
            <w:r>
              <w:rPr>
                <w:rFonts w:ascii="Arial" w:hAnsi="Arial" w:cs="Arial"/>
                <w:sz w:val="20"/>
                <w:szCs w:val="20"/>
              </w:rPr>
              <w:t xml:space="preserve">z </w:t>
            </w:r>
            <w:r w:rsidRPr="003555A0">
              <w:rPr>
                <w:rFonts w:ascii="Arial" w:hAnsi="Arial" w:cs="Arial"/>
                <w:sz w:val="20"/>
                <w:szCs w:val="20"/>
              </w:rPr>
              <w:t>direktiv</w:t>
            </w:r>
            <w:r>
              <w:rPr>
                <w:rFonts w:ascii="Arial" w:hAnsi="Arial" w:cs="Arial"/>
                <w:sz w:val="20"/>
                <w:szCs w:val="20"/>
              </w:rPr>
              <w:t>o</w:t>
            </w:r>
            <w:r w:rsidRPr="003555A0">
              <w:rPr>
                <w:rFonts w:ascii="Arial" w:hAnsi="Arial" w:cs="Arial"/>
                <w:sz w:val="20"/>
                <w:szCs w:val="20"/>
              </w:rPr>
              <w:t xml:space="preserve">, ki določa, da so srednje in majhne borzne družbe izključene iz obsega uporabe, to upoštevali tudi pri širitvi </w:t>
            </w:r>
            <w:r w:rsidRPr="00586165">
              <w:rPr>
                <w:rFonts w:ascii="Arial" w:hAnsi="Arial" w:cs="Arial"/>
                <w:sz w:val="20"/>
                <w:szCs w:val="20"/>
              </w:rPr>
              <w:t xml:space="preserve">kroga </w:t>
            </w:r>
            <w:r w:rsidRPr="003555A0">
              <w:rPr>
                <w:rFonts w:ascii="Arial" w:hAnsi="Arial" w:cs="Arial"/>
                <w:sz w:val="20"/>
                <w:szCs w:val="20"/>
              </w:rPr>
              <w:t>zavezancev. Smiselno je, da se spremlja</w:t>
            </w:r>
            <w:r>
              <w:rPr>
                <w:rFonts w:ascii="Arial" w:hAnsi="Arial" w:cs="Arial"/>
                <w:sz w:val="20"/>
                <w:szCs w:val="20"/>
              </w:rPr>
              <w:t>jo</w:t>
            </w:r>
            <w:r w:rsidRPr="003555A0">
              <w:rPr>
                <w:rFonts w:ascii="Arial" w:hAnsi="Arial" w:cs="Arial"/>
                <w:sz w:val="20"/>
                <w:szCs w:val="20"/>
              </w:rPr>
              <w:t xml:space="preserve"> velike družbe, ker imajo te praviloma veččlanske organe vodenja in nadzora, v katerih je lažje zagotoviti uravnoteženo zastopanost</w:t>
            </w:r>
            <w:r>
              <w:t xml:space="preserve"> </w:t>
            </w:r>
            <w:r w:rsidRPr="006E0C85">
              <w:rPr>
                <w:rFonts w:ascii="Arial" w:hAnsi="Arial" w:cs="Arial"/>
                <w:sz w:val="20"/>
                <w:szCs w:val="20"/>
              </w:rPr>
              <w:t>spolov</w:t>
            </w:r>
            <w:r w:rsidRPr="003555A0">
              <w:rPr>
                <w:rFonts w:ascii="Arial" w:hAnsi="Arial" w:cs="Arial"/>
                <w:sz w:val="20"/>
                <w:szCs w:val="20"/>
              </w:rPr>
              <w:t>.</w:t>
            </w:r>
            <w:r w:rsidRPr="003555A0">
              <w:rPr>
                <w:rFonts w:cs="Arial"/>
                <w:szCs w:val="20"/>
              </w:rPr>
              <w:t xml:space="preserve"> </w:t>
            </w:r>
            <w:r w:rsidRPr="003555A0">
              <w:rPr>
                <w:rFonts w:ascii="Arial" w:hAnsi="Arial" w:cs="Arial"/>
                <w:sz w:val="20"/>
                <w:szCs w:val="20"/>
              </w:rPr>
              <w:t xml:space="preserve">Odločitev o obsegu </w:t>
            </w:r>
            <w:r w:rsidRPr="00586165">
              <w:rPr>
                <w:rFonts w:ascii="Arial" w:hAnsi="Arial" w:cs="Arial"/>
                <w:sz w:val="20"/>
                <w:szCs w:val="20"/>
              </w:rPr>
              <w:t xml:space="preserve">kroga </w:t>
            </w:r>
            <w:r w:rsidRPr="003555A0">
              <w:rPr>
                <w:rFonts w:ascii="Arial" w:hAnsi="Arial" w:cs="Arial"/>
                <w:sz w:val="20"/>
                <w:szCs w:val="20"/>
              </w:rPr>
              <w:t xml:space="preserve">zavezancev je temeljila tudi na mednarodno primerjalni analizi. Države članice, ki že imajo zakonsko določene deleže glede </w:t>
            </w:r>
            <w:r w:rsidRPr="006E0C85">
              <w:rPr>
                <w:rFonts w:ascii="Arial" w:hAnsi="Arial" w:cs="Arial"/>
                <w:sz w:val="20"/>
                <w:szCs w:val="20"/>
              </w:rPr>
              <w:t>uravnotežen</w:t>
            </w:r>
            <w:r>
              <w:rPr>
                <w:rFonts w:ascii="Arial" w:hAnsi="Arial" w:cs="Arial"/>
                <w:sz w:val="20"/>
                <w:szCs w:val="20"/>
              </w:rPr>
              <w:t>e</w:t>
            </w:r>
            <w:r w:rsidRPr="006E0C85"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družb, imajo večinoma to urejeno za velike borzne družbe in družbe v državni </w:t>
            </w:r>
            <w:r>
              <w:rPr>
                <w:rFonts w:ascii="Arial" w:hAnsi="Arial" w:cs="Arial"/>
                <w:sz w:val="20"/>
                <w:szCs w:val="20"/>
              </w:rPr>
              <w:t>ali</w:t>
            </w:r>
            <w:r w:rsidRPr="003555A0">
              <w:rPr>
                <w:rFonts w:ascii="Arial" w:hAnsi="Arial" w:cs="Arial"/>
                <w:sz w:val="20"/>
                <w:szCs w:val="20"/>
              </w:rPr>
              <w:t xml:space="preserve"> lokalni lasti. V nekaterih državah (Nemčija, Nizozemska) so velike zasebne družbe</w:t>
            </w:r>
            <w:r w:rsidRPr="003555A0">
              <w:rPr>
                <w:rFonts w:ascii="Arial" w:hAnsi="Arial" w:cs="Arial"/>
                <w:sz w:val="20"/>
                <w:szCs w:val="20"/>
                <w:shd w:val="clear" w:color="auto" w:fill="FFFFFF"/>
              </w:rPr>
              <w:t xml:space="preserve"> zavezane, da določijo ambiciozne prostovoljne ciljne deleže zastopanosti na najvišjih vodilnih mestih v družbah. </w:t>
            </w:r>
            <w:r>
              <w:rPr>
                <w:rFonts w:ascii="Arial" w:hAnsi="Arial" w:cs="Arial"/>
                <w:sz w:val="20"/>
                <w:szCs w:val="20"/>
                <w:shd w:val="clear" w:color="auto" w:fill="FFFFFF"/>
              </w:rPr>
              <w:t>Tako</w:t>
            </w:r>
            <w:r w:rsidRPr="003555A0">
              <w:rPr>
                <w:rFonts w:ascii="Arial" w:hAnsi="Arial" w:cs="Arial"/>
                <w:sz w:val="20"/>
                <w:szCs w:val="20"/>
                <w:shd w:val="clear" w:color="auto" w:fill="FFFFFF"/>
              </w:rPr>
              <w:t xml:space="preserve"> države spodbujajo tudi zasebne družbe k prizadevanjem, da zagotovijo uravnoteženo zastopanost </w:t>
            </w:r>
            <w:r w:rsidRPr="006E0C85">
              <w:rPr>
                <w:rFonts w:ascii="Arial" w:hAnsi="Arial" w:cs="Arial"/>
                <w:sz w:val="20"/>
                <w:szCs w:val="20"/>
                <w:shd w:val="clear" w:color="auto" w:fill="FFFFFF"/>
              </w:rPr>
              <w:t xml:space="preserve">spolov </w:t>
            </w:r>
            <w:r w:rsidRPr="003555A0">
              <w:rPr>
                <w:rFonts w:ascii="Arial" w:hAnsi="Arial" w:cs="Arial"/>
                <w:sz w:val="20"/>
                <w:szCs w:val="20"/>
                <w:shd w:val="clear" w:color="auto" w:fill="FFFFFF"/>
              </w:rPr>
              <w:t>na najvišjih vodilnih mestih.</w:t>
            </w:r>
            <w:r w:rsidRPr="003555A0">
              <w:rPr>
                <w:rFonts w:ascii="Arial" w:hAnsi="Arial" w:cs="Arial"/>
                <w:sz w:val="20"/>
                <w:szCs w:val="20"/>
              </w:rPr>
              <w:t xml:space="preserve"> Države članice, ki imajo zakonsko že urejene zahteve v zvezi z uravnoteženo zastopanostjo spolov v organih vodenja in nadzora v gospodarskih družbah, so postop</w:t>
            </w:r>
            <w:r>
              <w:rPr>
                <w:rFonts w:ascii="Arial" w:hAnsi="Arial" w:cs="Arial"/>
                <w:sz w:val="20"/>
                <w:szCs w:val="20"/>
              </w:rPr>
              <w:t>n</w:t>
            </w:r>
            <w:r w:rsidRPr="003555A0">
              <w:rPr>
                <w:rFonts w:ascii="Arial" w:hAnsi="Arial" w:cs="Arial"/>
                <w:sz w:val="20"/>
                <w:szCs w:val="20"/>
              </w:rPr>
              <w:t xml:space="preserve">o širile obseg </w:t>
            </w:r>
            <w:r w:rsidRPr="00586165">
              <w:rPr>
                <w:rFonts w:ascii="Arial" w:hAnsi="Arial" w:cs="Arial"/>
                <w:sz w:val="20"/>
                <w:szCs w:val="20"/>
              </w:rPr>
              <w:t xml:space="preserve">kroga </w:t>
            </w:r>
            <w:r w:rsidRPr="003555A0">
              <w:rPr>
                <w:rFonts w:ascii="Arial" w:hAnsi="Arial" w:cs="Arial"/>
                <w:sz w:val="20"/>
                <w:szCs w:val="20"/>
              </w:rPr>
              <w:t>zavezancev, ki morajo spoštovati zadevna pravila. Večina držav je v prvi fazi vključila velike javne družbe oziroma borzne družbe in nekatere tudi družbe v večinski lasti države</w:t>
            </w:r>
            <w:r w:rsidRPr="003555A0" w:rsidDel="00B14678">
              <w:rPr>
                <w:rFonts w:ascii="Arial" w:hAnsi="Arial" w:cs="Arial"/>
                <w:sz w:val="20"/>
                <w:szCs w:val="20"/>
              </w:rPr>
              <w:t xml:space="preserve"> </w:t>
            </w:r>
            <w:r>
              <w:rPr>
                <w:rFonts w:ascii="Arial" w:hAnsi="Arial" w:cs="Arial"/>
                <w:sz w:val="20"/>
                <w:szCs w:val="20"/>
              </w:rPr>
              <w:t>ali</w:t>
            </w:r>
            <w:r w:rsidRPr="003555A0">
              <w:rPr>
                <w:rFonts w:ascii="Arial" w:hAnsi="Arial" w:cs="Arial"/>
                <w:sz w:val="20"/>
                <w:szCs w:val="20"/>
              </w:rPr>
              <w:t xml:space="preserve"> lokalnih skupnosti, obseg zavezancev</w:t>
            </w:r>
            <w:r w:rsidRPr="003555A0" w:rsidDel="00B14678">
              <w:rPr>
                <w:rFonts w:ascii="Arial" w:hAnsi="Arial" w:cs="Arial"/>
                <w:sz w:val="20"/>
                <w:szCs w:val="20"/>
              </w:rPr>
              <w:t xml:space="preserve"> </w:t>
            </w:r>
            <w:r>
              <w:rPr>
                <w:rFonts w:ascii="Arial" w:hAnsi="Arial" w:cs="Arial"/>
                <w:sz w:val="20"/>
                <w:szCs w:val="20"/>
              </w:rPr>
              <w:t xml:space="preserve">pa </w:t>
            </w:r>
            <w:r w:rsidRPr="003555A0">
              <w:rPr>
                <w:rFonts w:ascii="Arial" w:hAnsi="Arial" w:cs="Arial"/>
                <w:sz w:val="20"/>
                <w:szCs w:val="20"/>
              </w:rPr>
              <w:t>so širile</w:t>
            </w:r>
            <w:r w:rsidRPr="003555A0" w:rsidDel="00B14678">
              <w:rPr>
                <w:rFonts w:ascii="Arial" w:hAnsi="Arial" w:cs="Arial"/>
                <w:sz w:val="20"/>
                <w:szCs w:val="20"/>
              </w:rPr>
              <w:t xml:space="preserve"> </w:t>
            </w:r>
            <w:r w:rsidRPr="003555A0">
              <w:rPr>
                <w:rFonts w:ascii="Arial" w:hAnsi="Arial" w:cs="Arial"/>
                <w:sz w:val="20"/>
                <w:szCs w:val="20"/>
              </w:rPr>
              <w:t xml:space="preserve">šele po določenem (večletnem) obdobju na podlagi spremljanja izvajanja zakonskih določb in stanja na področju. Glede na </w:t>
            </w:r>
            <w:r>
              <w:rPr>
                <w:rFonts w:ascii="Arial" w:hAnsi="Arial" w:cs="Arial"/>
                <w:sz w:val="20"/>
                <w:szCs w:val="20"/>
              </w:rPr>
              <w:t>to</w:t>
            </w:r>
            <w:r w:rsidRPr="003555A0">
              <w:rPr>
                <w:rFonts w:ascii="Arial" w:hAnsi="Arial" w:cs="Arial"/>
                <w:sz w:val="20"/>
                <w:szCs w:val="20"/>
              </w:rPr>
              <w:t xml:space="preserve">, da v Republiki Sloveniji prvič zakonsko urejamo področje glede uravnotežene zastopanosti </w:t>
            </w:r>
            <w:r w:rsidRPr="006E0C85">
              <w:rPr>
                <w:rFonts w:ascii="Arial" w:hAnsi="Arial" w:cs="Arial"/>
                <w:sz w:val="20"/>
                <w:szCs w:val="20"/>
              </w:rPr>
              <w:t xml:space="preserve">spolov </w:t>
            </w:r>
            <w:r w:rsidRPr="003555A0">
              <w:rPr>
                <w:rFonts w:ascii="Arial" w:hAnsi="Arial" w:cs="Arial"/>
                <w:sz w:val="20"/>
                <w:szCs w:val="20"/>
              </w:rPr>
              <w:t xml:space="preserve">na najvišjih položajih odločanja v gospodarskih družbah, bi bil lahko tako širok krog zavezancev (poleg borznih, državnih in lokalnih družb tudi velike zasebne družbe) nesorazmerno obremenjujoč za zasebne družbe. </w:t>
            </w:r>
            <w:r>
              <w:rPr>
                <w:rFonts w:ascii="Arial" w:hAnsi="Arial" w:cs="Arial"/>
                <w:sz w:val="20"/>
                <w:szCs w:val="20"/>
              </w:rPr>
              <w:t>Menimo</w:t>
            </w:r>
            <w:r w:rsidRPr="003555A0">
              <w:rPr>
                <w:rFonts w:ascii="Arial" w:hAnsi="Arial" w:cs="Arial"/>
                <w:sz w:val="20"/>
                <w:szCs w:val="20"/>
              </w:rPr>
              <w:t xml:space="preserve">, da bi to pomenilo prevelik poseg v zasebni sektor, ki potrebuje čas za prilagoditve na področju. Iz teorije je razvidno, da so potrebne družbene, institucionalne in individualne spremembe, če želimo doseči cilj glede uravnotežene zastopanosti spolov v organih vodenja in nadzora gospodarskih družb. Ker je treba </w:t>
            </w:r>
            <w:r>
              <w:rPr>
                <w:rFonts w:ascii="Arial" w:hAnsi="Arial" w:cs="Arial"/>
                <w:sz w:val="20"/>
                <w:szCs w:val="20"/>
              </w:rPr>
              <w:t xml:space="preserve">v </w:t>
            </w:r>
            <w:r w:rsidRPr="003555A0">
              <w:rPr>
                <w:rFonts w:ascii="Arial" w:hAnsi="Arial" w:cs="Arial"/>
                <w:sz w:val="20"/>
                <w:szCs w:val="20"/>
              </w:rPr>
              <w:t>sklad</w:t>
            </w:r>
            <w:r>
              <w:rPr>
                <w:rFonts w:ascii="Arial" w:hAnsi="Arial" w:cs="Arial"/>
                <w:sz w:val="20"/>
                <w:szCs w:val="20"/>
              </w:rPr>
              <w:t>u</w:t>
            </w:r>
            <w:r w:rsidRPr="003555A0">
              <w:rPr>
                <w:rFonts w:ascii="Arial" w:hAnsi="Arial" w:cs="Arial"/>
                <w:sz w:val="20"/>
                <w:szCs w:val="20"/>
              </w:rPr>
              <w:t xml:space="preserve"> z direktivo imenovati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w:t>
            </w:r>
            <w:r w:rsidRPr="003555A0">
              <w:rPr>
                <w:rStyle w:val="normaltextrun"/>
                <w:rFonts w:ascii="Arial" w:hAnsi="Arial" w:cs="Arial"/>
                <w:color w:val="000000"/>
                <w:sz w:val="20"/>
                <w:szCs w:val="20"/>
                <w:bdr w:val="none" w:sz="0" w:space="0" w:color="auto" w:frame="1"/>
              </w:rPr>
              <w:t>člani organov vodenja in nadzora ter izvršnimi direktorji</w:t>
            </w:r>
            <w:r>
              <w:rPr>
                <w:rStyle w:val="normaltextrun"/>
                <w:rFonts w:ascii="Arial" w:hAnsi="Arial" w:cs="Arial"/>
                <w:color w:val="000000"/>
                <w:sz w:val="20"/>
                <w:szCs w:val="20"/>
                <w:bdr w:val="none" w:sz="0" w:space="0" w:color="auto" w:frame="1"/>
              </w:rPr>
              <w:t>,</w:t>
            </w:r>
            <w:r w:rsidRPr="003555A0">
              <w:rPr>
                <w:rStyle w:val="normaltextrun"/>
                <w:rFonts w:ascii="Arial" w:hAnsi="Arial" w:cs="Arial"/>
                <w:color w:val="000000"/>
                <w:sz w:val="20"/>
                <w:szCs w:val="20"/>
                <w:bdr w:val="none" w:sz="0" w:space="0" w:color="auto" w:frame="1"/>
              </w:rPr>
              <w:t xml:space="preserve"> pričakujemo, da bodo družbe v </w:t>
            </w:r>
            <w:r>
              <w:rPr>
                <w:rStyle w:val="normaltextrun"/>
                <w:rFonts w:ascii="Arial" w:hAnsi="Arial" w:cs="Arial"/>
                <w:color w:val="000000"/>
                <w:sz w:val="20"/>
                <w:szCs w:val="20"/>
                <w:bdr w:val="none" w:sz="0" w:space="0" w:color="auto" w:frame="1"/>
              </w:rPr>
              <w:t>nekem</w:t>
            </w:r>
            <w:r w:rsidRPr="003555A0">
              <w:rPr>
                <w:rStyle w:val="normaltextrun"/>
                <w:rFonts w:ascii="Arial" w:hAnsi="Arial" w:cs="Arial"/>
                <w:color w:val="000000"/>
                <w:sz w:val="20"/>
                <w:szCs w:val="20"/>
                <w:bdr w:val="none" w:sz="0" w:space="0" w:color="auto" w:frame="1"/>
              </w:rPr>
              <w:t xml:space="preserve"> obdobju bolj ozaveščene o pozitivnih vidikih, ki jih </w:t>
            </w:r>
            <w:r>
              <w:rPr>
                <w:rStyle w:val="normaltextrun"/>
                <w:rFonts w:ascii="Arial" w:hAnsi="Arial" w:cs="Arial"/>
                <w:color w:val="000000"/>
                <w:sz w:val="20"/>
                <w:szCs w:val="20"/>
                <w:bdr w:val="none" w:sz="0" w:space="0" w:color="auto" w:frame="1"/>
              </w:rPr>
              <w:t>omogoča</w:t>
            </w:r>
            <w:r w:rsidRPr="003555A0">
              <w:rPr>
                <w:rStyle w:val="normaltextrun"/>
                <w:rFonts w:ascii="Arial" w:hAnsi="Arial" w:cs="Arial"/>
                <w:color w:val="000000"/>
                <w:sz w:val="20"/>
                <w:szCs w:val="20"/>
                <w:bdr w:val="none" w:sz="0" w:space="0" w:color="auto" w:frame="1"/>
              </w:rPr>
              <w:t xml:space="preserve"> </w:t>
            </w:r>
            <w:r w:rsidRPr="009B69A0">
              <w:rPr>
                <w:rStyle w:val="normaltextrun"/>
                <w:rFonts w:ascii="Arial" w:hAnsi="Arial" w:cs="Arial"/>
                <w:color w:val="000000"/>
                <w:sz w:val="20"/>
                <w:szCs w:val="20"/>
                <w:bdr w:val="none" w:sz="0" w:space="0" w:color="auto" w:frame="1"/>
              </w:rPr>
              <w:t>uravnotežen</w:t>
            </w:r>
            <w:r>
              <w:rPr>
                <w:rStyle w:val="normaltextrun"/>
                <w:rFonts w:ascii="Arial" w:hAnsi="Arial" w:cs="Arial"/>
                <w:color w:val="000000"/>
                <w:sz w:val="20"/>
                <w:szCs w:val="20"/>
                <w:bdr w:val="none" w:sz="0" w:space="0" w:color="auto" w:frame="1"/>
              </w:rPr>
              <w:t>a</w:t>
            </w:r>
            <w:r w:rsidRPr="009B69A0">
              <w:rPr>
                <w:rStyle w:val="normaltextrun"/>
                <w:rFonts w:ascii="Arial" w:hAnsi="Arial" w:cs="Arial"/>
                <w:color w:val="000000"/>
                <w:sz w:val="20"/>
                <w:szCs w:val="20"/>
                <w:bdr w:val="none" w:sz="0" w:space="0" w:color="auto" w:frame="1"/>
              </w:rPr>
              <w:t xml:space="preserve"> zastopanost spolov</w:t>
            </w:r>
            <w:r w:rsidRPr="009B69A0" w:rsidDel="009B69A0">
              <w:rPr>
                <w:rStyle w:val="normaltextrun"/>
                <w:rFonts w:ascii="Arial" w:hAnsi="Arial" w:cs="Arial"/>
                <w:color w:val="000000"/>
                <w:sz w:val="20"/>
                <w:szCs w:val="20"/>
                <w:bdr w:val="none" w:sz="0" w:space="0" w:color="auto" w:frame="1"/>
              </w:rPr>
              <w:t xml:space="preserve"> </w:t>
            </w:r>
            <w:r w:rsidRPr="003555A0">
              <w:rPr>
                <w:rStyle w:val="normaltextrun"/>
                <w:rFonts w:ascii="Arial" w:hAnsi="Arial" w:cs="Arial"/>
                <w:color w:val="000000"/>
                <w:sz w:val="20"/>
                <w:szCs w:val="20"/>
                <w:bdr w:val="none" w:sz="0" w:space="0" w:color="auto" w:frame="1"/>
              </w:rPr>
              <w:t xml:space="preserve">v organih vodenja in nadzora, zato bodo prostovoljno sledile k zagotoviti ciljev glede uravnotežene zastopanosti </w:t>
            </w:r>
            <w:r w:rsidRPr="006E0C85">
              <w:rPr>
                <w:rStyle w:val="normaltextrun"/>
                <w:rFonts w:ascii="Arial" w:hAnsi="Arial" w:cs="Arial"/>
                <w:color w:val="000000"/>
                <w:sz w:val="20"/>
                <w:szCs w:val="20"/>
                <w:bdr w:val="none" w:sz="0" w:space="0" w:color="auto" w:frame="1"/>
              </w:rPr>
              <w:t xml:space="preserve">spolov </w:t>
            </w:r>
            <w:r w:rsidRPr="003555A0">
              <w:rPr>
                <w:rStyle w:val="normaltextrun"/>
                <w:rFonts w:ascii="Arial" w:hAnsi="Arial" w:cs="Arial"/>
                <w:color w:val="000000"/>
                <w:sz w:val="20"/>
                <w:szCs w:val="20"/>
                <w:bdr w:val="none" w:sz="0" w:space="0" w:color="auto" w:frame="1"/>
              </w:rPr>
              <w:t xml:space="preserve">na najvišjih vodstvenih položajih v družbah. </w:t>
            </w:r>
            <w:r w:rsidRPr="003555A0">
              <w:rPr>
                <w:rFonts w:ascii="Arial" w:hAnsi="Arial" w:cs="Arial"/>
                <w:sz w:val="20"/>
                <w:szCs w:val="20"/>
              </w:rPr>
              <w:t>Z nesorazmernim obsegom</w:t>
            </w:r>
            <w:r>
              <w:t xml:space="preserve"> </w:t>
            </w:r>
            <w:r w:rsidRPr="00586165">
              <w:rPr>
                <w:rFonts w:ascii="Arial" w:hAnsi="Arial" w:cs="Arial"/>
                <w:sz w:val="20"/>
                <w:szCs w:val="20"/>
              </w:rPr>
              <w:t>kroga</w:t>
            </w:r>
            <w:r w:rsidRPr="003555A0">
              <w:rPr>
                <w:rFonts w:ascii="Arial" w:hAnsi="Arial" w:cs="Arial"/>
                <w:sz w:val="20"/>
                <w:szCs w:val="20"/>
              </w:rPr>
              <w:t xml:space="preserve"> zavezancev bi presegli cilj in namen predloga zakona, ki je doseči bolj uravnoteženo zastopanost žensk in moških v organih vodenja in nadzora v najvplivnejših gospodarskih družbah (tj. velikih borznih, državnih in lokalnih družbah), </w:t>
            </w:r>
            <w:r>
              <w:rPr>
                <w:rFonts w:ascii="Arial" w:hAnsi="Arial" w:cs="Arial"/>
                <w:sz w:val="20"/>
                <w:szCs w:val="20"/>
              </w:rPr>
              <w:t>ki</w:t>
            </w:r>
            <w:r w:rsidRPr="003555A0">
              <w:rPr>
                <w:rFonts w:ascii="Arial" w:hAnsi="Arial" w:cs="Arial"/>
                <w:sz w:val="20"/>
                <w:szCs w:val="20"/>
              </w:rPr>
              <w:t xml:space="preserve"> so zgled in postavljajo standarde za celotni trg. Cilj je tudi pospešiti napredek na področju, vendar ob upoštevanju, da se družbam dopusti dovolj časa za uvedbo potrebnih ukrepov za dosego navedenega cilja. Iz direktive</w:t>
            </w:r>
            <w:r w:rsidRPr="003555A0" w:rsidDel="00B14678">
              <w:rPr>
                <w:rFonts w:ascii="Arial" w:hAnsi="Arial" w:cs="Arial"/>
                <w:sz w:val="20"/>
                <w:szCs w:val="20"/>
              </w:rPr>
              <w:t xml:space="preserve"> </w:t>
            </w:r>
            <w:r>
              <w:rPr>
                <w:rFonts w:ascii="Arial" w:hAnsi="Arial" w:cs="Arial"/>
                <w:sz w:val="20"/>
                <w:szCs w:val="20"/>
              </w:rPr>
              <w:t>in</w:t>
            </w:r>
            <w:r w:rsidRPr="003555A0">
              <w:rPr>
                <w:rFonts w:ascii="Arial" w:hAnsi="Arial" w:cs="Arial"/>
                <w:sz w:val="20"/>
                <w:szCs w:val="20"/>
              </w:rPr>
              <w:t xml:space="preserve"> iz predloga zakona izhaja, da je namen določiti učinkovite ukrepe, ki bodo spodbudili napredek pri zagotavljanju uravnotežene zastopanosti spolov na najvišjih vodilnih položajih v družbah.</w:t>
            </w:r>
            <w:r w:rsidRPr="003555A0">
              <w:rPr>
                <w:rFonts w:cs="Arial"/>
                <w:szCs w:val="20"/>
              </w:rPr>
              <w:t xml:space="preserve"> </w:t>
            </w:r>
            <w:r w:rsidRPr="003555A0">
              <w:rPr>
                <w:rFonts w:ascii="Arial" w:hAnsi="Arial" w:cs="Arial"/>
                <w:sz w:val="20"/>
                <w:szCs w:val="20"/>
              </w:rPr>
              <w:t xml:space="preserve">Dodaten argument za predlog obsega </w:t>
            </w:r>
            <w:r w:rsidRPr="00586165">
              <w:rPr>
                <w:rFonts w:ascii="Arial" w:hAnsi="Arial" w:cs="Arial"/>
                <w:sz w:val="20"/>
                <w:szCs w:val="20"/>
              </w:rPr>
              <w:t xml:space="preserve">kroga </w:t>
            </w:r>
            <w:r w:rsidRPr="003555A0">
              <w:rPr>
                <w:rFonts w:ascii="Arial" w:hAnsi="Arial" w:cs="Arial"/>
                <w:sz w:val="20"/>
                <w:szCs w:val="20"/>
              </w:rPr>
              <w:t xml:space="preserve">zavezancev je tudi </w:t>
            </w:r>
            <w:r w:rsidRPr="003555A0">
              <w:rPr>
                <w:rFonts w:ascii="Arial" w:hAnsi="Arial" w:cs="Arial"/>
                <w:sz w:val="20"/>
                <w:szCs w:val="20"/>
              </w:rPr>
              <w:lastRenderedPageBreak/>
              <w:t xml:space="preserve">narava direktive, na podlagi katere se v </w:t>
            </w:r>
            <w:r>
              <w:rPr>
                <w:rFonts w:ascii="Arial" w:hAnsi="Arial" w:cs="Arial"/>
                <w:sz w:val="20"/>
                <w:szCs w:val="20"/>
              </w:rPr>
              <w:t>določenem</w:t>
            </w:r>
            <w:r w:rsidRPr="003555A0" w:rsidDel="00B14678">
              <w:rPr>
                <w:rFonts w:ascii="Arial" w:hAnsi="Arial" w:cs="Arial"/>
                <w:sz w:val="20"/>
                <w:szCs w:val="20"/>
              </w:rPr>
              <w:t xml:space="preserve"> </w:t>
            </w:r>
            <w:r w:rsidRPr="003555A0">
              <w:rPr>
                <w:rFonts w:ascii="Arial" w:hAnsi="Arial" w:cs="Arial"/>
                <w:sz w:val="20"/>
                <w:szCs w:val="20"/>
              </w:rPr>
              <w:t xml:space="preserve">obdobju pričakuje napredek </w:t>
            </w:r>
            <w:r>
              <w:rPr>
                <w:rFonts w:ascii="Arial" w:hAnsi="Arial" w:cs="Arial"/>
                <w:sz w:val="20"/>
                <w:szCs w:val="20"/>
              </w:rPr>
              <w:t>glede</w:t>
            </w:r>
            <w:r w:rsidRPr="003555A0">
              <w:rPr>
                <w:rFonts w:ascii="Arial" w:hAnsi="Arial" w:cs="Arial"/>
                <w:sz w:val="20"/>
                <w:szCs w:val="20"/>
              </w:rPr>
              <w:t xml:space="preserve"> uravnotežene zastopanosti </w:t>
            </w:r>
            <w:r w:rsidRPr="006E0C85">
              <w:rPr>
                <w:rFonts w:ascii="Arial" w:hAnsi="Arial" w:cs="Arial"/>
                <w:sz w:val="20"/>
                <w:szCs w:val="20"/>
              </w:rPr>
              <w:t xml:space="preserve">spolov </w:t>
            </w:r>
            <w:r w:rsidRPr="003555A0">
              <w:rPr>
                <w:rFonts w:ascii="Arial" w:hAnsi="Arial" w:cs="Arial"/>
                <w:sz w:val="20"/>
                <w:szCs w:val="20"/>
              </w:rPr>
              <w:t xml:space="preserve">na najvišjih položajih odločanja v družbah. Namreč, veljavnost direktive je časovno omejena, in sicer naj bi prenehala veljati 31. 12. 2038. </w:t>
            </w:r>
            <w:r>
              <w:rPr>
                <w:rFonts w:ascii="Arial" w:hAnsi="Arial" w:cs="Arial"/>
                <w:sz w:val="20"/>
                <w:szCs w:val="20"/>
              </w:rPr>
              <w:t>K</w:t>
            </w:r>
            <w:r w:rsidRPr="003555A0">
              <w:rPr>
                <w:rFonts w:ascii="Arial" w:hAnsi="Arial" w:cs="Arial"/>
                <w:sz w:val="20"/>
                <w:szCs w:val="20"/>
              </w:rPr>
              <w:t>omisija bo morala poročilo o</w:t>
            </w:r>
            <w:r w:rsidRPr="003555A0" w:rsidDel="00B14678">
              <w:rPr>
                <w:rFonts w:ascii="Arial" w:hAnsi="Arial" w:cs="Arial"/>
                <w:sz w:val="20"/>
                <w:szCs w:val="20"/>
              </w:rPr>
              <w:t xml:space="preserve"> </w:t>
            </w:r>
            <w:r>
              <w:rPr>
                <w:rFonts w:ascii="Arial" w:hAnsi="Arial" w:cs="Arial"/>
                <w:sz w:val="20"/>
                <w:szCs w:val="20"/>
              </w:rPr>
              <w:t>izvajanju</w:t>
            </w:r>
            <w:r w:rsidRPr="003555A0">
              <w:rPr>
                <w:rFonts w:ascii="Arial" w:hAnsi="Arial" w:cs="Arial"/>
                <w:sz w:val="20"/>
                <w:szCs w:val="20"/>
              </w:rPr>
              <w:t xml:space="preserve"> direktive in stanju na področju </w:t>
            </w:r>
            <w:r w:rsidRPr="003555A0">
              <w:rPr>
                <w:rFonts w:ascii="Arial" w:hAnsi="Arial" w:cs="Arial"/>
                <w:color w:val="000000"/>
                <w:sz w:val="20"/>
                <w:szCs w:val="20"/>
                <w:shd w:val="clear" w:color="auto" w:fill="FFFFFF"/>
              </w:rPr>
              <w:t>za</w:t>
            </w:r>
            <w:r w:rsidRPr="003555A0">
              <w:rPr>
                <w:rFonts w:ascii="Arial" w:hAnsi="Arial" w:cs="Arial"/>
                <w:sz w:val="20"/>
                <w:szCs w:val="20"/>
              </w:rPr>
              <w:t xml:space="preserve"> Evropski parlament in Svet pripraviti do</w:t>
            </w:r>
            <w:r w:rsidRPr="003555A0">
              <w:rPr>
                <w:rFonts w:ascii="Arial" w:hAnsi="Arial" w:cs="Arial"/>
                <w:color w:val="000000"/>
                <w:sz w:val="20"/>
                <w:szCs w:val="20"/>
                <w:shd w:val="clear" w:color="auto" w:fill="FFFFFF"/>
              </w:rPr>
              <w:t xml:space="preserve"> 31. 12. 2030</w:t>
            </w:r>
            <w:r w:rsidRPr="003555A0">
              <w:rPr>
                <w:rFonts w:ascii="Arial" w:hAnsi="Arial" w:cs="Arial"/>
                <w:sz w:val="20"/>
                <w:szCs w:val="20"/>
              </w:rPr>
              <w:t>,</w:t>
            </w:r>
            <w:r w:rsidRPr="003555A0" w:rsidDel="00B14678">
              <w:rPr>
                <w:rFonts w:ascii="Arial" w:hAnsi="Arial" w:cs="Arial"/>
                <w:sz w:val="20"/>
                <w:szCs w:val="20"/>
              </w:rPr>
              <w:t xml:space="preserve"> </w:t>
            </w:r>
            <w:r w:rsidRPr="003555A0">
              <w:rPr>
                <w:rFonts w:ascii="Arial" w:hAnsi="Arial" w:cs="Arial"/>
                <w:sz w:val="20"/>
                <w:szCs w:val="20"/>
              </w:rPr>
              <w:t xml:space="preserve">po tem datumu </w:t>
            </w:r>
            <w:r>
              <w:rPr>
                <w:rFonts w:ascii="Arial" w:hAnsi="Arial" w:cs="Arial"/>
                <w:sz w:val="20"/>
                <w:szCs w:val="20"/>
              </w:rPr>
              <w:t xml:space="preserve">pa </w:t>
            </w:r>
            <w:r w:rsidRPr="003555A0">
              <w:rPr>
                <w:rFonts w:ascii="Arial" w:hAnsi="Arial" w:cs="Arial"/>
                <w:color w:val="000000"/>
                <w:sz w:val="20"/>
                <w:szCs w:val="20"/>
                <w:shd w:val="clear" w:color="auto" w:fill="FFFFFF"/>
              </w:rPr>
              <w:t>vsaki dve leti</w:t>
            </w:r>
            <w:r w:rsidRPr="003555A0">
              <w:rPr>
                <w:rFonts w:ascii="Arial" w:hAnsi="Arial" w:cs="Arial"/>
                <w:sz w:val="20"/>
                <w:szCs w:val="20"/>
              </w:rPr>
              <w:t xml:space="preserve">. </w:t>
            </w:r>
            <w:r w:rsidRPr="003555A0">
              <w:rPr>
                <w:rFonts w:ascii="Arial" w:hAnsi="Arial" w:cs="Arial"/>
                <w:color w:val="000000"/>
                <w:sz w:val="20"/>
                <w:szCs w:val="20"/>
                <w:shd w:val="clear" w:color="auto" w:fill="FFFFFF"/>
              </w:rPr>
              <w:t xml:space="preserve">Ob upoštevanju napredka v zvezi z zastopanostjo žensk in moških v organih družb na različnih ravneh odločanja v celotnem gospodarstvu ter ob upoštevanju, ali je doseženi napredek dovolj trajen, bo Komisija </w:t>
            </w:r>
            <w:r>
              <w:rPr>
                <w:rFonts w:ascii="Arial" w:hAnsi="Arial" w:cs="Arial"/>
                <w:color w:val="000000"/>
                <w:sz w:val="20"/>
                <w:szCs w:val="20"/>
                <w:shd w:val="clear" w:color="auto" w:fill="FFFFFF"/>
              </w:rPr>
              <w:t>presodila</w:t>
            </w:r>
            <w:r w:rsidRPr="003555A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ali</w:t>
            </w:r>
            <w:r w:rsidRPr="003555A0">
              <w:rPr>
                <w:rFonts w:ascii="Arial" w:hAnsi="Arial" w:cs="Arial"/>
                <w:color w:val="000000"/>
                <w:sz w:val="20"/>
                <w:szCs w:val="20"/>
                <w:shd w:val="clear" w:color="auto" w:fill="FFFFFF"/>
              </w:rPr>
              <w:t xml:space="preserve"> so bili doseženi cilji direktive in ali je ta direktiva učinkovit in uspešen instrument za zagotovitev bolj uravnotežene zastopanosti spolov v organih družb. Na podlagi te ocene bo morala Komisija pr</w:t>
            </w:r>
            <w:r>
              <w:rPr>
                <w:rFonts w:ascii="Arial" w:hAnsi="Arial" w:cs="Arial"/>
                <w:color w:val="000000"/>
                <w:sz w:val="20"/>
                <w:szCs w:val="20"/>
                <w:shd w:val="clear" w:color="auto" w:fill="FFFFFF"/>
              </w:rPr>
              <w:t>o</w:t>
            </w:r>
            <w:r w:rsidRPr="003555A0">
              <w:rPr>
                <w:rFonts w:ascii="Arial" w:hAnsi="Arial" w:cs="Arial"/>
                <w:color w:val="000000"/>
                <w:sz w:val="20"/>
                <w:szCs w:val="20"/>
                <w:shd w:val="clear" w:color="auto" w:fill="FFFFFF"/>
              </w:rPr>
              <w:t>učiti, ali bo treba podaljšati veljavnost te direktive po 31. 12. 2038 ali pa jo bo treba spremeniti, na primer z razširitvijo njenega področja uporabe na družbe, ki ne kotirajo na borzi in ne spadajo v opredelitev MSP, da se zagotovi nadaljnji napredek pri zagotavljanju bolj uravnotežene zastopanosti žensk in moških na izvršnih in neizvršnih direktorskih mestih ali na vseh direktorskih mestih v družbah, ki kotirajo na borzi (gl. 13. člen Direktive (EU) 2022/2381).</w:t>
            </w:r>
            <w:r w:rsidRPr="003555A0">
              <w:rPr>
                <w:rFonts w:cs="Arial"/>
                <w:color w:val="000000"/>
                <w:szCs w:val="20"/>
                <w:shd w:val="clear" w:color="auto" w:fill="FFFFFF"/>
              </w:rPr>
              <w:t xml:space="preserve"> </w:t>
            </w:r>
            <w:r w:rsidRPr="003555A0">
              <w:rPr>
                <w:rFonts w:ascii="Arial" w:hAnsi="Arial" w:cs="Arial"/>
                <w:sz w:val="20"/>
                <w:szCs w:val="20"/>
              </w:rPr>
              <w:t xml:space="preserve">S širjenjem </w:t>
            </w:r>
            <w:r>
              <w:rPr>
                <w:rFonts w:ascii="Arial" w:hAnsi="Arial" w:cs="Arial"/>
                <w:sz w:val="20"/>
                <w:szCs w:val="20"/>
              </w:rPr>
              <w:t>k</w:t>
            </w:r>
            <w:r>
              <w:t xml:space="preserve">roga </w:t>
            </w:r>
            <w:r w:rsidRPr="003555A0">
              <w:rPr>
                <w:rFonts w:ascii="Arial" w:hAnsi="Arial" w:cs="Arial"/>
                <w:sz w:val="20"/>
                <w:szCs w:val="20"/>
              </w:rPr>
              <w:t>zavezancev na zasebne družbe bi lahko posegli tudi v ustavno pravico do svobodne gospodarske pobude, zagotovljene s 74. členom Ustave Republike Slovenije in do zasebne lastnine, zagotovljene s 33. členom Ustave Republike Slovenije. Kot izhaja iz komentarja Ustave RS k navedenemu členu, je omejitev svobodne gospodarske pobude dovoljena ob upoštevanju načela sorazmernosti zaradi varovanja javne koristi. Pri tem je treba izbrati zakonski ukrep, ki bo zagotovil učinkovito varstvo javne koristi in hkrati najmanj posegel v ustavno pravico. Sprašujemo se, ali bi bile</w:t>
            </w:r>
            <w:r w:rsidRPr="003555A0" w:rsidDel="00E37DCB">
              <w:rPr>
                <w:rFonts w:ascii="Arial" w:hAnsi="Arial" w:cs="Arial"/>
                <w:sz w:val="20"/>
                <w:szCs w:val="20"/>
              </w:rPr>
              <w:t xml:space="preserve"> </w:t>
            </w:r>
            <w:r w:rsidRPr="003555A0">
              <w:rPr>
                <w:rFonts w:ascii="Arial" w:hAnsi="Arial" w:cs="Arial"/>
                <w:sz w:val="20"/>
                <w:szCs w:val="20"/>
              </w:rPr>
              <w:t>zahteve glede uravnotežene</w:t>
            </w:r>
            <w:r w:rsidRPr="003555A0"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na vodilnih mestih za zasebne gospodarske družbe z vidika doseganja splošnih javnih ciljev, zaradi katerih je dopustna omejitev svobodne gospodarske pobude</w:t>
            </w:r>
            <w:r>
              <w:rPr>
                <w:rFonts w:ascii="Arial" w:hAnsi="Arial" w:cs="Arial"/>
                <w:sz w:val="20"/>
                <w:szCs w:val="20"/>
              </w:rPr>
              <w:t xml:space="preserve">, </w:t>
            </w:r>
            <w:r w:rsidRPr="003555A0">
              <w:rPr>
                <w:rFonts w:ascii="Arial" w:hAnsi="Arial" w:cs="Arial"/>
                <w:sz w:val="20"/>
                <w:szCs w:val="20"/>
              </w:rPr>
              <w:t>sorazmerne.</w:t>
            </w:r>
            <w:r w:rsidRPr="003555A0" w:rsidDel="00E37DCB">
              <w:rPr>
                <w:rFonts w:ascii="Arial" w:hAnsi="Arial" w:cs="Arial"/>
                <w:sz w:val="20"/>
                <w:szCs w:val="20"/>
              </w:rPr>
              <w:t xml:space="preserve"> </w:t>
            </w:r>
            <w:r>
              <w:rPr>
                <w:rFonts w:ascii="Arial" w:hAnsi="Arial" w:cs="Arial"/>
                <w:sz w:val="20"/>
                <w:szCs w:val="20"/>
              </w:rPr>
              <w:t>Z</w:t>
            </w:r>
            <w:r w:rsidRPr="003555A0">
              <w:rPr>
                <w:rFonts w:ascii="Arial" w:hAnsi="Arial" w:cs="Arial"/>
                <w:sz w:val="20"/>
                <w:szCs w:val="20"/>
              </w:rPr>
              <w:t>asebne družbe se bo</w:t>
            </w:r>
            <w:r>
              <w:rPr>
                <w:rFonts w:ascii="Arial" w:hAnsi="Arial" w:cs="Arial"/>
                <w:sz w:val="20"/>
                <w:szCs w:val="20"/>
              </w:rPr>
              <w:t>do</w:t>
            </w:r>
            <w:r w:rsidRPr="003555A0">
              <w:rPr>
                <w:rFonts w:ascii="Arial" w:hAnsi="Arial" w:cs="Arial"/>
                <w:sz w:val="20"/>
                <w:szCs w:val="20"/>
              </w:rPr>
              <w:t xml:space="preserve"> </w:t>
            </w:r>
            <w:r>
              <w:rPr>
                <w:rFonts w:ascii="Arial" w:hAnsi="Arial" w:cs="Arial"/>
                <w:sz w:val="20"/>
                <w:szCs w:val="20"/>
              </w:rPr>
              <w:t>n</w:t>
            </w:r>
            <w:r w:rsidRPr="003555A0">
              <w:rPr>
                <w:rFonts w:ascii="Arial" w:hAnsi="Arial" w:cs="Arial"/>
                <w:sz w:val="20"/>
                <w:szCs w:val="20"/>
              </w:rPr>
              <w:t>amreč spodbujal</w:t>
            </w:r>
            <w:r>
              <w:rPr>
                <w:rFonts w:ascii="Arial" w:hAnsi="Arial" w:cs="Arial"/>
                <w:sz w:val="20"/>
                <w:szCs w:val="20"/>
              </w:rPr>
              <w:t>e</w:t>
            </w:r>
            <w:r w:rsidRPr="003555A0">
              <w:rPr>
                <w:rFonts w:ascii="Arial" w:hAnsi="Arial" w:cs="Arial"/>
                <w:sz w:val="20"/>
                <w:szCs w:val="20"/>
              </w:rPr>
              <w:t xml:space="preserve"> z ozaveščanjem o pozitivnih vidikih </w:t>
            </w:r>
            <w:r w:rsidRPr="009B69A0">
              <w:rPr>
                <w:rFonts w:ascii="Arial" w:hAnsi="Arial" w:cs="Arial"/>
                <w:sz w:val="20"/>
                <w:szCs w:val="20"/>
              </w:rPr>
              <w:t>uravnotežene zastopanosti spolov</w:t>
            </w:r>
            <w:r w:rsidRPr="009B69A0" w:rsidDel="009B69A0">
              <w:rPr>
                <w:rFonts w:ascii="Arial" w:hAnsi="Arial" w:cs="Arial"/>
                <w:sz w:val="20"/>
                <w:szCs w:val="20"/>
              </w:rPr>
              <w:t xml:space="preserve"> </w:t>
            </w:r>
            <w:r>
              <w:rPr>
                <w:rFonts w:ascii="Arial" w:hAnsi="Arial" w:cs="Arial"/>
                <w:sz w:val="20"/>
                <w:szCs w:val="20"/>
              </w:rPr>
              <w:t xml:space="preserve">v </w:t>
            </w:r>
            <w:r w:rsidRPr="003555A0">
              <w:rPr>
                <w:rFonts w:ascii="Arial" w:hAnsi="Arial" w:cs="Arial"/>
                <w:sz w:val="20"/>
                <w:szCs w:val="20"/>
              </w:rPr>
              <w:t>vodstv</w:t>
            </w:r>
            <w:r>
              <w:rPr>
                <w:rFonts w:ascii="Arial" w:hAnsi="Arial" w:cs="Arial"/>
                <w:sz w:val="20"/>
                <w:szCs w:val="20"/>
              </w:rPr>
              <w:t>u</w:t>
            </w:r>
            <w:r w:rsidRPr="003555A0">
              <w:rPr>
                <w:rFonts w:ascii="Arial" w:hAnsi="Arial" w:cs="Arial"/>
                <w:sz w:val="20"/>
                <w:szCs w:val="20"/>
              </w:rPr>
              <w:t xml:space="preserve"> (boljše upravljanje, večja dobičkonosnost in uspešnost družb) in aktivnostmi, ki bodo privedle do sprememb družbenih, organizacijskih in individualnih norm. V ta namen bo skladno z direktivo določen tudi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najvišjimi vodilnimi </w:t>
            </w:r>
            <w:r w:rsidRPr="003555A0">
              <w:rPr>
                <w:rStyle w:val="normaltextrun"/>
                <w:rFonts w:ascii="Arial" w:hAnsi="Arial" w:cs="Arial"/>
                <w:color w:val="000000"/>
                <w:sz w:val="20"/>
                <w:szCs w:val="20"/>
                <w:bdr w:val="none" w:sz="0" w:space="0" w:color="auto" w:frame="1"/>
              </w:rPr>
              <w:t>člani v družbah.</w:t>
            </w:r>
            <w:r w:rsidRPr="003555A0">
              <w:rPr>
                <w:rFonts w:ascii="Arial" w:hAnsi="Arial" w:cs="Arial"/>
                <w:sz w:val="20"/>
                <w:szCs w:val="20"/>
              </w:rPr>
              <w:t xml:space="preserve"> </w:t>
            </w:r>
            <w:r>
              <w:rPr>
                <w:rFonts w:ascii="Arial" w:hAnsi="Arial" w:cs="Arial"/>
                <w:sz w:val="20"/>
                <w:szCs w:val="20"/>
              </w:rPr>
              <w:t>S</w:t>
            </w:r>
            <w:r w:rsidRPr="003555A0">
              <w:rPr>
                <w:rStyle w:val="cf01"/>
                <w:rFonts w:ascii="Arial" w:hAnsi="Arial" w:cs="Arial"/>
                <w:sz w:val="20"/>
                <w:szCs w:val="20"/>
              </w:rPr>
              <w:t>podbuja</w:t>
            </w:r>
            <w:r>
              <w:rPr>
                <w:rStyle w:val="cf01"/>
                <w:rFonts w:ascii="Arial" w:hAnsi="Arial" w:cs="Arial"/>
                <w:sz w:val="20"/>
                <w:szCs w:val="20"/>
              </w:rPr>
              <w:t>jo se tudi</w:t>
            </w:r>
            <w:r w:rsidRPr="003555A0">
              <w:rPr>
                <w:rStyle w:val="cf01"/>
                <w:rFonts w:ascii="Arial" w:hAnsi="Arial" w:cs="Arial"/>
                <w:sz w:val="20"/>
                <w:szCs w:val="20"/>
              </w:rPr>
              <w:t xml:space="preserve"> k bolj uravnoteženi zastopanosti žensk in moških v organih vodenja in nadzora z raznimi ukrepi, na primer </w:t>
            </w:r>
            <w:r>
              <w:rPr>
                <w:rStyle w:val="cf01"/>
                <w:rFonts w:ascii="Arial" w:hAnsi="Arial" w:cs="Arial"/>
                <w:sz w:val="20"/>
                <w:szCs w:val="20"/>
              </w:rPr>
              <w:t>z</w:t>
            </w:r>
            <w:r w:rsidRPr="003555A0">
              <w:rPr>
                <w:rStyle w:val="cf01"/>
                <w:rFonts w:ascii="Arial" w:hAnsi="Arial" w:cs="Arial"/>
                <w:sz w:val="20"/>
                <w:szCs w:val="20"/>
              </w:rPr>
              <w:t xml:space="preserve"> referenčni</w:t>
            </w:r>
            <w:r>
              <w:rPr>
                <w:rStyle w:val="cf01"/>
                <w:rFonts w:ascii="Arial" w:hAnsi="Arial" w:cs="Arial"/>
                <w:sz w:val="20"/>
                <w:szCs w:val="20"/>
              </w:rPr>
              <w:t>mi</w:t>
            </w:r>
            <w:r w:rsidRPr="003555A0">
              <w:rPr>
                <w:rStyle w:val="cf01"/>
                <w:rFonts w:ascii="Arial" w:hAnsi="Arial" w:cs="Arial"/>
                <w:sz w:val="20"/>
                <w:szCs w:val="20"/>
              </w:rPr>
              <w:t xml:space="preserve"> kodeks</w:t>
            </w:r>
            <w:r>
              <w:rPr>
                <w:rStyle w:val="cf01"/>
                <w:rFonts w:ascii="Arial" w:hAnsi="Arial" w:cs="Arial"/>
                <w:sz w:val="20"/>
                <w:szCs w:val="20"/>
              </w:rPr>
              <w:t>i</w:t>
            </w:r>
            <w:r w:rsidRPr="003555A0">
              <w:rPr>
                <w:rStyle w:val="cf01"/>
                <w:rFonts w:ascii="Arial" w:hAnsi="Arial" w:cs="Arial"/>
                <w:sz w:val="20"/>
                <w:szCs w:val="20"/>
              </w:rPr>
              <w:t xml:space="preserve"> korporativnega upravljanja, ki so zbirke priporočil in dobrih praks. </w:t>
            </w:r>
            <w:r w:rsidRPr="003555A0">
              <w:rPr>
                <w:rFonts w:ascii="Arial" w:hAnsi="Arial" w:cs="Arial"/>
                <w:color w:val="202220"/>
                <w:sz w:val="20"/>
                <w:szCs w:val="20"/>
                <w:shd w:val="clear" w:color="auto" w:fill="FFFFFF"/>
              </w:rPr>
              <w:t xml:space="preserve">Združenje nadzornikov Slovenije je 14. 11. 2019 predstavilo pobudo za prostovoljno doseganje cilja </w:t>
            </w:r>
            <w:r w:rsidRPr="009B69A0">
              <w:rPr>
                <w:rFonts w:ascii="Arial" w:hAnsi="Arial" w:cs="Arial"/>
                <w:color w:val="202220"/>
                <w:sz w:val="20"/>
                <w:szCs w:val="20"/>
                <w:shd w:val="clear" w:color="auto" w:fill="FFFFFF"/>
              </w:rPr>
              <w:t>uravnotežene zastopanosti spolov</w:t>
            </w:r>
            <w:r w:rsidRPr="009B69A0" w:rsidDel="009B69A0">
              <w:rPr>
                <w:rFonts w:ascii="Arial" w:hAnsi="Arial" w:cs="Arial"/>
                <w:color w:val="202220"/>
                <w:sz w:val="20"/>
                <w:szCs w:val="20"/>
                <w:shd w:val="clear" w:color="auto" w:fill="FFFFFF"/>
              </w:rPr>
              <w:t xml:space="preserve"> </w:t>
            </w:r>
            <w:r w:rsidRPr="003555A0">
              <w:rPr>
                <w:rFonts w:ascii="Arial" w:hAnsi="Arial" w:cs="Arial"/>
                <w:color w:val="202220"/>
                <w:sz w:val="20"/>
                <w:szCs w:val="20"/>
                <w:shd w:val="clear" w:color="auto" w:fill="FFFFFF"/>
              </w:rPr>
              <w:t xml:space="preserve">do konca leta 2026, in sicer 40 % za člane nadzornih svetov in skupaj 33 % za člane nadzornih svetov in uprav manj zastopanega spola v javnih delniških družbah in družbah v državni lasti, </w:t>
            </w:r>
            <w:r>
              <w:rPr>
                <w:rFonts w:ascii="Arial" w:hAnsi="Arial" w:cs="Arial"/>
                <w:color w:val="202220"/>
                <w:sz w:val="20"/>
                <w:szCs w:val="20"/>
                <w:shd w:val="clear" w:color="auto" w:fill="FFFFFF"/>
              </w:rPr>
              <w:t>ki jo</w:t>
            </w:r>
            <w:r w:rsidRPr="003555A0">
              <w:rPr>
                <w:rFonts w:ascii="Arial" w:hAnsi="Arial" w:cs="Arial"/>
                <w:color w:val="202220"/>
                <w:sz w:val="20"/>
                <w:szCs w:val="20"/>
                <w:shd w:val="clear" w:color="auto" w:fill="FFFFFF"/>
              </w:rPr>
              <w:t xml:space="preserve"> </w:t>
            </w:r>
            <w:r w:rsidRPr="003555A0">
              <w:rPr>
                <w:rStyle w:val="cf01"/>
                <w:rFonts w:ascii="Arial" w:hAnsi="Arial" w:cs="Arial"/>
                <w:sz w:val="20"/>
                <w:szCs w:val="20"/>
              </w:rPr>
              <w:t xml:space="preserve">spremlja </w:t>
            </w:r>
            <w:r w:rsidRPr="003555A0">
              <w:rPr>
                <w:rFonts w:ascii="Arial" w:hAnsi="Arial" w:cs="Arial"/>
                <w:color w:val="202220"/>
                <w:sz w:val="20"/>
                <w:szCs w:val="20"/>
                <w:shd w:val="clear" w:color="auto" w:fill="FFFFFF"/>
              </w:rPr>
              <w:t xml:space="preserve">skupaj </w:t>
            </w:r>
            <w:r w:rsidRPr="003555A0">
              <w:rPr>
                <w:rStyle w:val="cf01"/>
                <w:rFonts w:ascii="Arial" w:hAnsi="Arial" w:cs="Arial"/>
                <w:sz w:val="20"/>
                <w:szCs w:val="20"/>
              </w:rPr>
              <w:t>z Deloittom</w:t>
            </w:r>
            <w:r>
              <w:rPr>
                <w:rStyle w:val="cf01"/>
                <w:rFonts w:ascii="Arial" w:hAnsi="Arial" w:cs="Arial"/>
                <w:sz w:val="20"/>
                <w:szCs w:val="20"/>
              </w:rPr>
              <w:t>, oba</w:t>
            </w:r>
            <w:r w:rsidRPr="003555A0">
              <w:rPr>
                <w:rStyle w:val="cf01"/>
                <w:rFonts w:ascii="Arial" w:hAnsi="Arial" w:cs="Arial"/>
                <w:sz w:val="20"/>
                <w:szCs w:val="20"/>
              </w:rPr>
              <w:t xml:space="preserve"> </w:t>
            </w:r>
            <w:r>
              <w:rPr>
                <w:rStyle w:val="cf01"/>
                <w:rFonts w:ascii="Arial" w:hAnsi="Arial" w:cs="Arial"/>
                <w:sz w:val="20"/>
                <w:szCs w:val="20"/>
              </w:rPr>
              <w:t>tudi</w:t>
            </w:r>
            <w:r w:rsidRPr="003555A0">
              <w:rPr>
                <w:rStyle w:val="cf01"/>
                <w:rFonts w:ascii="Arial" w:hAnsi="Arial" w:cs="Arial"/>
                <w:sz w:val="20"/>
                <w:szCs w:val="20"/>
              </w:rPr>
              <w:t xml:space="preserve"> pripravljata obdobna poročila o stanju v navedenih družbah</w:t>
            </w:r>
            <w:r>
              <w:rPr>
                <w:rStyle w:val="cf01"/>
                <w:rFonts w:ascii="Arial" w:hAnsi="Arial" w:cs="Arial"/>
                <w:sz w:val="20"/>
                <w:szCs w:val="20"/>
              </w:rPr>
              <w:t>;</w:t>
            </w:r>
            <w:r w:rsidRPr="003555A0">
              <w:rPr>
                <w:rStyle w:val="cf01"/>
                <w:rFonts w:ascii="Arial" w:hAnsi="Arial" w:cs="Arial"/>
                <w:sz w:val="20"/>
                <w:szCs w:val="20"/>
              </w:rPr>
              <w:t xml:space="preserve"> </w:t>
            </w:r>
          </w:p>
          <w:p w14:paraId="2412DF1E" w14:textId="77777777" w:rsidR="00526E23" w:rsidRPr="003555A0" w:rsidRDefault="00526E23" w:rsidP="00526E23">
            <w:pPr>
              <w:pStyle w:val="ListParagraph"/>
              <w:numPr>
                <w:ilvl w:val="0"/>
                <w:numId w:val="94"/>
              </w:numPr>
              <w:spacing w:after="120" w:line="260" w:lineRule="exact"/>
              <w:jc w:val="both"/>
              <w:rPr>
                <w:rFonts w:ascii="Arial" w:hAnsi="Arial" w:cs="Arial"/>
                <w:b/>
                <w:bCs/>
                <w:sz w:val="20"/>
                <w:szCs w:val="20"/>
              </w:rPr>
            </w:pPr>
            <w:r w:rsidRPr="003555A0">
              <w:rPr>
                <w:rFonts w:ascii="Arial" w:hAnsi="Arial" w:cs="Arial"/>
                <w:b/>
                <w:bCs/>
                <w:sz w:val="20"/>
                <w:szCs w:val="20"/>
              </w:rPr>
              <w:t xml:space="preserve">da vse družbe zavezanke pred začetkom izbirnih postopkov določijo merila in pogoje izbirnega postopka, ki jih morajo tudi javno objaviti na vidnem mestu (ne samo tiste, ki ne izpolnjujejo zahtevanih deležev nezadostno zastopanega spola). </w:t>
            </w:r>
            <w:r>
              <w:rPr>
                <w:rFonts w:ascii="Arial" w:hAnsi="Arial" w:cs="Arial"/>
                <w:b/>
                <w:bCs/>
                <w:sz w:val="20"/>
                <w:szCs w:val="20"/>
              </w:rPr>
              <w:t xml:space="preserve">MGTŠ </w:t>
            </w:r>
            <w:r w:rsidRPr="006F7E65">
              <w:rPr>
                <w:rFonts w:ascii="Arial" w:hAnsi="Arial" w:cs="Arial"/>
                <w:sz w:val="20"/>
                <w:szCs w:val="20"/>
              </w:rPr>
              <w:t>meni, da bi</w:t>
            </w:r>
            <w:r>
              <w:rPr>
                <w:rFonts w:ascii="Arial" w:hAnsi="Arial" w:cs="Arial"/>
                <w:b/>
                <w:bCs/>
                <w:sz w:val="20"/>
                <w:szCs w:val="20"/>
              </w:rPr>
              <w:t xml:space="preserve"> </w:t>
            </w:r>
            <w:r>
              <w:rPr>
                <w:rFonts w:ascii="Arial" w:hAnsi="Arial" w:cs="Arial"/>
                <w:sz w:val="20"/>
                <w:szCs w:val="20"/>
              </w:rPr>
              <w:t>s</w:t>
            </w:r>
            <w:r w:rsidRPr="003555A0">
              <w:rPr>
                <w:rFonts w:ascii="Arial" w:hAnsi="Arial" w:cs="Arial"/>
                <w:sz w:val="20"/>
                <w:szCs w:val="20"/>
              </w:rPr>
              <w:t xml:space="preserve"> tovrstnim ukrepom presegli zahteve </w:t>
            </w:r>
            <w:r>
              <w:rPr>
                <w:rFonts w:ascii="Arial" w:hAnsi="Arial" w:cs="Arial"/>
                <w:sz w:val="20"/>
                <w:szCs w:val="20"/>
              </w:rPr>
              <w:t xml:space="preserve">iz </w:t>
            </w:r>
            <w:r w:rsidRPr="003555A0">
              <w:rPr>
                <w:rFonts w:ascii="Arial" w:hAnsi="Arial" w:cs="Arial"/>
                <w:sz w:val="20"/>
                <w:szCs w:val="20"/>
              </w:rPr>
              <w:t xml:space="preserve">direktive in dodatno obremenili gospodarske družbe. Gospodarske družbe so podvržene k vedno večji regulaciji in zahtevam </w:t>
            </w:r>
            <w:r>
              <w:rPr>
                <w:rFonts w:ascii="Arial" w:hAnsi="Arial" w:cs="Arial"/>
                <w:sz w:val="20"/>
                <w:szCs w:val="20"/>
              </w:rPr>
              <w:t>področnih organov</w:t>
            </w:r>
            <w:r w:rsidRPr="003555A0">
              <w:rPr>
                <w:rFonts w:ascii="Arial" w:hAnsi="Arial" w:cs="Arial"/>
                <w:sz w:val="20"/>
                <w:szCs w:val="20"/>
              </w:rPr>
              <w:t>, kar vpliva tudi na njihovo konkurenčnost. S predlogom ZGD-1M prenašamo štiri evropske direktive, ki določajo dodatne zahteve za družbe, predvsem glede poročanja o trajnostnosti. Strinjamo se, da bi s predlaganim ukrepom dosegli večjo</w:t>
            </w:r>
            <w:r w:rsidRPr="003555A0" w:rsidDel="00E37DCB">
              <w:rPr>
                <w:rFonts w:ascii="Arial" w:hAnsi="Arial" w:cs="Arial"/>
                <w:sz w:val="20"/>
                <w:szCs w:val="20"/>
              </w:rPr>
              <w:t xml:space="preserve"> </w:t>
            </w:r>
            <w:r>
              <w:rPr>
                <w:rFonts w:ascii="Arial" w:hAnsi="Arial" w:cs="Arial"/>
                <w:sz w:val="20"/>
                <w:szCs w:val="20"/>
              </w:rPr>
              <w:t>preglednost</w:t>
            </w:r>
            <w:r w:rsidRPr="003555A0">
              <w:rPr>
                <w:rFonts w:ascii="Arial" w:hAnsi="Arial" w:cs="Arial"/>
                <w:sz w:val="20"/>
                <w:szCs w:val="20"/>
              </w:rPr>
              <w:t xml:space="preserve"> pri izbirnih postopkih za člane organov vodenja in nadzora, vendar zaradi navedenih razlogov trenutno sledimo minimalni harmonizaciji z Direktivo (EU) 2022/2381. Zahteva za družbe, ki ne izpolnjujejo deležev glede uravnotežen</w:t>
            </w:r>
            <w:r>
              <w:rPr>
                <w:rFonts w:ascii="Arial" w:hAnsi="Arial" w:cs="Arial"/>
                <w:sz w:val="20"/>
                <w:szCs w:val="20"/>
              </w:rPr>
              <w:t>e zastopanosti</w:t>
            </w:r>
            <w:r w:rsidRPr="003555A0">
              <w:rPr>
                <w:rFonts w:ascii="Arial" w:hAnsi="Arial" w:cs="Arial"/>
                <w:sz w:val="20"/>
                <w:szCs w:val="20"/>
              </w:rPr>
              <w:t xml:space="preserve"> </w:t>
            </w:r>
            <w:r w:rsidRPr="006E0C85">
              <w:rPr>
                <w:rFonts w:ascii="Arial" w:hAnsi="Arial" w:cs="Arial"/>
                <w:sz w:val="20"/>
                <w:szCs w:val="20"/>
              </w:rPr>
              <w:t xml:space="preserve">spolov </w:t>
            </w:r>
            <w:r w:rsidRPr="003555A0">
              <w:rPr>
                <w:rFonts w:ascii="Arial" w:hAnsi="Arial" w:cs="Arial"/>
                <w:sz w:val="20"/>
                <w:szCs w:val="20"/>
              </w:rPr>
              <w:t>med člani vodenja in nadzora, da pred začetkom izbirnih postopkov določijo merila in pogoje izbirnega postopka, ki jih morajo tudi javno objaviti na vidnem mestu</w:t>
            </w:r>
            <w:r>
              <w:rPr>
                <w:rFonts w:ascii="Arial" w:hAnsi="Arial" w:cs="Arial"/>
                <w:sz w:val="20"/>
                <w:szCs w:val="20"/>
              </w:rPr>
              <w:t>,</w:t>
            </w:r>
            <w:r w:rsidRPr="003555A0">
              <w:rPr>
                <w:rFonts w:ascii="Arial" w:hAnsi="Arial" w:cs="Arial"/>
                <w:sz w:val="20"/>
                <w:szCs w:val="20"/>
              </w:rPr>
              <w:t xml:space="preserve"> je samo eden izmed ukrepov, s katerimi se želi</w:t>
            </w:r>
            <w:r>
              <w:rPr>
                <w:rFonts w:ascii="Arial" w:hAnsi="Arial" w:cs="Arial"/>
                <w:sz w:val="20"/>
                <w:szCs w:val="20"/>
              </w:rPr>
              <w:t>jo</w:t>
            </w:r>
            <w:r w:rsidRPr="003555A0">
              <w:rPr>
                <w:rFonts w:ascii="Arial" w:hAnsi="Arial" w:cs="Arial"/>
                <w:sz w:val="20"/>
                <w:szCs w:val="20"/>
              </w:rPr>
              <w:t xml:space="preserve"> družbe spodbuditi, da zagotovijo uravnoteženo zastopanost spolov v organih vodenja in nadzora. Pri pripravi določb smo sledili namenu direktive, da z mehkimi ukrepi spodbudimo družbe k prizadevanjem za bolj uravnoteženo zastopanost </w:t>
            </w:r>
            <w:r w:rsidRPr="006E0C85">
              <w:rPr>
                <w:rFonts w:ascii="Arial" w:hAnsi="Arial" w:cs="Arial"/>
                <w:sz w:val="20"/>
                <w:szCs w:val="20"/>
              </w:rPr>
              <w:t xml:space="preserve">spolov </w:t>
            </w:r>
            <w:r w:rsidRPr="003555A0">
              <w:rPr>
                <w:rFonts w:ascii="Arial" w:hAnsi="Arial" w:cs="Arial"/>
                <w:sz w:val="20"/>
                <w:szCs w:val="20"/>
              </w:rPr>
              <w:t xml:space="preserve">med člani organov vodenja in nadzora. Če družbe dosežejo cilj glede uravnotežene zastopanosti spolov v organih vodenja in nadzora, jih ne želimo po nepotrebnem dodatno obremenjevati z zavezami glede izpolnitve drugih ukrepov, ker to ni namen Direktive (EU) 2022/2381 </w:t>
            </w:r>
            <w:r>
              <w:rPr>
                <w:rFonts w:ascii="Arial" w:hAnsi="Arial" w:cs="Arial"/>
                <w:sz w:val="20"/>
                <w:szCs w:val="20"/>
              </w:rPr>
              <w:t>niti</w:t>
            </w:r>
            <w:r w:rsidRPr="003555A0">
              <w:rPr>
                <w:rFonts w:ascii="Arial" w:hAnsi="Arial" w:cs="Arial"/>
                <w:sz w:val="20"/>
                <w:szCs w:val="20"/>
              </w:rPr>
              <w:t xml:space="preserve"> nacionalne zakonodaje</w:t>
            </w:r>
            <w:r>
              <w:rPr>
                <w:rFonts w:ascii="Arial" w:hAnsi="Arial" w:cs="Arial"/>
                <w:sz w:val="20"/>
                <w:szCs w:val="20"/>
              </w:rPr>
              <w:t>;</w:t>
            </w:r>
          </w:p>
          <w:p w14:paraId="03064078" w14:textId="77777777" w:rsidR="00526E23" w:rsidRPr="003555A0" w:rsidRDefault="00526E23" w:rsidP="00526E23">
            <w:pPr>
              <w:pStyle w:val="ListParagraph"/>
              <w:numPr>
                <w:ilvl w:val="0"/>
                <w:numId w:val="94"/>
              </w:numPr>
              <w:spacing w:after="120" w:line="276" w:lineRule="auto"/>
              <w:jc w:val="both"/>
              <w:rPr>
                <w:rFonts w:ascii="Arial" w:hAnsi="Arial" w:cs="Arial"/>
                <w:b/>
                <w:bCs/>
                <w:sz w:val="20"/>
                <w:szCs w:val="20"/>
              </w:rPr>
            </w:pPr>
            <w:r w:rsidRPr="003555A0">
              <w:rPr>
                <w:rFonts w:ascii="Arial" w:hAnsi="Arial" w:cs="Arial"/>
                <w:b/>
                <w:bCs/>
                <w:sz w:val="20"/>
                <w:szCs w:val="20"/>
              </w:rPr>
              <w:lastRenderedPageBreak/>
              <w:t xml:space="preserve">da se doda, da bo </w:t>
            </w:r>
            <w:r w:rsidRPr="003555A0">
              <w:rPr>
                <w:rFonts w:ascii="Arial" w:hAnsi="Arial" w:cs="Arial"/>
                <w:b/>
                <w:bCs/>
                <w:color w:val="222222"/>
                <w:sz w:val="20"/>
                <w:szCs w:val="20"/>
                <w:lang w:eastAsia="en-GB"/>
              </w:rPr>
              <w:t xml:space="preserve">kandidatom, ki niso bili izbrani, omogočeno od vseh družb zahtevati podatke in utemeljitve o poteku izbirnega postopka (ne le od družb, ki ne izpolnjujejo zahtev v zvezi z deleži </w:t>
            </w:r>
            <w:r w:rsidRPr="006E0C85">
              <w:rPr>
                <w:rFonts w:ascii="Arial" w:hAnsi="Arial" w:cs="Arial"/>
                <w:b/>
                <w:bCs/>
                <w:color w:val="222222"/>
                <w:sz w:val="20"/>
                <w:szCs w:val="20"/>
                <w:lang w:eastAsia="en-GB"/>
              </w:rPr>
              <w:t>uravnotežene</w:t>
            </w:r>
            <w:r w:rsidRPr="006E0C85" w:rsidDel="006E0C85">
              <w:rPr>
                <w:rFonts w:ascii="Arial" w:hAnsi="Arial" w:cs="Arial"/>
                <w:b/>
                <w:bCs/>
                <w:color w:val="222222"/>
                <w:sz w:val="20"/>
                <w:szCs w:val="20"/>
                <w:lang w:eastAsia="en-GB"/>
              </w:rPr>
              <w:t xml:space="preserve"> </w:t>
            </w:r>
            <w:r w:rsidRPr="003555A0">
              <w:rPr>
                <w:rFonts w:ascii="Arial" w:hAnsi="Arial" w:cs="Arial"/>
                <w:b/>
                <w:bCs/>
                <w:color w:val="222222"/>
                <w:sz w:val="20"/>
                <w:szCs w:val="20"/>
                <w:lang w:eastAsia="en-GB"/>
              </w:rPr>
              <w:t>zastopanosti</w:t>
            </w:r>
            <w:r>
              <w:rPr>
                <w:rFonts w:ascii="Arial" w:hAnsi="Arial" w:cs="Arial"/>
                <w:b/>
                <w:bCs/>
                <w:color w:val="222222"/>
                <w:sz w:val="20"/>
                <w:szCs w:val="20"/>
                <w:lang w:eastAsia="en-GB"/>
              </w:rPr>
              <w:t xml:space="preserve"> </w:t>
            </w:r>
            <w:r w:rsidRPr="006E0C85">
              <w:rPr>
                <w:rFonts w:ascii="Arial" w:hAnsi="Arial" w:cs="Arial"/>
                <w:b/>
                <w:bCs/>
                <w:color w:val="222222"/>
                <w:sz w:val="20"/>
                <w:szCs w:val="20"/>
                <w:lang w:eastAsia="en-GB"/>
              </w:rPr>
              <w:t>spolov</w:t>
            </w:r>
            <w:r w:rsidRPr="003555A0">
              <w:rPr>
                <w:rFonts w:ascii="Arial" w:hAnsi="Arial" w:cs="Arial"/>
                <w:b/>
                <w:bCs/>
                <w:color w:val="222222"/>
                <w:sz w:val="20"/>
                <w:szCs w:val="20"/>
                <w:lang w:eastAsia="en-GB"/>
              </w:rPr>
              <w:t xml:space="preserve">). </w:t>
            </w:r>
            <w:r w:rsidRPr="003555A0">
              <w:rPr>
                <w:rFonts w:ascii="Arial" w:hAnsi="Arial" w:cs="Arial"/>
                <w:sz w:val="20"/>
                <w:szCs w:val="20"/>
              </w:rPr>
              <w:t>Podobno kot pri pr</w:t>
            </w:r>
            <w:r>
              <w:rPr>
                <w:rFonts w:ascii="Arial" w:hAnsi="Arial" w:cs="Arial"/>
                <w:sz w:val="20"/>
                <w:szCs w:val="20"/>
              </w:rPr>
              <w:t>edhodnem predlogu</w:t>
            </w:r>
            <w:r w:rsidRPr="003555A0">
              <w:rPr>
                <w:rFonts w:ascii="Arial" w:hAnsi="Arial" w:cs="Arial"/>
                <w:sz w:val="20"/>
                <w:szCs w:val="20"/>
              </w:rPr>
              <w:t xml:space="preserve"> pojasnjujemo, da smo pri pripravi predloga ZGD-1M upoštevali minimalno harmonizacijo z zahtevami iz Direktive (EU) 2022/2381. Možnost pridobitve podatkov v zvezi z izbirnim postopkom, ki jo imajo neizbrani kandidati manj zastopanega spola, je samo eden od ukrepov, s katerim se </w:t>
            </w:r>
            <w:r>
              <w:rPr>
                <w:rFonts w:ascii="Arial" w:hAnsi="Arial" w:cs="Arial"/>
                <w:sz w:val="20"/>
                <w:szCs w:val="20"/>
              </w:rPr>
              <w:t xml:space="preserve">želi </w:t>
            </w:r>
            <w:r w:rsidRPr="003555A0">
              <w:rPr>
                <w:rFonts w:ascii="Arial" w:hAnsi="Arial" w:cs="Arial"/>
                <w:sz w:val="20"/>
                <w:szCs w:val="20"/>
              </w:rPr>
              <w:t>družbe spodbu</w:t>
            </w:r>
            <w:r>
              <w:rPr>
                <w:rFonts w:ascii="Arial" w:hAnsi="Arial" w:cs="Arial"/>
                <w:sz w:val="20"/>
                <w:szCs w:val="20"/>
              </w:rPr>
              <w:t>diti</w:t>
            </w:r>
            <w:r w:rsidRPr="003555A0">
              <w:rPr>
                <w:rFonts w:ascii="Arial" w:hAnsi="Arial" w:cs="Arial"/>
                <w:sz w:val="20"/>
                <w:szCs w:val="20"/>
              </w:rPr>
              <w:t xml:space="preserve">, da si </w:t>
            </w:r>
            <w:r>
              <w:rPr>
                <w:rFonts w:ascii="Arial" w:hAnsi="Arial" w:cs="Arial"/>
                <w:sz w:val="20"/>
                <w:szCs w:val="20"/>
              </w:rPr>
              <w:t>za</w:t>
            </w:r>
            <w:r w:rsidRPr="003555A0">
              <w:rPr>
                <w:rFonts w:ascii="Arial" w:hAnsi="Arial" w:cs="Arial"/>
                <w:sz w:val="20"/>
                <w:szCs w:val="20"/>
              </w:rPr>
              <w:t xml:space="preserve">čnejo prizadevati za uravnoteženo zastopanost </w:t>
            </w:r>
            <w:r w:rsidRPr="006E0C85">
              <w:rPr>
                <w:rFonts w:ascii="Arial" w:hAnsi="Arial" w:cs="Arial"/>
                <w:sz w:val="20"/>
                <w:szCs w:val="20"/>
              </w:rPr>
              <w:t xml:space="preserve">spolov </w:t>
            </w:r>
            <w:r w:rsidRPr="003555A0">
              <w:rPr>
                <w:rFonts w:ascii="Arial" w:hAnsi="Arial" w:cs="Arial"/>
                <w:sz w:val="20"/>
                <w:szCs w:val="20"/>
              </w:rPr>
              <w:t xml:space="preserve">v organih vodenja in nadzora. </w:t>
            </w:r>
            <w:r>
              <w:rPr>
                <w:rFonts w:ascii="Arial" w:hAnsi="Arial" w:cs="Arial"/>
                <w:sz w:val="20"/>
                <w:szCs w:val="20"/>
              </w:rPr>
              <w:t>Če</w:t>
            </w:r>
            <w:r w:rsidRPr="003555A0">
              <w:rPr>
                <w:rFonts w:ascii="Arial" w:hAnsi="Arial" w:cs="Arial"/>
                <w:sz w:val="20"/>
                <w:szCs w:val="20"/>
              </w:rPr>
              <w:t xml:space="preserve"> družbe ne dosežejo cilja glede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spolov</w:t>
            </w:r>
            <w:r>
              <w:rPr>
                <w:rFonts w:ascii="Arial" w:hAnsi="Arial" w:cs="Arial"/>
                <w:sz w:val="20"/>
                <w:szCs w:val="20"/>
              </w:rPr>
              <w:t>,</w:t>
            </w:r>
            <w:r w:rsidRPr="006E0C85">
              <w:rPr>
                <w:rFonts w:ascii="Arial" w:hAnsi="Arial" w:cs="Arial"/>
                <w:sz w:val="20"/>
                <w:szCs w:val="20"/>
              </w:rPr>
              <w:t xml:space="preserve"> </w:t>
            </w:r>
            <w:r w:rsidRPr="003555A0">
              <w:rPr>
                <w:rFonts w:ascii="Arial" w:hAnsi="Arial" w:cs="Arial"/>
                <w:sz w:val="20"/>
                <w:szCs w:val="20"/>
              </w:rPr>
              <w:t>določenih z direktivo, morajo namreč upoštevati druge ukrepe, s katerimi se spodbuja</w:t>
            </w:r>
            <w:r>
              <w:rPr>
                <w:rFonts w:ascii="Arial" w:hAnsi="Arial" w:cs="Arial"/>
                <w:sz w:val="20"/>
                <w:szCs w:val="20"/>
              </w:rPr>
              <w:t>jo</w:t>
            </w:r>
            <w:r w:rsidRPr="003555A0">
              <w:rPr>
                <w:rFonts w:ascii="Arial" w:hAnsi="Arial" w:cs="Arial"/>
                <w:sz w:val="20"/>
                <w:szCs w:val="20"/>
              </w:rPr>
              <w:t xml:space="preserve"> k sestavi </w:t>
            </w:r>
            <w:r>
              <w:rPr>
                <w:rFonts w:ascii="Arial" w:hAnsi="Arial" w:cs="Arial"/>
                <w:sz w:val="20"/>
                <w:szCs w:val="20"/>
              </w:rPr>
              <w:t>takih</w:t>
            </w:r>
            <w:r w:rsidRPr="003555A0">
              <w:rPr>
                <w:rFonts w:ascii="Arial" w:hAnsi="Arial" w:cs="Arial"/>
                <w:sz w:val="20"/>
                <w:szCs w:val="20"/>
              </w:rPr>
              <w:t xml:space="preserve"> organov vodenja in nadzora</w:t>
            </w:r>
            <w:r>
              <w:rPr>
                <w:rFonts w:ascii="Arial" w:hAnsi="Arial" w:cs="Arial"/>
                <w:sz w:val="20"/>
                <w:szCs w:val="20"/>
              </w:rPr>
              <w:t xml:space="preserve">, da se doseže </w:t>
            </w:r>
            <w:r w:rsidRPr="006E0C85">
              <w:rPr>
                <w:rFonts w:ascii="Arial" w:hAnsi="Arial" w:cs="Arial"/>
                <w:sz w:val="20"/>
                <w:szCs w:val="20"/>
              </w:rPr>
              <w:t>uravnotežen</w:t>
            </w:r>
            <w:r>
              <w:rPr>
                <w:rFonts w:ascii="Arial" w:hAnsi="Arial" w:cs="Arial"/>
                <w:sz w:val="20"/>
                <w:szCs w:val="20"/>
              </w:rPr>
              <w:t xml:space="preserve">a </w:t>
            </w:r>
            <w:r w:rsidRPr="006E0C85">
              <w:rPr>
                <w:rFonts w:ascii="Arial" w:hAnsi="Arial" w:cs="Arial"/>
                <w:sz w:val="20"/>
                <w:szCs w:val="20"/>
              </w:rPr>
              <w:t>zastopanost</w:t>
            </w:r>
            <w:r>
              <w:t xml:space="preserve"> </w:t>
            </w:r>
            <w:r w:rsidRPr="006E0C85">
              <w:rPr>
                <w:rFonts w:ascii="Arial" w:hAnsi="Arial" w:cs="Arial"/>
                <w:sz w:val="20"/>
                <w:szCs w:val="20"/>
              </w:rPr>
              <w:t>spolov</w:t>
            </w:r>
            <w:r w:rsidRPr="003555A0">
              <w:rPr>
                <w:rFonts w:ascii="Arial" w:hAnsi="Arial" w:cs="Arial"/>
                <w:sz w:val="20"/>
                <w:szCs w:val="20"/>
              </w:rPr>
              <w:t xml:space="preserve">, kar zajema tudi razkritje </w:t>
            </w:r>
            <w:r>
              <w:rPr>
                <w:rFonts w:ascii="Arial" w:hAnsi="Arial" w:cs="Arial"/>
                <w:sz w:val="20"/>
                <w:szCs w:val="20"/>
              </w:rPr>
              <w:t>nekaterih</w:t>
            </w:r>
            <w:r w:rsidRPr="003555A0">
              <w:rPr>
                <w:rFonts w:ascii="Arial" w:hAnsi="Arial" w:cs="Arial"/>
                <w:sz w:val="20"/>
                <w:szCs w:val="20"/>
              </w:rPr>
              <w:t xml:space="preserve"> podatkov (o merilih glede kvalifikacij, na katerih je temeljil izbor</w:t>
            </w:r>
            <w:r>
              <w:rPr>
                <w:rFonts w:ascii="Arial" w:hAnsi="Arial" w:cs="Arial"/>
                <w:sz w:val="20"/>
                <w:szCs w:val="20"/>
              </w:rPr>
              <w:t>,</w:t>
            </w:r>
            <w:r w:rsidRPr="003555A0">
              <w:rPr>
                <w:rFonts w:ascii="Arial" w:hAnsi="Arial" w:cs="Arial"/>
                <w:sz w:val="20"/>
                <w:szCs w:val="20"/>
              </w:rPr>
              <w:t xml:space="preserve"> o objektivni primerjalni oceni kandidatov in o posebnih vidikih, ki so pretehtali v korist izbranega kandidata) na zahtevo neizbranega kandidata manj zastopanega spola, ob upoštevanju pravil glede varstva osebnih podatkov. Če družbe dosežejo cilj glede uravnotežene zastopanosti spolov v organih vodenja in nadzora, jih ne želimo po nepotrebnem dodatno obremenjevati z zavezami glede izpolnitve drugih ukrepov, ker to ni namen Direktive (EU) 2022/2381 </w:t>
            </w:r>
            <w:r>
              <w:rPr>
                <w:rFonts w:ascii="Arial" w:hAnsi="Arial" w:cs="Arial"/>
                <w:sz w:val="20"/>
                <w:szCs w:val="20"/>
              </w:rPr>
              <w:t>niti</w:t>
            </w:r>
            <w:r w:rsidRPr="003555A0">
              <w:rPr>
                <w:rFonts w:ascii="Arial" w:hAnsi="Arial" w:cs="Arial"/>
                <w:sz w:val="20"/>
                <w:szCs w:val="20"/>
              </w:rPr>
              <w:t xml:space="preserve"> nacionalne zakonodaje</w:t>
            </w:r>
            <w:r>
              <w:rPr>
                <w:rFonts w:ascii="Arial" w:hAnsi="Arial" w:cs="Arial"/>
                <w:sz w:val="20"/>
                <w:szCs w:val="20"/>
              </w:rPr>
              <w:t>;</w:t>
            </w:r>
          </w:p>
          <w:p w14:paraId="21E3E269" w14:textId="77777777" w:rsidR="00526E23" w:rsidRPr="003555A0" w:rsidRDefault="00526E23" w:rsidP="00526E23">
            <w:pPr>
              <w:pStyle w:val="ListParagraph"/>
              <w:numPr>
                <w:ilvl w:val="0"/>
                <w:numId w:val="94"/>
              </w:numPr>
              <w:spacing w:after="120" w:line="276" w:lineRule="auto"/>
              <w:contextualSpacing w:val="0"/>
              <w:jc w:val="both"/>
              <w:rPr>
                <w:rFonts w:ascii="Arial" w:hAnsi="Arial" w:cs="Arial"/>
                <w:b/>
                <w:bCs/>
                <w:sz w:val="20"/>
                <w:szCs w:val="20"/>
              </w:rPr>
            </w:pPr>
            <w:r w:rsidRPr="003555A0">
              <w:rPr>
                <w:rFonts w:ascii="Arial" w:hAnsi="Arial" w:cs="Arial"/>
                <w:b/>
                <w:bCs/>
                <w:color w:val="222222"/>
                <w:sz w:val="20"/>
                <w:szCs w:val="20"/>
                <w:lang w:eastAsia="en-GB"/>
              </w:rPr>
              <w:t>da se natančno opredeli</w:t>
            </w:r>
            <w:r>
              <w:rPr>
                <w:rFonts w:ascii="Arial" w:hAnsi="Arial" w:cs="Arial"/>
                <w:b/>
                <w:bCs/>
                <w:color w:val="222222"/>
                <w:sz w:val="20"/>
                <w:szCs w:val="20"/>
                <w:lang w:eastAsia="en-GB"/>
              </w:rPr>
              <w:t>jo</w:t>
            </w:r>
            <w:r w:rsidRPr="003555A0">
              <w:rPr>
                <w:rFonts w:ascii="Arial" w:hAnsi="Arial" w:cs="Arial"/>
                <w:b/>
                <w:bCs/>
                <w:color w:val="222222"/>
                <w:sz w:val="20"/>
                <w:szCs w:val="20"/>
                <w:lang w:eastAsia="en-GB"/>
              </w:rPr>
              <w:t xml:space="preserve"> izjeme, kadar družbe v primeru enako kvalificiranih kandidatov v izbirnem</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postopku</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niso dolžne izbrati osebe manj zastopanega spola</w:t>
            </w:r>
            <w:r w:rsidRPr="00143F97">
              <w:rPr>
                <w:rFonts w:ascii="Arial" w:hAnsi="Arial" w:cs="Arial"/>
                <w:b/>
                <w:color w:val="222222"/>
                <w:sz w:val="20"/>
                <w:szCs w:val="20"/>
                <w:lang w:eastAsia="en-GB"/>
              </w:rPr>
              <w:t>.</w:t>
            </w:r>
            <w:r w:rsidRPr="003555A0">
              <w:rPr>
                <w:rFonts w:ascii="Arial" w:hAnsi="Arial" w:cs="Arial"/>
                <w:color w:val="222222"/>
                <w:sz w:val="20"/>
                <w:szCs w:val="20"/>
                <w:lang w:eastAsia="en-GB"/>
              </w:rPr>
              <w:t xml:space="preserve"> V 6. členu Direktive (EU) 2022/2381 </w:t>
            </w:r>
            <w:r>
              <w:rPr>
                <w:rFonts w:ascii="Arial" w:hAnsi="Arial" w:cs="Arial"/>
                <w:color w:val="222222"/>
                <w:sz w:val="20"/>
                <w:szCs w:val="20"/>
                <w:lang w:eastAsia="en-GB"/>
              </w:rPr>
              <w:t>in</w:t>
            </w:r>
            <w:r w:rsidRPr="003555A0">
              <w:rPr>
                <w:rFonts w:ascii="Arial" w:hAnsi="Arial" w:cs="Arial"/>
                <w:color w:val="222222"/>
                <w:sz w:val="20"/>
                <w:szCs w:val="20"/>
                <w:lang w:eastAsia="en-GB"/>
              </w:rPr>
              <w:t xml:space="preserve"> v obrazložitvi novega 254.č člena je navedeno, da se izjeme nanašajo na primere, kadar razlogi večje pravne teže pretehtajo v korist kandidata nasprotnega spola. Razlogi večje pravne teže</w:t>
            </w:r>
            <w:r w:rsidRPr="003555A0" w:rsidDel="006823D5">
              <w:rPr>
                <w:rFonts w:ascii="Arial" w:hAnsi="Arial" w:cs="Arial"/>
                <w:color w:val="222222"/>
                <w:sz w:val="20"/>
                <w:szCs w:val="20"/>
                <w:lang w:eastAsia="en-GB"/>
              </w:rPr>
              <w:t xml:space="preserve"> </w:t>
            </w:r>
            <w:r w:rsidRPr="003555A0">
              <w:rPr>
                <w:rFonts w:ascii="Arial" w:hAnsi="Arial" w:cs="Arial"/>
                <w:color w:val="222222"/>
                <w:sz w:val="20"/>
                <w:szCs w:val="20"/>
                <w:lang w:eastAsia="en-GB"/>
              </w:rPr>
              <w:t xml:space="preserve">so lahko na primer izvajanje </w:t>
            </w:r>
            <w:r w:rsidRPr="003555A0" w:rsidDel="009B69A0">
              <w:rPr>
                <w:rFonts w:ascii="Arial" w:hAnsi="Arial" w:cs="Arial"/>
                <w:color w:val="222222"/>
                <w:sz w:val="20"/>
                <w:szCs w:val="20"/>
                <w:lang w:eastAsia="en-GB"/>
              </w:rPr>
              <w:t xml:space="preserve">drugih </w:t>
            </w:r>
            <w:r w:rsidRPr="003555A0">
              <w:rPr>
                <w:rFonts w:ascii="Arial" w:hAnsi="Arial" w:cs="Arial"/>
                <w:color w:val="222222"/>
                <w:sz w:val="20"/>
                <w:szCs w:val="20"/>
                <w:lang w:eastAsia="en-GB"/>
              </w:rPr>
              <w:t>politik raznolikosti</w:t>
            </w:r>
            <w:r w:rsidRPr="003555A0" w:rsidDel="009B69A0">
              <w:rPr>
                <w:rFonts w:ascii="Arial" w:hAnsi="Arial" w:cs="Arial"/>
                <w:color w:val="222222"/>
                <w:sz w:val="20"/>
                <w:szCs w:val="20"/>
                <w:lang w:eastAsia="en-GB"/>
              </w:rPr>
              <w:t xml:space="preserve"> </w:t>
            </w:r>
            <w:r>
              <w:rPr>
                <w:rFonts w:ascii="Arial" w:hAnsi="Arial" w:cs="Arial"/>
                <w:color w:val="222222"/>
                <w:sz w:val="20"/>
                <w:szCs w:val="20"/>
                <w:lang w:eastAsia="en-GB"/>
              </w:rPr>
              <w:t xml:space="preserve">v </w:t>
            </w:r>
            <w:r w:rsidRPr="003555A0">
              <w:rPr>
                <w:rFonts w:ascii="Arial" w:hAnsi="Arial" w:cs="Arial"/>
                <w:color w:val="222222"/>
                <w:sz w:val="20"/>
                <w:szCs w:val="20"/>
                <w:lang w:eastAsia="en-GB"/>
              </w:rPr>
              <w:t>družb</w:t>
            </w:r>
            <w:r>
              <w:rPr>
                <w:rFonts w:ascii="Arial" w:hAnsi="Arial" w:cs="Arial"/>
                <w:color w:val="222222"/>
                <w:sz w:val="20"/>
                <w:szCs w:val="20"/>
                <w:lang w:eastAsia="en-GB"/>
              </w:rPr>
              <w:t>i</w:t>
            </w:r>
            <w:r w:rsidRPr="003555A0">
              <w:rPr>
                <w:rFonts w:ascii="Arial" w:hAnsi="Arial" w:cs="Arial"/>
                <w:color w:val="222222"/>
                <w:sz w:val="20"/>
                <w:szCs w:val="20"/>
                <w:lang w:eastAsia="en-GB"/>
              </w:rPr>
              <w:t>, na katere se mora sklicevati v okviru objektivne ocene, upoštevati poseben položaj nasprotnega spola in temeljiti na nediskriminatornih merilih. T</w:t>
            </w:r>
            <w:r w:rsidRPr="003555A0">
              <w:rPr>
                <w:rFonts w:ascii="Arial" w:hAnsi="Arial" w:cs="Arial"/>
                <w:sz w:val="20"/>
                <w:szCs w:val="20"/>
              </w:rPr>
              <w:t>aksativno navajanje primerov izjem v členu zakona</w:t>
            </w:r>
            <w:r w:rsidRPr="003555A0" w:rsidDel="006823D5">
              <w:rPr>
                <w:rFonts w:ascii="Arial" w:hAnsi="Arial" w:cs="Arial"/>
                <w:sz w:val="20"/>
                <w:szCs w:val="20"/>
              </w:rPr>
              <w:t xml:space="preserve"> </w:t>
            </w:r>
            <w:r>
              <w:rPr>
                <w:rFonts w:ascii="Arial" w:hAnsi="Arial" w:cs="Arial"/>
                <w:sz w:val="20"/>
                <w:szCs w:val="20"/>
              </w:rPr>
              <w:t>ustvarja</w:t>
            </w:r>
            <w:r w:rsidRPr="003555A0">
              <w:rPr>
                <w:rFonts w:ascii="Arial" w:hAnsi="Arial" w:cs="Arial"/>
                <w:sz w:val="20"/>
                <w:szCs w:val="20"/>
              </w:rPr>
              <w:t xml:space="preserve"> tveganje, da omejimo njihov nabor samo na </w:t>
            </w:r>
            <w:r>
              <w:rPr>
                <w:rFonts w:ascii="Arial" w:hAnsi="Arial" w:cs="Arial"/>
                <w:sz w:val="20"/>
                <w:szCs w:val="20"/>
              </w:rPr>
              <w:t>nekatere</w:t>
            </w:r>
            <w:r w:rsidRPr="003555A0">
              <w:rPr>
                <w:rFonts w:ascii="Arial" w:hAnsi="Arial" w:cs="Arial"/>
                <w:sz w:val="20"/>
                <w:szCs w:val="20"/>
              </w:rPr>
              <w:t xml:space="preserve"> izjeme, kar se lahko v praksi izkaže za neustrezno, zato menimo, da to ni zakonska materija. </w:t>
            </w:r>
            <w:r>
              <w:rPr>
                <w:rFonts w:ascii="Arial" w:hAnsi="Arial" w:cs="Arial"/>
                <w:sz w:val="20"/>
                <w:szCs w:val="20"/>
              </w:rPr>
              <w:t>Delno bomo upoštevali predlog in navedli primer izjeme v 254.č členu in</w:t>
            </w:r>
            <w:r w:rsidRPr="003555A0">
              <w:rPr>
                <w:rFonts w:ascii="Arial" w:hAnsi="Arial" w:cs="Arial"/>
                <w:sz w:val="20"/>
                <w:szCs w:val="20"/>
              </w:rPr>
              <w:t xml:space="preserve"> dopolnili obrazložitev </w:t>
            </w:r>
            <w:r>
              <w:rPr>
                <w:rFonts w:ascii="Arial" w:hAnsi="Arial" w:cs="Arial"/>
                <w:sz w:val="20"/>
                <w:szCs w:val="20"/>
              </w:rPr>
              <w:t>z</w:t>
            </w:r>
            <w:r w:rsidRPr="003555A0">
              <w:rPr>
                <w:rFonts w:ascii="Arial" w:hAnsi="Arial" w:cs="Arial"/>
                <w:sz w:val="20"/>
                <w:szCs w:val="20"/>
              </w:rPr>
              <w:t xml:space="preserve"> naved</w:t>
            </w:r>
            <w:r>
              <w:rPr>
                <w:rFonts w:ascii="Arial" w:hAnsi="Arial" w:cs="Arial"/>
                <w:sz w:val="20"/>
                <w:szCs w:val="20"/>
              </w:rPr>
              <w:t>bo</w:t>
            </w:r>
            <w:r w:rsidRPr="003555A0">
              <w:rPr>
                <w:rFonts w:ascii="Arial" w:hAnsi="Arial" w:cs="Arial"/>
                <w:sz w:val="20"/>
                <w:szCs w:val="20"/>
              </w:rPr>
              <w:t xml:space="preserve"> primerov, ki bi pri določitvi meril v izbirnih postopkih lahko prevladali nad spolom, kot je na primer starost, nacionalnost, invalidnost, če je to pomembno za izvajanje </w:t>
            </w:r>
            <w:r>
              <w:rPr>
                <w:rFonts w:ascii="Arial" w:hAnsi="Arial" w:cs="Arial"/>
                <w:sz w:val="20"/>
                <w:szCs w:val="20"/>
              </w:rPr>
              <w:t>zgoraj navedenih</w:t>
            </w:r>
            <w:r w:rsidRPr="003555A0">
              <w:rPr>
                <w:rFonts w:ascii="Arial" w:hAnsi="Arial" w:cs="Arial"/>
                <w:sz w:val="20"/>
                <w:szCs w:val="20"/>
              </w:rPr>
              <w:t xml:space="preserve"> politik družbe</w:t>
            </w:r>
            <w:r>
              <w:rPr>
                <w:rFonts w:ascii="Arial" w:hAnsi="Arial" w:cs="Arial"/>
                <w:sz w:val="20"/>
                <w:szCs w:val="20"/>
              </w:rPr>
              <w:t>;</w:t>
            </w:r>
          </w:p>
          <w:p w14:paraId="3E718D12" w14:textId="77777777" w:rsidR="00526E23" w:rsidRPr="003555A0" w:rsidRDefault="00526E23" w:rsidP="00526E23">
            <w:pPr>
              <w:pStyle w:val="ListParagraph"/>
              <w:numPr>
                <w:ilvl w:val="0"/>
                <w:numId w:val="94"/>
              </w:numPr>
              <w:spacing w:after="120" w:line="276" w:lineRule="auto"/>
              <w:contextualSpacing w:val="0"/>
              <w:jc w:val="both"/>
              <w:rPr>
                <w:rFonts w:ascii="Arial" w:hAnsi="Arial" w:cs="Arial"/>
                <w:b/>
                <w:bCs/>
                <w:sz w:val="20"/>
                <w:szCs w:val="20"/>
              </w:rPr>
            </w:pPr>
            <w:r w:rsidRPr="003555A0">
              <w:rPr>
                <w:rFonts w:ascii="Arial" w:hAnsi="Arial" w:cs="Arial"/>
                <w:b/>
                <w:bCs/>
                <w:sz w:val="20"/>
                <w:szCs w:val="20"/>
              </w:rPr>
              <w:t>da je imenovanje osebe, ki je bila v izbirnem postopku izbrana v nasprotju z določbami tega zakona</w:t>
            </w:r>
            <w:r>
              <w:rPr>
                <w:rFonts w:ascii="Arial" w:hAnsi="Arial" w:cs="Arial"/>
                <w:b/>
                <w:bCs/>
                <w:sz w:val="20"/>
                <w:szCs w:val="20"/>
              </w:rPr>
              <w:t>,</w:t>
            </w:r>
            <w:r w:rsidRPr="003555A0">
              <w:rPr>
                <w:rFonts w:ascii="Arial" w:hAnsi="Arial" w:cs="Arial"/>
                <w:b/>
                <w:bCs/>
                <w:sz w:val="20"/>
                <w:szCs w:val="20"/>
              </w:rPr>
              <w:t xml:space="preserve"> glede zagotavljanja večje zastopanosti manj zastopanega spola nično, hkrati pa je oškodovana oseba upravičena do odškodnine in nadomestila. </w:t>
            </w:r>
            <w:r>
              <w:rPr>
                <w:rFonts w:ascii="Arial" w:hAnsi="Arial" w:cs="Arial"/>
                <w:sz w:val="20"/>
                <w:szCs w:val="20"/>
              </w:rPr>
              <w:t>Na podlagi</w:t>
            </w:r>
            <w:r w:rsidRPr="003555A0">
              <w:rPr>
                <w:rFonts w:ascii="Arial" w:hAnsi="Arial" w:cs="Arial"/>
                <w:sz w:val="20"/>
                <w:szCs w:val="20"/>
              </w:rPr>
              <w:t xml:space="preserve"> </w:t>
            </w:r>
            <w:r w:rsidRPr="003555A0">
              <w:rPr>
                <w:rStyle w:val="normaltextrun"/>
                <w:rFonts w:ascii="Arial" w:hAnsi="Arial" w:cs="Arial"/>
                <w:sz w:val="20"/>
                <w:szCs w:val="20"/>
              </w:rPr>
              <w:t>Direktiv</w:t>
            </w:r>
            <w:r>
              <w:rPr>
                <w:rStyle w:val="normaltextrun"/>
                <w:rFonts w:ascii="Arial" w:hAnsi="Arial" w:cs="Arial"/>
                <w:sz w:val="20"/>
                <w:szCs w:val="20"/>
              </w:rPr>
              <w:t>e</w:t>
            </w:r>
            <w:r w:rsidRPr="003555A0">
              <w:rPr>
                <w:rStyle w:val="normaltextrun"/>
                <w:rFonts w:ascii="Arial" w:hAnsi="Arial" w:cs="Arial"/>
                <w:sz w:val="20"/>
                <w:szCs w:val="20"/>
              </w:rPr>
              <w:t xml:space="preserve"> (EU) 2022/2381 lahko države članice</w:t>
            </w:r>
            <w:r>
              <w:rPr>
                <w:rStyle w:val="normaltextrun"/>
                <w:rFonts w:ascii="Arial" w:hAnsi="Arial" w:cs="Arial"/>
                <w:sz w:val="20"/>
                <w:szCs w:val="20"/>
              </w:rPr>
              <w:t xml:space="preserve"> </w:t>
            </w:r>
            <w:r w:rsidRPr="003555A0">
              <w:rPr>
                <w:rStyle w:val="normaltextrun"/>
                <w:rFonts w:ascii="Arial" w:hAnsi="Arial" w:cs="Arial"/>
                <w:sz w:val="20"/>
                <w:szCs w:val="20"/>
              </w:rPr>
              <w:t xml:space="preserve">določijo različne vrste sankcij, ki lahko vključujejo globe, </w:t>
            </w:r>
            <w:r w:rsidRPr="003555A0">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3555A0">
              <w:rPr>
                <w:rStyle w:val="normaltextrun"/>
                <w:rFonts w:ascii="Arial" w:hAnsi="Arial" w:cs="Arial"/>
                <w:sz w:val="20"/>
                <w:szCs w:val="20"/>
              </w:rPr>
              <w:t>Predlog ZGD-1M določa globe za sankcije v primerih kršitev, ki jih predvideva Direktiva (EU) 2022/2381.</w:t>
            </w:r>
            <w:r w:rsidRPr="003555A0">
              <w:rPr>
                <w:rFonts w:ascii="Arial" w:hAnsi="Arial" w:cs="Arial"/>
                <w:sz w:val="20"/>
                <w:szCs w:val="20"/>
              </w:rPr>
              <w:t xml:space="preserve">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w:t>
            </w:r>
            <w:r>
              <w:rPr>
                <w:rFonts w:ascii="Arial" w:hAnsi="Arial" w:cs="Arial"/>
                <w:sz w:val="20"/>
                <w:szCs w:val="20"/>
              </w:rPr>
              <w:t>,</w:t>
            </w:r>
            <w:r w:rsidRPr="003555A0">
              <w:rPr>
                <w:rFonts w:ascii="Arial" w:hAnsi="Arial" w:cs="Arial"/>
                <w:sz w:val="20"/>
                <w:szCs w:val="20"/>
              </w:rPr>
              <w:t xml:space="preserve"> sledimo tudi pri določitvi sankcij minimalnim zahtevam </w:t>
            </w:r>
            <w:r>
              <w:rPr>
                <w:rFonts w:ascii="Arial" w:hAnsi="Arial" w:cs="Arial"/>
                <w:sz w:val="20"/>
                <w:szCs w:val="20"/>
              </w:rPr>
              <w:t xml:space="preserve">iz </w:t>
            </w:r>
            <w:r w:rsidRPr="003555A0">
              <w:rPr>
                <w:rFonts w:ascii="Arial" w:hAnsi="Arial" w:cs="Arial"/>
                <w:sz w:val="20"/>
                <w:szCs w:val="20"/>
              </w:rPr>
              <w:t xml:space="preserve">Direktive (EU) 2022/2381, tako da z mehkim pristopom spodbudimo napredek pri uravnoteženi zastopanosti spolov na najvišjih vodilnih mestih v družbah, ki bo v praksi podkrepljen tudi z drugimi podpornimi ukrepi. Iz raziskav </w:t>
            </w:r>
            <w:r>
              <w:rPr>
                <w:rFonts w:ascii="Arial" w:hAnsi="Arial" w:cs="Arial"/>
                <w:sz w:val="20"/>
                <w:szCs w:val="20"/>
              </w:rPr>
              <w:t>in</w:t>
            </w:r>
            <w:r w:rsidRPr="003555A0">
              <w:rPr>
                <w:rFonts w:ascii="Arial" w:hAnsi="Arial" w:cs="Arial"/>
                <w:sz w:val="20"/>
                <w:szCs w:val="20"/>
              </w:rPr>
              <w:t xml:space="preserve"> iz direktive je razvidno, da je potreben čas, da se družbe prilagodijo in seznanijo s pozitivnimi vidiki </w:t>
            </w:r>
            <w:r w:rsidRPr="009B69A0">
              <w:rPr>
                <w:rFonts w:ascii="Arial" w:hAnsi="Arial" w:cs="Arial"/>
                <w:sz w:val="20"/>
                <w:szCs w:val="20"/>
              </w:rPr>
              <w:t>uravnotežene zastopanosti spolov</w:t>
            </w:r>
            <w:r w:rsidRPr="009B69A0" w:rsidDel="009B69A0">
              <w:rPr>
                <w:rFonts w:ascii="Arial" w:hAnsi="Arial" w:cs="Arial"/>
                <w:sz w:val="20"/>
                <w:szCs w:val="20"/>
              </w:rPr>
              <w:t xml:space="preserve"> </w:t>
            </w:r>
            <w:r>
              <w:rPr>
                <w:rFonts w:ascii="Arial" w:hAnsi="Arial" w:cs="Arial"/>
                <w:sz w:val="20"/>
                <w:szCs w:val="20"/>
              </w:rPr>
              <w:t>p</w:t>
            </w:r>
            <w:r>
              <w:t xml:space="preserve">ri </w:t>
            </w:r>
            <w:r w:rsidRPr="003555A0">
              <w:rPr>
                <w:rFonts w:ascii="Arial" w:hAnsi="Arial" w:cs="Arial"/>
                <w:sz w:val="20"/>
                <w:szCs w:val="20"/>
              </w:rPr>
              <w:t>vodenj</w:t>
            </w:r>
            <w:r>
              <w:rPr>
                <w:rFonts w:ascii="Arial" w:hAnsi="Arial" w:cs="Arial"/>
                <w:sz w:val="20"/>
                <w:szCs w:val="20"/>
              </w:rPr>
              <w:t>u</w:t>
            </w:r>
            <w:r w:rsidRPr="003555A0">
              <w:rPr>
                <w:rFonts w:ascii="Arial" w:hAnsi="Arial" w:cs="Arial"/>
                <w:sz w:val="20"/>
                <w:szCs w:val="20"/>
              </w:rPr>
              <w:t>, zato menimo, da bi bila trenutno ničnost prestroga sankcija</w:t>
            </w:r>
            <w:r>
              <w:rPr>
                <w:rFonts w:ascii="Arial" w:hAnsi="Arial" w:cs="Arial"/>
                <w:sz w:val="20"/>
                <w:szCs w:val="20"/>
              </w:rPr>
              <w:t>;</w:t>
            </w:r>
          </w:p>
          <w:p w14:paraId="253DBB7D" w14:textId="77777777" w:rsidR="00526E23" w:rsidRPr="003555A0" w:rsidRDefault="00526E23" w:rsidP="00526E23">
            <w:pPr>
              <w:pStyle w:val="ListParagraph"/>
              <w:numPr>
                <w:ilvl w:val="0"/>
                <w:numId w:val="94"/>
              </w:numPr>
              <w:spacing w:after="120" w:line="276" w:lineRule="auto"/>
              <w:contextualSpacing w:val="0"/>
              <w:jc w:val="both"/>
              <w:rPr>
                <w:rFonts w:ascii="Arial" w:hAnsi="Arial" w:cs="Arial"/>
                <w:b/>
                <w:bCs/>
                <w:color w:val="222222"/>
                <w:sz w:val="20"/>
                <w:szCs w:val="20"/>
                <w:lang w:eastAsia="en-GB"/>
              </w:rPr>
            </w:pPr>
            <w:r w:rsidRPr="003555A0">
              <w:rPr>
                <w:rFonts w:ascii="Arial" w:hAnsi="Arial" w:cs="Arial"/>
                <w:b/>
                <w:bCs/>
                <w:color w:val="222222"/>
                <w:sz w:val="20"/>
                <w:szCs w:val="20"/>
                <w:lang w:eastAsia="en-GB"/>
              </w:rPr>
              <w:t>da se predvidena naloga centralizirane javne objave informacij družb iz njihovih letnih poročil dodeli Ajpes</w:t>
            </w:r>
            <w:r>
              <w:rPr>
                <w:rFonts w:ascii="Arial" w:hAnsi="Arial" w:cs="Arial"/>
                <w:b/>
                <w:bCs/>
                <w:color w:val="222222"/>
                <w:sz w:val="20"/>
                <w:szCs w:val="20"/>
                <w:lang w:eastAsia="en-GB"/>
              </w:rPr>
              <w:t>u</w:t>
            </w:r>
            <w:r w:rsidRPr="003555A0">
              <w:rPr>
                <w:rFonts w:ascii="Arial" w:hAnsi="Arial" w:cs="Arial"/>
                <w:b/>
                <w:bCs/>
                <w:color w:val="222222"/>
                <w:sz w:val="20"/>
                <w:szCs w:val="20"/>
                <w:lang w:eastAsia="en-GB"/>
              </w:rPr>
              <w:t xml:space="preserve">. </w:t>
            </w:r>
            <w:r w:rsidRPr="003555A0">
              <w:rPr>
                <w:rFonts w:ascii="Arial" w:hAnsi="Arial" w:cs="Arial"/>
                <w:sz w:val="20"/>
                <w:szCs w:val="20"/>
              </w:rPr>
              <w:t xml:space="preserve">Določitev organa za izvajanje naloge centralizirane javne objave informacij seznama družb zavezank in deležev, ki so jih dosegle glede </w:t>
            </w:r>
            <w:r w:rsidRPr="006E0C85">
              <w:rPr>
                <w:rFonts w:ascii="Arial" w:hAnsi="Arial" w:cs="Arial"/>
                <w:sz w:val="20"/>
                <w:szCs w:val="20"/>
              </w:rPr>
              <w:t>uravnotežene</w:t>
            </w:r>
            <w:r w:rsidRPr="006E0C85"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med člani organov vodenja in nadzora ter izvršnimi direktorji, je povezana z izvajanjem drugih nalog</w:t>
            </w:r>
            <w:r>
              <w:rPr>
                <w:rFonts w:ascii="Arial" w:hAnsi="Arial" w:cs="Arial"/>
                <w:sz w:val="20"/>
                <w:szCs w:val="20"/>
              </w:rPr>
              <w:t>,</w:t>
            </w:r>
            <w:r w:rsidRPr="003555A0">
              <w:rPr>
                <w:rFonts w:ascii="Arial" w:hAnsi="Arial" w:cs="Arial"/>
                <w:sz w:val="20"/>
                <w:szCs w:val="20"/>
              </w:rPr>
              <w:t xml:space="preserve"> predvidenih z Direktivo (EU) 2022/2381.</w:t>
            </w:r>
            <w:r w:rsidRPr="003555A0" w:rsidDel="006823D5">
              <w:rPr>
                <w:rFonts w:ascii="Arial" w:hAnsi="Arial" w:cs="Arial"/>
                <w:sz w:val="20"/>
                <w:szCs w:val="20"/>
              </w:rPr>
              <w:t xml:space="preserve"> </w:t>
            </w:r>
            <w:r>
              <w:rPr>
                <w:rFonts w:ascii="Arial" w:hAnsi="Arial" w:cs="Arial"/>
                <w:sz w:val="20"/>
                <w:szCs w:val="20"/>
              </w:rPr>
              <w:t>V</w:t>
            </w:r>
            <w:r w:rsidRPr="003555A0">
              <w:rPr>
                <w:rFonts w:ascii="Arial" w:hAnsi="Arial" w:cs="Arial"/>
                <w:sz w:val="20"/>
                <w:szCs w:val="20"/>
              </w:rPr>
              <w:t xml:space="preserve"> skladu z 10. členom Direktive (EU) 2022/2381 je treba </w:t>
            </w:r>
            <w:r>
              <w:rPr>
                <w:rFonts w:ascii="Arial" w:hAnsi="Arial" w:cs="Arial"/>
                <w:sz w:val="20"/>
                <w:szCs w:val="20"/>
              </w:rPr>
              <w:t>n</w:t>
            </w:r>
            <w:r w:rsidRPr="003555A0">
              <w:rPr>
                <w:rFonts w:ascii="Arial" w:hAnsi="Arial" w:cs="Arial"/>
                <w:sz w:val="20"/>
                <w:szCs w:val="20"/>
              </w:rPr>
              <w:t xml:space="preserve">amreč imenovati organ za spodbujanje, analiziranje, spremljanje in spodbujanje uravnotežene zastopanosti spolov v organih družb, v katerem je tudi napotilo, da so to lahko organi </w:t>
            </w:r>
            <w:r w:rsidRPr="003555A0">
              <w:rPr>
                <w:rFonts w:ascii="Arial" w:hAnsi="Arial" w:cs="Arial"/>
                <w:sz w:val="20"/>
                <w:szCs w:val="20"/>
              </w:rPr>
              <w:lastRenderedPageBreak/>
              <w:t>za enakost. Zaradi enotne in sistemske ureditve področja smo predlagali, da bi bil pristojen en organ za vse obveznosti na področju (objava seznama družb, spremljanje, analiziranje, nadziranje itd.), kar bi zagotovilo lažje izvajanje vseh povezanih aktivnosti na področju uravnotežene zastopanosti spolov v organih družb. Ajpes ni pristojen za spremljanje informacij</w:t>
            </w:r>
            <w:r>
              <w:rPr>
                <w:rFonts w:ascii="Arial" w:hAnsi="Arial" w:cs="Arial"/>
                <w:sz w:val="20"/>
                <w:szCs w:val="20"/>
              </w:rPr>
              <w:t>,</w:t>
            </w:r>
            <w:r w:rsidRPr="003555A0">
              <w:rPr>
                <w:rFonts w:ascii="Arial" w:hAnsi="Arial" w:cs="Arial"/>
                <w:sz w:val="20"/>
                <w:szCs w:val="20"/>
              </w:rPr>
              <w:t xml:space="preserve"> navedenih v letnih poročilih družb</w:t>
            </w:r>
            <w:r>
              <w:rPr>
                <w:rFonts w:ascii="Arial" w:hAnsi="Arial" w:cs="Arial"/>
                <w:sz w:val="20"/>
                <w:szCs w:val="20"/>
              </w:rPr>
              <w:t>,</w:t>
            </w:r>
            <w:r w:rsidRPr="003555A0">
              <w:rPr>
                <w:rFonts w:ascii="Arial" w:hAnsi="Arial" w:cs="Arial"/>
                <w:sz w:val="20"/>
                <w:szCs w:val="20"/>
              </w:rPr>
              <w:t xml:space="preserve"> </w:t>
            </w:r>
            <w:r>
              <w:rPr>
                <w:rFonts w:ascii="Arial" w:hAnsi="Arial" w:cs="Arial"/>
                <w:sz w:val="20"/>
                <w:szCs w:val="20"/>
              </w:rPr>
              <w:t>niti za</w:t>
            </w:r>
            <w:r w:rsidRPr="003555A0">
              <w:rPr>
                <w:rFonts w:ascii="Arial" w:hAnsi="Arial" w:cs="Arial"/>
                <w:sz w:val="20"/>
                <w:szCs w:val="20"/>
              </w:rPr>
              <w:t xml:space="preserve"> vod</w:t>
            </w:r>
            <w:r>
              <w:rPr>
                <w:rFonts w:ascii="Arial" w:hAnsi="Arial" w:cs="Arial"/>
                <w:sz w:val="20"/>
                <w:szCs w:val="20"/>
              </w:rPr>
              <w:t>enje</w:t>
            </w:r>
            <w:r w:rsidRPr="003555A0">
              <w:rPr>
                <w:rFonts w:ascii="Arial" w:hAnsi="Arial" w:cs="Arial"/>
                <w:sz w:val="20"/>
                <w:szCs w:val="20"/>
              </w:rPr>
              <w:t xml:space="preserve"> posebn</w:t>
            </w:r>
            <w:r>
              <w:rPr>
                <w:rFonts w:ascii="Arial" w:hAnsi="Arial" w:cs="Arial"/>
                <w:sz w:val="20"/>
                <w:szCs w:val="20"/>
              </w:rPr>
              <w:t>ih</w:t>
            </w:r>
            <w:r w:rsidRPr="003555A0">
              <w:rPr>
                <w:rFonts w:ascii="Arial" w:hAnsi="Arial" w:cs="Arial"/>
                <w:sz w:val="20"/>
                <w:szCs w:val="20"/>
              </w:rPr>
              <w:t xml:space="preserve"> seznam</w:t>
            </w:r>
            <w:r>
              <w:rPr>
                <w:rFonts w:ascii="Arial" w:hAnsi="Arial" w:cs="Arial"/>
                <w:sz w:val="20"/>
                <w:szCs w:val="20"/>
              </w:rPr>
              <w:t>ov</w:t>
            </w:r>
            <w:r w:rsidRPr="003555A0">
              <w:rPr>
                <w:rFonts w:ascii="Arial" w:hAnsi="Arial" w:cs="Arial"/>
                <w:sz w:val="20"/>
                <w:szCs w:val="20"/>
              </w:rPr>
              <w:t xml:space="preserve">. Informacije glede seznama družb zavezank in deležev, ki so jih dosegle glede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med člani organov vodenja in nadzora ter izvršnimi direktorji, se ne bodo pridobivale iz letnih poročil, temveč bi jih družbe zavezanke neposredno poslale Zagovorniku. </w:t>
            </w:r>
            <w:r>
              <w:rPr>
                <w:rFonts w:ascii="Arial" w:hAnsi="Arial" w:cs="Arial"/>
                <w:sz w:val="20"/>
                <w:szCs w:val="20"/>
              </w:rPr>
              <w:t>N</w:t>
            </w:r>
            <w:r w:rsidRPr="003555A0">
              <w:rPr>
                <w:rFonts w:ascii="Arial" w:hAnsi="Arial" w:cs="Arial"/>
                <w:sz w:val="20"/>
                <w:szCs w:val="20"/>
              </w:rPr>
              <w:t>avedene informacije bodo vključene v letno poročilo (kar ni obvezno po direktivi) in družbe jih bodo morale objaviti na svoji spletni strani. Sezam bo imel večjo težo in vpliv na družbe, če bo to objavljeno na spletni strani ugledne institucije</w:t>
            </w:r>
            <w:r>
              <w:rPr>
                <w:rFonts w:ascii="Arial" w:hAnsi="Arial" w:cs="Arial"/>
                <w:sz w:val="20"/>
                <w:szCs w:val="20"/>
              </w:rPr>
              <w:t>,</w:t>
            </w:r>
            <w:r w:rsidRPr="003555A0">
              <w:rPr>
                <w:rFonts w:ascii="Arial" w:hAnsi="Arial" w:cs="Arial"/>
                <w:sz w:val="20"/>
                <w:szCs w:val="20"/>
              </w:rPr>
              <w:t xml:space="preserve"> kot je Zagovornik, ki se zavzema za cilje </w:t>
            </w:r>
            <w:r>
              <w:rPr>
                <w:rFonts w:ascii="Arial" w:hAnsi="Arial" w:cs="Arial"/>
                <w:sz w:val="20"/>
                <w:szCs w:val="20"/>
              </w:rPr>
              <w:t>izvajanja</w:t>
            </w:r>
            <w:r w:rsidRPr="003555A0">
              <w:rPr>
                <w:rFonts w:ascii="Arial" w:hAnsi="Arial" w:cs="Arial"/>
                <w:sz w:val="20"/>
                <w:szCs w:val="20"/>
              </w:rPr>
              <w:t xml:space="preserve"> načela enakosti</w:t>
            </w:r>
            <w:r>
              <w:rPr>
                <w:rFonts w:ascii="Arial" w:hAnsi="Arial" w:cs="Arial"/>
                <w:sz w:val="20"/>
                <w:szCs w:val="20"/>
              </w:rPr>
              <w:t>;</w:t>
            </w:r>
          </w:p>
          <w:p w14:paraId="4C4E7CFB" w14:textId="77777777" w:rsidR="00526E23" w:rsidRPr="003555A0" w:rsidRDefault="00526E23" w:rsidP="00526E23">
            <w:pPr>
              <w:pStyle w:val="ListParagraph"/>
              <w:numPr>
                <w:ilvl w:val="0"/>
                <w:numId w:val="94"/>
              </w:numPr>
              <w:spacing w:after="0" w:line="260" w:lineRule="atLeast"/>
              <w:jc w:val="both"/>
              <w:rPr>
                <w:rFonts w:ascii="Arial" w:hAnsi="Arial" w:cs="Arial"/>
                <w:sz w:val="20"/>
                <w:szCs w:val="20"/>
              </w:rPr>
            </w:pPr>
            <w:r w:rsidRPr="003555A0">
              <w:rPr>
                <w:rFonts w:ascii="Arial" w:hAnsi="Arial" w:cs="Arial"/>
                <w:b/>
                <w:bCs/>
                <w:sz w:val="20"/>
                <w:szCs w:val="20"/>
              </w:rPr>
              <w:t xml:space="preserve">da nadzor nad izvajanjem določb tega zakona glede obveznosti iz direktive za zagotavljanje večje zastopanosti manj zastopanega spola opravljata Ajpes in Inšpektorat Republike Slovenije za delo. </w:t>
            </w:r>
            <w:r w:rsidRPr="003555A0">
              <w:rPr>
                <w:rFonts w:ascii="Arial" w:hAnsi="Arial" w:cs="Arial"/>
                <w:sz w:val="20"/>
                <w:szCs w:val="20"/>
              </w:rPr>
              <w:t xml:space="preserve">Ajpes kot registrski organ ni pristojen za vsebinsko pregledovanje letnih poročil družb, temveč samo za njihovo javno objavo. Vsebinsko jih pregleda revizor </w:t>
            </w:r>
            <w:r>
              <w:rPr>
                <w:rFonts w:ascii="Arial" w:hAnsi="Arial" w:cs="Arial"/>
                <w:sz w:val="20"/>
                <w:szCs w:val="20"/>
              </w:rPr>
              <w:t>ter glede</w:t>
            </w:r>
            <w:r w:rsidRPr="003555A0">
              <w:rPr>
                <w:rFonts w:ascii="Arial" w:hAnsi="Arial" w:cs="Arial"/>
                <w:sz w:val="20"/>
                <w:szCs w:val="20"/>
              </w:rPr>
              <w:t xml:space="preserve"> točnosti in zanesljivosti informacij </w:t>
            </w:r>
            <w:r>
              <w:rPr>
                <w:rFonts w:ascii="Arial" w:hAnsi="Arial" w:cs="Arial"/>
                <w:sz w:val="20"/>
                <w:szCs w:val="20"/>
              </w:rPr>
              <w:t xml:space="preserve">poda </w:t>
            </w:r>
            <w:r w:rsidRPr="003555A0">
              <w:rPr>
                <w:rFonts w:ascii="Arial" w:hAnsi="Arial" w:cs="Arial"/>
                <w:sz w:val="20"/>
                <w:szCs w:val="20"/>
              </w:rPr>
              <w:t xml:space="preserve">določeno stopnjo zagotovila na poročilo. Poleg obveznosti, da se podatki o </w:t>
            </w:r>
            <w:r w:rsidRPr="006E0C85">
              <w:rPr>
                <w:rFonts w:ascii="Arial" w:hAnsi="Arial" w:cs="Arial"/>
                <w:sz w:val="20"/>
                <w:szCs w:val="20"/>
              </w:rPr>
              <w:t>uravnotežen</w:t>
            </w:r>
            <w:r>
              <w:rPr>
                <w:rFonts w:ascii="Arial" w:hAnsi="Arial" w:cs="Arial"/>
                <w:sz w:val="20"/>
                <w:szCs w:val="20"/>
              </w:rPr>
              <w:t>i</w:t>
            </w:r>
            <w:r w:rsidRPr="006E0C85">
              <w:rPr>
                <w:rFonts w:ascii="Arial" w:hAnsi="Arial" w:cs="Arial"/>
                <w:sz w:val="20"/>
                <w:szCs w:val="20"/>
              </w:rPr>
              <w:t xml:space="preserve"> </w:t>
            </w:r>
            <w:r w:rsidRPr="003555A0">
              <w:rPr>
                <w:rFonts w:ascii="Arial" w:hAnsi="Arial" w:cs="Arial"/>
                <w:sz w:val="20"/>
                <w:szCs w:val="20"/>
              </w:rPr>
              <w:t>zastopanosti</w:t>
            </w:r>
            <w:r>
              <w:t xml:space="preserve"> </w:t>
            </w:r>
            <w:r w:rsidRPr="006E0C85">
              <w:rPr>
                <w:rFonts w:ascii="Arial" w:hAnsi="Arial" w:cs="Arial"/>
                <w:sz w:val="20"/>
                <w:szCs w:val="20"/>
              </w:rPr>
              <w:t>spolov</w:t>
            </w:r>
            <w:r w:rsidRPr="003555A0">
              <w:rPr>
                <w:rFonts w:ascii="Arial" w:hAnsi="Arial" w:cs="Arial"/>
                <w:sz w:val="20"/>
                <w:szCs w:val="20"/>
              </w:rPr>
              <w:t xml:space="preserve">, sprejetih ukrepih za dosego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in o razlogih, če deleži niso bili doseženi</w:t>
            </w:r>
            <w:r>
              <w:rPr>
                <w:rFonts w:ascii="Arial" w:hAnsi="Arial" w:cs="Arial"/>
                <w:sz w:val="20"/>
                <w:szCs w:val="20"/>
              </w:rPr>
              <w:t>,</w:t>
            </w:r>
            <w:r w:rsidRPr="003555A0">
              <w:rPr>
                <w:rFonts w:ascii="Arial" w:hAnsi="Arial" w:cs="Arial"/>
                <w:sz w:val="20"/>
                <w:szCs w:val="20"/>
              </w:rPr>
              <w:t xml:space="preserve"> vključijo v </w:t>
            </w:r>
            <w:r>
              <w:rPr>
                <w:rFonts w:ascii="Arial" w:hAnsi="Arial" w:cs="Arial"/>
                <w:sz w:val="20"/>
                <w:szCs w:val="20"/>
              </w:rPr>
              <w:t>i</w:t>
            </w:r>
            <w:r w:rsidRPr="003555A0">
              <w:rPr>
                <w:rFonts w:ascii="Arial" w:hAnsi="Arial" w:cs="Arial"/>
                <w:sz w:val="20"/>
                <w:szCs w:val="20"/>
              </w:rPr>
              <w:t xml:space="preserve">zjavo o upravljanju, ki je del letnega poročila, morajo družbe navedene podatke objaviti tudi na svoji spletni strani, kar izhaja iz 7. člena Direktive (EU) 2022/2381. Menimo, da mora biti za vse navedeno pristojen en organ, ki bo nadziral vse zahtevane oblike poročanja družb glede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družb, vključno z njihovo vsebino. Razpolaganje s podatki o deležih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vodenja in nadzora so pomembni tudi za izvajanje aktivnosti spodbujanja, analiziranja, spremljanja in spodbujanja uravnotežene zastopanosti spolov v organih družb. Podan je bil tudi predlog, da Inšpektorat Republike Slovenije za delo opravlja nadzor </w:t>
            </w:r>
            <w:r>
              <w:rPr>
                <w:rFonts w:ascii="Arial" w:hAnsi="Arial" w:cs="Arial"/>
                <w:sz w:val="20"/>
                <w:szCs w:val="20"/>
              </w:rPr>
              <w:t>nad</w:t>
            </w:r>
            <w:r w:rsidRPr="003555A0">
              <w:rPr>
                <w:rFonts w:ascii="Arial" w:hAnsi="Arial" w:cs="Arial"/>
                <w:sz w:val="20"/>
                <w:szCs w:val="20"/>
              </w:rPr>
              <w:t xml:space="preserve"> kršitvami v primeru nespoštovanja ukrepov glede izbirnega postopka izbora kandidatov za imenovanje članov v organe vodenja in nadzora.</w:t>
            </w:r>
            <w:r w:rsidRPr="003555A0" w:rsidDel="007767DF">
              <w:rPr>
                <w:rFonts w:ascii="Arial" w:hAnsi="Arial" w:cs="Arial"/>
                <w:sz w:val="20"/>
                <w:szCs w:val="20"/>
              </w:rPr>
              <w:t xml:space="preserve"> </w:t>
            </w:r>
            <w:r>
              <w:rPr>
                <w:rFonts w:ascii="Arial" w:hAnsi="Arial" w:cs="Arial"/>
                <w:sz w:val="20"/>
                <w:szCs w:val="20"/>
              </w:rPr>
              <w:t>Ta</w:t>
            </w:r>
            <w:r w:rsidRPr="003555A0">
              <w:rPr>
                <w:rFonts w:ascii="Arial" w:hAnsi="Arial" w:cs="Arial"/>
                <w:sz w:val="20"/>
                <w:szCs w:val="20"/>
              </w:rPr>
              <w:t xml:space="preserve"> ima inšpekcijske pristojnosti na področju delovnopravne zakonodaje, varnosti in zdravja pri delu ter socialne varnosti, zato menimo, da ni ustrezen organ za presojo izbirnih postopkov </w:t>
            </w:r>
            <w:r>
              <w:rPr>
                <w:rFonts w:ascii="Arial" w:hAnsi="Arial" w:cs="Arial"/>
                <w:sz w:val="20"/>
                <w:szCs w:val="20"/>
              </w:rPr>
              <w:t>in</w:t>
            </w:r>
            <w:r w:rsidRPr="003555A0">
              <w:rPr>
                <w:rFonts w:ascii="Arial" w:hAnsi="Arial" w:cs="Arial"/>
                <w:sz w:val="20"/>
                <w:szCs w:val="20"/>
              </w:rPr>
              <w:t xml:space="preserve"> imenovanj v organe vodenja in nadzora. Pri opravljanju funkcij članov organov nadzora ali vodenja praviloma ne gre za delovna razmerja, temveč se sklenejo civilnopravne pogodbe. </w:t>
            </w:r>
            <w:r>
              <w:rPr>
                <w:rFonts w:ascii="Arial" w:hAnsi="Arial" w:cs="Arial"/>
                <w:sz w:val="20"/>
                <w:szCs w:val="20"/>
              </w:rPr>
              <w:t>Poleg tega</w:t>
            </w:r>
            <w:r w:rsidRPr="003555A0">
              <w:rPr>
                <w:rFonts w:ascii="Arial" w:hAnsi="Arial" w:cs="Arial"/>
                <w:sz w:val="20"/>
                <w:szCs w:val="20"/>
              </w:rPr>
              <w:t xml:space="preserve"> so nekatere zahteve </w:t>
            </w:r>
            <w:r>
              <w:rPr>
                <w:rFonts w:ascii="Arial" w:hAnsi="Arial" w:cs="Arial"/>
                <w:sz w:val="20"/>
                <w:szCs w:val="20"/>
              </w:rPr>
              <w:t xml:space="preserve">iz </w:t>
            </w:r>
            <w:r w:rsidRPr="003555A0">
              <w:rPr>
                <w:rFonts w:ascii="Arial" w:hAnsi="Arial" w:cs="Arial"/>
                <w:sz w:val="20"/>
                <w:szCs w:val="20"/>
              </w:rPr>
              <w:t>Direktive (EU) 2022/2381 delno že urejene v Zakonu o varstvu pred diskriminacijo, na podlagi katerega je določeno ugotavljanje diskriminacije v postopkih kot izvirna pristojnost Zagovornika načela enakosti. P</w:t>
            </w:r>
            <w:r>
              <w:rPr>
                <w:rFonts w:ascii="Arial" w:hAnsi="Arial" w:cs="Arial"/>
                <w:sz w:val="20"/>
                <w:szCs w:val="20"/>
              </w:rPr>
              <w:t>oleg</w:t>
            </w:r>
            <w:r w:rsidRPr="003555A0">
              <w:rPr>
                <w:rFonts w:ascii="Arial" w:hAnsi="Arial" w:cs="Arial"/>
                <w:sz w:val="20"/>
                <w:szCs w:val="20"/>
              </w:rPr>
              <w:t xml:space="preserve"> t</w:t>
            </w:r>
            <w:r>
              <w:rPr>
                <w:rFonts w:ascii="Arial" w:hAnsi="Arial" w:cs="Arial"/>
                <w:sz w:val="20"/>
                <w:szCs w:val="20"/>
              </w:rPr>
              <w:t>ega</w:t>
            </w:r>
            <w:r w:rsidRPr="003555A0">
              <w:rPr>
                <w:rFonts w:ascii="Arial" w:hAnsi="Arial" w:cs="Arial"/>
                <w:sz w:val="20"/>
                <w:szCs w:val="20"/>
              </w:rPr>
              <w:t xml:space="preserve"> imajo osebe, ki menijo, da so bile diskriminirane</w:t>
            </w:r>
            <w:r>
              <w:rPr>
                <w:rFonts w:ascii="Arial" w:hAnsi="Arial" w:cs="Arial"/>
                <w:sz w:val="20"/>
                <w:szCs w:val="20"/>
              </w:rPr>
              <w:t xml:space="preserve">, </w:t>
            </w:r>
            <w:r w:rsidRPr="003555A0">
              <w:rPr>
                <w:rFonts w:ascii="Arial" w:hAnsi="Arial" w:cs="Arial"/>
                <w:sz w:val="20"/>
                <w:szCs w:val="20"/>
              </w:rPr>
              <w:t>na podlagi Zakon</w:t>
            </w:r>
            <w:r>
              <w:rPr>
                <w:rFonts w:ascii="Arial" w:hAnsi="Arial" w:cs="Arial"/>
                <w:sz w:val="20"/>
                <w:szCs w:val="20"/>
              </w:rPr>
              <w:t>a</w:t>
            </w:r>
            <w:r w:rsidRPr="003555A0">
              <w:rPr>
                <w:rFonts w:ascii="Arial" w:hAnsi="Arial" w:cs="Arial"/>
                <w:sz w:val="20"/>
                <w:szCs w:val="20"/>
              </w:rPr>
              <w:t xml:space="preserve"> o varstvu pred diskriminacijo že zagotovljeno pravno varstvo, kar pa je tudi zahteva </w:t>
            </w:r>
            <w:r>
              <w:rPr>
                <w:rFonts w:ascii="Arial" w:hAnsi="Arial" w:cs="Arial"/>
                <w:sz w:val="20"/>
                <w:szCs w:val="20"/>
              </w:rPr>
              <w:t xml:space="preserve">iz </w:t>
            </w:r>
            <w:r w:rsidRPr="003555A0">
              <w:rPr>
                <w:rFonts w:ascii="Arial" w:hAnsi="Arial" w:cs="Arial"/>
                <w:sz w:val="20"/>
                <w:szCs w:val="20"/>
              </w:rPr>
              <w:t xml:space="preserve">četrtega odstavka 6. člena Direktive (EU) 2022/2381. Glede na </w:t>
            </w:r>
            <w:r>
              <w:rPr>
                <w:rFonts w:ascii="Arial" w:hAnsi="Arial" w:cs="Arial"/>
                <w:sz w:val="20"/>
                <w:szCs w:val="20"/>
              </w:rPr>
              <w:t>t</w:t>
            </w:r>
            <w:r w:rsidRPr="003555A0">
              <w:rPr>
                <w:rFonts w:ascii="Arial" w:hAnsi="Arial" w:cs="Arial"/>
                <w:sz w:val="20"/>
                <w:szCs w:val="20"/>
              </w:rPr>
              <w:t xml:space="preserve">o, da Zagovornik že opravlja nekatere naloge, ki izhajajo iz Direktive (EU) 2022/2381 in delno zagotavljajo pravno varstvo diskriminiranim osebam, menimo, da je smiselno, da Zagovornik prevzame tudi nadzor nad poročanjem in določanjem ciljev glede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vodenja in nadzora, ki jih nameravajo družbe doseči zaradi enotne in sistemske ureditve področja. </w:t>
            </w:r>
          </w:p>
          <w:p w14:paraId="7A1D8977" w14:textId="77777777" w:rsidR="007878FA" w:rsidRDefault="007878FA" w:rsidP="007878FA">
            <w:pPr>
              <w:pStyle w:val="rkovnatokazaodstavkom"/>
              <w:numPr>
                <w:ilvl w:val="0"/>
                <w:numId w:val="0"/>
              </w:numPr>
              <w:spacing w:line="260" w:lineRule="exact"/>
              <w:ind w:left="322"/>
              <w:rPr>
                <w:rFonts w:cs="Arial"/>
                <w:color w:val="000000" w:themeColor="text1"/>
              </w:rPr>
            </w:pPr>
          </w:p>
          <w:p w14:paraId="5A2F83BA" w14:textId="77777777" w:rsidR="007878FA" w:rsidRPr="00081F83" w:rsidRDefault="007878FA" w:rsidP="007878FA">
            <w:pPr>
              <w:spacing w:after="120" w:line="276" w:lineRule="auto"/>
              <w:jc w:val="both"/>
              <w:rPr>
                <w:rFonts w:cs="Arial"/>
                <w:szCs w:val="20"/>
              </w:rPr>
            </w:pPr>
            <w:r w:rsidRPr="00081F83">
              <w:rPr>
                <w:rFonts w:cs="Arial"/>
                <w:b/>
                <w:bCs/>
                <w:szCs w:val="20"/>
              </w:rPr>
              <w:t>Z</w:t>
            </w:r>
            <w:r w:rsidR="00B815A0">
              <w:rPr>
                <w:rFonts w:cs="Arial"/>
                <w:b/>
                <w:bCs/>
                <w:szCs w:val="20"/>
              </w:rPr>
              <w:t>druženje nadzornikov Slovenije</w:t>
            </w:r>
            <w:r w:rsidRPr="00081F83">
              <w:rPr>
                <w:rFonts w:cs="Arial"/>
                <w:b/>
                <w:bCs/>
                <w:szCs w:val="20"/>
              </w:rPr>
              <w:t xml:space="preserve"> in Z</w:t>
            </w:r>
            <w:r w:rsidR="00041388">
              <w:rPr>
                <w:rFonts w:cs="Arial"/>
                <w:b/>
                <w:bCs/>
                <w:szCs w:val="20"/>
              </w:rPr>
              <w:t>druženje manager</w:t>
            </w:r>
            <w:r w:rsidRPr="00081F83">
              <w:rPr>
                <w:rFonts w:cs="Arial"/>
                <w:szCs w:val="20"/>
              </w:rPr>
              <w:t xml:space="preserve"> sta predlagala:</w:t>
            </w:r>
          </w:p>
          <w:p w14:paraId="6BDD6D2E" w14:textId="77777777" w:rsidR="00526E23" w:rsidRPr="006F7E65" w:rsidRDefault="00526E23" w:rsidP="00526E23">
            <w:pPr>
              <w:pStyle w:val="ListParagraph"/>
              <w:numPr>
                <w:ilvl w:val="0"/>
                <w:numId w:val="95"/>
              </w:numPr>
              <w:spacing w:after="120" w:line="276" w:lineRule="auto"/>
              <w:jc w:val="both"/>
              <w:rPr>
                <w:rFonts w:ascii="Arial" w:hAnsi="Arial" w:cs="Arial"/>
                <w:b/>
                <w:bCs/>
                <w:sz w:val="20"/>
                <w:szCs w:val="20"/>
              </w:rPr>
            </w:pPr>
            <w:r w:rsidRPr="00081F83">
              <w:rPr>
                <w:rFonts w:ascii="Arial" w:hAnsi="Arial" w:cs="Arial"/>
                <w:b/>
                <w:bCs/>
                <w:sz w:val="20"/>
                <w:szCs w:val="20"/>
              </w:rPr>
              <w:t xml:space="preserve">razširitev </w:t>
            </w:r>
            <w:r>
              <w:rPr>
                <w:rFonts w:ascii="Arial" w:hAnsi="Arial" w:cs="Arial"/>
                <w:b/>
                <w:bCs/>
                <w:sz w:val="20"/>
                <w:szCs w:val="20"/>
              </w:rPr>
              <w:t xml:space="preserve">kroga </w:t>
            </w:r>
            <w:r w:rsidRPr="00081F83">
              <w:rPr>
                <w:rFonts w:ascii="Arial" w:hAnsi="Arial" w:cs="Arial"/>
                <w:b/>
                <w:bCs/>
                <w:sz w:val="20"/>
                <w:szCs w:val="20"/>
              </w:rPr>
              <w:t>zavezancev</w:t>
            </w:r>
            <w:r w:rsidRPr="006F7E65">
              <w:rPr>
                <w:rFonts w:ascii="Arial" w:hAnsi="Arial" w:cs="Arial"/>
                <w:b/>
                <w:bCs/>
                <w:sz w:val="20"/>
                <w:szCs w:val="20"/>
              </w:rPr>
              <w:t xml:space="preserve">, </w:t>
            </w:r>
            <w:r w:rsidRPr="00081F83">
              <w:rPr>
                <w:rFonts w:ascii="Arial" w:hAnsi="Arial" w:cs="Arial"/>
                <w:b/>
                <w:bCs/>
                <w:sz w:val="20"/>
                <w:szCs w:val="20"/>
              </w:rPr>
              <w:t>ki morajo zagotoviti ciljni delež zastopanosti manj zastopanega spola</w:t>
            </w:r>
            <w:r>
              <w:rPr>
                <w:rFonts w:ascii="Arial" w:hAnsi="Arial" w:cs="Arial"/>
                <w:b/>
                <w:bCs/>
                <w:sz w:val="20"/>
                <w:szCs w:val="20"/>
              </w:rPr>
              <w:t>,</w:t>
            </w:r>
            <w:r w:rsidRPr="00081F83">
              <w:rPr>
                <w:rFonts w:ascii="Arial" w:hAnsi="Arial" w:cs="Arial"/>
                <w:b/>
                <w:bCs/>
                <w:sz w:val="20"/>
                <w:szCs w:val="20"/>
              </w:rPr>
              <w:t xml:space="preserve"> tudi na družbe, ki izpolnjujejo pogoje za velike (nejavne) družbe po 55. členu ZGD-1 in imajo vsaj 250 zaposlenih</w:t>
            </w:r>
            <w:r w:rsidRPr="00081F83">
              <w:rPr>
                <w:rFonts w:ascii="Arial" w:hAnsi="Arial" w:cs="Arial"/>
                <w:sz w:val="20"/>
                <w:szCs w:val="20"/>
              </w:rPr>
              <w:t>. Zanj</w:t>
            </w:r>
            <w:r>
              <w:rPr>
                <w:rFonts w:ascii="Arial" w:hAnsi="Arial" w:cs="Arial"/>
                <w:sz w:val="20"/>
                <w:szCs w:val="20"/>
              </w:rPr>
              <w:t>e</w:t>
            </w:r>
            <w:r w:rsidRPr="00081F83">
              <w:rPr>
                <w:rFonts w:ascii="Arial" w:hAnsi="Arial" w:cs="Arial"/>
                <w:sz w:val="20"/>
                <w:szCs w:val="20"/>
              </w:rPr>
              <w:t xml:space="preserve"> naj bi veljajo daljše prehodno obdobje, do 30. 6. 2028. Meni</w:t>
            </w:r>
            <w:r>
              <w:rPr>
                <w:rFonts w:ascii="Arial" w:hAnsi="Arial" w:cs="Arial"/>
                <w:sz w:val="20"/>
                <w:szCs w:val="20"/>
              </w:rPr>
              <w:t>ta</w:t>
            </w:r>
            <w:r w:rsidRPr="00081F83">
              <w:rPr>
                <w:rFonts w:ascii="Arial" w:hAnsi="Arial" w:cs="Arial"/>
                <w:sz w:val="20"/>
                <w:szCs w:val="20"/>
              </w:rPr>
              <w:t xml:space="preserve">, da je obseg družb zavezank zastavljen preozko in ga je </w:t>
            </w:r>
            <w:r>
              <w:rPr>
                <w:rFonts w:ascii="Arial" w:hAnsi="Arial" w:cs="Arial"/>
                <w:sz w:val="20"/>
                <w:szCs w:val="20"/>
              </w:rPr>
              <w:t>treba</w:t>
            </w:r>
            <w:r w:rsidRPr="00081F83">
              <w:rPr>
                <w:rFonts w:ascii="Arial" w:hAnsi="Arial" w:cs="Arial"/>
                <w:sz w:val="20"/>
                <w:szCs w:val="20"/>
              </w:rPr>
              <w:t xml:space="preserve"> razširiti, da bo slovensko gospodarstvo lahko v čim </w:t>
            </w:r>
            <w:r>
              <w:rPr>
                <w:rFonts w:ascii="Arial" w:hAnsi="Arial" w:cs="Arial"/>
                <w:sz w:val="20"/>
                <w:szCs w:val="20"/>
              </w:rPr>
              <w:t>bolj</w:t>
            </w:r>
            <w:r w:rsidRPr="00081F83">
              <w:rPr>
                <w:rFonts w:ascii="Arial" w:hAnsi="Arial" w:cs="Arial"/>
                <w:sz w:val="20"/>
                <w:szCs w:val="20"/>
              </w:rPr>
              <w:t xml:space="preserve"> doseglo pozitivne učinke, ki jih prinaša raznoliko vodstvo, zato predlaga</w:t>
            </w:r>
            <w:r>
              <w:rPr>
                <w:rFonts w:ascii="Arial" w:hAnsi="Arial" w:cs="Arial"/>
                <w:sz w:val="20"/>
                <w:szCs w:val="20"/>
              </w:rPr>
              <w:t>ta</w:t>
            </w:r>
            <w:r w:rsidRPr="00081F83">
              <w:rPr>
                <w:rFonts w:ascii="Arial" w:hAnsi="Arial" w:cs="Arial"/>
                <w:sz w:val="20"/>
                <w:szCs w:val="20"/>
              </w:rPr>
              <w:t>, da se ukrepi za izboljšanje uravnoteženosti spolov v poslovodnih in nadzornih organih izvajajo tudi v nekaterih nejavnih družbah. Razlogi in obrazložitev za neupoštevanj</w:t>
            </w:r>
            <w:r>
              <w:rPr>
                <w:rFonts w:ascii="Arial" w:hAnsi="Arial" w:cs="Arial"/>
                <w:sz w:val="20"/>
                <w:szCs w:val="20"/>
              </w:rPr>
              <w:t>e</w:t>
            </w:r>
            <w:r w:rsidRPr="00081F83">
              <w:rPr>
                <w:rFonts w:ascii="Arial" w:hAnsi="Arial" w:cs="Arial"/>
                <w:sz w:val="20"/>
                <w:szCs w:val="20"/>
              </w:rPr>
              <w:t xml:space="preserve"> </w:t>
            </w:r>
            <w:r>
              <w:rPr>
                <w:rFonts w:ascii="Arial" w:hAnsi="Arial" w:cs="Arial"/>
                <w:sz w:val="20"/>
                <w:szCs w:val="20"/>
              </w:rPr>
              <w:t xml:space="preserve">tega </w:t>
            </w:r>
            <w:r w:rsidRPr="00081F83">
              <w:rPr>
                <w:rFonts w:ascii="Arial" w:hAnsi="Arial" w:cs="Arial"/>
                <w:sz w:val="20"/>
                <w:szCs w:val="20"/>
              </w:rPr>
              <w:t>so enaki kot pri pojasnilu Zagovorniku načela enakosti</w:t>
            </w:r>
            <w:r>
              <w:rPr>
                <w:rFonts w:ascii="Arial" w:hAnsi="Arial" w:cs="Arial"/>
                <w:sz w:val="20"/>
                <w:szCs w:val="20"/>
              </w:rPr>
              <w:t>;</w:t>
            </w:r>
            <w:r w:rsidRPr="00081F83">
              <w:rPr>
                <w:rFonts w:ascii="Arial" w:hAnsi="Arial" w:cs="Arial"/>
                <w:sz w:val="20"/>
                <w:szCs w:val="20"/>
              </w:rPr>
              <w:t xml:space="preserve"> </w:t>
            </w:r>
          </w:p>
          <w:p w14:paraId="28B26C28" w14:textId="77777777" w:rsidR="00526E23" w:rsidRPr="006F7E65" w:rsidRDefault="00526E23" w:rsidP="00526E23">
            <w:pPr>
              <w:pStyle w:val="ListParagraph"/>
              <w:numPr>
                <w:ilvl w:val="0"/>
                <w:numId w:val="95"/>
              </w:numPr>
              <w:spacing w:after="120" w:line="276" w:lineRule="auto"/>
              <w:jc w:val="both"/>
              <w:rPr>
                <w:rFonts w:ascii="Arial" w:hAnsi="Arial" w:cs="Arial"/>
                <w:b/>
                <w:bCs/>
                <w:sz w:val="20"/>
                <w:szCs w:val="20"/>
              </w:rPr>
            </w:pPr>
            <w:r w:rsidRPr="00081F83">
              <w:rPr>
                <w:rFonts w:ascii="Arial" w:hAnsi="Arial" w:cs="Arial"/>
                <w:b/>
                <w:bCs/>
                <w:sz w:val="20"/>
                <w:szCs w:val="20"/>
              </w:rPr>
              <w:t>v primeru izbire 40</w:t>
            </w:r>
            <w:r>
              <w:rPr>
                <w:rFonts w:ascii="Arial" w:hAnsi="Arial" w:cs="Arial"/>
                <w:b/>
                <w:bCs/>
                <w:sz w:val="20"/>
                <w:szCs w:val="20"/>
              </w:rPr>
              <w:t xml:space="preserve">-odstotnega </w:t>
            </w:r>
            <w:r w:rsidRPr="00081F83">
              <w:rPr>
                <w:rFonts w:ascii="Arial" w:hAnsi="Arial" w:cs="Arial"/>
                <w:b/>
                <w:bCs/>
                <w:sz w:val="20"/>
                <w:szCs w:val="20"/>
              </w:rPr>
              <w:t>ciljnega deleža zastopanosti med neizvršnimi direktorji se določi obveznost, da izbrani kvantitativni cilj za izvršne direktorje ne sme znašati 0 %.</w:t>
            </w:r>
            <w:r w:rsidRPr="006F7E65">
              <w:rPr>
                <w:rFonts w:ascii="Arial" w:hAnsi="Arial" w:cs="Arial"/>
                <w:b/>
                <w:bCs/>
                <w:sz w:val="20"/>
                <w:szCs w:val="20"/>
              </w:rPr>
              <w:t xml:space="preserve"> </w:t>
            </w:r>
            <w:r w:rsidRPr="006F7E65">
              <w:rPr>
                <w:rFonts w:ascii="Arial" w:hAnsi="Arial" w:cs="Arial"/>
                <w:sz w:val="20"/>
                <w:szCs w:val="20"/>
              </w:rPr>
              <w:lastRenderedPageBreak/>
              <w:t xml:space="preserve">Predlog bi dodatno določil minimalni delež tudi med člani organov vodenja, kar pa ni zahteva </w:t>
            </w:r>
            <w:r>
              <w:rPr>
                <w:rFonts w:ascii="Arial" w:hAnsi="Arial" w:cs="Arial"/>
                <w:sz w:val="20"/>
                <w:szCs w:val="20"/>
              </w:rPr>
              <w:t xml:space="preserve">iz </w:t>
            </w:r>
            <w:r w:rsidRPr="006F7E65">
              <w:rPr>
                <w:rFonts w:ascii="Arial" w:hAnsi="Arial" w:cs="Arial"/>
                <w:sz w:val="20"/>
                <w:szCs w:val="20"/>
              </w:rPr>
              <w:t xml:space="preserve">Direktive 2022/2381/EU. Pri oblikovanju predloga določbe smo sledili </w:t>
            </w:r>
            <w:r w:rsidRPr="00081F83">
              <w:rPr>
                <w:rFonts w:ascii="Arial" w:hAnsi="Arial" w:cs="Arial"/>
                <w:bCs/>
                <w:sz w:val="20"/>
                <w:szCs w:val="20"/>
              </w:rPr>
              <w:t xml:space="preserve">minimalni harmonizaciji z direktivo, ki ne določa cilja glede deleža </w:t>
            </w:r>
            <w:r w:rsidRPr="006E0C85">
              <w:rPr>
                <w:rFonts w:ascii="Arial" w:hAnsi="Arial" w:cs="Arial"/>
                <w:bCs/>
                <w:sz w:val="20"/>
                <w:szCs w:val="20"/>
              </w:rPr>
              <w:t xml:space="preserve">uravnotežene </w:t>
            </w:r>
            <w:r w:rsidRPr="00081F83">
              <w:rPr>
                <w:rFonts w:ascii="Arial" w:hAnsi="Arial" w:cs="Arial"/>
                <w:bCs/>
                <w:sz w:val="20"/>
                <w:szCs w:val="20"/>
              </w:rPr>
              <w:t xml:space="preserve">zastopanosti </w:t>
            </w:r>
            <w:r w:rsidRPr="006E0C85">
              <w:rPr>
                <w:rFonts w:ascii="Arial" w:hAnsi="Arial" w:cs="Arial"/>
                <w:bCs/>
                <w:sz w:val="20"/>
                <w:szCs w:val="20"/>
              </w:rPr>
              <w:t xml:space="preserve">spolov </w:t>
            </w:r>
            <w:r w:rsidRPr="00081F83">
              <w:rPr>
                <w:rFonts w:ascii="Arial" w:hAnsi="Arial" w:cs="Arial"/>
                <w:bCs/>
                <w:sz w:val="20"/>
                <w:szCs w:val="20"/>
              </w:rPr>
              <w:t>za izvršne direktorje</w:t>
            </w:r>
            <w:r>
              <w:rPr>
                <w:rFonts w:ascii="Arial" w:hAnsi="Arial" w:cs="Arial"/>
                <w:bCs/>
                <w:sz w:val="20"/>
                <w:szCs w:val="20"/>
              </w:rPr>
              <w:t>;</w:t>
            </w:r>
          </w:p>
          <w:p w14:paraId="5FEC0A7A" w14:textId="77777777" w:rsidR="00526E23" w:rsidRPr="006F7E65" w:rsidRDefault="00526E23" w:rsidP="00526E23">
            <w:pPr>
              <w:pStyle w:val="ListParagraph"/>
              <w:numPr>
                <w:ilvl w:val="0"/>
                <w:numId w:val="95"/>
              </w:numPr>
              <w:spacing w:after="120" w:line="276" w:lineRule="auto"/>
              <w:jc w:val="both"/>
              <w:rPr>
                <w:rFonts w:ascii="Arial" w:hAnsi="Arial" w:cs="Arial"/>
                <w:b/>
                <w:bCs/>
                <w:sz w:val="20"/>
                <w:szCs w:val="20"/>
              </w:rPr>
            </w:pPr>
            <w:r w:rsidRPr="006F7E65">
              <w:rPr>
                <w:rFonts w:ascii="Arial" w:hAnsi="Arial" w:cs="Arial"/>
                <w:b/>
                <w:bCs/>
                <w:sz w:val="20"/>
                <w:szCs w:val="20"/>
              </w:rPr>
              <w:t>ohranit</w:t>
            </w:r>
            <w:r>
              <w:rPr>
                <w:rFonts w:ascii="Arial" w:hAnsi="Arial" w:cs="Arial"/>
                <w:b/>
                <w:bCs/>
                <w:sz w:val="20"/>
                <w:szCs w:val="20"/>
              </w:rPr>
              <w:t>ev</w:t>
            </w:r>
            <w:r w:rsidRPr="006F7E65">
              <w:rPr>
                <w:rFonts w:ascii="Arial" w:hAnsi="Arial" w:cs="Arial"/>
                <w:b/>
                <w:bCs/>
                <w:sz w:val="20"/>
                <w:szCs w:val="20"/>
              </w:rPr>
              <w:t xml:space="preserve"> sankcij</w:t>
            </w:r>
            <w:r>
              <w:rPr>
                <w:rFonts w:ascii="Arial" w:hAnsi="Arial" w:cs="Arial"/>
                <w:b/>
                <w:bCs/>
                <w:sz w:val="20"/>
                <w:szCs w:val="20"/>
              </w:rPr>
              <w:t>e</w:t>
            </w:r>
            <w:r w:rsidRPr="006F7E65">
              <w:rPr>
                <w:rFonts w:ascii="Arial" w:hAnsi="Arial" w:cs="Arial"/>
                <w:b/>
                <w:bCs/>
                <w:sz w:val="20"/>
                <w:szCs w:val="20"/>
              </w:rPr>
              <w:t xml:space="preserve"> ničnosti imenovanja,</w:t>
            </w:r>
            <w:r w:rsidRPr="006F7E65">
              <w:rPr>
                <w:rFonts w:ascii="Arial" w:hAnsi="Arial" w:cs="Arial"/>
                <w:sz w:val="20"/>
                <w:szCs w:val="20"/>
              </w:rPr>
              <w:t xml:space="preserve"> ki že velja po veljavnem členu ZGD-1, </w:t>
            </w:r>
            <w:r>
              <w:rPr>
                <w:rFonts w:ascii="Arial" w:hAnsi="Arial" w:cs="Arial"/>
                <w:sz w:val="20"/>
                <w:szCs w:val="20"/>
              </w:rPr>
              <w:t>če</w:t>
            </w:r>
            <w:r w:rsidRPr="006F7E65">
              <w:rPr>
                <w:rFonts w:ascii="Arial" w:hAnsi="Arial" w:cs="Arial"/>
                <w:sz w:val="20"/>
                <w:szCs w:val="20"/>
              </w:rPr>
              <w:t xml:space="preserve"> je organ nadzora sestavljen v nasprotju z ZGD-1. Po nj</w:t>
            </w:r>
            <w:r>
              <w:rPr>
                <w:rFonts w:ascii="Arial" w:hAnsi="Arial" w:cs="Arial"/>
                <w:sz w:val="20"/>
                <w:szCs w:val="20"/>
              </w:rPr>
              <w:t>unem</w:t>
            </w:r>
            <w:r w:rsidRPr="006F7E65">
              <w:rPr>
                <w:rFonts w:ascii="Arial" w:hAnsi="Arial" w:cs="Arial"/>
                <w:sz w:val="20"/>
                <w:szCs w:val="20"/>
              </w:rPr>
              <w:t xml:space="preserve"> mnenju predlagane sankcije niso učinkovite, sorazmerne in odvračilne, kot določa Direktiva. Predlaga</w:t>
            </w:r>
            <w:r>
              <w:rPr>
                <w:rFonts w:ascii="Arial" w:hAnsi="Arial" w:cs="Arial"/>
                <w:sz w:val="20"/>
                <w:szCs w:val="20"/>
              </w:rPr>
              <w:t>ta</w:t>
            </w:r>
            <w:r w:rsidRPr="006F7E65">
              <w:rPr>
                <w:rFonts w:ascii="Arial" w:hAnsi="Arial" w:cs="Arial"/>
                <w:sz w:val="20"/>
                <w:szCs w:val="20"/>
              </w:rPr>
              <w:t xml:space="preserve">, da se poleg sankcij za neporočanje </w:t>
            </w:r>
            <w:r w:rsidRPr="006F7E65">
              <w:rPr>
                <w:rFonts w:ascii="Arial" w:hAnsi="Arial" w:cs="Arial"/>
                <w:b/>
                <w:bCs/>
                <w:sz w:val="20"/>
                <w:szCs w:val="20"/>
              </w:rPr>
              <w:t>dodajo</w:t>
            </w:r>
            <w:r w:rsidRPr="006F7E65" w:rsidDel="00B714D5">
              <w:rPr>
                <w:rFonts w:ascii="Arial" w:hAnsi="Arial" w:cs="Arial"/>
                <w:b/>
                <w:bCs/>
                <w:sz w:val="20"/>
                <w:szCs w:val="20"/>
              </w:rPr>
              <w:t xml:space="preserve"> </w:t>
            </w:r>
            <w:r>
              <w:rPr>
                <w:rFonts w:ascii="Arial" w:hAnsi="Arial" w:cs="Arial"/>
                <w:b/>
                <w:bCs/>
                <w:sz w:val="20"/>
                <w:szCs w:val="20"/>
              </w:rPr>
              <w:t>še</w:t>
            </w:r>
            <w:r w:rsidRPr="006F7E65">
              <w:rPr>
                <w:rFonts w:ascii="Arial" w:hAnsi="Arial" w:cs="Arial"/>
                <w:b/>
                <w:bCs/>
                <w:sz w:val="20"/>
                <w:szCs w:val="20"/>
              </w:rPr>
              <w:t xml:space="preserve"> druge sankcije zaradi kršitve obveznosti imenovanja kandidata manj zastopanega spola v organ vodenja ali nadzora.</w:t>
            </w:r>
            <w:r w:rsidRPr="006F7E65">
              <w:rPr>
                <w:rFonts w:ascii="Arial" w:hAnsi="Arial" w:cs="Arial"/>
                <w:sz w:val="20"/>
                <w:szCs w:val="20"/>
              </w:rPr>
              <w:t xml:space="preserve"> V skladu z </w:t>
            </w:r>
            <w:r w:rsidRPr="00081F83">
              <w:rPr>
                <w:rStyle w:val="normaltextrun"/>
                <w:rFonts w:ascii="Arial" w:hAnsi="Arial" w:cs="Arial"/>
                <w:sz w:val="20"/>
                <w:szCs w:val="20"/>
              </w:rPr>
              <w:t xml:space="preserve">Direktivo (EU) 2022/2381 lahko države članice določijo različne vrste sankcij, ki lahko vključujejo globe, </w:t>
            </w:r>
            <w:r w:rsidRPr="006F7E65">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081F83">
              <w:rPr>
                <w:rStyle w:val="normaltextrun"/>
                <w:rFonts w:ascii="Arial" w:hAnsi="Arial" w:cs="Arial"/>
                <w:sz w:val="20"/>
                <w:szCs w:val="20"/>
              </w:rPr>
              <w:t>Predlog ZGD-1M določa globe za sankcije v primerih kršitev, ki jih predvideva Direktiva (EU) 2022/2381.</w:t>
            </w:r>
            <w:r w:rsidRPr="006F7E65">
              <w:rPr>
                <w:rFonts w:ascii="Arial" w:hAnsi="Arial" w:cs="Arial"/>
                <w:sz w:val="20"/>
                <w:szCs w:val="20"/>
              </w:rPr>
              <w:t xml:space="preserve">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w:t>
            </w:r>
            <w:r>
              <w:rPr>
                <w:rFonts w:ascii="Arial" w:hAnsi="Arial" w:cs="Arial"/>
                <w:sz w:val="20"/>
                <w:szCs w:val="20"/>
              </w:rPr>
              <w:t>,</w:t>
            </w:r>
            <w:r w:rsidRPr="006F7E65">
              <w:rPr>
                <w:rFonts w:ascii="Arial" w:hAnsi="Arial" w:cs="Arial"/>
                <w:sz w:val="20"/>
                <w:szCs w:val="20"/>
              </w:rPr>
              <w:t xml:space="preserve"> sledimo tudi pri določitvi sankcij minimalnim zahtevam Direktive (EU) 2022/2381, tako da z mehkim pristopom spodbudimo napredek pri uravnoteženi zastopanosti spolov na najvišjih vodilnih mestih v družbah, ki bo v praksi podkrepljen tudi z drugimi podpornimi ukrepi. Iz raziskav </w:t>
            </w:r>
            <w:r>
              <w:rPr>
                <w:rFonts w:ascii="Arial" w:hAnsi="Arial" w:cs="Arial"/>
                <w:sz w:val="20"/>
                <w:szCs w:val="20"/>
              </w:rPr>
              <w:t>in</w:t>
            </w:r>
            <w:r w:rsidRPr="006F7E65">
              <w:rPr>
                <w:rFonts w:ascii="Arial" w:hAnsi="Arial" w:cs="Arial"/>
                <w:sz w:val="20"/>
                <w:szCs w:val="20"/>
              </w:rPr>
              <w:t xml:space="preserve"> iz direktive je razvidno, da je potreben čas, da se družbe prilagodijo in seznanijo s pozitivnimi vidiki </w:t>
            </w:r>
            <w:r w:rsidRPr="009B69A0">
              <w:rPr>
                <w:rFonts w:ascii="Arial" w:hAnsi="Arial" w:cs="Arial"/>
                <w:sz w:val="20"/>
                <w:szCs w:val="20"/>
              </w:rPr>
              <w:t>uravnotežene zastopanosti spolov</w:t>
            </w:r>
            <w:r w:rsidRPr="006F7E65">
              <w:rPr>
                <w:rFonts w:ascii="Arial" w:hAnsi="Arial" w:cs="Arial"/>
                <w:sz w:val="20"/>
                <w:szCs w:val="20"/>
              </w:rPr>
              <w:t xml:space="preserve"> </w:t>
            </w:r>
            <w:r>
              <w:rPr>
                <w:rFonts w:ascii="Arial" w:hAnsi="Arial" w:cs="Arial"/>
                <w:sz w:val="20"/>
                <w:szCs w:val="20"/>
              </w:rPr>
              <w:t xml:space="preserve">pri </w:t>
            </w:r>
            <w:r w:rsidRPr="006F7E65">
              <w:rPr>
                <w:rFonts w:ascii="Arial" w:hAnsi="Arial" w:cs="Arial"/>
                <w:sz w:val="20"/>
                <w:szCs w:val="20"/>
              </w:rPr>
              <w:t>vodenj</w:t>
            </w:r>
            <w:r>
              <w:rPr>
                <w:rFonts w:ascii="Arial" w:hAnsi="Arial" w:cs="Arial"/>
                <w:sz w:val="20"/>
                <w:szCs w:val="20"/>
              </w:rPr>
              <w:t>u</w:t>
            </w:r>
            <w:r w:rsidRPr="006F7E65">
              <w:rPr>
                <w:rFonts w:ascii="Arial" w:hAnsi="Arial" w:cs="Arial"/>
                <w:sz w:val="20"/>
                <w:szCs w:val="20"/>
              </w:rPr>
              <w:t>, zato menimo, da bi bila trenutno ničnost prestroga sankcija.</w:t>
            </w:r>
          </w:p>
          <w:p w14:paraId="7D5AE340" w14:textId="77777777" w:rsidR="00526E23" w:rsidRPr="00665831" w:rsidRDefault="00526E23" w:rsidP="00526E23">
            <w:pPr>
              <w:pStyle w:val="ListParagraph"/>
              <w:spacing w:after="120" w:line="276" w:lineRule="auto"/>
              <w:ind w:left="360"/>
              <w:jc w:val="both"/>
              <w:rPr>
                <w:rFonts w:ascii="Arial" w:hAnsi="Arial" w:cs="Arial"/>
                <w:b/>
                <w:bCs/>
                <w:sz w:val="20"/>
                <w:szCs w:val="20"/>
              </w:rPr>
            </w:pPr>
          </w:p>
          <w:p w14:paraId="22CD14E6" w14:textId="77777777" w:rsidR="00526E23" w:rsidRPr="00665831" w:rsidRDefault="00526E23" w:rsidP="00526E23">
            <w:pPr>
              <w:spacing w:after="120" w:line="276" w:lineRule="auto"/>
              <w:ind w:left="360"/>
              <w:jc w:val="both"/>
              <w:rPr>
                <w:rFonts w:cs="Arial"/>
                <w:b/>
                <w:bCs/>
                <w:szCs w:val="20"/>
              </w:rPr>
            </w:pPr>
            <w:r w:rsidRPr="00665831">
              <w:rPr>
                <w:rFonts w:cs="Arial"/>
                <w:b/>
                <w:bCs/>
                <w:szCs w:val="20"/>
              </w:rPr>
              <w:t>L</w:t>
            </w:r>
            <w:r>
              <w:rPr>
                <w:rFonts w:cs="Arial"/>
                <w:b/>
                <w:bCs/>
                <w:szCs w:val="20"/>
              </w:rPr>
              <w:t xml:space="preserve">jubljanska borza </w:t>
            </w:r>
            <w:r w:rsidRPr="006F7E65">
              <w:rPr>
                <w:rFonts w:cs="Arial"/>
                <w:b/>
                <w:bCs/>
                <w:szCs w:val="20"/>
              </w:rPr>
              <w:t xml:space="preserve">je predlagala razširitev obsega </w:t>
            </w:r>
            <w:r w:rsidRPr="00586165">
              <w:rPr>
                <w:rFonts w:cs="Arial"/>
                <w:b/>
                <w:bCs/>
                <w:szCs w:val="20"/>
              </w:rPr>
              <w:t xml:space="preserve">kroga </w:t>
            </w:r>
            <w:r w:rsidRPr="006F7E65">
              <w:rPr>
                <w:rFonts w:cs="Arial"/>
                <w:b/>
                <w:bCs/>
                <w:szCs w:val="20"/>
              </w:rPr>
              <w:t>zavezancev</w:t>
            </w:r>
            <w:r w:rsidRPr="00665831">
              <w:rPr>
                <w:rFonts w:cs="Arial"/>
                <w:szCs w:val="20"/>
              </w:rPr>
              <w:t xml:space="preserve"> </w:t>
            </w:r>
            <w:r w:rsidRPr="00665831">
              <w:rPr>
                <w:rFonts w:cs="Arial"/>
                <w:b/>
                <w:bCs/>
                <w:szCs w:val="20"/>
              </w:rPr>
              <w:t>na vse velike družbe iz petega odstavka 55. člena ZGD-1</w:t>
            </w:r>
            <w:r w:rsidRPr="00665831">
              <w:rPr>
                <w:rFonts w:cs="Arial"/>
                <w:szCs w:val="20"/>
              </w:rPr>
              <w:t>, za katere se lahko določi daljše prehodno obdobje, npr. do 30. 6. 2029. Meni, da bi lahko samo z dovolj velikim naborom zavezanih družb dosegli namen, ki ga zasleduje direktiva. Nalaganje dodatnih obveznosti borznim družbam ni v skladu s strategijo vlade glede razvoja kapitalskega trga. Tovrstni ukrepi, ki borznim družbam nalagajo dodatne obveznosti, bodo naš trg naredile še manj zanimiv, zaradi česar se družbe še vedno ne bodo odločale za kotacijo svojih vrednostnih papirjev na organiziranem trgu oz. bodo</w:t>
            </w:r>
            <w:r w:rsidRPr="00665831" w:rsidDel="00B714D5">
              <w:rPr>
                <w:rFonts w:cs="Arial"/>
                <w:szCs w:val="20"/>
              </w:rPr>
              <w:t xml:space="preserve"> </w:t>
            </w:r>
            <w:r w:rsidRPr="00665831">
              <w:rPr>
                <w:rFonts w:cs="Arial"/>
                <w:szCs w:val="20"/>
              </w:rPr>
              <w:t xml:space="preserve">družbe še </w:t>
            </w:r>
            <w:r>
              <w:rPr>
                <w:rFonts w:cs="Arial"/>
                <w:szCs w:val="20"/>
              </w:rPr>
              <w:t>bolj</w:t>
            </w:r>
            <w:r w:rsidRPr="00665831">
              <w:rPr>
                <w:rFonts w:cs="Arial"/>
                <w:szCs w:val="20"/>
              </w:rPr>
              <w:t xml:space="preserve"> razmišljale o umik</w:t>
            </w:r>
            <w:r>
              <w:rPr>
                <w:rFonts w:cs="Arial"/>
                <w:szCs w:val="20"/>
              </w:rPr>
              <w:t>u</w:t>
            </w:r>
            <w:r w:rsidRPr="00665831">
              <w:rPr>
                <w:rFonts w:cs="Arial"/>
                <w:szCs w:val="20"/>
              </w:rPr>
              <w:t xml:space="preserve"> z organiziranega trga. </w:t>
            </w:r>
            <w:r>
              <w:rPr>
                <w:rFonts w:cs="Arial"/>
                <w:szCs w:val="20"/>
              </w:rPr>
              <w:t>Če</w:t>
            </w:r>
            <w:r w:rsidRPr="00665831">
              <w:rPr>
                <w:rFonts w:cs="Arial"/>
                <w:szCs w:val="20"/>
              </w:rPr>
              <w:t xml:space="preserve"> bi ukrepi za zagotavljanje uravnotežene zastopanosti spolov med direktorji družb veljali za vse velike družbe, menimo</w:t>
            </w:r>
            <w:r>
              <w:rPr>
                <w:rFonts w:cs="Arial"/>
                <w:szCs w:val="20"/>
              </w:rPr>
              <w:t>,</w:t>
            </w:r>
            <w:r w:rsidRPr="00665831">
              <w:rPr>
                <w:rFonts w:cs="Arial"/>
                <w:szCs w:val="20"/>
              </w:rPr>
              <w:t xml:space="preserve"> da to ne bi odvračalo družb od kotacije njihovih vrednostnih papirjev na organiziranem trgu, s širšim naborom zavezanih družb pa </w:t>
            </w:r>
            <w:r>
              <w:rPr>
                <w:rFonts w:cs="Arial"/>
                <w:szCs w:val="20"/>
              </w:rPr>
              <w:t xml:space="preserve">bi </w:t>
            </w:r>
            <w:r w:rsidRPr="00665831">
              <w:rPr>
                <w:rFonts w:cs="Arial"/>
                <w:szCs w:val="20"/>
              </w:rPr>
              <w:t>prizadevanja evropske regulative na tem področju dosegl</w:t>
            </w:r>
            <w:r>
              <w:rPr>
                <w:rFonts w:cs="Arial"/>
                <w:szCs w:val="20"/>
              </w:rPr>
              <w:t>a</w:t>
            </w:r>
            <w:r w:rsidRPr="00665831">
              <w:rPr>
                <w:rFonts w:cs="Arial"/>
                <w:szCs w:val="20"/>
              </w:rPr>
              <w:t xml:space="preserve"> svoj namen in ne bi ostala zgolj črka na papirju, ki bi zavezovala samo izjemno ozek krog družb pri nas. Razlogi in obrazložitev za neupoštevanje predloga so enaki kot pri pojasnilu Zagovorniku načela enakosti. </w:t>
            </w:r>
          </w:p>
          <w:p w14:paraId="30A77EC4" w14:textId="77777777" w:rsidR="00526E23" w:rsidRDefault="00526E23" w:rsidP="00526E23">
            <w:pPr>
              <w:spacing w:after="120" w:line="276" w:lineRule="auto"/>
              <w:ind w:left="360"/>
              <w:jc w:val="both"/>
              <w:rPr>
                <w:rFonts w:cs="Arial"/>
                <w:color w:val="222222"/>
                <w:szCs w:val="20"/>
                <w:lang w:eastAsia="en-GB"/>
              </w:rPr>
            </w:pPr>
            <w:r w:rsidRPr="00665831">
              <w:rPr>
                <w:rFonts w:cs="Arial"/>
                <w:b/>
                <w:bCs/>
                <w:color w:val="222222"/>
                <w:szCs w:val="20"/>
                <w:lang w:eastAsia="en-GB"/>
              </w:rPr>
              <w:t>G</w:t>
            </w:r>
            <w:r>
              <w:rPr>
                <w:rFonts w:cs="Arial"/>
                <w:b/>
                <w:bCs/>
                <w:color w:val="222222"/>
                <w:szCs w:val="20"/>
                <w:lang w:eastAsia="en-GB"/>
              </w:rPr>
              <w:t>ospodarska zbornica Slovenije je</w:t>
            </w:r>
            <w:r w:rsidRPr="00665831">
              <w:rPr>
                <w:rFonts w:cs="Arial"/>
                <w:b/>
                <w:bCs/>
                <w:color w:val="222222"/>
                <w:szCs w:val="20"/>
                <w:lang w:eastAsia="en-GB"/>
              </w:rPr>
              <w:t xml:space="preserve"> </w:t>
            </w:r>
            <w:r>
              <w:rPr>
                <w:rFonts w:cs="Arial"/>
                <w:color w:val="222222"/>
                <w:szCs w:val="20"/>
                <w:lang w:eastAsia="en-GB"/>
              </w:rPr>
              <w:t>p</w:t>
            </w:r>
            <w:r w:rsidRPr="00172566">
              <w:rPr>
                <w:rFonts w:cs="Arial"/>
                <w:color w:val="222222"/>
                <w:szCs w:val="20"/>
                <w:lang w:eastAsia="en-GB"/>
              </w:rPr>
              <w:t>redlaga</w:t>
            </w:r>
            <w:r>
              <w:rPr>
                <w:rFonts w:cs="Arial"/>
                <w:color w:val="222222"/>
                <w:szCs w:val="20"/>
                <w:lang w:eastAsia="en-GB"/>
              </w:rPr>
              <w:t>la</w:t>
            </w:r>
            <w:r w:rsidRPr="00172566">
              <w:rPr>
                <w:rFonts w:cs="Arial"/>
                <w:color w:val="222222"/>
                <w:szCs w:val="20"/>
                <w:lang w:eastAsia="en-GB"/>
              </w:rPr>
              <w:t>, da se iz uporabe člena</w:t>
            </w:r>
            <w:r>
              <w:rPr>
                <w:rFonts w:cs="Arial"/>
                <w:color w:val="222222"/>
                <w:szCs w:val="20"/>
                <w:lang w:eastAsia="en-GB"/>
              </w:rPr>
              <w:t xml:space="preserve"> glede izbirnih postopkov</w:t>
            </w:r>
            <w:r w:rsidRPr="00172566">
              <w:rPr>
                <w:rFonts w:cs="Arial"/>
                <w:color w:val="222222"/>
                <w:szCs w:val="20"/>
                <w:lang w:eastAsia="en-GB"/>
              </w:rPr>
              <w:t xml:space="preserve"> izvzame bančni sektor</w:t>
            </w:r>
            <w:r>
              <w:rPr>
                <w:rFonts w:cs="Arial"/>
                <w:color w:val="222222"/>
                <w:szCs w:val="20"/>
                <w:lang w:eastAsia="en-GB"/>
              </w:rPr>
              <w:t xml:space="preserve">, ker zanj </w:t>
            </w:r>
            <w:r w:rsidRPr="00172566">
              <w:rPr>
                <w:rFonts w:cs="Arial"/>
                <w:color w:val="222222"/>
                <w:szCs w:val="20"/>
                <w:lang w:eastAsia="en-GB"/>
              </w:rPr>
              <w:t>veljajo posebne zahteve glede primernosti kandidatov za člane organov upravljanja. Izpolnjevanje navedenih zahtev presoja že Evropska centralna banka v okviru izdaje licence.</w:t>
            </w:r>
            <w:r>
              <w:rPr>
                <w:rFonts w:cs="Arial"/>
                <w:color w:val="222222"/>
                <w:szCs w:val="20"/>
                <w:lang w:eastAsia="en-GB"/>
              </w:rPr>
              <w:t xml:space="preserve"> Predlog ni bil upoštevan, ker Direktiva 2022/2381/EU ne predvideva tovrstnih izjem.</w:t>
            </w:r>
          </w:p>
          <w:p w14:paraId="529EF0F9" w14:textId="644A4FB0" w:rsidR="00526E23" w:rsidRPr="00685B88" w:rsidRDefault="00526E23" w:rsidP="00685B88">
            <w:pPr>
              <w:spacing w:after="120" w:line="276" w:lineRule="auto"/>
              <w:ind w:left="360"/>
              <w:jc w:val="both"/>
              <w:rPr>
                <w:rFonts w:cs="Arial"/>
                <w:color w:val="222222"/>
                <w:lang w:eastAsia="en-GB"/>
              </w:rPr>
            </w:pPr>
            <w:r w:rsidRPr="00AB4209">
              <w:rPr>
                <w:rFonts w:cs="Arial"/>
                <w:b/>
                <w:bCs/>
                <w:szCs w:val="20"/>
              </w:rPr>
              <w:t>Banka Slovenije</w:t>
            </w:r>
            <w:r>
              <w:rPr>
                <w:rFonts w:cs="Arial"/>
                <w:szCs w:val="20"/>
              </w:rPr>
              <w:t xml:space="preserve"> je predlagala,</w:t>
            </w:r>
            <w:r w:rsidDel="00B714D5">
              <w:rPr>
                <w:rFonts w:cs="Arial"/>
                <w:szCs w:val="20"/>
              </w:rPr>
              <w:t xml:space="preserve"> </w:t>
            </w:r>
            <w:r>
              <w:rPr>
                <w:rFonts w:cs="Arial"/>
                <w:szCs w:val="20"/>
              </w:rPr>
              <w:t>naj se v</w:t>
            </w:r>
            <w:r w:rsidRPr="00172566">
              <w:rPr>
                <w:rFonts w:cs="Arial"/>
                <w:szCs w:val="20"/>
              </w:rPr>
              <w:t xml:space="preserve"> obrazložitvi člena pojasni uporabnost oz. veljavnost določbe tudi za banke.</w:t>
            </w:r>
            <w:r w:rsidRPr="00AB4209">
              <w:rPr>
                <w:rFonts w:cs="Arial"/>
                <w:szCs w:val="20"/>
              </w:rPr>
              <w:t xml:space="preserve"> </w:t>
            </w:r>
            <w:r w:rsidRPr="00172566">
              <w:rPr>
                <w:rFonts w:cs="Arial"/>
                <w:szCs w:val="20"/>
              </w:rPr>
              <w:t>Pogoje iz tega člena izpolnjujejo tudi nekatere banke, za katere glede uravnotežene zastopanosti spolov v upravljalnih organih že veljajo tudi zahteve ZBan-3 in na njegovi podlagi sprejeti podzakonski predpisi</w:t>
            </w:r>
            <w:r>
              <w:rPr>
                <w:rFonts w:cs="Arial"/>
                <w:szCs w:val="20"/>
              </w:rPr>
              <w:t xml:space="preserve">. </w:t>
            </w:r>
            <w:r>
              <w:rPr>
                <w:rFonts w:cs="Arial"/>
                <w:color w:val="222222"/>
                <w:szCs w:val="20"/>
                <w:lang w:eastAsia="en-GB"/>
              </w:rPr>
              <w:t>Predlog ni bil upoštevan, ker Direktiva 2022/2381/EU ne predvideva tovrstnih izjem. Poleg tega je Zakon o gospodarskih družbah splošni zakon in so lahko posebnosti urejene tudi v drugi področni zakonodaji.</w:t>
            </w:r>
          </w:p>
          <w:p w14:paraId="368F702D" w14:textId="77777777" w:rsidR="00526E23" w:rsidRDefault="00526E23" w:rsidP="00526E23">
            <w:pPr>
              <w:ind w:left="322"/>
              <w:jc w:val="both"/>
              <w:rPr>
                <w:rFonts w:cs="Arial"/>
                <w:b/>
                <w:bCs/>
                <w:szCs w:val="20"/>
              </w:rPr>
            </w:pPr>
          </w:p>
          <w:p w14:paraId="37CF4185" w14:textId="77777777" w:rsidR="00F16489" w:rsidRDefault="00526E23" w:rsidP="00F16489">
            <w:pPr>
              <w:jc w:val="both"/>
              <w:rPr>
                <w:rFonts w:cs="Arial"/>
              </w:rPr>
            </w:pPr>
            <w:r w:rsidRPr="00C62C52">
              <w:rPr>
                <w:rFonts w:cs="Arial"/>
                <w:b/>
                <w:bCs/>
                <w:color w:val="000000" w:themeColor="text1"/>
              </w:rPr>
              <w:t>Obrtno-podjetniška zbornica Slovenije</w:t>
            </w:r>
            <w:r w:rsidR="00F16489">
              <w:rPr>
                <w:rFonts w:cs="Arial"/>
                <w:b/>
                <w:color w:val="000000" w:themeColor="text1"/>
              </w:rPr>
              <w:t xml:space="preserve"> </w:t>
            </w:r>
            <w:r w:rsidR="00F16489" w:rsidRPr="60564BD9">
              <w:rPr>
                <w:rFonts w:cs="Arial"/>
              </w:rPr>
              <w:t xml:space="preserve">predlaga, da se </w:t>
            </w:r>
            <w:r w:rsidRPr="60564BD9">
              <w:rPr>
                <w:rFonts w:cs="Arial"/>
                <w:u w:val="single"/>
              </w:rPr>
              <w:t>odpravi</w:t>
            </w:r>
            <w:r w:rsidR="00F16489" w:rsidRPr="60564BD9">
              <w:rPr>
                <w:rFonts w:cs="Arial"/>
                <w:u w:val="single"/>
              </w:rPr>
              <w:t xml:space="preserve"> obveznost javne objave vseh posameznih podatkov iz letnega oz. poslovnega poročila</w:t>
            </w:r>
            <w:r w:rsidR="00F16489" w:rsidRPr="60564BD9">
              <w:rPr>
                <w:rFonts w:cs="Arial"/>
              </w:rPr>
              <w:t xml:space="preserve"> družb in drugih poslovnih subjektov, ki so zavezanci za objavo teh podatkov v skladu z 58. členom ZGD-1 in Pravilnikom o načinu predložitve letnih poročil in njihove javne objave (Uradni list RS, št. 47/08). </w:t>
            </w:r>
            <w:r w:rsidRPr="60564BD9">
              <w:rPr>
                <w:rFonts w:cs="Arial"/>
              </w:rPr>
              <w:t>Zatrjuje, da je</w:t>
            </w:r>
            <w:r w:rsidRPr="60564BD9" w:rsidDel="001A40A5">
              <w:rPr>
                <w:rFonts w:cs="Arial"/>
              </w:rPr>
              <w:t xml:space="preserve"> </w:t>
            </w:r>
            <w:r w:rsidRPr="60564BD9">
              <w:rPr>
                <w:rFonts w:cs="Arial"/>
                <w:u w:val="single"/>
              </w:rPr>
              <w:t xml:space="preserve">sporna </w:t>
            </w:r>
            <w:r w:rsidR="00F16489" w:rsidRPr="60564BD9">
              <w:rPr>
                <w:rFonts w:cs="Arial"/>
                <w:u w:val="single"/>
              </w:rPr>
              <w:t xml:space="preserve">zlasti javna objava </w:t>
            </w:r>
            <w:r w:rsidR="00F16489" w:rsidRPr="60564BD9">
              <w:rPr>
                <w:rFonts w:cs="Arial"/>
                <w:u w:val="single"/>
              </w:rPr>
              <w:lastRenderedPageBreak/>
              <w:t xml:space="preserve">podatkov o letnem dobičku oz. izgubi na način, kot je ta urejena </w:t>
            </w:r>
            <w:r w:rsidRPr="60564BD9">
              <w:rPr>
                <w:rFonts w:cs="Arial"/>
                <w:u w:val="single"/>
              </w:rPr>
              <w:t>zdaj</w:t>
            </w:r>
            <w:r w:rsidRPr="60564BD9">
              <w:rPr>
                <w:rFonts w:cs="Arial"/>
              </w:rPr>
              <w:t>,</w:t>
            </w:r>
            <w:r w:rsidRPr="60564BD9" w:rsidDel="00925457">
              <w:rPr>
                <w:rFonts w:cs="Arial"/>
              </w:rPr>
              <w:t xml:space="preserve"> </w:t>
            </w:r>
            <w:r w:rsidRPr="60564BD9">
              <w:rPr>
                <w:rFonts w:cs="Arial"/>
              </w:rPr>
              <w:t>pri čemer</w:t>
            </w:r>
            <w:r w:rsidR="00F16489" w:rsidRPr="60564BD9">
              <w:rPr>
                <w:rFonts w:cs="Arial"/>
              </w:rPr>
              <w:t xml:space="preserve"> lahko </w:t>
            </w:r>
            <w:r w:rsidRPr="40BC4355">
              <w:rPr>
                <w:rFonts w:cs="Arial"/>
                <w:u w:val="single"/>
              </w:rPr>
              <w:t>vsi</w:t>
            </w:r>
            <w:r w:rsidR="00F16489" w:rsidRPr="60564BD9">
              <w:rPr>
                <w:rFonts w:cs="Arial"/>
                <w:u w:val="single"/>
              </w:rPr>
              <w:t xml:space="preserve"> uporabniki poslovnega registra zelo </w:t>
            </w:r>
            <w:r w:rsidRPr="60564BD9">
              <w:rPr>
                <w:rFonts w:cs="Arial"/>
                <w:u w:val="single"/>
              </w:rPr>
              <w:t>preprosto</w:t>
            </w:r>
            <w:r w:rsidR="00F16489" w:rsidRPr="60564BD9">
              <w:rPr>
                <w:rFonts w:cs="Arial"/>
                <w:u w:val="single"/>
              </w:rPr>
              <w:t xml:space="preserve"> in brez stroškov </w:t>
            </w:r>
            <w:r w:rsidRPr="60564BD9">
              <w:rPr>
                <w:rFonts w:cs="Arial"/>
                <w:u w:val="single"/>
              </w:rPr>
              <w:t>dobijo podatke</w:t>
            </w:r>
            <w:r w:rsidRPr="60564BD9">
              <w:rPr>
                <w:rFonts w:cs="Arial"/>
              </w:rPr>
              <w:t xml:space="preserve"> </w:t>
            </w:r>
            <w:r w:rsidR="00F16489" w:rsidRPr="60564BD9">
              <w:rPr>
                <w:rFonts w:cs="Arial"/>
              </w:rPr>
              <w:t xml:space="preserve">iz letnih oz. poslovnih poročil že z nekaj kliki. Po pregledu spletnih strani poslovnih registrov </w:t>
            </w:r>
            <w:r w:rsidR="00F16489" w:rsidRPr="60564BD9">
              <w:rPr>
                <w:rFonts w:cs="Arial"/>
                <w:u w:val="single"/>
              </w:rPr>
              <w:t>drugih držav članic EU</w:t>
            </w:r>
            <w:r w:rsidR="00F16489" w:rsidRPr="60564BD9">
              <w:rPr>
                <w:rFonts w:cs="Arial"/>
              </w:rPr>
              <w:t xml:space="preserve"> je </w:t>
            </w:r>
            <w:r w:rsidRPr="60564BD9">
              <w:rPr>
                <w:rFonts w:cs="Arial"/>
              </w:rPr>
              <w:t xml:space="preserve">mogoče ugotoviti, da so </w:t>
            </w:r>
            <w:r w:rsidRPr="60564BD9">
              <w:rPr>
                <w:rFonts w:cs="Arial"/>
                <w:u w:val="single"/>
              </w:rPr>
              <w:t xml:space="preserve">podatki iz letnih oz. </w:t>
            </w:r>
            <w:r w:rsidR="00F16489" w:rsidRPr="60564BD9">
              <w:rPr>
                <w:rFonts w:cs="Arial"/>
                <w:u w:val="single"/>
              </w:rPr>
              <w:t xml:space="preserve">poslovnih poročil dostopni samo na posebno zahtevo zainteresirane osebe, v </w:t>
            </w:r>
            <w:r w:rsidRPr="60564BD9">
              <w:rPr>
                <w:rFonts w:cs="Arial"/>
                <w:u w:val="single"/>
              </w:rPr>
              <w:t>nekaterih primerih celo proti plačilu oz.</w:t>
            </w:r>
            <w:r w:rsidR="00F16489" w:rsidRPr="60564BD9">
              <w:rPr>
                <w:rFonts w:cs="Arial"/>
                <w:u w:val="single"/>
              </w:rPr>
              <w:t xml:space="preserve"> po registraciji v sistemu</w:t>
            </w:r>
            <w:r w:rsidR="00F16489" w:rsidRPr="60564BD9">
              <w:rPr>
                <w:rFonts w:cs="Arial"/>
              </w:rPr>
              <w:t xml:space="preserve">. S tem ko so podatki javno dostopni brez dodatnih zahtev, so slovenska podjetja v neprimerljivo težjem in nekonkurenčnem položaju, saj poslovni partnerji (tudi iz tujine) njihove podatke vidijo brez težav, sami pa podatkov teh poslovnih partnerjev ne morejo pridobiti brez dodatnih ovir. </w:t>
            </w:r>
          </w:p>
          <w:p w14:paraId="2511569F" w14:textId="77777777" w:rsidR="00F16489" w:rsidRDefault="00F16489" w:rsidP="00F16489">
            <w:pPr>
              <w:jc w:val="both"/>
              <w:rPr>
                <w:rFonts w:cs="Arial"/>
                <w:bCs/>
                <w:szCs w:val="20"/>
              </w:rPr>
            </w:pPr>
          </w:p>
          <w:p w14:paraId="2534DA4B" w14:textId="77777777" w:rsidR="00F16489" w:rsidRDefault="00F16489" w:rsidP="00F16489">
            <w:pPr>
              <w:jc w:val="both"/>
              <w:rPr>
                <w:rFonts w:cs="Arial"/>
                <w:bCs/>
                <w:szCs w:val="20"/>
              </w:rPr>
            </w:pPr>
            <w:r w:rsidRPr="00E57E38">
              <w:rPr>
                <w:rFonts w:cs="Arial"/>
                <w:b/>
                <w:szCs w:val="20"/>
              </w:rPr>
              <w:t>Ministrstvo za gospodarstvo, turizem in šport</w:t>
            </w:r>
            <w:r>
              <w:rPr>
                <w:rFonts w:cs="Arial"/>
                <w:bCs/>
                <w:szCs w:val="20"/>
              </w:rPr>
              <w:t xml:space="preserve"> pojasnjuje, da je </w:t>
            </w:r>
            <w:r w:rsidRPr="00E57E38">
              <w:rPr>
                <w:rFonts w:cs="Arial"/>
                <w:bCs/>
                <w:szCs w:val="20"/>
                <w:u w:val="single"/>
              </w:rPr>
              <w:t>podatek o dobičku oziroma izgubi del členitve izkaza poslovnega izida in bilance stanja</w:t>
            </w:r>
            <w:r>
              <w:rPr>
                <w:rFonts w:cs="Arial"/>
                <w:bCs/>
                <w:szCs w:val="20"/>
              </w:rPr>
              <w:t xml:space="preserve">. Členitev izkaza poslovnega izida in bilance stanja je </w:t>
            </w:r>
            <w:r w:rsidRPr="00E57E38">
              <w:rPr>
                <w:rFonts w:cs="Arial"/>
                <w:bCs/>
                <w:szCs w:val="20"/>
                <w:u w:val="single"/>
              </w:rPr>
              <w:t>harmonizirana z Direktivo 2013/34/EU</w:t>
            </w:r>
            <w:r>
              <w:rPr>
                <w:rFonts w:cs="Arial"/>
                <w:bCs/>
                <w:szCs w:val="20"/>
              </w:rPr>
              <w:t xml:space="preserve"> </w:t>
            </w:r>
            <w:r w:rsidRPr="00AC7642">
              <w:rPr>
                <w:rFonts w:cs="Arial"/>
                <w:bCs/>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 (UL L št. 182 z dne 29. 6. 2013, str. 19)</w:t>
            </w:r>
            <w:r>
              <w:rPr>
                <w:rFonts w:cs="Arial"/>
                <w:bCs/>
                <w:szCs w:val="20"/>
              </w:rPr>
              <w:t xml:space="preserve">. </w:t>
            </w:r>
          </w:p>
          <w:p w14:paraId="77A7427D" w14:textId="77777777" w:rsidR="00F16489" w:rsidRDefault="00F16489" w:rsidP="00F16489">
            <w:pPr>
              <w:jc w:val="both"/>
              <w:rPr>
                <w:rFonts w:cs="Arial"/>
                <w:bCs/>
                <w:szCs w:val="20"/>
              </w:rPr>
            </w:pPr>
          </w:p>
          <w:p w14:paraId="66AEAE0B" w14:textId="77777777" w:rsidR="00526E23" w:rsidRDefault="00526E23" w:rsidP="00526E23">
            <w:pPr>
              <w:ind w:left="322"/>
              <w:jc w:val="both"/>
              <w:rPr>
                <w:rFonts w:cs="Arial"/>
              </w:rPr>
            </w:pPr>
            <w:r w:rsidRPr="40BC4355">
              <w:rPr>
                <w:rFonts w:cs="Arial"/>
                <w:u w:val="single"/>
              </w:rPr>
              <w:t>Ureditev dostopa do podatkov</w:t>
            </w:r>
            <w:r w:rsidRPr="40BC4355">
              <w:rPr>
                <w:rFonts w:cs="Arial"/>
              </w:rPr>
              <w:t xml:space="preserve"> iz letnih poročil v Sloveniji je po mnenju Ministrstva za gospodarstvo, turizem in šport </w:t>
            </w:r>
            <w:r w:rsidRPr="40BC4355">
              <w:rPr>
                <w:rFonts w:cs="Arial"/>
                <w:u w:val="single"/>
              </w:rPr>
              <w:t>primerljiva ureditvam v drugih državah članicah</w:t>
            </w:r>
            <w:r w:rsidRPr="40BC4355">
              <w:rPr>
                <w:rFonts w:cs="Arial"/>
              </w:rPr>
              <w:t xml:space="preserve">. Direktiva 2013/34/EU določa, da se letna poročila razkrijejo v skladu s pravili, ki veljajo za razkritja podatkov o družb v registru (sodni register). Države članice morajo zagotoviti razkritje dokumentov in informacije tako, da so javno dostopni v registru. Poleg tega lahko države članice zahtevajo tudi objavo nekaterih ali vseh dokumentov in informacij v nacionalnem uradnem listu ali z enako učinkovitim načinom objave. Ministrstvo za gospodarstvo, turizem in šport pojasnjuje, da so tudi v Sloveniji javni podatki iz letnih poročil dostopni </w:t>
            </w:r>
            <w:r w:rsidRPr="40BC4355">
              <w:rPr>
                <w:rFonts w:cs="Arial"/>
                <w:u w:val="single"/>
              </w:rPr>
              <w:t>na zahtevo zainteresirane osebe</w:t>
            </w:r>
            <w:r w:rsidRPr="40BC4355">
              <w:rPr>
                <w:rFonts w:cs="Arial"/>
              </w:rPr>
              <w:t xml:space="preserve"> in pod pogojem, da se oseba r</w:t>
            </w:r>
            <w:r w:rsidRPr="40BC4355">
              <w:rPr>
                <w:rFonts w:cs="Arial"/>
                <w:u w:val="single"/>
              </w:rPr>
              <w:t>egistrira za dostop do vsebin in podatkov javnih evidenc na portalu Ajpesa</w:t>
            </w:r>
            <w:r w:rsidRPr="40BC4355">
              <w:rPr>
                <w:rFonts w:cs="Arial"/>
              </w:rPr>
              <w:t xml:space="preserve">. </w:t>
            </w:r>
            <w:r w:rsidRPr="40BC4355">
              <w:rPr>
                <w:rFonts w:cs="Arial"/>
                <w:u w:val="single"/>
              </w:rPr>
              <w:t>Dostop do javnih podatkov</w:t>
            </w:r>
            <w:r w:rsidRPr="40BC4355">
              <w:rPr>
                <w:rFonts w:cs="Arial"/>
              </w:rPr>
              <w:t xml:space="preserve"> iz letnih poročil je </w:t>
            </w:r>
            <w:r w:rsidRPr="40BC4355">
              <w:rPr>
                <w:rFonts w:cs="Arial"/>
                <w:u w:val="single"/>
              </w:rPr>
              <w:t>brezplačen</w:t>
            </w:r>
            <w:r w:rsidRPr="40BC4355">
              <w:rPr>
                <w:rFonts w:cs="Arial"/>
              </w:rPr>
              <w:t xml:space="preserve">. Podatki o poslovanju poslovnih subjektov so brezplačno na voljo zainteresiranim osebam z namenom </w:t>
            </w:r>
            <w:r w:rsidRPr="40BC4355">
              <w:rPr>
                <w:rFonts w:cs="Arial"/>
                <w:u w:val="single"/>
              </w:rPr>
              <w:t>zagotavljanja varstva pravnega prometa in poslovnih transakcij</w:t>
            </w:r>
            <w:r w:rsidRPr="40BC4355">
              <w:rPr>
                <w:rFonts w:cs="Arial"/>
              </w:rPr>
              <w:t>, v katere vsakodnevno vstopajo poslovni partnerji, pravne in fizične osebe, ter preglednosti poslovanja poslovnih subjektov.</w:t>
            </w:r>
          </w:p>
          <w:p w14:paraId="5657C6EB" w14:textId="77777777" w:rsidR="00526E23" w:rsidRDefault="00526E23" w:rsidP="00526E23">
            <w:pPr>
              <w:ind w:left="322"/>
              <w:jc w:val="both"/>
              <w:rPr>
                <w:rFonts w:cs="Arial"/>
                <w:bCs/>
                <w:szCs w:val="20"/>
              </w:rPr>
            </w:pPr>
          </w:p>
          <w:p w14:paraId="007706EF" w14:textId="77777777" w:rsidR="00526E23" w:rsidRDefault="00526E23" w:rsidP="00526E23">
            <w:pPr>
              <w:ind w:left="322"/>
              <w:jc w:val="both"/>
              <w:rPr>
                <w:rFonts w:cs="Arial"/>
                <w:color w:val="222222"/>
                <w:lang w:eastAsia="en-GB"/>
              </w:rPr>
            </w:pPr>
            <w:r w:rsidRPr="40BC4355">
              <w:rPr>
                <w:rFonts w:cs="Arial"/>
                <w:b/>
              </w:rPr>
              <w:t xml:space="preserve">Tržni inšpektorat </w:t>
            </w:r>
            <w:r w:rsidRPr="40BC4355">
              <w:rPr>
                <w:rFonts w:cs="Arial"/>
                <w:b/>
                <w:bCs/>
              </w:rPr>
              <w:t>RS</w:t>
            </w:r>
            <w:r w:rsidRPr="40BC4355">
              <w:rPr>
                <w:rFonts w:cs="Arial"/>
              </w:rPr>
              <w:t xml:space="preserve"> predlaga, da se uredi </w:t>
            </w:r>
            <w:r w:rsidRPr="40BC4355">
              <w:rPr>
                <w:rFonts w:cs="Arial"/>
                <w:u w:val="single"/>
              </w:rPr>
              <w:t>obvezna določitev varnega ali drugega elektronskega predala – registrirani elektronski naslov</w:t>
            </w:r>
            <w:r w:rsidRPr="40BC4355">
              <w:rPr>
                <w:rFonts w:cs="Arial"/>
              </w:rPr>
              <w:t xml:space="preserve">, ki se vpiše v register, </w:t>
            </w:r>
            <w:r w:rsidRPr="40BC4355">
              <w:rPr>
                <w:rFonts w:cs="Arial"/>
                <w:u w:val="single"/>
              </w:rPr>
              <w:t>za namene vročanja dokumentov v elektronski obliki</w:t>
            </w:r>
            <w:r w:rsidRPr="40BC4355">
              <w:rPr>
                <w:rFonts w:cs="Arial"/>
              </w:rPr>
              <w:t xml:space="preserve"> oziroma v elektronski predal. Takšna vročanja štejejo kot vročanja po določilih 86. in 86.a člena </w:t>
            </w:r>
            <w:r w:rsidRPr="40BC4355">
              <w:rPr>
                <w:rFonts w:cs="Arial"/>
                <w:color w:val="222222"/>
                <w:lang w:eastAsia="en-GB"/>
              </w:rPr>
              <w:t>Zakona o splošnem upravnem postopku</w:t>
            </w:r>
            <w:r w:rsidRPr="40BC4355">
              <w:rPr>
                <w:rFonts w:cs="Arial"/>
              </w:rPr>
              <w:t xml:space="preserve">. Ta obveznost se, ob upoštevanju </w:t>
            </w:r>
            <w:r w:rsidRPr="2F3977BB">
              <w:rPr>
                <w:rFonts w:cs="Arial"/>
              </w:rPr>
              <w:t>prehodnega obdobja</w:t>
            </w:r>
            <w:r w:rsidRPr="40BC4355">
              <w:rPr>
                <w:rFonts w:cs="Arial"/>
              </w:rPr>
              <w:t xml:space="preserve">, določi tudi za </w:t>
            </w:r>
            <w:r w:rsidRPr="2F3977BB">
              <w:rPr>
                <w:rFonts w:cs="Arial"/>
              </w:rPr>
              <w:t>zdajšnje</w:t>
            </w:r>
            <w:r w:rsidRPr="40BC4355">
              <w:rPr>
                <w:rFonts w:cs="Arial"/>
              </w:rPr>
              <w:t xml:space="preserve"> gospodarske subjekte.</w:t>
            </w:r>
            <w:r w:rsidRPr="40BC4355">
              <w:rPr>
                <w:rFonts w:cs="Arial"/>
                <w:color w:val="222222"/>
                <w:lang w:eastAsia="en-GB"/>
              </w:rPr>
              <w:t xml:space="preserve"> Ti predlogi bi tudi v praksi </w:t>
            </w:r>
            <w:r w:rsidRPr="40BC4355">
              <w:rPr>
                <w:rFonts w:cs="Arial"/>
                <w:color w:val="222222"/>
                <w:u w:val="single"/>
                <w:lang w:eastAsia="en-GB"/>
              </w:rPr>
              <w:t>omogočili uporabo e-vročanja po Zakonu o splošnem upravnem postopku</w:t>
            </w:r>
            <w:r w:rsidRPr="40BC4355">
              <w:rPr>
                <w:rFonts w:cs="Arial"/>
                <w:color w:val="222222"/>
                <w:lang w:eastAsia="en-GB"/>
              </w:rPr>
              <w:t xml:space="preserve"> in s tem tudi </w:t>
            </w:r>
            <w:r w:rsidRPr="40BC4355">
              <w:rPr>
                <w:rFonts w:cs="Arial"/>
                <w:color w:val="222222"/>
                <w:u w:val="single"/>
                <w:lang w:eastAsia="en-GB"/>
              </w:rPr>
              <w:t>možnost, da nadzorni organi hitreje in učinkoviteje izvajajo postopke</w:t>
            </w:r>
            <w:r w:rsidRPr="40BC4355">
              <w:rPr>
                <w:rFonts w:cs="Arial"/>
                <w:color w:val="222222"/>
                <w:lang w:eastAsia="en-GB"/>
              </w:rPr>
              <w:t xml:space="preserve"> predvsem pri zavezancih, katerih namen je izogibanje zakonitemu poslovanju na trgu.</w:t>
            </w:r>
          </w:p>
          <w:p w14:paraId="71519EF7" w14:textId="77777777" w:rsidR="00526E23" w:rsidRDefault="00526E23" w:rsidP="00526E23">
            <w:pPr>
              <w:ind w:left="322"/>
              <w:jc w:val="both"/>
              <w:rPr>
                <w:rFonts w:cs="Arial"/>
                <w:color w:val="222222"/>
                <w:szCs w:val="20"/>
                <w:lang w:eastAsia="en-GB"/>
              </w:rPr>
            </w:pPr>
          </w:p>
          <w:p w14:paraId="634C6703" w14:textId="77777777" w:rsidR="00526E23" w:rsidRDefault="00526E23" w:rsidP="00526E23">
            <w:pPr>
              <w:ind w:left="322"/>
              <w:jc w:val="both"/>
              <w:rPr>
                <w:rFonts w:cs="Arial"/>
              </w:rPr>
            </w:pPr>
            <w:r w:rsidRPr="2F3977BB">
              <w:rPr>
                <w:rFonts w:cs="Arial"/>
              </w:rPr>
              <w:t xml:space="preserve">Predlog Tržnega inšpektorata, da se določi obveznost pridobitve varnega elektronskega predala za vročanje dokumentov v elektronski obliki, po mnenju </w:t>
            </w:r>
            <w:r w:rsidRPr="2F3977BB">
              <w:rPr>
                <w:rFonts w:cs="Arial"/>
                <w:b/>
              </w:rPr>
              <w:t>Ministrstva za gospodarstvo, turizem in šport</w:t>
            </w:r>
            <w:r w:rsidRPr="2F3977BB">
              <w:rPr>
                <w:rFonts w:cs="Arial"/>
              </w:rPr>
              <w:t xml:space="preserve"> ni primeren. Iz predloga </w:t>
            </w:r>
            <w:r w:rsidRPr="2F3977BB">
              <w:rPr>
                <w:rFonts w:cs="Arial"/>
                <w:u w:val="single"/>
              </w:rPr>
              <w:t>ne izhajajo finančne posledice</w:t>
            </w:r>
            <w:r w:rsidRPr="2F3977BB">
              <w:rPr>
                <w:rFonts w:cs="Arial"/>
              </w:rPr>
              <w:t xml:space="preserve"> pridobitve varnega elektronskega predala za vročanja dokumentov v elektronski obliki za družbe. Na slovenskem trgu</w:t>
            </w:r>
            <w:r w:rsidRPr="2F3977BB" w:rsidDel="00925457">
              <w:rPr>
                <w:rFonts w:cs="Arial"/>
              </w:rPr>
              <w:t xml:space="preserve"> </w:t>
            </w:r>
            <w:r w:rsidRPr="2F3977BB">
              <w:rPr>
                <w:rFonts w:cs="Arial"/>
                <w:u w:val="single"/>
              </w:rPr>
              <w:t>varne elektronske predale za vročanje ponuja malo ponudnikov.</w:t>
            </w:r>
            <w:r w:rsidRPr="2F3977BB">
              <w:rPr>
                <w:rFonts w:cs="Arial"/>
              </w:rPr>
              <w:t xml:space="preserve"> Pridobitev in uporaba varnega elektronskega predala za pošiljanje in vročanje dokumentov se zaračunata glede na sprejeto politiko/tarifo ponudnika oziroma sta odvisni od te politike/tarife. Dokumente je mogoče elektronsko vročati tudi s kombinacijo (navadnega) elektronskega naslova in telefonske številke. Z ZGD-1K je bila leta 2021 določena obveznost vpisa (navadnega) elektronskega naslova v register. Elektronski naslovi se na podlagi prijave vpišejo v poslovni register. </w:t>
            </w:r>
          </w:p>
          <w:p w14:paraId="0518B815" w14:textId="77777777" w:rsidR="00526E23" w:rsidRDefault="00526E23" w:rsidP="00526E23">
            <w:pPr>
              <w:ind w:left="322"/>
              <w:jc w:val="both"/>
              <w:rPr>
                <w:rFonts w:cs="Arial"/>
                <w:bCs/>
                <w:szCs w:val="20"/>
              </w:rPr>
            </w:pPr>
          </w:p>
          <w:p w14:paraId="205AB6E0" w14:textId="77777777" w:rsidR="00526E23" w:rsidRDefault="00526E23" w:rsidP="00526E23">
            <w:pPr>
              <w:ind w:left="322"/>
              <w:jc w:val="both"/>
              <w:rPr>
                <w:rFonts w:cs="Arial"/>
              </w:rPr>
            </w:pPr>
            <w:r w:rsidRPr="2F3977BB">
              <w:rPr>
                <w:rFonts w:cs="Arial"/>
                <w:b/>
              </w:rPr>
              <w:t>Tržni inšpektorat</w:t>
            </w:r>
            <w:r w:rsidRPr="2F3977BB" w:rsidDel="00925457">
              <w:rPr>
                <w:rFonts w:cs="Arial"/>
                <w:b/>
              </w:rPr>
              <w:t xml:space="preserve"> </w:t>
            </w:r>
            <w:r w:rsidRPr="2F3977BB">
              <w:rPr>
                <w:rFonts w:cs="Arial"/>
              </w:rPr>
              <w:t>predlaga, da se določi obveznost gospodarskemu subjektu, da je pogoj za izbris zakonitega zastopnika hkratno imenovanje in predlog vpisa novega zakonitega zastopnika v register.</w:t>
            </w:r>
            <w:r w:rsidRPr="2F3977BB">
              <w:rPr>
                <w:rFonts w:cs="Arial"/>
                <w:color w:val="222222"/>
                <w:lang w:eastAsia="en-GB"/>
              </w:rPr>
              <w:t xml:space="preserve"> </w:t>
            </w:r>
            <w:r w:rsidRPr="2F3977BB">
              <w:rPr>
                <w:rFonts w:cs="Arial"/>
                <w:color w:val="222222"/>
                <w:u w:val="single"/>
                <w:lang w:eastAsia="en-GB"/>
              </w:rPr>
              <w:t xml:space="preserve">Gospodarska družba brez aktivnega zakonitega zastopnika ne more in ne bi smela </w:t>
            </w:r>
            <w:r w:rsidRPr="2F3977BB">
              <w:rPr>
                <w:rFonts w:cs="Arial"/>
                <w:color w:val="222222"/>
                <w:u w:val="single"/>
                <w:lang w:eastAsia="en-GB"/>
              </w:rPr>
              <w:lastRenderedPageBreak/>
              <w:t>obstajati</w:t>
            </w:r>
            <w:r w:rsidRPr="2F3977BB">
              <w:rPr>
                <w:rFonts w:cs="Arial"/>
                <w:color w:val="222222"/>
                <w:lang w:eastAsia="en-GB"/>
              </w:rPr>
              <w:t xml:space="preserve">, saj tako tudi ne more poslovati. Za poslovanje družbe je odgovoren zakoniti zastopnik, ki v imenu družbe, za njen račun, v njeno korist in s sredstvi družbe tudi sprejema odločitve. </w:t>
            </w:r>
            <w:r w:rsidRPr="2F3977BB">
              <w:rPr>
                <w:rFonts w:cs="Arial"/>
                <w:color w:val="222222"/>
                <w:u w:val="single"/>
                <w:lang w:eastAsia="en-GB"/>
              </w:rPr>
              <w:t>Stalna zagotovitev zakonitega zastopnika družbe</w:t>
            </w:r>
            <w:r w:rsidRPr="2F3977BB">
              <w:rPr>
                <w:rFonts w:cs="Arial"/>
                <w:color w:val="222222"/>
                <w:lang w:eastAsia="en-GB"/>
              </w:rPr>
              <w:t xml:space="preserve"> je pomemben element tudi pri preprečevanju kršitev zakonodaje, saj družbi v postopku o prekršku ni mogoče očitati prekrška, če ni določljive odgovorne osebe. Z upoštevanjem navedenih sprememb se vsekakor zagotavlja večja preglednost poslovanja gospodarskih družb in se na trgu preprečuje nelojalna konkurenca družb, katerih namen je izogibanje zakonitemu poslovanju in posledično temu tudi plačilu zakonsko predpisanih dajatev.</w:t>
            </w:r>
          </w:p>
          <w:p w14:paraId="53268086" w14:textId="77777777" w:rsidR="00526E23" w:rsidRDefault="00526E23" w:rsidP="00526E23">
            <w:pPr>
              <w:ind w:left="322"/>
              <w:jc w:val="both"/>
              <w:rPr>
                <w:rFonts w:cs="Arial"/>
                <w:bCs/>
                <w:szCs w:val="20"/>
              </w:rPr>
            </w:pPr>
          </w:p>
          <w:p w14:paraId="071D63A8" w14:textId="3021D99D" w:rsidR="00526E23" w:rsidRPr="00605612" w:rsidRDefault="00526E23" w:rsidP="00526E23">
            <w:pPr>
              <w:ind w:left="322"/>
              <w:jc w:val="both"/>
              <w:rPr>
                <w:color w:val="000000" w:themeColor="text1"/>
              </w:rPr>
            </w:pPr>
            <w:r>
              <w:t xml:space="preserve">Predlog, da se določi obveznost hkratnega/sočasnega izbrisa predhodnega in vpisa novega zakonitega zastopnika, po mnenju </w:t>
            </w:r>
            <w:r w:rsidRPr="0F7AC3E2">
              <w:rPr>
                <w:b/>
              </w:rPr>
              <w:t>Ministrstva za gospodarstvo, turizem in šport</w:t>
            </w:r>
            <w:r>
              <w:t xml:space="preserve"> </w:t>
            </w:r>
            <w:r w:rsidRPr="0F7AC3E2">
              <w:rPr>
                <w:u w:val="single"/>
              </w:rPr>
              <w:t>ni primeren</w:t>
            </w:r>
            <w:r>
              <w:t xml:space="preserve"> za dosego cilja predloga, to je, da imajo družbe aktivnega zakonitega zastopnika. Predlogu </w:t>
            </w:r>
            <w:r w:rsidRPr="0F7AC3E2">
              <w:rPr>
                <w:u w:val="single"/>
              </w:rPr>
              <w:t>ni priložena</w:t>
            </w:r>
            <w:r>
              <w:t xml:space="preserve"> mednarodna pravna analiza. Poleg tega v dejanskih okoliščinah </w:t>
            </w:r>
            <w:r w:rsidRPr="0F7AC3E2">
              <w:rPr>
                <w:u w:val="single"/>
              </w:rPr>
              <w:t>v nekaterih primerih ni mogoče doseči hkratnega izbrisa</w:t>
            </w:r>
            <w:r>
              <w:t xml:space="preserve"> predhodnega </w:t>
            </w:r>
            <w:r w:rsidRPr="0F7AC3E2">
              <w:rPr>
                <w:u w:val="single"/>
              </w:rPr>
              <w:t>in vpisa</w:t>
            </w:r>
            <w:r>
              <w:t xml:space="preserve"> novega zakonitega zastopnika. Kot primer bi lahko navedli </w:t>
            </w:r>
            <w:r w:rsidRPr="0F7AC3E2">
              <w:rPr>
                <w:u w:val="single"/>
              </w:rPr>
              <w:t xml:space="preserve">odstop zakonitega </w:t>
            </w:r>
            <w:r w:rsidRPr="0F7AC3E2">
              <w:rPr>
                <w:rFonts w:cs="Arial"/>
                <w:color w:val="222222"/>
                <w:u w:val="single"/>
                <w:lang w:eastAsia="en-GB"/>
              </w:rPr>
              <w:t>zastopnika</w:t>
            </w:r>
            <w:r>
              <w:t xml:space="preserve">. Zakoniti zastopnik lahko poda odstopno izjavo zaradi osebnih okoliščin, kot je trajna ali dolgotrajna nezmožnost za delo, in v drugih primerih. Odstopna izjava kot izraz volje, da oseba ne želi opravljati funkcije, ima konstitutivni učinek. Z njo zakoniti zastopnik doseže prenehanje svoje funkcije. Po mnenju pravne teorije učinkuje, ko je sporočena organu, ki je zakonitega zastopnika imenoval. Vpis izbrisa zakonitega zastopnika iz registra ima tudi publicitetni učinek. </w:t>
            </w:r>
            <w:r w:rsidRPr="0F7AC3E2">
              <w:rPr>
                <w:u w:val="single"/>
              </w:rPr>
              <w:t>V skladu s sodno prakso za vpis izbrisa zakonitega zastopnika zadošča njegova odstopna izjava</w:t>
            </w:r>
            <w:r>
              <w:t>. Običajno je, da v primeru odstopa zakonitega zastopnika vpis izbrisa zakonitega zastopnika iz registra predlaga družba. Ni pa izključena možnost, da vpis izbrisa zakonitega zastopnika iz registra predlaga zakoniti zastopnik, ki je odstopil. Drug primer je</w:t>
            </w:r>
            <w:r w:rsidDel="004C541B">
              <w:t xml:space="preserve"> </w:t>
            </w:r>
            <w:r w:rsidRPr="0F7AC3E2">
              <w:rPr>
                <w:u w:val="single"/>
              </w:rPr>
              <w:t>smrt zakonitega zastopnika</w:t>
            </w:r>
            <w:r>
              <w:t xml:space="preserve">, v primeru katere funkcija preneha že z dnem smrti. Obveznost ne bi bila izvedljiva tudi v primeru </w:t>
            </w:r>
            <w:r w:rsidRPr="0F7AC3E2">
              <w:rPr>
                <w:u w:val="single"/>
              </w:rPr>
              <w:t>spremembe statuta</w:t>
            </w:r>
            <w:r>
              <w:t xml:space="preserve">, s katero se zmanjša število članov organa vodenja, pri </w:t>
            </w:r>
            <w:r w:rsidRPr="0F7AC3E2">
              <w:rPr>
                <w:u w:val="single"/>
              </w:rPr>
              <w:t>pripojitvah, spojitvah, spremembah pravnoorganizacijske oblike in prenehanja</w:t>
            </w:r>
            <w:r>
              <w:t xml:space="preserve"> družbe po končani likvidaciji oziroma zaradi posledic </w:t>
            </w:r>
            <w:r w:rsidRPr="0F7AC3E2">
              <w:rPr>
                <w:u w:val="single"/>
              </w:rPr>
              <w:t>začetka stečajnega postopka</w:t>
            </w:r>
            <w:r>
              <w:t xml:space="preserve">. Nekatere, zlasti večje družbe izbirajo člane organa vodenja po </w:t>
            </w:r>
            <w:r w:rsidRPr="0F7AC3E2">
              <w:rPr>
                <w:u w:val="single"/>
              </w:rPr>
              <w:t>izbirnem javnem postopku</w:t>
            </w:r>
            <w:r>
              <w:t>, ki se začne, ko se</w:t>
            </w:r>
            <w:r w:rsidDel="004C541B">
              <w:t xml:space="preserve"> </w:t>
            </w:r>
            <w:r>
              <w:t xml:space="preserve">dotedanjemu članu organa vodenja izteče mandat. </w:t>
            </w:r>
            <w:r w:rsidRPr="0F7AC3E2">
              <w:rPr>
                <w:u w:val="single"/>
              </w:rPr>
              <w:t>V ZGD-1 so določene pravne možnosti</w:t>
            </w:r>
            <w:r>
              <w:t>, če družba nima zakonitega zastopnika. Po drugem odstavku 50. člena ZGD-1 lahko vsakdo, ki ima pravni interes v nepravdnem postopku, v nujnem primeru predlaga sodno imenovanje poslovodje. Če poslovodstvo ne deluje več kakor šest mesecev, lahko upniki, družbeniki pri sodišču predlagajo izvedbo postopka sodne likvidacije (3. alineja prvega odstavka 402. člena, sedma alineja 521. člena in tretji odstavek 404. člena ZGD-1).</w:t>
            </w:r>
          </w:p>
          <w:p w14:paraId="3EE18A27" w14:textId="1E5467F1" w:rsidR="00526E23" w:rsidRDefault="00526E23" w:rsidP="4DB7FD0D">
            <w:pPr>
              <w:ind w:left="322"/>
              <w:jc w:val="both"/>
            </w:pPr>
          </w:p>
          <w:p w14:paraId="6D7DDECB" w14:textId="77777777" w:rsidR="00526E23" w:rsidRDefault="00526E23" w:rsidP="00526E23">
            <w:pPr>
              <w:ind w:left="322"/>
              <w:jc w:val="both"/>
              <w:rPr>
                <w:b/>
                <w:bCs/>
                <w:szCs w:val="20"/>
              </w:rPr>
            </w:pPr>
            <w:r w:rsidRPr="0010046F">
              <w:rPr>
                <w:b/>
                <w:bCs/>
                <w:szCs w:val="20"/>
              </w:rPr>
              <w:t>B</w:t>
            </w:r>
            <w:r>
              <w:rPr>
                <w:b/>
                <w:bCs/>
                <w:szCs w:val="20"/>
              </w:rPr>
              <w:t xml:space="preserve">anka </w:t>
            </w:r>
            <w:r w:rsidRPr="0010046F">
              <w:rPr>
                <w:b/>
                <w:bCs/>
                <w:szCs w:val="20"/>
              </w:rPr>
              <w:t>S</w:t>
            </w:r>
            <w:r>
              <w:rPr>
                <w:b/>
                <w:bCs/>
                <w:szCs w:val="20"/>
              </w:rPr>
              <w:t>lovenije</w:t>
            </w:r>
            <w:r>
              <w:rPr>
                <w:szCs w:val="20"/>
              </w:rPr>
              <w:t xml:space="preserve"> predlaga, da se v ZGD-1</w:t>
            </w:r>
            <w:r w:rsidRPr="00142810">
              <w:rPr>
                <w:szCs w:val="20"/>
              </w:rPr>
              <w:t xml:space="preserve"> opredeli </w:t>
            </w:r>
            <w:r>
              <w:rPr>
                <w:szCs w:val="20"/>
              </w:rPr>
              <w:t xml:space="preserve">izraz </w:t>
            </w:r>
            <w:r w:rsidRPr="00142810">
              <w:rPr>
                <w:szCs w:val="20"/>
              </w:rPr>
              <w:t>čist</w:t>
            </w:r>
            <w:r>
              <w:rPr>
                <w:szCs w:val="20"/>
              </w:rPr>
              <w:t>i</w:t>
            </w:r>
            <w:r w:rsidRPr="00142810">
              <w:rPr>
                <w:szCs w:val="20"/>
              </w:rPr>
              <w:t xml:space="preserve"> prihod</w:t>
            </w:r>
            <w:r>
              <w:rPr>
                <w:szCs w:val="20"/>
              </w:rPr>
              <w:t xml:space="preserve">ki. </w:t>
            </w:r>
            <w:r w:rsidRPr="003B5B6C">
              <w:rPr>
                <w:szCs w:val="20"/>
              </w:rPr>
              <w:t>Ni nedvoumno jasno, katere banke se bodo opredelile kot velike, ma</w:t>
            </w:r>
            <w:r>
              <w:rPr>
                <w:szCs w:val="20"/>
              </w:rPr>
              <w:t>jhn</w:t>
            </w:r>
            <w:r w:rsidRPr="003B5B6C">
              <w:rPr>
                <w:szCs w:val="20"/>
              </w:rPr>
              <w:t xml:space="preserve">e ali srednje družbe, </w:t>
            </w:r>
            <w:r>
              <w:rPr>
                <w:szCs w:val="20"/>
              </w:rPr>
              <w:t>poleg tega</w:t>
            </w:r>
            <w:r w:rsidRPr="003B5B6C">
              <w:rPr>
                <w:szCs w:val="20"/>
              </w:rPr>
              <w:t xml:space="preserve"> ne bo mogoče določiti, kdaj so zavezane k izpolnjevanju obveznosti, ko se po tem zakonu preseže opredeljeni prag čist</w:t>
            </w:r>
            <w:r>
              <w:rPr>
                <w:szCs w:val="20"/>
              </w:rPr>
              <w:t>ih</w:t>
            </w:r>
            <w:r w:rsidRPr="003B5B6C">
              <w:rPr>
                <w:szCs w:val="20"/>
              </w:rPr>
              <w:t xml:space="preserve"> prihodk</w:t>
            </w:r>
            <w:r>
              <w:rPr>
                <w:szCs w:val="20"/>
              </w:rPr>
              <w:t>ov</w:t>
            </w:r>
            <w:r w:rsidRPr="003B5B6C">
              <w:rPr>
                <w:szCs w:val="20"/>
              </w:rPr>
              <w:t>.</w:t>
            </w:r>
            <w:r>
              <w:t xml:space="preserve"> </w:t>
            </w:r>
            <w:r w:rsidRPr="000602B8">
              <w:rPr>
                <w:szCs w:val="20"/>
              </w:rPr>
              <w:t>Ker se izračun čist</w:t>
            </w:r>
            <w:r>
              <w:rPr>
                <w:szCs w:val="20"/>
              </w:rPr>
              <w:t>ih</w:t>
            </w:r>
            <w:r w:rsidRPr="000602B8">
              <w:rPr>
                <w:szCs w:val="20"/>
              </w:rPr>
              <w:t xml:space="preserve"> prihodk</w:t>
            </w:r>
            <w:r>
              <w:rPr>
                <w:szCs w:val="20"/>
              </w:rPr>
              <w:t>ov</w:t>
            </w:r>
            <w:r w:rsidRPr="000602B8">
              <w:rPr>
                <w:szCs w:val="20"/>
              </w:rPr>
              <w:t xml:space="preserve"> bank in hranilnic (ter nekatere druge finančne institucije, npr. zavarovalnice) glede na naravo njihovega poslovanja razlikuje, predlaga, da ZGD-1M v tem delu napoti na Zakon o bančništvu, ki B</w:t>
            </w:r>
            <w:r>
              <w:rPr>
                <w:szCs w:val="20"/>
              </w:rPr>
              <w:t xml:space="preserve">anki </w:t>
            </w:r>
            <w:r w:rsidRPr="000602B8">
              <w:rPr>
                <w:szCs w:val="20"/>
              </w:rPr>
              <w:t>S</w:t>
            </w:r>
            <w:r>
              <w:rPr>
                <w:szCs w:val="20"/>
              </w:rPr>
              <w:t>lovenije</w:t>
            </w:r>
            <w:r w:rsidRPr="000602B8">
              <w:rPr>
                <w:szCs w:val="20"/>
              </w:rPr>
              <w:t xml:space="preserve"> daje pooblastilo za opredelitev čist</w:t>
            </w:r>
            <w:r>
              <w:rPr>
                <w:szCs w:val="20"/>
              </w:rPr>
              <w:t>ih</w:t>
            </w:r>
            <w:r w:rsidRPr="000602B8">
              <w:rPr>
                <w:szCs w:val="20"/>
              </w:rPr>
              <w:t xml:space="preserve"> prihodk</w:t>
            </w:r>
            <w:r>
              <w:rPr>
                <w:szCs w:val="20"/>
              </w:rPr>
              <w:t>ov</w:t>
            </w:r>
            <w:r w:rsidRPr="000602B8">
              <w:rPr>
                <w:szCs w:val="20"/>
              </w:rPr>
              <w:t>.</w:t>
            </w:r>
            <w:r>
              <w:rPr>
                <w:szCs w:val="20"/>
              </w:rPr>
              <w:t xml:space="preserve"> Navaja še, da je </w:t>
            </w:r>
            <w:r w:rsidRPr="00142810">
              <w:rPr>
                <w:szCs w:val="20"/>
              </w:rPr>
              <w:t>neustrezen prevod izraza ključna neopredmetena sredstva</w:t>
            </w:r>
            <w:r>
              <w:t xml:space="preserve">, saj </w:t>
            </w:r>
            <w:r w:rsidRPr="003D424B">
              <w:rPr>
                <w:szCs w:val="20"/>
              </w:rPr>
              <w:t>ne gre samo za sredstva iz bilance (angl. intangible resources)</w:t>
            </w:r>
            <w:r>
              <w:rPr>
                <w:szCs w:val="20"/>
              </w:rPr>
              <w:t xml:space="preserve">, kar je razvidno tudi iz uvodnih izjav Direktive </w:t>
            </w:r>
            <w:r w:rsidRPr="00DE7E93">
              <w:rPr>
                <w:szCs w:val="20"/>
              </w:rPr>
              <w:t>2022/2464/EU</w:t>
            </w:r>
            <w:r>
              <w:rPr>
                <w:szCs w:val="20"/>
              </w:rPr>
              <w:t>.</w:t>
            </w:r>
          </w:p>
          <w:p w14:paraId="10D90FC7" w14:textId="77777777" w:rsidR="00526E23" w:rsidRPr="00142810" w:rsidRDefault="00526E23" w:rsidP="00526E23">
            <w:pPr>
              <w:ind w:left="322"/>
              <w:jc w:val="both"/>
              <w:rPr>
                <w:szCs w:val="20"/>
              </w:rPr>
            </w:pPr>
          </w:p>
          <w:p w14:paraId="723F0CD9" w14:textId="77777777" w:rsidR="00526E23" w:rsidRDefault="00526E23" w:rsidP="00526E23">
            <w:pPr>
              <w:ind w:left="322"/>
              <w:jc w:val="both"/>
              <w:rPr>
                <w:szCs w:val="20"/>
              </w:rPr>
            </w:pPr>
            <w:r w:rsidRPr="00897068">
              <w:rPr>
                <w:b/>
                <w:bCs/>
                <w:szCs w:val="20"/>
              </w:rPr>
              <w:t>Ministrstvo za gospodarstvo, turizem in šport</w:t>
            </w:r>
            <w:r>
              <w:rPr>
                <w:b/>
                <w:bCs/>
                <w:szCs w:val="20"/>
              </w:rPr>
              <w:t xml:space="preserve"> </w:t>
            </w:r>
            <w:r>
              <w:rPr>
                <w:szCs w:val="20"/>
              </w:rPr>
              <w:t>pojasnjuje</w:t>
            </w:r>
            <w:r>
              <w:t xml:space="preserve">, da se izraz čisti prihodki uporablja v </w:t>
            </w:r>
            <w:r w:rsidRPr="00605612">
              <w:rPr>
                <w:rFonts w:cs="Arial"/>
                <w:color w:val="000000" w:themeColor="text1"/>
                <w:szCs w:val="20"/>
              </w:rPr>
              <w:t>Direktiv</w:t>
            </w:r>
            <w:r>
              <w:rPr>
                <w:rFonts w:cs="Arial"/>
                <w:color w:val="000000" w:themeColor="text1"/>
                <w:szCs w:val="20"/>
              </w:rPr>
              <w:t>i</w:t>
            </w:r>
            <w:r w:rsidRPr="00605612">
              <w:rPr>
                <w:rFonts w:cs="Arial"/>
                <w:color w:val="000000" w:themeColor="text1"/>
                <w:szCs w:val="20"/>
              </w:rPr>
              <w:t xml:space="preserve"> 2013/34/EU</w:t>
            </w:r>
            <w:r>
              <w:rPr>
                <w:rFonts w:cs="Arial"/>
                <w:color w:val="000000" w:themeColor="text1"/>
                <w:szCs w:val="20"/>
              </w:rPr>
              <w:t>, v ZGD-1 pa se uporablja izraz čisti prihodki od prodaje. Ta izraz ni opredeljen</w:t>
            </w:r>
            <w:r w:rsidRPr="00CF02D3">
              <w:rPr>
                <w:szCs w:val="20"/>
              </w:rPr>
              <w:t xml:space="preserve"> v ZGD-1 in zato tudi ta del </w:t>
            </w:r>
            <w:r w:rsidRPr="00795A1F">
              <w:rPr>
                <w:szCs w:val="20"/>
              </w:rPr>
              <w:t>Direktive 2022/2464/EU</w:t>
            </w:r>
            <w:r w:rsidRPr="00CF02D3">
              <w:rPr>
                <w:szCs w:val="20"/>
              </w:rPr>
              <w:t xml:space="preserve"> ni prenesen, kar je pojasnjeno </w:t>
            </w:r>
            <w:r>
              <w:rPr>
                <w:szCs w:val="20"/>
              </w:rPr>
              <w:t>tudi</w:t>
            </w:r>
            <w:r w:rsidRPr="00CF02D3">
              <w:rPr>
                <w:szCs w:val="20"/>
              </w:rPr>
              <w:t xml:space="preserve"> v komentarjih </w:t>
            </w:r>
            <w:r>
              <w:rPr>
                <w:szCs w:val="20"/>
              </w:rPr>
              <w:t>tega zakona.</w:t>
            </w:r>
            <w:r w:rsidRPr="00CF02D3">
              <w:rPr>
                <w:szCs w:val="20"/>
              </w:rPr>
              <w:t xml:space="preserve"> </w:t>
            </w:r>
            <w:r>
              <w:rPr>
                <w:szCs w:val="20"/>
              </w:rPr>
              <w:t>O</w:t>
            </w:r>
            <w:r w:rsidRPr="00CF02D3">
              <w:rPr>
                <w:szCs w:val="20"/>
              </w:rPr>
              <w:t>predelitev izraza čisti prihodk</w:t>
            </w:r>
            <w:r>
              <w:rPr>
                <w:szCs w:val="20"/>
              </w:rPr>
              <w:t>i</w:t>
            </w:r>
            <w:r w:rsidRPr="00CF02D3">
              <w:rPr>
                <w:szCs w:val="20"/>
              </w:rPr>
              <w:t xml:space="preserve"> </w:t>
            </w:r>
            <w:r>
              <w:rPr>
                <w:szCs w:val="20"/>
              </w:rPr>
              <w:t>od prodaje</w:t>
            </w:r>
            <w:r w:rsidRPr="00CF02D3">
              <w:rPr>
                <w:szCs w:val="20"/>
              </w:rPr>
              <w:t xml:space="preserve"> v ZGD-1 za </w:t>
            </w:r>
            <w:r>
              <w:rPr>
                <w:szCs w:val="20"/>
              </w:rPr>
              <w:t>nekatere</w:t>
            </w:r>
            <w:r w:rsidRPr="00CF02D3">
              <w:rPr>
                <w:szCs w:val="20"/>
              </w:rPr>
              <w:t xml:space="preserve"> primere</w:t>
            </w:r>
            <w:r>
              <w:rPr>
                <w:szCs w:val="20"/>
              </w:rPr>
              <w:t>,</w:t>
            </w:r>
            <w:r w:rsidRPr="00CF02D3">
              <w:rPr>
                <w:szCs w:val="20"/>
              </w:rPr>
              <w:t xml:space="preserve"> kot so kreditne institucije, zavarovalnice in družbe, zavezane </w:t>
            </w:r>
            <w:r>
              <w:rPr>
                <w:szCs w:val="20"/>
              </w:rPr>
              <w:t xml:space="preserve">v </w:t>
            </w:r>
            <w:r w:rsidRPr="00CF02D3">
              <w:rPr>
                <w:szCs w:val="20"/>
              </w:rPr>
              <w:t>sklad</w:t>
            </w:r>
            <w:r>
              <w:rPr>
                <w:szCs w:val="20"/>
              </w:rPr>
              <w:t>u</w:t>
            </w:r>
            <w:r w:rsidRPr="00CF02D3">
              <w:rPr>
                <w:szCs w:val="20"/>
              </w:rPr>
              <w:t xml:space="preserve"> </w:t>
            </w:r>
            <w:r>
              <w:rPr>
                <w:szCs w:val="20"/>
              </w:rPr>
              <w:t>s</w:t>
            </w:r>
            <w:r w:rsidRPr="00CF02D3">
              <w:rPr>
                <w:szCs w:val="20"/>
              </w:rPr>
              <w:t xml:space="preserve"> 70.d členom, </w:t>
            </w:r>
            <w:r>
              <w:rPr>
                <w:szCs w:val="20"/>
              </w:rPr>
              <w:t xml:space="preserve">tako </w:t>
            </w:r>
            <w:r w:rsidRPr="00CF02D3">
              <w:rPr>
                <w:szCs w:val="20"/>
              </w:rPr>
              <w:t xml:space="preserve">ni primerna, da se umesti v ZGD-1, </w:t>
            </w:r>
            <w:r>
              <w:rPr>
                <w:szCs w:val="20"/>
              </w:rPr>
              <w:t xml:space="preserve">ampak je primerneje, da je v sektorski zakonodaji. Glede opredelitve izraza </w:t>
            </w:r>
            <w:r w:rsidRPr="00EF0CFC">
              <w:rPr>
                <w:szCs w:val="20"/>
              </w:rPr>
              <w:t>ključna neopredmetena sredstva</w:t>
            </w:r>
            <w:r>
              <w:rPr>
                <w:szCs w:val="20"/>
              </w:rPr>
              <w:t xml:space="preserve"> pa ugotavlja, da gre v angleščini za dva izraza, vendar se v slovenščini uporablja en izraz. Glede na to, da Banka Slovenije drugega izraza ni predlagala, </w:t>
            </w:r>
            <w:r w:rsidRPr="00CE1BCE">
              <w:rPr>
                <w:szCs w:val="20"/>
              </w:rPr>
              <w:t>izraz pa je bil usklajen z revizijsko stroko</w:t>
            </w:r>
            <w:r>
              <w:rPr>
                <w:szCs w:val="20"/>
              </w:rPr>
              <w:t>,</w:t>
            </w:r>
            <w:r w:rsidRPr="00CE1BCE">
              <w:rPr>
                <w:szCs w:val="20"/>
              </w:rPr>
              <w:t xml:space="preserve"> </w:t>
            </w:r>
            <w:r>
              <w:rPr>
                <w:szCs w:val="20"/>
              </w:rPr>
              <w:t xml:space="preserve">ostane zapis, ki izhaja iz </w:t>
            </w:r>
            <w:r w:rsidRPr="00747061">
              <w:rPr>
                <w:szCs w:val="20"/>
              </w:rPr>
              <w:t>Direktive 2022/2464/EU</w:t>
            </w:r>
            <w:r>
              <w:rPr>
                <w:szCs w:val="20"/>
              </w:rPr>
              <w:t>.</w:t>
            </w:r>
          </w:p>
          <w:p w14:paraId="77DCCC93" w14:textId="77777777" w:rsidR="00526E23" w:rsidRDefault="00526E23" w:rsidP="00526E23">
            <w:pPr>
              <w:ind w:left="322"/>
              <w:jc w:val="both"/>
              <w:rPr>
                <w:szCs w:val="20"/>
              </w:rPr>
            </w:pPr>
          </w:p>
          <w:p w14:paraId="6CA12B65" w14:textId="77777777" w:rsidR="00526E23" w:rsidRDefault="00526E23" w:rsidP="00526E23">
            <w:pPr>
              <w:ind w:left="322"/>
              <w:jc w:val="both"/>
              <w:rPr>
                <w:szCs w:val="20"/>
              </w:rPr>
            </w:pPr>
            <w:r w:rsidRPr="00237705">
              <w:rPr>
                <w:b/>
                <w:bCs/>
                <w:szCs w:val="20"/>
              </w:rPr>
              <w:t>Agencija za javni nadzor nad revidiranjem</w:t>
            </w:r>
            <w:r w:rsidRPr="001202E1">
              <w:rPr>
                <w:szCs w:val="20"/>
              </w:rPr>
              <w:t xml:space="preserve"> je predlagala </w:t>
            </w:r>
            <w:r w:rsidRPr="0010046F">
              <w:rPr>
                <w:rFonts w:cs="Arial"/>
                <w:bCs/>
                <w:szCs w:val="20"/>
              </w:rPr>
              <w:t>prenos vsebine osmega odstavka 55. člena ZGD-1 v 60. člen ZGD-1</w:t>
            </w:r>
            <w:r>
              <w:rPr>
                <w:rFonts w:cs="Arial"/>
                <w:bCs/>
                <w:szCs w:val="20"/>
              </w:rPr>
              <w:t xml:space="preserve"> ter</w:t>
            </w:r>
            <w:r w:rsidRPr="000742AA">
              <w:rPr>
                <w:rFonts w:cs="Arial"/>
                <w:bCs/>
                <w:szCs w:val="20"/>
              </w:rPr>
              <w:t xml:space="preserve"> </w:t>
            </w:r>
            <w:r>
              <w:rPr>
                <w:rFonts w:cs="Arial"/>
                <w:bCs/>
                <w:szCs w:val="20"/>
              </w:rPr>
              <w:t>črtanje</w:t>
            </w:r>
            <w:r w:rsidRPr="000742AA">
              <w:rPr>
                <w:rFonts w:cs="Arial"/>
                <w:bCs/>
                <w:szCs w:val="20"/>
              </w:rPr>
              <w:t xml:space="preserve"> osm</w:t>
            </w:r>
            <w:r>
              <w:rPr>
                <w:rFonts w:cs="Arial"/>
                <w:bCs/>
                <w:szCs w:val="20"/>
              </w:rPr>
              <w:t>ega</w:t>
            </w:r>
            <w:r w:rsidRPr="000742AA">
              <w:rPr>
                <w:rFonts w:cs="Arial"/>
                <w:bCs/>
                <w:szCs w:val="20"/>
              </w:rPr>
              <w:t xml:space="preserve"> odstav</w:t>
            </w:r>
            <w:r>
              <w:rPr>
                <w:rFonts w:cs="Arial"/>
                <w:bCs/>
                <w:szCs w:val="20"/>
              </w:rPr>
              <w:t>ka</w:t>
            </w:r>
            <w:r w:rsidRPr="000742AA">
              <w:rPr>
                <w:rFonts w:cs="Arial"/>
                <w:bCs/>
                <w:szCs w:val="20"/>
              </w:rPr>
              <w:t xml:space="preserve"> 55. člena ZGD-1</w:t>
            </w:r>
            <w:r>
              <w:rPr>
                <w:rFonts w:cs="Arial"/>
                <w:bCs/>
                <w:szCs w:val="20"/>
              </w:rPr>
              <w:t>, saj trenutna ureditev prinaša nejasnosti glede določanja velikosti družb.</w:t>
            </w:r>
          </w:p>
          <w:p w14:paraId="7E0AB59A" w14:textId="77777777" w:rsidR="00526E23" w:rsidRDefault="00526E23" w:rsidP="00526E23">
            <w:pPr>
              <w:ind w:left="322"/>
              <w:jc w:val="both"/>
              <w:rPr>
                <w:szCs w:val="20"/>
              </w:rPr>
            </w:pPr>
          </w:p>
          <w:p w14:paraId="7BE5D525" w14:textId="77777777" w:rsidR="00526E23" w:rsidRDefault="00526E23" w:rsidP="00526E23">
            <w:pPr>
              <w:ind w:left="322"/>
              <w:jc w:val="both"/>
              <w:rPr>
                <w:szCs w:val="20"/>
              </w:rPr>
            </w:pPr>
            <w:r w:rsidRPr="0010046F">
              <w:rPr>
                <w:b/>
                <w:szCs w:val="20"/>
              </w:rPr>
              <w:t>Ministrstvo za gospodarstvo, turizem in šport</w:t>
            </w:r>
            <w:r>
              <w:rPr>
                <w:szCs w:val="20"/>
              </w:rPr>
              <w:t xml:space="preserve"> pojasnjuje, da zaradi doslednosti členov ni spreminjalo, je pa spremenilo vsebino osmega odstavka 55. člena ZGD-1, kar je pojasnjeno v obrazložitvi k temu zakonu.</w:t>
            </w:r>
          </w:p>
          <w:p w14:paraId="3B2EE48D" w14:textId="77777777" w:rsidR="00526E23" w:rsidRDefault="00526E23" w:rsidP="00526E23">
            <w:pPr>
              <w:ind w:left="322"/>
              <w:jc w:val="both"/>
              <w:rPr>
                <w:szCs w:val="20"/>
              </w:rPr>
            </w:pPr>
          </w:p>
          <w:p w14:paraId="1102D5A9" w14:textId="77777777" w:rsidR="00526E23" w:rsidRDefault="00526E23" w:rsidP="00526E23">
            <w:pPr>
              <w:ind w:left="322"/>
              <w:jc w:val="both"/>
              <w:rPr>
                <w:szCs w:val="20"/>
              </w:rPr>
            </w:pPr>
            <w:r w:rsidRPr="00237705">
              <w:rPr>
                <w:b/>
                <w:bCs/>
                <w:szCs w:val="20"/>
              </w:rPr>
              <w:t xml:space="preserve">Združenje notranjih revizorjev </w:t>
            </w:r>
            <w:r>
              <w:rPr>
                <w:szCs w:val="20"/>
              </w:rPr>
              <w:t xml:space="preserve">predlaga, da se </w:t>
            </w:r>
            <w:r w:rsidRPr="00551E45">
              <w:rPr>
                <w:szCs w:val="20"/>
              </w:rPr>
              <w:t xml:space="preserve">poleg pooblaščenih revizorjev v pregledovanje poročila o </w:t>
            </w:r>
            <w:r>
              <w:rPr>
                <w:szCs w:val="20"/>
              </w:rPr>
              <w:t>trajnostnosti</w:t>
            </w:r>
            <w:r w:rsidRPr="00551E45">
              <w:rPr>
                <w:szCs w:val="20"/>
              </w:rPr>
              <w:t xml:space="preserve"> vključi tudi druge primerljive strokovnjak</w:t>
            </w:r>
            <w:r>
              <w:rPr>
                <w:szCs w:val="20"/>
              </w:rPr>
              <w:t>e</w:t>
            </w:r>
            <w:r w:rsidRPr="00385A59">
              <w:rPr>
                <w:szCs w:val="20"/>
              </w:rPr>
              <w:t xml:space="preserve">, ki imajo ustrezno metodologijo dela in uveljavljene strokovne standarde in certifikate ter se usposabljajo tudi </w:t>
            </w:r>
            <w:r>
              <w:rPr>
                <w:szCs w:val="20"/>
              </w:rPr>
              <w:t>s</w:t>
            </w:r>
            <w:r w:rsidRPr="00385A59">
              <w:rPr>
                <w:szCs w:val="20"/>
              </w:rPr>
              <w:t xml:space="preserve"> področja </w:t>
            </w:r>
            <w:r>
              <w:rPr>
                <w:szCs w:val="20"/>
              </w:rPr>
              <w:t>trajnostnosti</w:t>
            </w:r>
            <w:r w:rsidRPr="00385A59">
              <w:rPr>
                <w:szCs w:val="20"/>
              </w:rPr>
              <w:t>, da se zagotovi večja konkurenca ponudnikov na trgu</w:t>
            </w:r>
            <w:r>
              <w:rPr>
                <w:szCs w:val="20"/>
              </w:rPr>
              <w:t xml:space="preserve">. </w:t>
            </w:r>
          </w:p>
          <w:p w14:paraId="34CB5F1B" w14:textId="77777777" w:rsidR="00526E23" w:rsidRDefault="00526E23" w:rsidP="00526E23">
            <w:pPr>
              <w:ind w:left="322"/>
              <w:jc w:val="both"/>
              <w:rPr>
                <w:szCs w:val="20"/>
              </w:rPr>
            </w:pPr>
          </w:p>
          <w:p w14:paraId="790C56D0" w14:textId="77777777" w:rsidR="00526E23" w:rsidRDefault="00526E23" w:rsidP="00526E23">
            <w:pPr>
              <w:ind w:left="322"/>
              <w:jc w:val="both"/>
              <w:rPr>
                <w:szCs w:val="20"/>
              </w:rPr>
            </w:pPr>
            <w:r w:rsidRPr="004E0D4D">
              <w:rPr>
                <w:b/>
                <w:bCs/>
                <w:szCs w:val="20"/>
              </w:rPr>
              <w:t>Bureau Veritas</w:t>
            </w:r>
            <w:r>
              <w:rPr>
                <w:szCs w:val="20"/>
              </w:rPr>
              <w:t xml:space="preserve"> predlaga, da se</w:t>
            </w:r>
            <w:r>
              <w:t xml:space="preserve"> </w:t>
            </w:r>
            <w:r w:rsidRPr="0021204B">
              <w:rPr>
                <w:szCs w:val="20"/>
              </w:rPr>
              <w:t xml:space="preserve">poleg pooblaščenih revizorjev v pregledovanje poročila o </w:t>
            </w:r>
            <w:r>
              <w:rPr>
                <w:szCs w:val="20"/>
              </w:rPr>
              <w:t>trajnostnosti</w:t>
            </w:r>
            <w:r w:rsidRPr="0021204B">
              <w:rPr>
                <w:szCs w:val="20"/>
              </w:rPr>
              <w:t xml:space="preserve"> </w:t>
            </w:r>
            <w:r>
              <w:rPr>
                <w:szCs w:val="20"/>
              </w:rPr>
              <w:t xml:space="preserve">vključi </w:t>
            </w:r>
            <w:r w:rsidRPr="0021204B">
              <w:rPr>
                <w:szCs w:val="20"/>
              </w:rPr>
              <w:t xml:space="preserve">tudi </w:t>
            </w:r>
            <w:r w:rsidRPr="00515A74">
              <w:rPr>
                <w:szCs w:val="20"/>
              </w:rPr>
              <w:t>neodvisni ponudnik storitev dajanja zagotovil</w:t>
            </w:r>
            <w:r>
              <w:rPr>
                <w:szCs w:val="20"/>
              </w:rPr>
              <w:t>. D</w:t>
            </w:r>
            <w:r w:rsidRPr="00385A59">
              <w:rPr>
                <w:szCs w:val="20"/>
              </w:rPr>
              <w:t xml:space="preserve">ajanje zagotovil za poročila o </w:t>
            </w:r>
            <w:r>
              <w:rPr>
                <w:szCs w:val="20"/>
              </w:rPr>
              <w:t>trajnostnosti</w:t>
            </w:r>
            <w:r w:rsidRPr="00385A59">
              <w:rPr>
                <w:szCs w:val="20"/>
              </w:rPr>
              <w:t xml:space="preserve"> se </w:t>
            </w:r>
            <w:r>
              <w:rPr>
                <w:szCs w:val="20"/>
              </w:rPr>
              <w:t>namreč pomembno</w:t>
            </w:r>
            <w:r w:rsidRPr="00385A59">
              <w:rPr>
                <w:szCs w:val="20"/>
              </w:rPr>
              <w:t xml:space="preserve"> razlikuje od revizije poslovnih </w:t>
            </w:r>
            <w:r>
              <w:rPr>
                <w:szCs w:val="20"/>
              </w:rPr>
              <w:t>ali</w:t>
            </w:r>
            <w:r w:rsidRPr="00385A59">
              <w:rPr>
                <w:szCs w:val="20"/>
              </w:rPr>
              <w:t xml:space="preserve"> finančnih poročil (različna stroka, različna presoja, različna vsebina, različni uporabniki poročil)</w:t>
            </w:r>
            <w:r>
              <w:rPr>
                <w:szCs w:val="20"/>
              </w:rPr>
              <w:t>. R</w:t>
            </w:r>
            <w:r w:rsidRPr="00385A59">
              <w:rPr>
                <w:szCs w:val="20"/>
              </w:rPr>
              <w:t xml:space="preserve">evizorji nimajo znanj za dajanje zagotovil za poročanje o </w:t>
            </w:r>
            <w:r>
              <w:rPr>
                <w:szCs w:val="20"/>
              </w:rPr>
              <w:t>trajnostnosti</w:t>
            </w:r>
            <w:r w:rsidRPr="00385A59">
              <w:rPr>
                <w:szCs w:val="20"/>
              </w:rPr>
              <w:t xml:space="preserve">, nekatere druge organizacije </w:t>
            </w:r>
            <w:r>
              <w:rPr>
                <w:szCs w:val="20"/>
              </w:rPr>
              <w:t xml:space="preserve">pa se </w:t>
            </w:r>
            <w:r w:rsidRPr="00385A59">
              <w:rPr>
                <w:szCs w:val="20"/>
              </w:rPr>
              <w:t xml:space="preserve">že dlje čase ukvarjajo s presojo vidikov </w:t>
            </w:r>
            <w:r>
              <w:rPr>
                <w:szCs w:val="20"/>
              </w:rPr>
              <w:t xml:space="preserve">trajnostnosti. </w:t>
            </w:r>
          </w:p>
          <w:p w14:paraId="696B58C1" w14:textId="77777777" w:rsidR="00526E23" w:rsidRDefault="00526E23" w:rsidP="00526E23">
            <w:pPr>
              <w:ind w:left="322"/>
              <w:jc w:val="both"/>
              <w:rPr>
                <w:b/>
                <w:szCs w:val="20"/>
              </w:rPr>
            </w:pPr>
          </w:p>
          <w:p w14:paraId="5638D33B" w14:textId="77777777" w:rsidR="00526E23" w:rsidRDefault="00526E23" w:rsidP="00526E23">
            <w:pPr>
              <w:ind w:left="322"/>
              <w:jc w:val="both"/>
              <w:rPr>
                <w:rFonts w:cs="Arial"/>
                <w:szCs w:val="20"/>
              </w:rPr>
            </w:pPr>
            <w:r w:rsidRPr="0010046F">
              <w:rPr>
                <w:b/>
                <w:bCs/>
                <w:szCs w:val="20"/>
              </w:rPr>
              <w:t>G</w:t>
            </w:r>
            <w:r>
              <w:rPr>
                <w:b/>
                <w:bCs/>
                <w:szCs w:val="20"/>
              </w:rPr>
              <w:t xml:space="preserve">ospodarska zbornica </w:t>
            </w:r>
            <w:r w:rsidRPr="0010046F">
              <w:rPr>
                <w:b/>
                <w:bCs/>
                <w:szCs w:val="20"/>
              </w:rPr>
              <w:t>S</w:t>
            </w:r>
            <w:r>
              <w:rPr>
                <w:b/>
                <w:bCs/>
                <w:szCs w:val="20"/>
              </w:rPr>
              <w:t>lovenije</w:t>
            </w:r>
            <w:r>
              <w:rPr>
                <w:szCs w:val="20"/>
              </w:rPr>
              <w:t xml:space="preserve"> predlaga, da se </w:t>
            </w:r>
            <w:r w:rsidRPr="00D76FB3">
              <w:rPr>
                <w:szCs w:val="20"/>
              </w:rPr>
              <w:t xml:space="preserve">poleg pooblaščenih revizorjev v pregledovanje poročila o </w:t>
            </w:r>
            <w:r>
              <w:rPr>
                <w:szCs w:val="20"/>
              </w:rPr>
              <w:t>trajnostnosti vključi</w:t>
            </w:r>
            <w:r w:rsidRPr="00D76FB3">
              <w:rPr>
                <w:szCs w:val="20"/>
              </w:rPr>
              <w:t xml:space="preserve"> tudi neodvisni ponudnik storitev dajanja zagotovil</w:t>
            </w:r>
            <w:r w:rsidRPr="00987365">
              <w:rPr>
                <w:szCs w:val="20"/>
              </w:rPr>
              <w:t xml:space="preserve">, saj </w:t>
            </w:r>
            <w:r w:rsidRPr="00987365">
              <w:rPr>
                <w:rFonts w:cs="Arial"/>
                <w:szCs w:val="20"/>
              </w:rPr>
              <w:t xml:space="preserve">slovenski revizorski trg z vidika potrebnih kompetenc in </w:t>
            </w:r>
            <w:r>
              <w:rPr>
                <w:rFonts w:cs="Arial"/>
                <w:szCs w:val="20"/>
              </w:rPr>
              <w:t>virov</w:t>
            </w:r>
            <w:r w:rsidRPr="00987365">
              <w:rPr>
                <w:rFonts w:cs="Arial"/>
                <w:szCs w:val="20"/>
              </w:rPr>
              <w:t xml:space="preserve"> srednjeročno ne bo zmožen zagotoviti ustrezne konkurence na področju dajanja mnenj o poročilih o </w:t>
            </w:r>
            <w:r>
              <w:rPr>
                <w:rFonts w:cs="Arial"/>
                <w:szCs w:val="20"/>
              </w:rPr>
              <w:t>trajnostnosti.</w:t>
            </w:r>
          </w:p>
          <w:p w14:paraId="5D0C6695" w14:textId="77777777" w:rsidR="00526E23" w:rsidRDefault="00526E23" w:rsidP="00526E23">
            <w:pPr>
              <w:ind w:left="322"/>
              <w:jc w:val="both"/>
              <w:rPr>
                <w:szCs w:val="20"/>
              </w:rPr>
            </w:pPr>
          </w:p>
          <w:p w14:paraId="3FC84E67" w14:textId="77777777" w:rsidR="00526E23" w:rsidRPr="00987365" w:rsidRDefault="00526E23" w:rsidP="00526E23">
            <w:pPr>
              <w:ind w:left="322"/>
              <w:jc w:val="both"/>
              <w:rPr>
                <w:szCs w:val="20"/>
              </w:rPr>
            </w:pPr>
            <w:r w:rsidRPr="0010046F">
              <w:rPr>
                <w:b/>
                <w:bCs/>
                <w:szCs w:val="20"/>
              </w:rPr>
              <w:t>B</w:t>
            </w:r>
            <w:r>
              <w:rPr>
                <w:b/>
                <w:bCs/>
                <w:szCs w:val="20"/>
              </w:rPr>
              <w:t xml:space="preserve">anka </w:t>
            </w:r>
            <w:r w:rsidRPr="0010046F">
              <w:rPr>
                <w:b/>
                <w:bCs/>
                <w:szCs w:val="20"/>
              </w:rPr>
              <w:t>S</w:t>
            </w:r>
            <w:r>
              <w:rPr>
                <w:b/>
                <w:bCs/>
                <w:szCs w:val="20"/>
              </w:rPr>
              <w:t>lovenije</w:t>
            </w:r>
            <w:r w:rsidRPr="0010046F">
              <w:rPr>
                <w:b/>
                <w:bCs/>
                <w:szCs w:val="20"/>
              </w:rPr>
              <w:t xml:space="preserve"> </w:t>
            </w:r>
            <w:r>
              <w:rPr>
                <w:szCs w:val="20"/>
              </w:rPr>
              <w:t xml:space="preserve">sprašuje, </w:t>
            </w:r>
            <w:r w:rsidRPr="007C7BF5">
              <w:rPr>
                <w:szCs w:val="20"/>
              </w:rPr>
              <w:t>ali je odločitev</w:t>
            </w:r>
            <w:r>
              <w:rPr>
                <w:szCs w:val="20"/>
              </w:rPr>
              <w:t xml:space="preserve"> glede neuvedbe </w:t>
            </w:r>
            <w:r w:rsidRPr="007C7BF5">
              <w:rPr>
                <w:szCs w:val="20"/>
              </w:rPr>
              <w:t>neodvisni</w:t>
            </w:r>
            <w:r>
              <w:rPr>
                <w:szCs w:val="20"/>
              </w:rPr>
              <w:t>h</w:t>
            </w:r>
            <w:r w:rsidRPr="007C7BF5">
              <w:rPr>
                <w:szCs w:val="20"/>
              </w:rPr>
              <w:t xml:space="preserve"> ponudnik</w:t>
            </w:r>
            <w:r>
              <w:rPr>
                <w:szCs w:val="20"/>
              </w:rPr>
              <w:t>ov</w:t>
            </w:r>
            <w:r w:rsidRPr="007C7BF5">
              <w:rPr>
                <w:szCs w:val="20"/>
              </w:rPr>
              <w:t xml:space="preserve"> storitev dajanja</w:t>
            </w:r>
            <w:r>
              <w:rPr>
                <w:szCs w:val="20"/>
              </w:rPr>
              <w:t xml:space="preserve"> </w:t>
            </w:r>
            <w:r w:rsidRPr="007C7BF5">
              <w:rPr>
                <w:szCs w:val="20"/>
              </w:rPr>
              <w:t xml:space="preserve">za čezmejno delujoče družbe ustrezna. </w:t>
            </w:r>
            <w:r>
              <w:rPr>
                <w:szCs w:val="20"/>
              </w:rPr>
              <w:t>P</w:t>
            </w:r>
            <w:r w:rsidRPr="007C7BF5">
              <w:rPr>
                <w:szCs w:val="20"/>
              </w:rPr>
              <w:t>odružnice ali podrejene</w:t>
            </w:r>
            <w:r>
              <w:rPr>
                <w:szCs w:val="20"/>
              </w:rPr>
              <w:t xml:space="preserve"> </w:t>
            </w:r>
            <w:r w:rsidRPr="007C7BF5">
              <w:rPr>
                <w:szCs w:val="20"/>
              </w:rPr>
              <w:t xml:space="preserve">banke </w:t>
            </w:r>
            <w:r>
              <w:rPr>
                <w:szCs w:val="20"/>
              </w:rPr>
              <w:t>bi namreč</w:t>
            </w:r>
            <w:r w:rsidRPr="007C7BF5">
              <w:rPr>
                <w:szCs w:val="20"/>
              </w:rPr>
              <w:t xml:space="preserve"> lahko samo razkrile poročilo svoje nadrejene družbe,</w:t>
            </w:r>
            <w:r>
              <w:rPr>
                <w:szCs w:val="20"/>
              </w:rPr>
              <w:t xml:space="preserve"> </w:t>
            </w:r>
            <w:r w:rsidRPr="007C7BF5">
              <w:rPr>
                <w:szCs w:val="20"/>
              </w:rPr>
              <w:t>ki bo povsem skladno z računovodsko direktivo (tj. pregleda</w:t>
            </w:r>
            <w:r>
              <w:rPr>
                <w:szCs w:val="20"/>
              </w:rPr>
              <w:t xml:space="preserve"> ga</w:t>
            </w:r>
            <w:r w:rsidRPr="007C7BF5">
              <w:rPr>
                <w:szCs w:val="20"/>
              </w:rPr>
              <w:t xml:space="preserve"> neodvisn</w:t>
            </w:r>
            <w:r>
              <w:rPr>
                <w:szCs w:val="20"/>
              </w:rPr>
              <w:t>i</w:t>
            </w:r>
            <w:r w:rsidRPr="007C7BF5">
              <w:rPr>
                <w:szCs w:val="20"/>
              </w:rPr>
              <w:t xml:space="preserve"> ponudnik storitev dajanja zagotovil).</w:t>
            </w:r>
          </w:p>
          <w:p w14:paraId="02748AF5" w14:textId="77777777" w:rsidR="002673FE" w:rsidRPr="00385A59" w:rsidRDefault="002673FE" w:rsidP="006217CE">
            <w:pPr>
              <w:jc w:val="both"/>
              <w:rPr>
                <w:szCs w:val="20"/>
              </w:rPr>
            </w:pPr>
          </w:p>
          <w:p w14:paraId="4DF8A828" w14:textId="6CCB817F" w:rsidR="000D4BE5" w:rsidRPr="00D063BD" w:rsidRDefault="002673FE" w:rsidP="4DB7FD0D">
            <w:pPr>
              <w:ind w:left="322"/>
              <w:jc w:val="both"/>
              <w:rPr>
                <w:b/>
              </w:rPr>
            </w:pPr>
            <w:r w:rsidRPr="4DB7FD0D">
              <w:rPr>
                <w:b/>
              </w:rPr>
              <w:t xml:space="preserve">Ministrstvo za gospodarstvo, turizem in šport </w:t>
            </w:r>
            <w:r>
              <w:t>pojasnjuje, da Direktiva 2022/2464/EU dopušča zgolj možnost, da poročilo o trajnostnosti pregleda bodisi revizijska družba bodisi neodvisni ponudnik storitev dajanja zagotovil. Kot je pojasnjeno v obrazložitvi k temu zakonu</w:t>
            </w:r>
            <w:r w:rsidR="00526E23">
              <w:t>,</w:t>
            </w:r>
            <w:r>
              <w:t xml:space="preserve"> trenutno z zakonodajnimi ukrepi ni mogoče izenačiti položaja neodvisnega ponudnika storitev dajanja zagotovil z zakonitimi revizorji, kar je pogoj za uvedbo neodvisnih ponudnikov storitev dajanja zagotovil. Položaj bi namreč moral biti izenačen tako na regulatorni kot na nadzorni ravni, da bi se zagotovil primerljiv in ustrezen pregled poročil o trajnostnosti. Ostaja možnost, da se </w:t>
            </w:r>
            <w:r w:rsidR="00526E23">
              <w:t>pozneje</w:t>
            </w:r>
            <w:r>
              <w:t xml:space="preserve"> uvedejo tudi neodvisni ponudniki storitev dajanja zagotovil, če bodo primernejše okoliščine (dovolj časa za vzpostavitev ustreznega sistema, </w:t>
            </w:r>
            <w:r w:rsidR="00526E23">
              <w:t>pri čemer</w:t>
            </w:r>
            <w:r>
              <w:t xml:space="preserve"> bodo pogoji za neodvisnega ponudnika storitev dajanja zagotovil primerljivi pogojem za revizorje, izkušnje takšnega sistema v drugih državah). Glede komentarja </w:t>
            </w:r>
            <w:r w:rsidR="00526E23">
              <w:t>Banke Slovenije</w:t>
            </w:r>
            <w:r>
              <w:t xml:space="preserve"> pa se dodaja pojasnilo, da bodo čezmejno delujoče družbe v tujini lahko uporabile storitve neodvisnega ponudnika storitev dajanja zagotovil, če bodo izpolnjeni pogoj za izvzem iz osmega odstavka 70.c člena ZGD-1.</w:t>
            </w:r>
          </w:p>
        </w:tc>
      </w:tr>
      <w:tr w:rsidR="000D4BE5" w:rsidRPr="00D063BD" w14:paraId="61227AB0" w14:textId="77777777" w:rsidTr="4885E88D">
        <w:trPr>
          <w:trHeight w:val="300"/>
        </w:trPr>
        <w:tc>
          <w:tcPr>
            <w:tcW w:w="6776" w:type="dxa"/>
            <w:gridSpan w:val="9"/>
            <w:vAlign w:val="center"/>
          </w:tcPr>
          <w:p w14:paraId="5FCBFF41" w14:textId="77777777" w:rsidR="000D4BE5" w:rsidRPr="00D063BD" w:rsidRDefault="000D4BE5" w:rsidP="00764194">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24" w:type="dxa"/>
            <w:gridSpan w:val="3"/>
            <w:vAlign w:val="center"/>
          </w:tcPr>
          <w:p w14:paraId="300C40E6" w14:textId="77777777" w:rsidR="000D4BE5" w:rsidRPr="00927F5D" w:rsidRDefault="000D4BE5" w:rsidP="00764194">
            <w:pPr>
              <w:pStyle w:val="Neotevilenodstavek"/>
              <w:widowControl w:val="0"/>
              <w:spacing w:before="0" w:after="0" w:line="260" w:lineRule="exact"/>
              <w:jc w:val="center"/>
              <w:rPr>
                <w:bCs/>
                <w:iCs/>
                <w:sz w:val="20"/>
                <w:szCs w:val="20"/>
              </w:rPr>
            </w:pPr>
            <w:r w:rsidRPr="00274BD3">
              <w:rPr>
                <w:b/>
                <w:sz w:val="20"/>
                <w:szCs w:val="20"/>
              </w:rPr>
              <w:t>DA</w:t>
            </w:r>
            <w:r w:rsidRPr="00927F5D">
              <w:rPr>
                <w:bCs/>
                <w:sz w:val="20"/>
                <w:szCs w:val="20"/>
              </w:rPr>
              <w:t>/NE</w:t>
            </w:r>
          </w:p>
        </w:tc>
      </w:tr>
      <w:tr w:rsidR="000D4BE5" w:rsidRPr="00D063BD" w14:paraId="685D0D23" w14:textId="77777777" w:rsidTr="4885E88D">
        <w:trPr>
          <w:trHeight w:val="300"/>
        </w:trPr>
        <w:tc>
          <w:tcPr>
            <w:tcW w:w="6776" w:type="dxa"/>
            <w:gridSpan w:val="9"/>
            <w:vAlign w:val="center"/>
          </w:tcPr>
          <w:p w14:paraId="02C9A88E" w14:textId="77777777" w:rsidR="000D4BE5" w:rsidRPr="00D063BD" w:rsidRDefault="000D4BE5" w:rsidP="0076419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24" w:type="dxa"/>
            <w:gridSpan w:val="3"/>
            <w:vAlign w:val="center"/>
          </w:tcPr>
          <w:p w14:paraId="0D53F14F" w14:textId="77777777" w:rsidR="000D4BE5" w:rsidRPr="00927F5D" w:rsidRDefault="000D4BE5" w:rsidP="00764194">
            <w:pPr>
              <w:pStyle w:val="Neotevilenodstavek"/>
              <w:widowControl w:val="0"/>
              <w:spacing w:before="0" w:after="0" w:line="260" w:lineRule="exact"/>
              <w:jc w:val="center"/>
              <w:rPr>
                <w:sz w:val="20"/>
                <w:szCs w:val="20"/>
              </w:rPr>
            </w:pPr>
            <w:r w:rsidRPr="00927F5D">
              <w:rPr>
                <w:sz w:val="20"/>
                <w:szCs w:val="20"/>
              </w:rPr>
              <w:t>DA/</w:t>
            </w:r>
            <w:r w:rsidRPr="00274BD3">
              <w:rPr>
                <w:b/>
                <w:bCs/>
                <w:sz w:val="20"/>
                <w:szCs w:val="20"/>
              </w:rPr>
              <w:t>NE</w:t>
            </w:r>
          </w:p>
        </w:tc>
      </w:tr>
      <w:tr w:rsidR="000D4BE5" w:rsidRPr="00D063BD" w14:paraId="77AB41E9" w14:textId="77777777" w:rsidTr="4885E88D">
        <w:trPr>
          <w:trHeight w:val="300"/>
        </w:trPr>
        <w:tc>
          <w:tcPr>
            <w:tcW w:w="920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D358" w14:textId="77777777" w:rsidR="000D4BE5" w:rsidRDefault="000D4BE5" w:rsidP="00764194">
            <w:pPr>
              <w:pStyle w:val="Poglavje"/>
              <w:widowControl w:val="0"/>
              <w:spacing w:before="0" w:after="0" w:line="260" w:lineRule="exact"/>
              <w:ind w:left="3400"/>
              <w:jc w:val="left"/>
              <w:rPr>
                <w:sz w:val="20"/>
                <w:szCs w:val="20"/>
              </w:rPr>
            </w:pPr>
          </w:p>
          <w:p w14:paraId="7731A724" w14:textId="77777777" w:rsidR="000D4BE5" w:rsidRPr="00D063BD" w:rsidRDefault="000D4BE5" w:rsidP="00764194">
            <w:pPr>
              <w:pStyle w:val="Poglavje"/>
              <w:widowControl w:val="0"/>
              <w:spacing w:before="0" w:after="0" w:line="260" w:lineRule="exact"/>
              <w:ind w:left="3400"/>
              <w:jc w:val="left"/>
              <w:rPr>
                <w:sz w:val="20"/>
                <w:szCs w:val="20"/>
              </w:rPr>
            </w:pPr>
          </w:p>
          <w:p w14:paraId="46E5F78E" w14:textId="77777777" w:rsidR="000D4BE5" w:rsidRDefault="000D4BE5" w:rsidP="00764194">
            <w:pPr>
              <w:pStyle w:val="Poglavje"/>
              <w:widowControl w:val="0"/>
              <w:spacing w:before="0" w:after="0" w:line="260" w:lineRule="exact"/>
              <w:ind w:left="5760"/>
              <w:jc w:val="left"/>
              <w:rPr>
                <w:b w:val="0"/>
                <w:sz w:val="20"/>
                <w:szCs w:val="20"/>
              </w:rPr>
            </w:pPr>
          </w:p>
          <w:p w14:paraId="7F56D694" w14:textId="77777777" w:rsidR="000D4BE5" w:rsidRPr="00256403" w:rsidRDefault="000D4BE5" w:rsidP="00764194">
            <w:pPr>
              <w:pStyle w:val="Poglavje"/>
              <w:widowControl w:val="0"/>
              <w:spacing w:before="0" w:after="0" w:line="260" w:lineRule="exact"/>
              <w:ind w:left="6480"/>
              <w:jc w:val="left"/>
              <w:rPr>
                <w:sz w:val="20"/>
                <w:szCs w:val="20"/>
              </w:rPr>
            </w:pPr>
            <w:r w:rsidRPr="00256403">
              <w:rPr>
                <w:sz w:val="20"/>
                <w:szCs w:val="20"/>
              </w:rPr>
              <w:t>Matjaž Han</w:t>
            </w:r>
          </w:p>
          <w:p w14:paraId="4172DD5B" w14:textId="77777777" w:rsidR="000D4BE5" w:rsidRPr="00256403" w:rsidRDefault="000D4BE5" w:rsidP="00764194">
            <w:pPr>
              <w:pStyle w:val="Poglavje"/>
              <w:widowControl w:val="0"/>
              <w:spacing w:before="0" w:after="0" w:line="260" w:lineRule="exact"/>
              <w:ind w:left="6480"/>
              <w:jc w:val="left"/>
              <w:rPr>
                <w:sz w:val="20"/>
                <w:szCs w:val="20"/>
              </w:rPr>
            </w:pPr>
            <w:r>
              <w:rPr>
                <w:sz w:val="20"/>
                <w:szCs w:val="20"/>
              </w:rPr>
              <w:t xml:space="preserve"> </w:t>
            </w:r>
            <w:r w:rsidRPr="00256403">
              <w:rPr>
                <w:sz w:val="20"/>
                <w:szCs w:val="20"/>
              </w:rPr>
              <w:t>MINISTER</w:t>
            </w:r>
          </w:p>
          <w:p w14:paraId="6EA2D3FB" w14:textId="77777777" w:rsidR="000D4BE5" w:rsidRPr="00D063BD" w:rsidRDefault="000D4BE5" w:rsidP="00764194">
            <w:pPr>
              <w:pStyle w:val="Poglavje"/>
              <w:widowControl w:val="0"/>
              <w:spacing w:before="0" w:after="0" w:line="260" w:lineRule="exact"/>
              <w:ind w:left="3400"/>
              <w:jc w:val="left"/>
              <w:rPr>
                <w:sz w:val="20"/>
                <w:szCs w:val="20"/>
              </w:rPr>
            </w:pPr>
          </w:p>
        </w:tc>
      </w:tr>
    </w:tbl>
    <w:p w14:paraId="000C800F" w14:textId="77777777" w:rsidR="00C642E8" w:rsidRDefault="00C642E8" w:rsidP="4885E88D">
      <w:pPr>
        <w:rPr>
          <w:rFonts w:eastAsia="Arial" w:cs="Arial"/>
          <w:szCs w:val="20"/>
        </w:rPr>
        <w:sectPr w:rsidR="00C642E8" w:rsidSect="00C642E8">
          <w:headerReference w:type="default" r:id="rId16"/>
          <w:footerReference w:type="default" r:id="rId17"/>
          <w:headerReference w:type="first" r:id="rId18"/>
          <w:footerReference w:type="first" r:id="rId19"/>
          <w:pgSz w:w="11906" w:h="16838"/>
          <w:pgMar w:top="719" w:right="1417" w:bottom="1417" w:left="1417" w:header="708" w:footer="708" w:gutter="0"/>
          <w:cols w:space="708"/>
          <w:titlePg/>
          <w:docGrid w:linePitch="360"/>
        </w:sectPr>
      </w:pPr>
    </w:p>
    <w:p w14:paraId="1FB5D4EC" w14:textId="77777777" w:rsidR="00C642E8" w:rsidRPr="008D1759" w:rsidRDefault="00C642E8" w:rsidP="00C642E8">
      <w:pPr>
        <w:pStyle w:val="Naslovpredpisa"/>
        <w:spacing w:before="0" w:after="0" w:line="260" w:lineRule="exact"/>
        <w:jc w:val="both"/>
        <w:rPr>
          <w:sz w:val="20"/>
          <w:szCs w:val="20"/>
        </w:rPr>
      </w:pPr>
      <w:r w:rsidRPr="008D1759">
        <w:rPr>
          <w:sz w:val="20"/>
          <w:szCs w:val="20"/>
        </w:rPr>
        <w:lastRenderedPageBreak/>
        <w:t>PRILOGA 3</w:t>
      </w:r>
      <w:r>
        <w:rPr>
          <w:sz w:val="20"/>
          <w:szCs w:val="20"/>
        </w:rPr>
        <w:t>:</w:t>
      </w:r>
    </w:p>
    <w:p w14:paraId="1DB616B6" w14:textId="77777777" w:rsidR="00D731F3" w:rsidRPr="00870A9A" w:rsidRDefault="00D731F3" w:rsidP="00D731F3">
      <w:pPr>
        <w:pStyle w:val="Naslovpredpisa"/>
        <w:spacing w:before="0" w:after="0" w:line="260" w:lineRule="exact"/>
        <w:jc w:val="left"/>
        <w:rPr>
          <w:color w:val="000000" w:themeColor="text1"/>
          <w:sz w:val="20"/>
          <w:szCs w:val="20"/>
        </w:rPr>
      </w:pPr>
    </w:p>
    <w:p w14:paraId="6D9207B3" w14:textId="77777777" w:rsidR="00D731F3" w:rsidRPr="00870A9A" w:rsidRDefault="00D731F3" w:rsidP="00D731F3">
      <w:pPr>
        <w:pStyle w:val="Naslovpredpisa"/>
        <w:spacing w:before="0" w:after="0" w:line="260" w:lineRule="exact"/>
        <w:jc w:val="left"/>
        <w:rPr>
          <w:color w:val="000000" w:themeColor="text1"/>
          <w:sz w:val="20"/>
          <w:szCs w:val="20"/>
        </w:rPr>
      </w:pPr>
    </w:p>
    <w:p w14:paraId="163E5817" w14:textId="77777777" w:rsidR="00610947" w:rsidRPr="00605612" w:rsidRDefault="00610947" w:rsidP="00610947">
      <w:pPr>
        <w:pStyle w:val="Naslovpredpisa"/>
        <w:spacing w:before="0" w:after="0" w:line="260" w:lineRule="exact"/>
        <w:jc w:val="right"/>
        <w:rPr>
          <w:color w:val="000000" w:themeColor="text1"/>
          <w:sz w:val="20"/>
          <w:szCs w:val="20"/>
        </w:rPr>
      </w:pPr>
      <w:r w:rsidRPr="00605612">
        <w:rPr>
          <w:color w:val="000000" w:themeColor="text1"/>
          <w:sz w:val="20"/>
          <w:szCs w:val="20"/>
        </w:rPr>
        <w:t>PREDLOG</w:t>
      </w:r>
    </w:p>
    <w:p w14:paraId="70C619C8" w14:textId="77777777" w:rsidR="00610947" w:rsidRPr="00605612" w:rsidRDefault="00610947" w:rsidP="00610947">
      <w:pPr>
        <w:pStyle w:val="Naslovpredpisa"/>
        <w:spacing w:before="0" w:after="0" w:line="260" w:lineRule="exact"/>
        <w:jc w:val="right"/>
        <w:rPr>
          <w:color w:val="000000" w:themeColor="text1"/>
          <w:sz w:val="20"/>
          <w:szCs w:val="20"/>
        </w:rPr>
      </w:pPr>
      <w:r w:rsidRPr="00605612">
        <w:rPr>
          <w:color w:val="000000" w:themeColor="text1"/>
          <w:sz w:val="20"/>
          <w:szCs w:val="20"/>
        </w:rPr>
        <w:t xml:space="preserve">(EVA </w:t>
      </w:r>
      <w:r w:rsidRPr="0001294D">
        <w:rPr>
          <w:color w:val="000000" w:themeColor="text1"/>
          <w:sz w:val="20"/>
          <w:szCs w:val="20"/>
        </w:rPr>
        <w:t>2023-2180-0042</w:t>
      </w:r>
      <w:r w:rsidRPr="00605612">
        <w:rPr>
          <w:color w:val="000000" w:themeColor="text1"/>
          <w:sz w:val="20"/>
          <w:szCs w:val="20"/>
        </w:rPr>
        <w:t>)</w:t>
      </w:r>
    </w:p>
    <w:tbl>
      <w:tblPr>
        <w:tblW w:w="0" w:type="auto"/>
        <w:tblLook w:val="04A0" w:firstRow="1" w:lastRow="0" w:firstColumn="1" w:lastColumn="0" w:noHBand="0" w:noVBand="1"/>
      </w:tblPr>
      <w:tblGrid>
        <w:gridCol w:w="9072"/>
      </w:tblGrid>
      <w:tr w:rsidR="000C08CA" w:rsidRPr="00605612" w14:paraId="47284C24" w14:textId="77777777" w:rsidTr="4DB7FD0D">
        <w:tc>
          <w:tcPr>
            <w:tcW w:w="9072" w:type="dxa"/>
          </w:tcPr>
          <w:p w14:paraId="7AD80D08" w14:textId="77777777" w:rsidR="000C08CA" w:rsidRPr="00605612" w:rsidRDefault="000C08CA" w:rsidP="00FE328D">
            <w:pPr>
              <w:jc w:val="center"/>
              <w:rPr>
                <w:rFonts w:cs="Arial"/>
                <w:b/>
                <w:color w:val="000000" w:themeColor="text1"/>
                <w:szCs w:val="20"/>
              </w:rPr>
            </w:pPr>
            <w:r w:rsidRPr="00605612">
              <w:rPr>
                <w:rFonts w:cs="Arial"/>
                <w:b/>
                <w:color w:val="000000" w:themeColor="text1"/>
                <w:szCs w:val="20"/>
              </w:rPr>
              <w:t xml:space="preserve">ZAKON </w:t>
            </w:r>
          </w:p>
          <w:p w14:paraId="4D78E404" w14:textId="77777777" w:rsidR="000C08CA" w:rsidRPr="00605612" w:rsidRDefault="000C08CA" w:rsidP="00FE328D">
            <w:pPr>
              <w:jc w:val="center"/>
              <w:rPr>
                <w:rFonts w:cs="Arial"/>
                <w:b/>
                <w:color w:val="000000" w:themeColor="text1"/>
                <w:szCs w:val="20"/>
              </w:rPr>
            </w:pPr>
            <w:r w:rsidRPr="00605612">
              <w:rPr>
                <w:rFonts w:cs="Arial"/>
                <w:b/>
                <w:color w:val="000000" w:themeColor="text1"/>
                <w:szCs w:val="20"/>
              </w:rPr>
              <w:t xml:space="preserve">O SPREMEMBAH IN DOPOLNITVAH </w:t>
            </w:r>
          </w:p>
          <w:p w14:paraId="31D04DE3" w14:textId="77777777" w:rsidR="000C08CA" w:rsidRPr="00605612" w:rsidRDefault="000C08CA" w:rsidP="00FE328D">
            <w:pPr>
              <w:jc w:val="center"/>
              <w:rPr>
                <w:rFonts w:cs="Arial"/>
                <w:b/>
                <w:color w:val="000000" w:themeColor="text1"/>
                <w:szCs w:val="20"/>
              </w:rPr>
            </w:pPr>
            <w:r w:rsidRPr="00605612">
              <w:rPr>
                <w:rFonts w:cs="Arial"/>
                <w:b/>
                <w:color w:val="000000" w:themeColor="text1"/>
                <w:szCs w:val="20"/>
              </w:rPr>
              <w:t>ZAKONA O GOSPODARSKIH DRUŽBAH</w:t>
            </w:r>
          </w:p>
          <w:p w14:paraId="1F48CE8A" w14:textId="77777777" w:rsidR="000C08CA" w:rsidRPr="00605612" w:rsidRDefault="000C08CA" w:rsidP="00FE328D">
            <w:pPr>
              <w:pStyle w:val="Naslovpredpisa"/>
              <w:spacing w:before="0" w:after="0" w:line="260" w:lineRule="exact"/>
              <w:rPr>
                <w:color w:val="000000" w:themeColor="text1"/>
                <w:sz w:val="20"/>
                <w:szCs w:val="20"/>
              </w:rPr>
            </w:pPr>
          </w:p>
        </w:tc>
      </w:tr>
      <w:tr w:rsidR="000C08CA" w:rsidRPr="00605612" w14:paraId="7637B866" w14:textId="77777777" w:rsidTr="4DB7FD0D">
        <w:tc>
          <w:tcPr>
            <w:tcW w:w="9072" w:type="dxa"/>
          </w:tcPr>
          <w:p w14:paraId="6FFDC9E8" w14:textId="77777777" w:rsidR="000C08CA" w:rsidRPr="00605612" w:rsidRDefault="000C08CA" w:rsidP="00FE328D">
            <w:pPr>
              <w:pStyle w:val="Poglavje"/>
              <w:spacing w:before="0" w:after="0" w:line="260" w:lineRule="exact"/>
              <w:jc w:val="left"/>
              <w:rPr>
                <w:color w:val="000000" w:themeColor="text1"/>
                <w:sz w:val="20"/>
                <w:szCs w:val="20"/>
              </w:rPr>
            </w:pPr>
            <w:r w:rsidRPr="00605612">
              <w:rPr>
                <w:color w:val="000000" w:themeColor="text1"/>
                <w:sz w:val="20"/>
                <w:szCs w:val="20"/>
              </w:rPr>
              <w:t>I. UVOD</w:t>
            </w:r>
          </w:p>
        </w:tc>
      </w:tr>
      <w:tr w:rsidR="000C08CA" w:rsidRPr="00605612" w14:paraId="0FBFE8E0" w14:textId="77777777" w:rsidTr="4DB7FD0D">
        <w:tc>
          <w:tcPr>
            <w:tcW w:w="9072" w:type="dxa"/>
          </w:tcPr>
          <w:p w14:paraId="52AA0947" w14:textId="77777777" w:rsidR="000C08CA" w:rsidRPr="00605612" w:rsidRDefault="000C08CA" w:rsidP="00FE328D">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t>1. OCENA STANJA IN RAZLOGI ZA SPREJEM PREDLOGA ZAKONA</w:t>
            </w:r>
          </w:p>
          <w:p w14:paraId="6032DC1B" w14:textId="77777777" w:rsidR="000C08CA" w:rsidRPr="00605612" w:rsidRDefault="000C08CA" w:rsidP="00FE328D">
            <w:pPr>
              <w:pStyle w:val="Oddelek"/>
              <w:numPr>
                <w:ilvl w:val="0"/>
                <w:numId w:val="0"/>
              </w:numPr>
              <w:spacing w:before="0" w:after="0" w:line="260" w:lineRule="exact"/>
              <w:jc w:val="left"/>
              <w:rPr>
                <w:color w:val="000000" w:themeColor="text1"/>
                <w:sz w:val="20"/>
                <w:szCs w:val="20"/>
              </w:rPr>
            </w:pPr>
          </w:p>
          <w:p w14:paraId="1A32E68E"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sidRPr="00605612">
              <w:rPr>
                <w:rFonts w:cs="Arial"/>
                <w:color w:val="000000" w:themeColor="text1"/>
                <w:sz w:val="20"/>
                <w:szCs w:val="20"/>
              </w:rPr>
              <w:t>Zakon o gospodarskih družbah (Uradni list RS, št. 65/09 – uradno prečiščeno besedilo, 33/11, 91/11, 32/12, 57/12, 44/13 – odl. US, 82/13, 55/15, 15/17, 22/19 – ZPosS, 158/20 – ZIntPK-C, 18/21, 18/23 – ZDU-1O in 75/23; v nadaljnjem besedilu: ZGD-1) je temeljni sistemski zakon na področju prava družb</w:t>
            </w:r>
            <w:r>
              <w:rPr>
                <w:rFonts w:cs="Arial"/>
                <w:color w:val="000000" w:themeColor="text1"/>
                <w:sz w:val="20"/>
                <w:szCs w:val="20"/>
              </w:rPr>
              <w:t xml:space="preserve"> ter</w:t>
            </w:r>
            <w:r w:rsidRPr="00605612">
              <w:rPr>
                <w:rFonts w:cs="Arial"/>
                <w:color w:val="000000" w:themeColor="text1"/>
                <w:sz w:val="20"/>
                <w:szCs w:val="20"/>
              </w:rPr>
              <w:t xml:space="preserve"> med drugim določa statusna </w:t>
            </w:r>
            <w:r>
              <w:rPr>
                <w:rFonts w:cs="Arial"/>
                <w:color w:val="000000" w:themeColor="text1"/>
                <w:sz w:val="20"/>
                <w:szCs w:val="20"/>
              </w:rPr>
              <w:t xml:space="preserve">temeljna statusna </w:t>
            </w:r>
            <w:r w:rsidRPr="00605612">
              <w:rPr>
                <w:rFonts w:cs="Arial"/>
                <w:color w:val="000000" w:themeColor="text1"/>
                <w:sz w:val="20"/>
                <w:szCs w:val="20"/>
              </w:rPr>
              <w:t>korporacijska pravila ustanovitve in poslovanja gospodarskih družb</w:t>
            </w:r>
            <w:r>
              <w:rPr>
                <w:rFonts w:cs="Arial"/>
                <w:color w:val="000000" w:themeColor="text1"/>
                <w:sz w:val="20"/>
                <w:szCs w:val="20"/>
              </w:rPr>
              <w:t xml:space="preserve"> in </w:t>
            </w:r>
            <w:r w:rsidRPr="00907A97">
              <w:rPr>
                <w:rFonts w:cs="Arial"/>
                <w:color w:val="000000" w:themeColor="text1"/>
                <w:sz w:val="20"/>
                <w:szCs w:val="20"/>
              </w:rPr>
              <w:t>podružnic tujih podjetij</w:t>
            </w:r>
            <w:r w:rsidRPr="00605612">
              <w:rPr>
                <w:rFonts w:cs="Arial"/>
                <w:color w:val="000000" w:themeColor="text1"/>
                <w:sz w:val="20"/>
                <w:szCs w:val="20"/>
              </w:rPr>
              <w:t xml:space="preserve">. </w:t>
            </w:r>
            <w:r>
              <w:rPr>
                <w:rFonts w:cs="Arial"/>
                <w:color w:val="000000" w:themeColor="text1"/>
                <w:sz w:val="20"/>
                <w:szCs w:val="20"/>
              </w:rPr>
              <w:t>Družba o</w:t>
            </w:r>
            <w:r w:rsidRPr="00605612">
              <w:rPr>
                <w:rFonts w:cs="Arial"/>
                <w:color w:val="000000" w:themeColor="text1"/>
                <w:sz w:val="20"/>
                <w:szCs w:val="20"/>
              </w:rPr>
              <w:t xml:space="preserve"> poslovanju poroča </w:t>
            </w:r>
            <w:r>
              <w:rPr>
                <w:rFonts w:cs="Arial"/>
                <w:color w:val="000000" w:themeColor="text1"/>
                <w:sz w:val="20"/>
                <w:szCs w:val="20"/>
              </w:rPr>
              <w:t>z</w:t>
            </w:r>
            <w:r w:rsidRPr="00605612">
              <w:rPr>
                <w:rFonts w:cs="Arial"/>
                <w:color w:val="000000" w:themeColor="text1"/>
                <w:sz w:val="20"/>
                <w:szCs w:val="20"/>
              </w:rPr>
              <w:t xml:space="preserve"> razni</w:t>
            </w:r>
            <w:r>
              <w:rPr>
                <w:rFonts w:cs="Arial"/>
                <w:color w:val="000000" w:themeColor="text1"/>
                <w:sz w:val="20"/>
                <w:szCs w:val="20"/>
              </w:rPr>
              <w:t>mi</w:t>
            </w:r>
            <w:r w:rsidRPr="00605612">
              <w:rPr>
                <w:rFonts w:cs="Arial"/>
                <w:color w:val="000000" w:themeColor="text1"/>
                <w:sz w:val="20"/>
                <w:szCs w:val="20"/>
              </w:rPr>
              <w:t xml:space="preserve"> poročil</w:t>
            </w:r>
            <w:r>
              <w:rPr>
                <w:rFonts w:cs="Arial"/>
                <w:color w:val="000000" w:themeColor="text1"/>
                <w:sz w:val="20"/>
                <w:szCs w:val="20"/>
              </w:rPr>
              <w:t>i</w:t>
            </w:r>
            <w:r w:rsidRPr="00605612">
              <w:rPr>
                <w:rFonts w:cs="Arial"/>
                <w:color w:val="000000" w:themeColor="text1"/>
                <w:sz w:val="20"/>
                <w:szCs w:val="20"/>
              </w:rPr>
              <w:t xml:space="preserve">. </w:t>
            </w:r>
            <w:r>
              <w:rPr>
                <w:rFonts w:cs="Arial"/>
                <w:color w:val="000000" w:themeColor="text1"/>
                <w:sz w:val="20"/>
                <w:szCs w:val="20"/>
              </w:rPr>
              <w:t>P</w:t>
            </w:r>
            <w:r w:rsidRPr="00605612">
              <w:rPr>
                <w:rFonts w:cs="Arial"/>
                <w:color w:val="000000" w:themeColor="text1"/>
                <w:sz w:val="20"/>
                <w:szCs w:val="20"/>
              </w:rPr>
              <w:t xml:space="preserve">oslovanje tako lahko razkrije na več načinov, eden od načinov, ki je tudi zakonsko predpisan, pa je </w:t>
            </w:r>
            <w:r>
              <w:rPr>
                <w:rFonts w:cs="Arial"/>
                <w:color w:val="000000" w:themeColor="text1"/>
                <w:sz w:val="20"/>
                <w:szCs w:val="20"/>
              </w:rPr>
              <w:t>z</w:t>
            </w:r>
            <w:r w:rsidRPr="00605612">
              <w:rPr>
                <w:rFonts w:cs="Arial"/>
                <w:color w:val="000000" w:themeColor="text1"/>
                <w:sz w:val="20"/>
                <w:szCs w:val="20"/>
              </w:rPr>
              <w:t xml:space="preserve"> letn</w:t>
            </w:r>
            <w:r>
              <w:rPr>
                <w:rFonts w:cs="Arial"/>
                <w:color w:val="000000" w:themeColor="text1"/>
                <w:sz w:val="20"/>
                <w:szCs w:val="20"/>
              </w:rPr>
              <w:t>im</w:t>
            </w:r>
            <w:r w:rsidRPr="00605612">
              <w:rPr>
                <w:rFonts w:cs="Arial"/>
                <w:color w:val="000000" w:themeColor="text1"/>
                <w:sz w:val="20"/>
                <w:szCs w:val="20"/>
              </w:rPr>
              <w:t xml:space="preserve"> poročil</w:t>
            </w:r>
            <w:r>
              <w:rPr>
                <w:rFonts w:cs="Arial"/>
                <w:color w:val="000000" w:themeColor="text1"/>
                <w:sz w:val="20"/>
                <w:szCs w:val="20"/>
              </w:rPr>
              <w:t>om</w:t>
            </w:r>
            <w:r w:rsidRPr="00605612">
              <w:rPr>
                <w:rFonts w:cs="Arial"/>
                <w:color w:val="000000" w:themeColor="text1"/>
                <w:sz w:val="20"/>
                <w:szCs w:val="20"/>
              </w:rPr>
              <w:t>. Gospodarske družbe (in podjetniki) morajo enkrat letno sestaviti letno poročilo, katerega obseg in vsebina sta odvisna od njihove velikosti, pri čemer se umestitev v velikostni razred (mikro, majhne, srednje in velike družbe) določi na podlagi števila zaposlenih (povprečno število delavcev v poslovnem letu), čistih prihodkov od prodaje in vrednosti aktive, kot to določa 55. člen ZGD-1.</w:t>
            </w:r>
          </w:p>
          <w:p w14:paraId="2DC39AE5"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441A1DB4"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sidRPr="00605612">
              <w:rPr>
                <w:rFonts w:cs="Arial"/>
                <w:color w:val="000000" w:themeColor="text1"/>
                <w:sz w:val="20"/>
                <w:szCs w:val="20"/>
              </w:rPr>
              <w:t xml:space="preserve">V skladu z ZGD-1 je najbolj obširno letno poročilo družb, ki so zavezane k revidiranju. Letna poročila srednjih in velikih kapitalskih družb ter dvojnih družb morajo biti v skladu s 60. členom ZGD-1 sestavljena iz (najmanj) bilance stanja, izkaza poslovnega izida, izkaza denarnih tokov, izkaza gibanja kapitala, izkaza drugega vseobsegajočega donosa, priloge s pojasnili k izkazom in poslovnega poročila iz 70. člena ZGD-1. Letno poročilo mora biti sestavljeno jasno in pregledno, izkazovati pa mora resničen in pošten prikaz premoženja in obveznosti družbe, njenega finančnega položaja </w:t>
            </w:r>
            <w:r>
              <w:rPr>
                <w:rFonts w:cs="Arial"/>
                <w:color w:val="000000" w:themeColor="text1"/>
                <w:sz w:val="20"/>
                <w:szCs w:val="20"/>
              </w:rPr>
              <w:t>in</w:t>
            </w:r>
            <w:r w:rsidRPr="00605612">
              <w:rPr>
                <w:rFonts w:cs="Arial"/>
                <w:color w:val="000000" w:themeColor="text1"/>
                <w:sz w:val="20"/>
                <w:szCs w:val="20"/>
              </w:rPr>
              <w:t xml:space="preserve"> poslovnega izida, kot to določa prvi odstavek 61. člena ZGD-1. Za pravilnost letnega poročila so v skladu s svojimi pristojnostmi glede na posamezno obliko družbe odgovorni vsi člani organov vodenja in nadzora družbe, ki morajo skupno zagotavljati, da so letna poročila z vsemi sestavnimi deli, vključno z izjavo o upravljanju družbe in izjavo o nefinančnem poslovanju, sestavljena in objavljena v skladu z ZGD-1, slovenskimi računovodskimi standardi ali mednarodnimi standardi računovodskega poročanja (prvi odstavek 60.a člena ZGD-1).</w:t>
            </w:r>
          </w:p>
          <w:p w14:paraId="38F26C6A"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4735F92C"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sidRPr="00605612">
              <w:rPr>
                <w:rFonts w:cs="Arial"/>
                <w:color w:val="000000" w:themeColor="text1"/>
                <w:sz w:val="20"/>
                <w:szCs w:val="20"/>
              </w:rPr>
              <w:t>Z letnim poročilom družba prikaže</w:t>
            </w:r>
            <w:r>
              <w:rPr>
                <w:rFonts w:cs="Arial"/>
                <w:color w:val="000000" w:themeColor="text1"/>
                <w:sz w:val="20"/>
                <w:szCs w:val="20"/>
              </w:rPr>
              <w:t>,</w:t>
            </w:r>
            <w:r w:rsidRPr="00605612">
              <w:rPr>
                <w:rFonts w:cs="Arial"/>
                <w:color w:val="000000" w:themeColor="text1"/>
                <w:sz w:val="20"/>
                <w:szCs w:val="20"/>
              </w:rPr>
              <w:t xml:space="preserve"> kako je v preteklem poslovnem letu delovala in poslovala ter kako je bila pri tem uspešna. Pri tem lahko seveda razkrije tudi več informacij od zakonsko predpisanih. Gre predvsem za informacije, ki se nanašajo na poslovne dogodke</w:t>
            </w:r>
            <w:r>
              <w:rPr>
                <w:rFonts w:cs="Arial"/>
                <w:color w:val="000000" w:themeColor="text1"/>
                <w:sz w:val="20"/>
                <w:szCs w:val="20"/>
              </w:rPr>
              <w:t>, ki niso zajeti v</w:t>
            </w:r>
            <w:r w:rsidRPr="00605612">
              <w:rPr>
                <w:rFonts w:cs="Arial"/>
                <w:color w:val="000000" w:themeColor="text1"/>
                <w:sz w:val="20"/>
                <w:szCs w:val="20"/>
              </w:rPr>
              <w:t xml:space="preserve"> računovodskih izkaz</w:t>
            </w:r>
            <w:r>
              <w:rPr>
                <w:rFonts w:cs="Arial"/>
                <w:color w:val="000000" w:themeColor="text1"/>
                <w:sz w:val="20"/>
                <w:szCs w:val="20"/>
              </w:rPr>
              <w:t>ih</w:t>
            </w:r>
            <w:r w:rsidRPr="00605612">
              <w:rPr>
                <w:rFonts w:cs="Arial"/>
                <w:color w:val="000000" w:themeColor="text1"/>
                <w:sz w:val="20"/>
                <w:szCs w:val="20"/>
              </w:rPr>
              <w:t xml:space="preserve">. Razkritje takšnih informacij družbam prinaša koristi, kot so ugled, da družba ravna družbeno in socialno odgovorno, da skrbi za zaposlene, okolje in naravo ipd. S tem družbe </w:t>
            </w:r>
            <w:r>
              <w:rPr>
                <w:rFonts w:cs="Arial"/>
                <w:color w:val="000000" w:themeColor="text1"/>
                <w:sz w:val="20"/>
                <w:szCs w:val="20"/>
              </w:rPr>
              <w:t>krepijo</w:t>
            </w:r>
            <w:r w:rsidRPr="00605612">
              <w:rPr>
                <w:rFonts w:cs="Arial"/>
                <w:color w:val="000000" w:themeColor="text1"/>
                <w:sz w:val="20"/>
                <w:szCs w:val="20"/>
              </w:rPr>
              <w:t xml:space="preserve"> tudi </w:t>
            </w:r>
            <w:r>
              <w:rPr>
                <w:rFonts w:cs="Arial"/>
                <w:color w:val="000000" w:themeColor="text1"/>
                <w:sz w:val="20"/>
                <w:szCs w:val="20"/>
              </w:rPr>
              <w:t>svojo</w:t>
            </w:r>
            <w:r w:rsidRPr="00605612">
              <w:rPr>
                <w:rFonts w:cs="Arial"/>
                <w:color w:val="000000" w:themeColor="text1"/>
                <w:sz w:val="20"/>
                <w:szCs w:val="20"/>
              </w:rPr>
              <w:t xml:space="preserve"> prepoznavnost in konkurenčno prednost. Te informacije danes niso zanimive le za lastnike, ki jih zanima zlasti</w:t>
            </w:r>
            <w:r>
              <w:rPr>
                <w:rFonts w:cs="Arial"/>
                <w:color w:val="000000" w:themeColor="text1"/>
                <w:sz w:val="20"/>
                <w:szCs w:val="20"/>
              </w:rPr>
              <w:t>,</w:t>
            </w:r>
            <w:r w:rsidRPr="00605612">
              <w:rPr>
                <w:rFonts w:cs="Arial"/>
                <w:color w:val="000000" w:themeColor="text1"/>
                <w:sz w:val="20"/>
                <w:szCs w:val="20"/>
              </w:rPr>
              <w:t xml:space="preserve"> koliko dobička je družba dosegla v preteklem poslovnem letu, ali je dosegla zastavljene cilje, kakšni so načrti za prihodnja leta ter kako hitro napreduje, temveč tudi za druge zunanje uporabnike računovodskih informacij, kot so vlagatelji, dobavitelji, upniki, kupci, splošna javnost in država. Informacije o družbi so pomembne </w:t>
            </w:r>
            <w:r>
              <w:rPr>
                <w:rFonts w:cs="Arial"/>
                <w:color w:val="000000" w:themeColor="text1"/>
                <w:sz w:val="20"/>
                <w:szCs w:val="20"/>
              </w:rPr>
              <w:t xml:space="preserve">tudi </w:t>
            </w:r>
            <w:r w:rsidRPr="00605612">
              <w:rPr>
                <w:rFonts w:cs="Arial"/>
                <w:color w:val="000000" w:themeColor="text1"/>
                <w:sz w:val="20"/>
                <w:szCs w:val="20"/>
              </w:rPr>
              <w:t xml:space="preserve">za notranje uporabnike računovodskih informacij, med njimi so zelo pomembni zaposleni v družbi, </w:t>
            </w:r>
            <w:r>
              <w:rPr>
                <w:rFonts w:cs="Arial"/>
                <w:color w:val="000000" w:themeColor="text1"/>
                <w:sz w:val="20"/>
                <w:szCs w:val="20"/>
              </w:rPr>
              <w:t>tem</w:t>
            </w:r>
            <w:r w:rsidRPr="00605612">
              <w:rPr>
                <w:rFonts w:cs="Arial"/>
                <w:color w:val="000000" w:themeColor="text1"/>
                <w:sz w:val="20"/>
                <w:szCs w:val="20"/>
              </w:rPr>
              <w:t xml:space="preserve"> se z vpogledom v družbino dogajanje omogoča, da se z družbo, v kateri so zaposleni, tudi bolj povežejo, kar se </w:t>
            </w:r>
            <w:r>
              <w:rPr>
                <w:rFonts w:cs="Arial"/>
                <w:color w:val="000000" w:themeColor="text1"/>
                <w:sz w:val="20"/>
                <w:szCs w:val="20"/>
              </w:rPr>
              <w:t>kaže</w:t>
            </w:r>
            <w:r w:rsidRPr="00605612">
              <w:rPr>
                <w:rFonts w:cs="Arial"/>
                <w:color w:val="000000" w:themeColor="text1"/>
                <w:sz w:val="20"/>
                <w:szCs w:val="20"/>
              </w:rPr>
              <w:t xml:space="preserve"> v večjem zadovoljstvu na delovnem mestu in večji lojalnosti do delodajalca.</w:t>
            </w:r>
          </w:p>
          <w:p w14:paraId="7CA4DE94"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5BFBCC8C"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sidRPr="00605612">
              <w:rPr>
                <w:rFonts w:cs="Arial"/>
                <w:color w:val="000000" w:themeColor="text1"/>
                <w:sz w:val="20"/>
                <w:szCs w:val="20"/>
              </w:rPr>
              <w:lastRenderedPageBreak/>
              <w:t>Čeprav se že večina družb odloči, da v letnem poročilu prostovoljno razkrijejo tudi širše informacije,</w:t>
            </w:r>
            <w:r w:rsidRPr="00605612">
              <w:rPr>
                <w:rFonts w:cs="Arial"/>
                <w:sz w:val="20"/>
                <w:szCs w:val="20"/>
              </w:rPr>
              <w:t xml:space="preserve"> </w:t>
            </w:r>
            <w:r w:rsidRPr="00605612">
              <w:rPr>
                <w:rFonts w:cs="Arial"/>
                <w:color w:val="000000" w:themeColor="text1"/>
                <w:sz w:val="20"/>
                <w:szCs w:val="20"/>
              </w:rPr>
              <w:t>ki se nanašajo na poslovne dogodke, o katerih družbe niso zavezane poročati, se občasno na podlagi analiz, pr</w:t>
            </w:r>
            <w:r>
              <w:rPr>
                <w:rFonts w:cs="Arial"/>
                <w:color w:val="000000" w:themeColor="text1"/>
                <w:sz w:val="20"/>
                <w:szCs w:val="20"/>
              </w:rPr>
              <w:t>o</w:t>
            </w:r>
            <w:r w:rsidRPr="00605612">
              <w:rPr>
                <w:rFonts w:cs="Arial"/>
                <w:color w:val="000000" w:themeColor="text1"/>
                <w:sz w:val="20"/>
                <w:szCs w:val="20"/>
              </w:rPr>
              <w:t xml:space="preserve">učitev in strokovnih mnenj izkaže za smotrno, da se razkritje nekaterih informacij v zvezi s poslovanjem družb določi kot obvezno. Kadar odločitve sprejmejo pristojne institucije Evropske unije z uredbami kot predpisi </w:t>
            </w:r>
            <w:r>
              <w:rPr>
                <w:rFonts w:cs="Arial"/>
                <w:color w:val="000000" w:themeColor="text1"/>
                <w:sz w:val="20"/>
                <w:szCs w:val="20"/>
              </w:rPr>
              <w:t xml:space="preserve">za poenotenje prava </w:t>
            </w:r>
            <w:r w:rsidRPr="00605612">
              <w:rPr>
                <w:rFonts w:cs="Arial"/>
                <w:color w:val="000000" w:themeColor="text1"/>
                <w:sz w:val="20"/>
                <w:szCs w:val="20"/>
              </w:rPr>
              <w:t>ter z direktivami kot predpisi</w:t>
            </w:r>
            <w:r>
              <w:rPr>
                <w:rFonts w:cs="Arial"/>
                <w:color w:val="000000" w:themeColor="text1"/>
                <w:sz w:val="20"/>
                <w:szCs w:val="20"/>
              </w:rPr>
              <w:t xml:space="preserve"> za usklajevanje prava</w:t>
            </w:r>
            <w:r w:rsidRPr="00605612">
              <w:rPr>
                <w:rFonts w:cs="Arial"/>
                <w:color w:val="000000" w:themeColor="text1"/>
                <w:sz w:val="20"/>
                <w:szCs w:val="20"/>
              </w:rPr>
              <w:t xml:space="preserve">, je treba nacionalno zakonodajo ustrezno </w:t>
            </w:r>
            <w:r>
              <w:rPr>
                <w:rFonts w:cs="Arial"/>
                <w:color w:val="000000" w:themeColor="text1"/>
                <w:sz w:val="20"/>
                <w:szCs w:val="20"/>
              </w:rPr>
              <w:t>prilagoditi</w:t>
            </w:r>
            <w:r w:rsidRPr="00605612">
              <w:rPr>
                <w:rFonts w:cs="Arial"/>
                <w:color w:val="000000" w:themeColor="text1"/>
                <w:sz w:val="20"/>
                <w:szCs w:val="20"/>
              </w:rPr>
              <w:t xml:space="preserve"> prav</w:t>
            </w:r>
            <w:r>
              <w:rPr>
                <w:rFonts w:cs="Arial"/>
                <w:color w:val="000000" w:themeColor="text1"/>
                <w:sz w:val="20"/>
                <w:szCs w:val="20"/>
              </w:rPr>
              <w:t>u</w:t>
            </w:r>
            <w:r w:rsidRPr="00605612">
              <w:rPr>
                <w:rFonts w:cs="Arial"/>
                <w:color w:val="000000" w:themeColor="text1"/>
                <w:sz w:val="20"/>
                <w:szCs w:val="20"/>
              </w:rPr>
              <w:t xml:space="preserve"> Evropske unije. </w:t>
            </w:r>
          </w:p>
          <w:p w14:paraId="65E30F91"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52D91F6B"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sidRPr="00605612">
              <w:rPr>
                <w:rFonts w:cs="Arial"/>
                <w:color w:val="000000" w:themeColor="text1"/>
                <w:sz w:val="20"/>
                <w:szCs w:val="20"/>
              </w:rPr>
              <w:t>Zaradi usklajevanja</w:t>
            </w:r>
            <w:r>
              <w:rPr>
                <w:rFonts w:cs="Arial"/>
                <w:color w:val="000000" w:themeColor="text1"/>
                <w:sz w:val="20"/>
                <w:szCs w:val="20"/>
              </w:rPr>
              <w:t xml:space="preserve"> in poenotenja evropskega prava</w:t>
            </w:r>
            <w:r w:rsidRPr="00605612">
              <w:rPr>
                <w:rFonts w:cs="Arial"/>
                <w:color w:val="000000" w:themeColor="text1"/>
                <w:sz w:val="20"/>
                <w:szCs w:val="20"/>
              </w:rPr>
              <w:t xml:space="preserve"> družb je </w:t>
            </w:r>
            <w:r>
              <w:rPr>
                <w:rFonts w:cs="Arial"/>
                <w:color w:val="000000" w:themeColor="text1"/>
                <w:sz w:val="20"/>
                <w:szCs w:val="20"/>
              </w:rPr>
              <w:t xml:space="preserve">bil </w:t>
            </w:r>
            <w:r w:rsidRPr="00605612">
              <w:rPr>
                <w:rFonts w:cs="Arial"/>
                <w:color w:val="000000" w:themeColor="text1"/>
                <w:sz w:val="20"/>
                <w:szCs w:val="20"/>
              </w:rPr>
              <w:t xml:space="preserve">bilančni oziroma računovodski del </w:t>
            </w:r>
            <w:r>
              <w:rPr>
                <w:rFonts w:cs="Arial"/>
                <w:color w:val="000000" w:themeColor="text1"/>
                <w:sz w:val="20"/>
                <w:szCs w:val="20"/>
              </w:rPr>
              <w:t xml:space="preserve">v </w:t>
            </w:r>
            <w:r w:rsidRPr="00605612">
              <w:rPr>
                <w:rFonts w:cs="Arial"/>
                <w:color w:val="000000" w:themeColor="text1"/>
                <w:sz w:val="20"/>
                <w:szCs w:val="20"/>
              </w:rPr>
              <w:t>ZGD-1 veliko</w:t>
            </w:r>
            <w:r>
              <w:rPr>
                <w:rFonts w:cs="Arial"/>
                <w:color w:val="000000" w:themeColor="text1"/>
                <w:sz w:val="20"/>
                <w:szCs w:val="20"/>
              </w:rPr>
              <w:t>krat pomembno</w:t>
            </w:r>
            <w:r w:rsidRPr="00605612">
              <w:rPr>
                <w:rFonts w:cs="Arial"/>
                <w:color w:val="000000" w:themeColor="text1"/>
                <w:sz w:val="20"/>
                <w:szCs w:val="20"/>
              </w:rPr>
              <w:t xml:space="preserve"> spreme</w:t>
            </w:r>
            <w:r>
              <w:rPr>
                <w:rFonts w:cs="Arial"/>
                <w:color w:val="000000" w:themeColor="text1"/>
                <w:sz w:val="20"/>
                <w:szCs w:val="20"/>
              </w:rPr>
              <w:t>njen</w:t>
            </w:r>
            <w:r w:rsidRPr="00605612">
              <w:rPr>
                <w:rFonts w:cs="Arial"/>
                <w:color w:val="000000" w:themeColor="text1"/>
                <w:sz w:val="20"/>
                <w:szCs w:val="20"/>
              </w:rPr>
              <w:t xml:space="preserve">. Z Zakonom o spremembah in dopolnitvah Zakona o gospodarskih družbah (Uradni list RS, št. 55/15; v nadaljnjem besedilu: ZGD-1I) se je v slovenski pravni red delno prenesla Direktiva 2013/34/EU z dne 26. junija 2013 o letnih računovodskih izkazih, konsolidiranih računovodskih izkazih in povezanih poročilih nekaterih vrst podjetij, spremembi Direktive 2006/43/ES Evropskega parlamenta in Sveta ter razveljavitvi direktiv Sveta 78/660/EGS in 83/349/EGS (UL L št. 182 z dne 29. 6. 2013, str. 19; v nadaljnjem besedilu: Direktiva 2013/34/EU). Direktiva 2013/34/EU je na novo uredila pragove za razvrščanje družb med mikro, majhne, srednje in velike družbe, spremenila vsebino, obliko in obveznosti priprave konsolidiranega letnega poročila, spremenila vsebino priloge k računovodskim izkazom ter določila poenostavitve za mikro družbe. </w:t>
            </w:r>
            <w:r>
              <w:rPr>
                <w:rFonts w:cs="Arial"/>
                <w:color w:val="000000" w:themeColor="text1"/>
                <w:sz w:val="20"/>
                <w:szCs w:val="20"/>
              </w:rPr>
              <w:t>Poleg tega</w:t>
            </w:r>
            <w:r w:rsidRPr="00605612">
              <w:rPr>
                <w:rFonts w:cs="Arial"/>
                <w:color w:val="000000" w:themeColor="text1"/>
                <w:sz w:val="20"/>
                <w:szCs w:val="20"/>
              </w:rPr>
              <w:t xml:space="preserve"> je naložila nove obveznosti za subjekte javnega interesa ter obveznost priprave in vsebino poročila o plačilih vladam za velike družbe, katerih dejavnost zajema raziskovanje, iskanje, odkrivanje, razvijanje in izkoriščanje zalog mineralov, nafte, zemeljskega plina in pragozdov. Poleg Direktive 2013/34/EU se je z ZGD-1I v pravni red Republike Slovenije delno prenesla tudi Direktiva 2014/56/EU Evropskega parlamenta in Sveta z dne 16. aprila 2014 o spremembi Direktive 2006/43/ES o obveznih revizijah za letne in konsolidirane računovodske izkaze (UL L št. 158 z dne 27. 5. 2014, str. 196; v nadaljnjem besedilu: Direktiva 2014/56/EU), na podlagi katere se je uredilo revizorjevo poročilo in </w:t>
            </w:r>
            <w:r>
              <w:rPr>
                <w:rFonts w:cs="Arial"/>
                <w:color w:val="000000" w:themeColor="text1"/>
                <w:sz w:val="20"/>
                <w:szCs w:val="20"/>
              </w:rPr>
              <w:t xml:space="preserve">so se </w:t>
            </w:r>
            <w:r w:rsidRPr="00605612">
              <w:rPr>
                <w:rFonts w:cs="Arial"/>
                <w:color w:val="000000" w:themeColor="text1"/>
                <w:sz w:val="20"/>
                <w:szCs w:val="20"/>
              </w:rPr>
              <w:t xml:space="preserve">določile dodatne zahteve v zvezi z revizijsko komisijo. Z isto novelo se je uredilo tudi izvajanje Uredbe Komisije (ES) št. 1126/2008 z dne 3. novembra 2008 o sprejetju nekaterih mednarodnih računovodskih standardov v skladu z Uredbo Evropskega parlamenta in Sveta 1606/202/ES (UL L št. 320 z dne 29. 11. 2008, str. 1; v nadaljnjem besedilu: Uredba 1126/2008/ES), ki določa opcijo za države članice glede uporabe mednarodnih računovodskih standardov za določeno vrsto družb. </w:t>
            </w:r>
          </w:p>
          <w:p w14:paraId="6E971B5E"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3601DAA3"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r>
              <w:rPr>
                <w:rFonts w:cs="Arial"/>
                <w:color w:val="000000" w:themeColor="text1"/>
                <w:sz w:val="20"/>
                <w:szCs w:val="20"/>
              </w:rPr>
              <w:t>V</w:t>
            </w:r>
            <w:r w:rsidRPr="00605612">
              <w:rPr>
                <w:rFonts w:cs="Arial"/>
                <w:color w:val="000000" w:themeColor="text1"/>
                <w:sz w:val="20"/>
                <w:szCs w:val="20"/>
              </w:rPr>
              <w:t xml:space="preserve"> poglavje ZGD-1 o letnih poročilih se je poseglo </w:t>
            </w:r>
            <w:r>
              <w:rPr>
                <w:rFonts w:cs="Arial"/>
                <w:color w:val="000000" w:themeColor="text1"/>
                <w:sz w:val="20"/>
                <w:szCs w:val="20"/>
              </w:rPr>
              <w:t xml:space="preserve">tudi </w:t>
            </w:r>
            <w:r w:rsidRPr="00605612">
              <w:rPr>
                <w:rFonts w:cs="Arial"/>
                <w:color w:val="000000" w:themeColor="text1"/>
                <w:sz w:val="20"/>
                <w:szCs w:val="20"/>
              </w:rPr>
              <w:t xml:space="preserve">z Zakonom o spremembah in dopolnitvah Zakona o gospodarskih družbah (Uradni list RS, št. 15/17; v nadaljnjem besedilu: ZGD-1J), s katerim se je v slovenski pravni red prenesla Direktiva 2014/95/EU Evropskega parlamenta in Sveta z dne 22. oktobra 2014 o spremembi Direktive 2013/34/EU glede razkritja nefinančnih informacij in informacij o raznolikosti nekaterih velikih podjetij in skupin (UL L št. 330 z dne 15. 11. 2014, str. 1; v nadaljnjem besedilu: Direktiva 2014/95/EU). Glavni cilj </w:t>
            </w:r>
            <w:r>
              <w:rPr>
                <w:rFonts w:cs="Arial"/>
                <w:color w:val="000000" w:themeColor="text1"/>
                <w:sz w:val="20"/>
                <w:szCs w:val="20"/>
              </w:rPr>
              <w:t>navedene</w:t>
            </w:r>
            <w:r w:rsidRPr="00605612">
              <w:rPr>
                <w:rFonts w:cs="Arial"/>
                <w:color w:val="000000" w:themeColor="text1"/>
                <w:sz w:val="20"/>
                <w:szCs w:val="20"/>
              </w:rPr>
              <w:t xml:space="preserve"> direktive je bilo izboljšanje družbene odgovornosti, za dosego katere morajo družbe pri poslovanju in sprejemanju strategije upoštevati tudi socialna in okoljska vprašanja. Preglednost tako imenovanih nefinančnih informacij je lahko družbam v pomoč pri boljšem upravljanju nefinančnih tveganj in priložnosti. Za dosego navedenega cilja je </w:t>
            </w:r>
            <w:r>
              <w:rPr>
                <w:rFonts w:cs="Arial"/>
                <w:color w:val="000000" w:themeColor="text1"/>
                <w:sz w:val="20"/>
                <w:szCs w:val="20"/>
              </w:rPr>
              <w:t>navedena d</w:t>
            </w:r>
            <w:r w:rsidRPr="00605612">
              <w:rPr>
                <w:rFonts w:cs="Arial"/>
                <w:color w:val="000000" w:themeColor="text1"/>
                <w:sz w:val="20"/>
                <w:szCs w:val="20"/>
              </w:rPr>
              <w:t xml:space="preserve">irektiva določila tudi obvezno razkrivanje pomembnih informacij v obliki izjave v okviru letnih poročil družb. Na podlagi </w:t>
            </w:r>
            <w:r>
              <w:rPr>
                <w:rFonts w:cs="Arial"/>
                <w:color w:val="000000" w:themeColor="text1"/>
                <w:sz w:val="20"/>
                <w:szCs w:val="20"/>
              </w:rPr>
              <w:t>navedene</w:t>
            </w:r>
            <w:r w:rsidRPr="00605612">
              <w:rPr>
                <w:rFonts w:cs="Arial"/>
                <w:color w:val="000000" w:themeColor="text1"/>
                <w:sz w:val="20"/>
                <w:szCs w:val="20"/>
              </w:rPr>
              <w:t xml:space="preserve"> </w:t>
            </w:r>
            <w:r>
              <w:rPr>
                <w:rFonts w:cs="Arial"/>
                <w:color w:val="000000" w:themeColor="text1"/>
                <w:sz w:val="20"/>
                <w:szCs w:val="20"/>
              </w:rPr>
              <w:t>d</w:t>
            </w:r>
            <w:r w:rsidRPr="00605612">
              <w:rPr>
                <w:rFonts w:cs="Arial"/>
                <w:color w:val="000000" w:themeColor="text1"/>
                <w:sz w:val="20"/>
                <w:szCs w:val="20"/>
              </w:rPr>
              <w:t>irektive je ZGD-1J k pripravi izjave o nefinančnem poslovanju zavezal subjekt</w:t>
            </w:r>
            <w:r>
              <w:rPr>
                <w:rFonts w:cs="Arial"/>
                <w:color w:val="000000" w:themeColor="text1"/>
                <w:sz w:val="20"/>
                <w:szCs w:val="20"/>
              </w:rPr>
              <w:t>e</w:t>
            </w:r>
            <w:r w:rsidRPr="00605612">
              <w:rPr>
                <w:rFonts w:cs="Arial"/>
                <w:color w:val="000000" w:themeColor="text1"/>
                <w:sz w:val="20"/>
                <w:szCs w:val="20"/>
              </w:rPr>
              <w:t xml:space="preserve"> javnega interesa</w:t>
            </w:r>
            <w:r>
              <w:rPr>
                <w:rFonts w:cs="Arial"/>
                <w:color w:val="000000" w:themeColor="text1"/>
                <w:sz w:val="20"/>
                <w:szCs w:val="20"/>
              </w:rPr>
              <w:t>,</w:t>
            </w:r>
            <w:r w:rsidRPr="00605612">
              <w:rPr>
                <w:rFonts w:cs="Arial"/>
                <w:color w:val="000000" w:themeColor="text1"/>
                <w:sz w:val="20"/>
                <w:szCs w:val="20"/>
              </w:rPr>
              <w:t xml:space="preserve"> katerih povprečno število zaposlenih je večje od 500, </w:t>
            </w:r>
            <w:r>
              <w:rPr>
                <w:rFonts w:cs="Arial"/>
                <w:color w:val="000000" w:themeColor="text1"/>
                <w:sz w:val="20"/>
                <w:szCs w:val="20"/>
              </w:rPr>
              <w:t>in</w:t>
            </w:r>
            <w:r w:rsidRPr="00605612">
              <w:rPr>
                <w:rFonts w:cs="Arial"/>
                <w:color w:val="000000" w:themeColor="text1"/>
                <w:sz w:val="20"/>
                <w:szCs w:val="20"/>
              </w:rPr>
              <w:t xml:space="preserve"> družbe, ki so zavezane k pripravi konsolidiranega letnega poročila in katerih povprečno število zaposlenih na konsolidirani ravni je večje od 500. </w:t>
            </w:r>
            <w:r>
              <w:rPr>
                <w:rFonts w:cs="Arial"/>
                <w:color w:val="000000" w:themeColor="text1"/>
                <w:sz w:val="20"/>
                <w:szCs w:val="20"/>
              </w:rPr>
              <w:t>D</w:t>
            </w:r>
            <w:r w:rsidRPr="00605612">
              <w:rPr>
                <w:rFonts w:cs="Arial"/>
                <w:color w:val="000000" w:themeColor="text1"/>
                <w:sz w:val="20"/>
                <w:szCs w:val="20"/>
              </w:rPr>
              <w:t>ružbe</w:t>
            </w:r>
            <w:r>
              <w:rPr>
                <w:rFonts w:cs="Arial"/>
                <w:color w:val="000000" w:themeColor="text1"/>
                <w:sz w:val="20"/>
                <w:szCs w:val="20"/>
              </w:rPr>
              <w:t>, ki izpolnjujejo omenjene pogoje,</w:t>
            </w:r>
            <w:r w:rsidRPr="00605612">
              <w:rPr>
                <w:rFonts w:cs="Arial"/>
                <w:color w:val="000000" w:themeColor="text1"/>
                <w:sz w:val="20"/>
                <w:szCs w:val="20"/>
              </w:rPr>
              <w:t xml:space="preserve"> so v skladu </w:t>
            </w:r>
            <w:r>
              <w:rPr>
                <w:rFonts w:cs="Arial"/>
                <w:color w:val="000000" w:themeColor="text1"/>
                <w:sz w:val="20"/>
                <w:szCs w:val="20"/>
              </w:rPr>
              <w:t>s</w:t>
            </w:r>
            <w:r w:rsidRPr="00605612">
              <w:rPr>
                <w:rFonts w:cs="Arial"/>
                <w:color w:val="000000" w:themeColor="text1"/>
                <w:sz w:val="20"/>
                <w:szCs w:val="20"/>
              </w:rPr>
              <w:t xml:space="preserve"> 70.c členom ZGD-1 dolžne v poslovno poročilo vključiti izjavo o nefinančnem poslovanju</w:t>
            </w:r>
            <w:r>
              <w:rPr>
                <w:rFonts w:cs="Arial"/>
                <w:color w:val="000000" w:themeColor="text1"/>
                <w:sz w:val="20"/>
                <w:szCs w:val="20"/>
              </w:rPr>
              <w:t>,</w:t>
            </w:r>
            <w:r w:rsidRPr="00605612">
              <w:rPr>
                <w:rFonts w:cs="Arial"/>
                <w:color w:val="000000" w:themeColor="text1"/>
                <w:sz w:val="20"/>
                <w:szCs w:val="20"/>
              </w:rPr>
              <w:t xml:space="preserve"> ki </w:t>
            </w:r>
            <w:r>
              <w:rPr>
                <w:rFonts w:cs="Arial"/>
                <w:color w:val="000000" w:themeColor="text1"/>
                <w:sz w:val="20"/>
                <w:szCs w:val="20"/>
              </w:rPr>
              <w:t xml:space="preserve">‒ </w:t>
            </w:r>
            <w:r w:rsidRPr="00605612">
              <w:rPr>
                <w:rFonts w:cs="Arial"/>
                <w:color w:val="000000" w:themeColor="text1"/>
                <w:sz w:val="20"/>
                <w:szCs w:val="20"/>
              </w:rPr>
              <w:t>če je to potrebno za razumevanje razvoja, uspešnosti in položaja družbe ter učinka njenih dejavnosti</w:t>
            </w:r>
            <w:r>
              <w:rPr>
                <w:rFonts w:cs="Arial"/>
                <w:color w:val="000000" w:themeColor="text1"/>
                <w:sz w:val="20"/>
                <w:szCs w:val="20"/>
              </w:rPr>
              <w:t xml:space="preserve"> ‒</w:t>
            </w:r>
            <w:r w:rsidRPr="00605612">
              <w:rPr>
                <w:rFonts w:cs="Arial"/>
                <w:color w:val="000000" w:themeColor="text1"/>
                <w:sz w:val="20"/>
                <w:szCs w:val="20"/>
              </w:rPr>
              <w:t xml:space="preserve"> vsebuje informacije o okoljskih, socialnih in kadrovskih zadevah, spoštovanju človekovih pravic ter zadevah v zvezi z bojem proti korupciji in podkupovanju. Direktiva 2014/95/EU je izrecno določila, da so te obveznosti oproščene majhne in srednje družbe, čemur je sledil tudi ZGD-1J. Poleg izjave o nefinančnem poslovanju ZGD-1 v skladu z Direktivo 2013/34/EU v 70. členu določa tudi obveznost za družbe, ki so zavezane k reviziji, da v poslovno poročilo vključijo tudi izjavo o upravljanju družbe.</w:t>
            </w:r>
            <w:r>
              <w:rPr>
                <w:rFonts w:cs="Arial"/>
                <w:color w:val="000000" w:themeColor="text1"/>
                <w:sz w:val="20"/>
                <w:szCs w:val="20"/>
              </w:rPr>
              <w:t xml:space="preserve"> </w:t>
            </w:r>
            <w:r>
              <w:rPr>
                <w:rFonts w:cs="Arial"/>
                <w:color w:val="000000" w:themeColor="text1"/>
                <w:sz w:val="20"/>
                <w:szCs w:val="20"/>
              </w:rPr>
              <w:lastRenderedPageBreak/>
              <w:t>Navedena i</w:t>
            </w:r>
            <w:r w:rsidRPr="00605612">
              <w:rPr>
                <w:rFonts w:cs="Arial"/>
                <w:color w:val="000000" w:themeColor="text1"/>
                <w:sz w:val="20"/>
                <w:szCs w:val="20"/>
              </w:rPr>
              <w:t xml:space="preserve">zjava vključuje navedbo, ali družba pri poslovanju uporablja kodeks, navedbo tega kodeksa, njegovo javno dostopnost </w:t>
            </w:r>
            <w:r>
              <w:rPr>
                <w:rFonts w:cs="Arial"/>
                <w:color w:val="000000" w:themeColor="text1"/>
                <w:sz w:val="20"/>
                <w:szCs w:val="20"/>
              </w:rPr>
              <w:t>in</w:t>
            </w:r>
            <w:r w:rsidRPr="00605612">
              <w:rPr>
                <w:rFonts w:cs="Arial"/>
                <w:color w:val="000000" w:themeColor="text1"/>
                <w:sz w:val="20"/>
                <w:szCs w:val="20"/>
              </w:rPr>
              <w:t xml:space="preserve"> navedbo posameznih določb kodeksa, ki jih družba ni upoštevala, z </w:t>
            </w:r>
            <w:r>
              <w:rPr>
                <w:rFonts w:cs="Arial"/>
                <w:color w:val="000000" w:themeColor="text1"/>
                <w:sz w:val="20"/>
                <w:szCs w:val="20"/>
              </w:rPr>
              <w:t xml:space="preserve">ustrezno </w:t>
            </w:r>
            <w:r w:rsidRPr="00605612">
              <w:rPr>
                <w:rFonts w:cs="Arial"/>
                <w:color w:val="000000" w:themeColor="text1"/>
                <w:sz w:val="20"/>
                <w:szCs w:val="20"/>
              </w:rPr>
              <w:t xml:space="preserve">utemeljitvijo. Navedena določba je bila v ZGD-1 vključena </w:t>
            </w:r>
            <w:r>
              <w:rPr>
                <w:rFonts w:cs="Arial"/>
                <w:color w:val="000000" w:themeColor="text1"/>
                <w:sz w:val="20"/>
                <w:szCs w:val="20"/>
              </w:rPr>
              <w:t>zato, da</w:t>
            </w:r>
            <w:r w:rsidRPr="00605612">
              <w:rPr>
                <w:rFonts w:cs="Arial"/>
                <w:color w:val="000000" w:themeColor="text1"/>
                <w:sz w:val="20"/>
                <w:szCs w:val="20"/>
              </w:rPr>
              <w:t xml:space="preserve"> </w:t>
            </w:r>
            <w:r>
              <w:rPr>
                <w:rFonts w:cs="Arial"/>
                <w:color w:val="000000" w:themeColor="text1"/>
                <w:sz w:val="20"/>
                <w:szCs w:val="20"/>
              </w:rPr>
              <w:t xml:space="preserve">se </w:t>
            </w:r>
            <w:r w:rsidRPr="00605612">
              <w:rPr>
                <w:rFonts w:cs="Arial"/>
                <w:color w:val="000000" w:themeColor="text1"/>
                <w:sz w:val="20"/>
                <w:szCs w:val="20"/>
              </w:rPr>
              <w:t>oblik</w:t>
            </w:r>
            <w:r>
              <w:rPr>
                <w:rFonts w:cs="Arial"/>
                <w:color w:val="000000" w:themeColor="text1"/>
                <w:sz w:val="20"/>
                <w:szCs w:val="20"/>
              </w:rPr>
              <w:t>uje</w:t>
            </w:r>
            <w:r w:rsidRPr="00605612">
              <w:rPr>
                <w:rFonts w:cs="Arial"/>
                <w:color w:val="000000" w:themeColor="text1"/>
                <w:sz w:val="20"/>
                <w:szCs w:val="20"/>
              </w:rPr>
              <w:t xml:space="preserve"> pregleden, učinkovit in razumljiv sistem upravljanja, ki vzbuja zaupanje vlagateljev, zaposlenih in širše javnosti v sistem korporativnega upravljanja. Z</w:t>
            </w:r>
            <w:r>
              <w:rPr>
                <w:rFonts w:cs="Arial"/>
                <w:color w:val="000000" w:themeColor="text1"/>
                <w:sz w:val="20"/>
                <w:szCs w:val="20"/>
              </w:rPr>
              <w:t>a</w:t>
            </w:r>
            <w:r w:rsidRPr="00605612">
              <w:rPr>
                <w:rFonts w:cs="Arial"/>
                <w:color w:val="000000" w:themeColor="text1"/>
                <w:sz w:val="20"/>
                <w:szCs w:val="20"/>
              </w:rPr>
              <w:t xml:space="preserve"> izboljšanj</w:t>
            </w:r>
            <w:r>
              <w:rPr>
                <w:rFonts w:cs="Arial"/>
                <w:color w:val="000000" w:themeColor="text1"/>
                <w:sz w:val="20"/>
                <w:szCs w:val="20"/>
              </w:rPr>
              <w:t>e</w:t>
            </w:r>
            <w:r w:rsidRPr="00605612">
              <w:rPr>
                <w:rFonts w:cs="Arial"/>
                <w:color w:val="000000" w:themeColor="text1"/>
                <w:sz w:val="20"/>
                <w:szCs w:val="20"/>
              </w:rPr>
              <w:t xml:space="preserve"> korporativnega upravljanja je ZGD-1I s spremembo petega odstavka 70. člena razširil krog družb, ki morajo v poslovno poročilo vključiti izjavo o upravljanju družbe. Pred omenjeno novelo so izjavo o upravljanju družbe pripravljale samo javne družbe, po uveljavitvi novele pa vse družbe, ki so zavezane k reviziji. Z omenjeno izjavo se razkrivajo informacije o korporativnem upravljanju v družbi. Ti podatki so pomembni za deležnike, ki poslujejo z družbo (dobavitelji, upniki, delavci, država, banke, </w:t>
            </w:r>
            <w:r>
              <w:rPr>
                <w:rFonts w:cs="Arial"/>
                <w:color w:val="000000" w:themeColor="text1"/>
                <w:sz w:val="20"/>
                <w:szCs w:val="20"/>
              </w:rPr>
              <w:t>vlagatelji</w:t>
            </w:r>
            <w:r w:rsidRPr="00605612">
              <w:rPr>
                <w:rFonts w:cs="Arial"/>
                <w:color w:val="000000" w:themeColor="text1"/>
                <w:sz w:val="20"/>
                <w:szCs w:val="20"/>
              </w:rPr>
              <w:t>), saj jim omogočajo, da lahko, še preden začnejo sodelovati z družbo, ugotovijo, kakšno je upravljanje v družbi. Direktiva 2014/95/EU je določila dopolnitev vsebine izjave o upravljanju družbe z opisom politike raznolikosti zastopanja v organih vodenja ali nadzora (raznolikost</w:t>
            </w:r>
            <w:r>
              <w:rPr>
                <w:rFonts w:cs="Arial"/>
                <w:color w:val="000000" w:themeColor="text1"/>
                <w:sz w:val="20"/>
                <w:szCs w:val="20"/>
              </w:rPr>
              <w:t xml:space="preserve"> po</w:t>
            </w:r>
            <w:r>
              <w:rPr>
                <w:color w:val="000000" w:themeColor="text1"/>
              </w:rPr>
              <w:t xml:space="preserve"> </w:t>
            </w:r>
            <w:r w:rsidRPr="00605612">
              <w:rPr>
                <w:rFonts w:cs="Arial"/>
                <w:color w:val="000000" w:themeColor="text1"/>
                <w:sz w:val="20"/>
                <w:szCs w:val="20"/>
              </w:rPr>
              <w:t>spol</w:t>
            </w:r>
            <w:r>
              <w:rPr>
                <w:rFonts w:cs="Arial"/>
                <w:color w:val="000000" w:themeColor="text1"/>
                <w:sz w:val="20"/>
                <w:szCs w:val="20"/>
              </w:rPr>
              <w:t>u</w:t>
            </w:r>
            <w:r w:rsidRPr="00605612">
              <w:rPr>
                <w:rFonts w:cs="Arial"/>
                <w:color w:val="000000" w:themeColor="text1"/>
                <w:sz w:val="20"/>
                <w:szCs w:val="20"/>
              </w:rPr>
              <w:t>, starost</w:t>
            </w:r>
            <w:r>
              <w:rPr>
                <w:rFonts w:cs="Arial"/>
                <w:color w:val="000000" w:themeColor="text1"/>
                <w:sz w:val="20"/>
                <w:szCs w:val="20"/>
              </w:rPr>
              <w:t>i</w:t>
            </w:r>
            <w:r w:rsidRPr="00605612">
              <w:rPr>
                <w:rFonts w:cs="Arial"/>
                <w:color w:val="000000" w:themeColor="text1"/>
                <w:sz w:val="20"/>
                <w:szCs w:val="20"/>
              </w:rPr>
              <w:t>, izobrazb</w:t>
            </w:r>
            <w:r>
              <w:rPr>
                <w:rFonts w:cs="Arial"/>
                <w:color w:val="000000" w:themeColor="text1"/>
                <w:sz w:val="20"/>
                <w:szCs w:val="20"/>
              </w:rPr>
              <w:t>i</w:t>
            </w:r>
            <w:r w:rsidRPr="00605612">
              <w:rPr>
                <w:rFonts w:cs="Arial"/>
                <w:color w:val="000000" w:themeColor="text1"/>
                <w:sz w:val="20"/>
                <w:szCs w:val="20"/>
              </w:rPr>
              <w:t xml:space="preserve">). Omenjena določba je bila v ZGD-1 prenesena z novelo ZGD-1I, pri čemer je ta obveznost veljala za vse družbe, ki so zavezane </w:t>
            </w:r>
            <w:r>
              <w:rPr>
                <w:rFonts w:cs="Arial"/>
                <w:color w:val="000000" w:themeColor="text1"/>
                <w:sz w:val="20"/>
                <w:szCs w:val="20"/>
              </w:rPr>
              <w:t xml:space="preserve">k </w:t>
            </w:r>
            <w:r w:rsidRPr="00605612">
              <w:rPr>
                <w:rFonts w:cs="Arial"/>
                <w:color w:val="000000" w:themeColor="text1"/>
                <w:sz w:val="20"/>
                <w:szCs w:val="20"/>
              </w:rPr>
              <w:t>pripravi poslovn</w:t>
            </w:r>
            <w:r>
              <w:rPr>
                <w:rFonts w:cs="Arial"/>
                <w:color w:val="000000" w:themeColor="text1"/>
                <w:sz w:val="20"/>
                <w:szCs w:val="20"/>
              </w:rPr>
              <w:t>ega</w:t>
            </w:r>
            <w:r w:rsidRPr="00605612">
              <w:rPr>
                <w:rFonts w:cs="Arial"/>
                <w:color w:val="000000" w:themeColor="text1"/>
                <w:sz w:val="20"/>
                <w:szCs w:val="20"/>
              </w:rPr>
              <w:t xml:space="preserve"> poročil</w:t>
            </w:r>
            <w:r>
              <w:rPr>
                <w:rFonts w:cs="Arial"/>
                <w:color w:val="000000" w:themeColor="text1"/>
                <w:sz w:val="20"/>
                <w:szCs w:val="20"/>
              </w:rPr>
              <w:t>a</w:t>
            </w:r>
            <w:r w:rsidRPr="00605612">
              <w:rPr>
                <w:rFonts w:cs="Arial"/>
                <w:color w:val="000000" w:themeColor="text1"/>
                <w:sz w:val="20"/>
                <w:szCs w:val="20"/>
              </w:rPr>
              <w:t xml:space="preserve">. Zaradi potrebe po uskladitvi z Direktivo 2014/95/EU pa je opis politike raznolikosti z novelo ZGD-1J postal del izjave o upravljanju družbe in </w:t>
            </w:r>
            <w:r>
              <w:rPr>
                <w:rFonts w:cs="Arial"/>
                <w:color w:val="000000" w:themeColor="text1"/>
                <w:sz w:val="20"/>
                <w:szCs w:val="20"/>
              </w:rPr>
              <w:t>je tako</w:t>
            </w:r>
            <w:r w:rsidRPr="00605612">
              <w:rPr>
                <w:rFonts w:cs="Arial"/>
                <w:color w:val="000000" w:themeColor="text1"/>
                <w:sz w:val="20"/>
                <w:szCs w:val="20"/>
              </w:rPr>
              <w:t xml:space="preserve"> zavezal le družbe, ki so zavezane k reviziji.</w:t>
            </w:r>
          </w:p>
          <w:p w14:paraId="002D71DD" w14:textId="77777777" w:rsidR="000C08CA" w:rsidRPr="00605612" w:rsidRDefault="000C08CA" w:rsidP="00FE328D">
            <w:pPr>
              <w:pStyle w:val="tevilnatoka"/>
              <w:numPr>
                <w:ilvl w:val="0"/>
                <w:numId w:val="0"/>
              </w:numPr>
              <w:spacing w:line="276" w:lineRule="auto"/>
              <w:rPr>
                <w:rFonts w:cs="Arial"/>
                <w:color w:val="000000" w:themeColor="text1"/>
                <w:sz w:val="20"/>
                <w:szCs w:val="20"/>
              </w:rPr>
            </w:pPr>
          </w:p>
          <w:p w14:paraId="6A75EC2C" w14:textId="77777777" w:rsidR="000C08CA" w:rsidRPr="00605612" w:rsidRDefault="000C08CA" w:rsidP="00FE328D">
            <w:pPr>
              <w:spacing w:line="276" w:lineRule="auto"/>
              <w:jc w:val="both"/>
              <w:rPr>
                <w:rFonts w:cs="Arial"/>
                <w:color w:val="000000" w:themeColor="text1"/>
                <w:szCs w:val="20"/>
              </w:rPr>
            </w:pPr>
            <w:r w:rsidRPr="00605612">
              <w:rPr>
                <w:rFonts w:cs="Arial"/>
                <w:color w:val="000000" w:themeColor="text1"/>
                <w:szCs w:val="20"/>
              </w:rPr>
              <w:t xml:space="preserve">S predlogom zakona se </w:t>
            </w:r>
            <w:r>
              <w:rPr>
                <w:rFonts w:cs="Arial"/>
                <w:color w:val="000000" w:themeColor="text1"/>
                <w:szCs w:val="20"/>
              </w:rPr>
              <w:t>znova</w:t>
            </w:r>
            <w:r w:rsidRPr="00605612">
              <w:rPr>
                <w:rFonts w:cs="Arial"/>
                <w:color w:val="000000" w:themeColor="text1"/>
                <w:szCs w:val="20"/>
              </w:rPr>
              <w:t xml:space="preserve"> posega v poglavje ZGD-1 o letnih poročilih, saj se prenaša</w:t>
            </w:r>
            <w:r>
              <w:rPr>
                <w:rFonts w:cs="Arial"/>
                <w:color w:val="000000" w:themeColor="text1"/>
                <w:szCs w:val="20"/>
              </w:rPr>
              <w:t>ta</w:t>
            </w:r>
            <w:r w:rsidRPr="00605612">
              <w:rPr>
                <w:rFonts w:cs="Arial"/>
                <w:color w:val="000000" w:themeColor="text1"/>
                <w:szCs w:val="20"/>
              </w:rPr>
              <w:t xml:space="preserve"> Direktiva (EU) 2021/2101 Evropskega parlamenta in Sveta z dne 24. novembra 2021 o spremembi Direktive 2013/34/EU glede razkritja davčnih informacij v zvezi z dohodki s strani nekaterih podjetij in podružnic (</w:t>
            </w:r>
            <w:r w:rsidRPr="00CB67E8">
              <w:rPr>
                <w:rFonts w:cs="Arial"/>
                <w:color w:val="000000" w:themeColor="text1"/>
                <w:szCs w:val="20"/>
              </w:rPr>
              <w:t xml:space="preserve">UL L </w:t>
            </w:r>
            <w:r>
              <w:rPr>
                <w:rFonts w:cs="Arial"/>
                <w:color w:val="000000" w:themeColor="text1"/>
                <w:szCs w:val="20"/>
              </w:rPr>
              <w:t xml:space="preserve">št. </w:t>
            </w:r>
            <w:r w:rsidRPr="00CB67E8">
              <w:rPr>
                <w:rFonts w:cs="Arial"/>
                <w:color w:val="000000" w:themeColor="text1"/>
                <w:szCs w:val="20"/>
              </w:rPr>
              <w:t>429</w:t>
            </w:r>
            <w:r>
              <w:rPr>
                <w:rFonts w:cs="Arial"/>
                <w:color w:val="000000" w:themeColor="text1"/>
                <w:szCs w:val="20"/>
              </w:rPr>
              <w:t xml:space="preserve"> z dne</w:t>
            </w:r>
            <w:r w:rsidRPr="00CB67E8">
              <w:rPr>
                <w:rFonts w:cs="Arial"/>
                <w:color w:val="000000" w:themeColor="text1"/>
                <w:szCs w:val="20"/>
              </w:rPr>
              <w:t xml:space="preserve"> 1.</w:t>
            </w:r>
            <w:r>
              <w:rPr>
                <w:rFonts w:cs="Arial"/>
                <w:color w:val="000000" w:themeColor="text1"/>
                <w:szCs w:val="20"/>
              </w:rPr>
              <w:t xml:space="preserve"> </w:t>
            </w:r>
            <w:r w:rsidRPr="00CB67E8">
              <w:rPr>
                <w:rFonts w:cs="Arial"/>
                <w:color w:val="000000" w:themeColor="text1"/>
                <w:szCs w:val="20"/>
              </w:rPr>
              <w:t>12.</w:t>
            </w:r>
            <w:r>
              <w:rPr>
                <w:rFonts w:cs="Arial"/>
                <w:color w:val="000000" w:themeColor="text1"/>
                <w:szCs w:val="20"/>
              </w:rPr>
              <w:t xml:space="preserve"> </w:t>
            </w:r>
            <w:r w:rsidRPr="00CB67E8">
              <w:rPr>
                <w:rFonts w:cs="Arial"/>
                <w:color w:val="000000" w:themeColor="text1"/>
                <w:szCs w:val="20"/>
              </w:rPr>
              <w:t>2021, str. 1</w:t>
            </w:r>
            <w:r>
              <w:rPr>
                <w:rFonts w:cs="Arial"/>
                <w:color w:val="000000" w:themeColor="text1"/>
                <w:szCs w:val="20"/>
              </w:rPr>
              <w:t xml:space="preserve">; </w:t>
            </w:r>
            <w:r w:rsidRPr="00605612">
              <w:rPr>
                <w:rFonts w:cs="Arial"/>
                <w:color w:val="000000" w:themeColor="text1"/>
                <w:szCs w:val="20"/>
              </w:rPr>
              <w:t>v nadaljnjem besedilu: Direktiva 2021/2101/EU) in Direktiva (EU) 2022/2464 Evropskega parlamenta in Sveta z dne 14. decembra 2022 o spremembi Uredbe (EU) št. 537/2014, Direktive 2004/109/ES, Direktive 2006/43/ES in Direktive 2013/34/EU glede poročanja podjetij o trajnostnosti</w:t>
            </w:r>
            <w:r w:rsidRPr="00605612">
              <w:rPr>
                <w:rFonts w:cs="Arial"/>
                <w:szCs w:val="20"/>
              </w:rPr>
              <w:t xml:space="preserve"> </w:t>
            </w:r>
            <w:r w:rsidRPr="00605612">
              <w:rPr>
                <w:rFonts w:cs="Arial"/>
                <w:color w:val="000000" w:themeColor="text1"/>
                <w:szCs w:val="20"/>
              </w:rPr>
              <w:t>(</w:t>
            </w:r>
            <w:r w:rsidRPr="009912DA">
              <w:rPr>
                <w:rFonts w:cs="Arial"/>
                <w:color w:val="000000" w:themeColor="text1"/>
                <w:szCs w:val="20"/>
              </w:rPr>
              <w:t xml:space="preserve">UL L </w:t>
            </w:r>
            <w:r>
              <w:rPr>
                <w:rFonts w:cs="Arial"/>
                <w:color w:val="000000" w:themeColor="text1"/>
                <w:szCs w:val="20"/>
              </w:rPr>
              <w:t xml:space="preserve">št. </w:t>
            </w:r>
            <w:r w:rsidRPr="009912DA">
              <w:rPr>
                <w:rFonts w:cs="Arial"/>
                <w:color w:val="000000" w:themeColor="text1"/>
                <w:szCs w:val="20"/>
              </w:rPr>
              <w:t>322</w:t>
            </w:r>
            <w:r>
              <w:rPr>
                <w:rFonts w:cs="Arial"/>
                <w:color w:val="000000" w:themeColor="text1"/>
                <w:szCs w:val="20"/>
              </w:rPr>
              <w:t xml:space="preserve"> z dne</w:t>
            </w:r>
            <w:r w:rsidRPr="009912DA">
              <w:rPr>
                <w:rFonts w:cs="Arial"/>
                <w:color w:val="000000" w:themeColor="text1"/>
                <w:szCs w:val="20"/>
              </w:rPr>
              <w:t xml:space="preserve"> 16.</w:t>
            </w:r>
            <w:r>
              <w:rPr>
                <w:rFonts w:cs="Arial"/>
                <w:color w:val="000000" w:themeColor="text1"/>
                <w:szCs w:val="20"/>
              </w:rPr>
              <w:t xml:space="preserve"> </w:t>
            </w:r>
            <w:r w:rsidRPr="009912DA">
              <w:rPr>
                <w:rFonts w:cs="Arial"/>
                <w:color w:val="000000" w:themeColor="text1"/>
                <w:szCs w:val="20"/>
              </w:rPr>
              <w:t>12.</w:t>
            </w:r>
            <w:r>
              <w:rPr>
                <w:rFonts w:cs="Arial"/>
                <w:color w:val="000000" w:themeColor="text1"/>
                <w:szCs w:val="20"/>
              </w:rPr>
              <w:t xml:space="preserve"> </w:t>
            </w:r>
            <w:r w:rsidRPr="009912DA">
              <w:rPr>
                <w:rFonts w:cs="Arial"/>
                <w:color w:val="000000" w:themeColor="text1"/>
                <w:szCs w:val="20"/>
              </w:rPr>
              <w:t>2022, str. 15</w:t>
            </w:r>
            <w:r>
              <w:rPr>
                <w:rFonts w:cs="Arial"/>
                <w:color w:val="000000" w:themeColor="text1"/>
                <w:szCs w:val="20"/>
              </w:rPr>
              <w:t xml:space="preserve">; </w:t>
            </w:r>
            <w:r w:rsidRPr="00605612">
              <w:rPr>
                <w:rFonts w:cs="Arial"/>
                <w:color w:val="000000" w:themeColor="text1"/>
                <w:szCs w:val="20"/>
              </w:rPr>
              <w:t>v nadaljnjem besedilu: Direktiva 2022/2464/EU). Posega se tudi v del poglavja ZGD-1 o delniški družbi, ki ureja skupne določbe za organe vodenja ali nadzora, saj se prenaša Direktiva (EU) 2022/2381 Evropskega parlamenta in Sveta z dne 23. novembra 2022 o zagotavljanju uravnotežene zastopanosti spolov med direktorji družb, ki kotirajo na borzi, in s tem povezanih ukrepih (</w:t>
            </w:r>
            <w:r w:rsidRPr="00FC0C66">
              <w:rPr>
                <w:rFonts w:cs="Arial"/>
                <w:color w:val="000000" w:themeColor="text1"/>
                <w:szCs w:val="20"/>
              </w:rPr>
              <w:t xml:space="preserve">UL L </w:t>
            </w:r>
            <w:r>
              <w:rPr>
                <w:rFonts w:cs="Arial"/>
                <w:color w:val="000000" w:themeColor="text1"/>
                <w:szCs w:val="20"/>
              </w:rPr>
              <w:t xml:space="preserve">št. </w:t>
            </w:r>
            <w:r w:rsidRPr="00FC0C66">
              <w:rPr>
                <w:rFonts w:cs="Arial"/>
                <w:color w:val="000000" w:themeColor="text1"/>
                <w:szCs w:val="20"/>
              </w:rPr>
              <w:t>315</w:t>
            </w:r>
            <w:r>
              <w:rPr>
                <w:rFonts w:cs="Arial"/>
                <w:color w:val="000000" w:themeColor="text1"/>
                <w:szCs w:val="20"/>
              </w:rPr>
              <w:t xml:space="preserve"> z dne</w:t>
            </w:r>
            <w:r w:rsidRPr="00FC0C66">
              <w:rPr>
                <w:rFonts w:cs="Arial"/>
                <w:color w:val="000000" w:themeColor="text1"/>
                <w:szCs w:val="20"/>
              </w:rPr>
              <w:t xml:space="preserve"> 7.</w:t>
            </w:r>
            <w:r>
              <w:rPr>
                <w:rFonts w:cs="Arial"/>
                <w:color w:val="000000" w:themeColor="text1"/>
                <w:szCs w:val="20"/>
              </w:rPr>
              <w:t xml:space="preserve"> </w:t>
            </w:r>
            <w:r w:rsidRPr="00FC0C66">
              <w:rPr>
                <w:rFonts w:cs="Arial"/>
                <w:color w:val="000000" w:themeColor="text1"/>
                <w:szCs w:val="20"/>
              </w:rPr>
              <w:t>12.</w:t>
            </w:r>
            <w:r>
              <w:rPr>
                <w:rFonts w:cs="Arial"/>
                <w:color w:val="000000" w:themeColor="text1"/>
                <w:szCs w:val="20"/>
              </w:rPr>
              <w:t xml:space="preserve"> </w:t>
            </w:r>
            <w:r w:rsidRPr="00FC0C66">
              <w:rPr>
                <w:rFonts w:cs="Arial"/>
                <w:color w:val="000000" w:themeColor="text1"/>
                <w:szCs w:val="20"/>
              </w:rPr>
              <w:t>2022, str. 44</w:t>
            </w:r>
            <w:r>
              <w:rPr>
                <w:rFonts w:cs="Arial"/>
                <w:color w:val="000000" w:themeColor="text1"/>
                <w:szCs w:val="20"/>
              </w:rPr>
              <w:t xml:space="preserve">; </w:t>
            </w:r>
            <w:r w:rsidRPr="00605612">
              <w:rPr>
                <w:rFonts w:cs="Arial"/>
                <w:color w:val="000000" w:themeColor="text1"/>
                <w:szCs w:val="20"/>
              </w:rPr>
              <w:t>v nadaljnjem besedilu: Direktiva 2022/2381/EU).</w:t>
            </w:r>
            <w:r>
              <w:rPr>
                <w:rFonts w:cs="Arial"/>
                <w:color w:val="000000" w:themeColor="text1"/>
                <w:szCs w:val="20"/>
              </w:rPr>
              <w:t xml:space="preserve"> </w:t>
            </w:r>
            <w:r w:rsidRPr="00605612">
              <w:rPr>
                <w:rFonts w:cs="Arial"/>
                <w:color w:val="000000" w:themeColor="text1"/>
                <w:szCs w:val="20"/>
              </w:rPr>
              <w:t xml:space="preserve">S predlogom zakona se posega </w:t>
            </w:r>
            <w:r>
              <w:rPr>
                <w:rFonts w:cs="Arial"/>
                <w:color w:val="000000" w:themeColor="text1"/>
                <w:szCs w:val="20"/>
              </w:rPr>
              <w:t xml:space="preserve">tudi </w:t>
            </w:r>
            <w:r w:rsidRPr="00605612">
              <w:rPr>
                <w:rFonts w:cs="Arial"/>
                <w:color w:val="000000" w:themeColor="text1"/>
                <w:szCs w:val="20"/>
              </w:rPr>
              <w:t>v poglavje ZGD-1</w:t>
            </w:r>
            <w:r>
              <w:rPr>
                <w:rFonts w:cs="Arial"/>
                <w:color w:val="000000" w:themeColor="text1"/>
                <w:szCs w:val="20"/>
              </w:rPr>
              <w:t xml:space="preserve">, ki ureja določbe o velikosti družb za razvrščanje in prerazvrščanje družb zaradi prenosa </w:t>
            </w:r>
            <w:r w:rsidRPr="00307703">
              <w:rPr>
                <w:rFonts w:cs="Arial"/>
                <w:szCs w:val="20"/>
              </w:rPr>
              <w:t>Delegiran</w:t>
            </w:r>
            <w:r>
              <w:rPr>
                <w:rFonts w:cs="Arial"/>
                <w:szCs w:val="20"/>
              </w:rPr>
              <w:t>e</w:t>
            </w:r>
            <w:r w:rsidRPr="00307703">
              <w:rPr>
                <w:rFonts w:cs="Arial"/>
                <w:szCs w:val="20"/>
              </w:rPr>
              <w:t xml:space="preserve"> direktiv</w:t>
            </w:r>
            <w:r>
              <w:rPr>
                <w:rFonts w:cs="Arial"/>
                <w:szCs w:val="20"/>
              </w:rPr>
              <w:t>e</w:t>
            </w:r>
            <w:r w:rsidRPr="00307703">
              <w:rPr>
                <w:rFonts w:cs="Arial"/>
                <w:szCs w:val="20"/>
              </w:rPr>
              <w:t xml:space="preserve"> </w:t>
            </w:r>
            <w:r>
              <w:rPr>
                <w:rFonts w:cs="Arial"/>
                <w:szCs w:val="20"/>
              </w:rPr>
              <w:t>K</w:t>
            </w:r>
            <w:r w:rsidRPr="00307703">
              <w:rPr>
                <w:rFonts w:cs="Arial"/>
                <w:szCs w:val="20"/>
              </w:rPr>
              <w:t xml:space="preserve">omisije (EU) </w:t>
            </w:r>
            <w:r w:rsidRPr="004D3828">
              <w:rPr>
                <w:rFonts w:cs="Arial"/>
                <w:szCs w:val="20"/>
              </w:rPr>
              <w:t>2023/2775</w:t>
            </w:r>
            <w:r>
              <w:rPr>
                <w:rFonts w:cs="Arial"/>
                <w:szCs w:val="20"/>
              </w:rPr>
              <w:t xml:space="preserve"> </w:t>
            </w:r>
            <w:r w:rsidRPr="00307703">
              <w:rPr>
                <w:rFonts w:cs="Arial"/>
                <w:szCs w:val="20"/>
              </w:rPr>
              <w:t>z dne 17.</w:t>
            </w:r>
            <w:r>
              <w:rPr>
                <w:rFonts w:cs="Arial"/>
                <w:szCs w:val="20"/>
              </w:rPr>
              <w:t xml:space="preserve"> oktobra </w:t>
            </w:r>
            <w:r w:rsidRPr="00307703">
              <w:rPr>
                <w:rFonts w:cs="Arial"/>
                <w:szCs w:val="20"/>
              </w:rPr>
              <w:t>2023</w:t>
            </w:r>
            <w:r>
              <w:rPr>
                <w:rFonts w:cs="Arial"/>
                <w:szCs w:val="20"/>
              </w:rPr>
              <w:t xml:space="preserve"> </w:t>
            </w:r>
            <w:r w:rsidRPr="00307703">
              <w:rPr>
                <w:rFonts w:cs="Arial"/>
                <w:szCs w:val="20"/>
              </w:rPr>
              <w:t>o spremembi Direktive 2013/34/EU Evropskega parlamenta in Sveta v zvezi s</w:t>
            </w:r>
            <w:r>
              <w:rPr>
                <w:rFonts w:cs="Arial"/>
                <w:szCs w:val="20"/>
              </w:rPr>
              <w:t xml:space="preserve"> </w:t>
            </w:r>
            <w:r w:rsidRPr="00307703">
              <w:rPr>
                <w:rFonts w:cs="Arial"/>
                <w:szCs w:val="20"/>
              </w:rPr>
              <w:t>prilagoditvijo meril velikosti mikro, malih, srednjih in velikih podjetij ali skupin</w:t>
            </w:r>
            <w:r>
              <w:rPr>
                <w:rFonts w:cs="Arial"/>
                <w:szCs w:val="20"/>
              </w:rPr>
              <w:t xml:space="preserve"> (</w:t>
            </w:r>
            <w:r w:rsidRPr="007C6D86">
              <w:rPr>
                <w:rFonts w:cs="Arial"/>
                <w:szCs w:val="20"/>
              </w:rPr>
              <w:t>UL L</w:t>
            </w:r>
            <w:r>
              <w:rPr>
                <w:rFonts w:cs="Arial"/>
                <w:szCs w:val="20"/>
              </w:rPr>
              <w:t xml:space="preserve"> št.</w:t>
            </w:r>
            <w:r w:rsidRPr="007C6D86">
              <w:rPr>
                <w:rFonts w:cs="Arial"/>
                <w:szCs w:val="20"/>
              </w:rPr>
              <w:t xml:space="preserve"> 2023/2775</w:t>
            </w:r>
            <w:r>
              <w:rPr>
                <w:rFonts w:cs="Arial"/>
                <w:szCs w:val="20"/>
              </w:rPr>
              <w:t xml:space="preserve"> z dne</w:t>
            </w:r>
            <w:r w:rsidRPr="007C6D86">
              <w:rPr>
                <w:rFonts w:cs="Arial"/>
                <w:szCs w:val="20"/>
              </w:rPr>
              <w:t xml:space="preserve"> 21.</w:t>
            </w:r>
            <w:r>
              <w:rPr>
                <w:rFonts w:cs="Arial"/>
                <w:szCs w:val="20"/>
              </w:rPr>
              <w:t xml:space="preserve"> </w:t>
            </w:r>
            <w:r w:rsidRPr="007C6D86">
              <w:rPr>
                <w:rFonts w:cs="Arial"/>
                <w:szCs w:val="20"/>
              </w:rPr>
              <w:t>12.</w:t>
            </w:r>
            <w:r>
              <w:rPr>
                <w:rFonts w:cs="Arial"/>
                <w:szCs w:val="20"/>
              </w:rPr>
              <w:t xml:space="preserve"> </w:t>
            </w:r>
            <w:r w:rsidRPr="007C6D86">
              <w:rPr>
                <w:rFonts w:cs="Arial"/>
                <w:szCs w:val="20"/>
              </w:rPr>
              <w:t>2023</w:t>
            </w:r>
            <w:r>
              <w:rPr>
                <w:rFonts w:cs="Arial"/>
                <w:szCs w:val="20"/>
              </w:rPr>
              <w:t xml:space="preserve">; v nadaljnjem besedilu: Direktiva </w:t>
            </w:r>
            <w:r w:rsidRPr="00847FE3">
              <w:rPr>
                <w:rFonts w:cs="Arial"/>
                <w:szCs w:val="20"/>
              </w:rPr>
              <w:t>2023/2775</w:t>
            </w:r>
            <w:r>
              <w:rPr>
                <w:rFonts w:cs="Arial"/>
                <w:szCs w:val="20"/>
              </w:rPr>
              <w:t>/EU)</w:t>
            </w:r>
            <w:r>
              <w:rPr>
                <w:rFonts w:cs="Arial"/>
                <w:color w:val="000000" w:themeColor="text1"/>
                <w:szCs w:val="20"/>
              </w:rPr>
              <w:t xml:space="preserve">. </w:t>
            </w:r>
          </w:p>
          <w:p w14:paraId="0F8F83CC" w14:textId="77777777" w:rsidR="000C08CA" w:rsidRPr="00605612" w:rsidRDefault="000C08CA" w:rsidP="00FE328D">
            <w:pPr>
              <w:spacing w:line="276" w:lineRule="auto"/>
              <w:jc w:val="both"/>
              <w:rPr>
                <w:rFonts w:cs="Arial"/>
                <w:color w:val="000000" w:themeColor="text1"/>
                <w:szCs w:val="20"/>
              </w:rPr>
            </w:pPr>
          </w:p>
        </w:tc>
      </w:tr>
      <w:tr w:rsidR="000C08CA" w:rsidRPr="00605612" w14:paraId="25B5CE11" w14:textId="77777777" w:rsidTr="4DB7FD0D">
        <w:tc>
          <w:tcPr>
            <w:tcW w:w="9072" w:type="dxa"/>
          </w:tcPr>
          <w:p w14:paraId="5055A2F4" w14:textId="77777777" w:rsidR="000C08CA" w:rsidRPr="00605612" w:rsidRDefault="000C08CA" w:rsidP="00FE328D">
            <w:pPr>
              <w:pStyle w:val="tevilnatoka"/>
              <w:numPr>
                <w:ilvl w:val="0"/>
                <w:numId w:val="0"/>
              </w:numPr>
              <w:spacing w:line="276" w:lineRule="auto"/>
              <w:rPr>
                <w:rFonts w:cs="Arial"/>
                <w:b/>
                <w:color w:val="000000" w:themeColor="text1"/>
                <w:sz w:val="20"/>
                <w:szCs w:val="20"/>
              </w:rPr>
            </w:pPr>
            <w:r w:rsidRPr="00605612">
              <w:rPr>
                <w:rFonts w:cs="Arial"/>
                <w:b/>
                <w:color w:val="000000" w:themeColor="text1"/>
                <w:sz w:val="20"/>
                <w:szCs w:val="20"/>
              </w:rPr>
              <w:lastRenderedPageBreak/>
              <w:t>Direktiva 2021/2101/EU</w:t>
            </w:r>
          </w:p>
          <w:p w14:paraId="005952B8" w14:textId="77777777" w:rsidR="000C08CA" w:rsidRPr="00605612" w:rsidRDefault="000C08CA" w:rsidP="00FE328D">
            <w:pPr>
              <w:pStyle w:val="tevilnatoka"/>
              <w:numPr>
                <w:ilvl w:val="0"/>
                <w:numId w:val="0"/>
              </w:numPr>
              <w:spacing w:line="276" w:lineRule="auto"/>
              <w:ind w:left="720"/>
              <w:rPr>
                <w:rFonts w:cs="Arial"/>
                <w:color w:val="000000" w:themeColor="text1"/>
                <w:sz w:val="20"/>
                <w:szCs w:val="20"/>
              </w:rPr>
            </w:pPr>
          </w:p>
          <w:p w14:paraId="7DC71BC8" w14:textId="77777777" w:rsidR="000C08CA" w:rsidRPr="00605612" w:rsidRDefault="000C08CA" w:rsidP="00FE328D">
            <w:pPr>
              <w:tabs>
                <w:tab w:val="left" w:pos="4742"/>
              </w:tabs>
              <w:spacing w:line="276" w:lineRule="auto"/>
              <w:jc w:val="both"/>
              <w:rPr>
                <w:rFonts w:cs="Arial"/>
                <w:color w:val="000000" w:themeColor="text1"/>
                <w:szCs w:val="20"/>
              </w:rPr>
            </w:pPr>
            <w:r w:rsidRPr="00605612">
              <w:rPr>
                <w:rFonts w:cs="Arial"/>
                <w:color w:val="000000" w:themeColor="text1"/>
                <w:szCs w:val="20"/>
              </w:rPr>
              <w:t xml:space="preserve">Splošni cilj Direktive 2021/2101/EU ki sta jo Evropski parlament in Svet </w:t>
            </w:r>
            <w:r>
              <w:rPr>
                <w:rFonts w:cs="Arial"/>
                <w:color w:val="000000" w:themeColor="text1"/>
                <w:szCs w:val="20"/>
              </w:rPr>
              <w:t>E</w:t>
            </w:r>
            <w:r w:rsidRPr="00605612">
              <w:rPr>
                <w:rFonts w:cs="Arial"/>
                <w:color w:val="000000" w:themeColor="text1"/>
                <w:szCs w:val="20"/>
              </w:rPr>
              <w:t xml:space="preserve">vropske unije sprejela 24. 11. 2021 je zagotoviti preglednost poslovanja gospodarskih družb, </w:t>
            </w:r>
            <w:r>
              <w:rPr>
                <w:rFonts w:cs="Arial"/>
                <w:color w:val="000000" w:themeColor="text1"/>
                <w:szCs w:val="20"/>
              </w:rPr>
              <w:t>saj</w:t>
            </w:r>
            <w:r w:rsidRPr="00605612">
              <w:rPr>
                <w:rFonts w:cs="Arial"/>
                <w:color w:val="000000" w:themeColor="text1"/>
                <w:szCs w:val="20"/>
              </w:rPr>
              <w:t xml:space="preserve"> je ključna za dobro delovanje notranjega trga.</w:t>
            </w:r>
          </w:p>
          <w:p w14:paraId="5A81B7AD" w14:textId="77777777" w:rsidR="000C08CA" w:rsidRPr="00605612" w:rsidRDefault="000C08CA" w:rsidP="00FE328D">
            <w:pPr>
              <w:tabs>
                <w:tab w:val="left" w:pos="4742"/>
              </w:tabs>
              <w:spacing w:line="276" w:lineRule="auto"/>
              <w:jc w:val="both"/>
              <w:rPr>
                <w:rFonts w:cs="Arial"/>
                <w:color w:val="000000" w:themeColor="text1"/>
                <w:szCs w:val="20"/>
              </w:rPr>
            </w:pPr>
          </w:p>
          <w:p w14:paraId="3D703EFD" w14:textId="77777777" w:rsidR="000C08CA" w:rsidRPr="00605612" w:rsidRDefault="000C08CA" w:rsidP="00FE328D">
            <w:pPr>
              <w:tabs>
                <w:tab w:val="left" w:pos="4742"/>
              </w:tabs>
              <w:spacing w:line="276" w:lineRule="auto"/>
              <w:jc w:val="both"/>
              <w:rPr>
                <w:rFonts w:cs="Arial"/>
                <w:color w:val="000000" w:themeColor="text1"/>
                <w:szCs w:val="20"/>
              </w:rPr>
            </w:pPr>
            <w:r>
              <w:rPr>
                <w:rFonts w:cs="Arial"/>
                <w:color w:val="000000" w:themeColor="text1"/>
                <w:szCs w:val="20"/>
              </w:rPr>
              <w:t>Evropska k</w:t>
            </w:r>
            <w:r w:rsidRPr="00605612">
              <w:rPr>
                <w:rFonts w:cs="Arial"/>
                <w:color w:val="000000" w:themeColor="text1"/>
                <w:szCs w:val="20"/>
              </w:rPr>
              <w:t>omisija</w:t>
            </w:r>
            <w:r>
              <w:rPr>
                <w:rFonts w:cs="Arial"/>
                <w:color w:val="000000" w:themeColor="text1"/>
                <w:szCs w:val="20"/>
              </w:rPr>
              <w:t xml:space="preserve"> (v nadaljnjem besedilu: Komisija)</w:t>
            </w:r>
            <w:r w:rsidRPr="00605612">
              <w:rPr>
                <w:rFonts w:cs="Arial"/>
                <w:color w:val="000000" w:themeColor="text1"/>
                <w:szCs w:val="20"/>
              </w:rPr>
              <w:t xml:space="preserve"> je že v sporočilu z dne 25. oktobra 2011 z naslovom Obnovljena strategija EU za družbeno odgovornost podjetij za obdobje 2011–14 družbeno odgovornost gospodarskih družb opredelila kot odgovornost za njihov vpliv na družbo. Družbeno odgovornost podjetij bi morale voditi družbe </w:t>
            </w:r>
            <w:r>
              <w:rPr>
                <w:rFonts w:cs="Arial"/>
                <w:color w:val="000000" w:themeColor="text1"/>
                <w:szCs w:val="20"/>
              </w:rPr>
              <w:t xml:space="preserve">in </w:t>
            </w:r>
            <w:r w:rsidRPr="00605612">
              <w:rPr>
                <w:rFonts w:cs="Arial"/>
                <w:color w:val="000000" w:themeColor="text1"/>
                <w:szCs w:val="20"/>
              </w:rPr>
              <w:t>pomeni, da si družbe pri vsakodnevnih poslovnih dejavnostih prostovoljno prizadevajo upoštevati družbene in okoljske potrebe. Javni organi pa lahko zagotavljajo podporo s premišljeno kombinacijo prostovoljnih ukrepov politike in po potrebi z dopolnilnimi predpisi. Družbe lahko presežejo spoštovanje zakonov in postanejo družbeno odgovorn</w:t>
            </w:r>
            <w:r>
              <w:rPr>
                <w:rFonts w:cs="Arial"/>
                <w:color w:val="000000" w:themeColor="text1"/>
                <w:szCs w:val="20"/>
              </w:rPr>
              <w:t>e</w:t>
            </w:r>
            <w:r w:rsidRPr="00605612">
              <w:rPr>
                <w:rFonts w:cs="Arial"/>
                <w:color w:val="000000" w:themeColor="text1"/>
                <w:szCs w:val="20"/>
              </w:rPr>
              <w:t xml:space="preserve"> z vključevanjem socialnih, okoljskih, etičnih in potrošniških vprašanj ter vprašanj v zvezi s človekovimi pravicami v poslovno strategijo in dejavnosti. </w:t>
            </w:r>
          </w:p>
          <w:p w14:paraId="162D5345" w14:textId="77777777" w:rsidR="000C08CA" w:rsidRPr="00605612" w:rsidRDefault="000C08CA" w:rsidP="00FE328D">
            <w:pPr>
              <w:tabs>
                <w:tab w:val="left" w:pos="4742"/>
              </w:tabs>
              <w:spacing w:line="276" w:lineRule="auto"/>
              <w:jc w:val="both"/>
              <w:rPr>
                <w:rFonts w:cs="Arial"/>
                <w:color w:val="000000" w:themeColor="text1"/>
                <w:szCs w:val="20"/>
              </w:rPr>
            </w:pPr>
          </w:p>
          <w:p w14:paraId="63E02BFF" w14:textId="77777777" w:rsidR="000C08CA" w:rsidRPr="00605612" w:rsidRDefault="000C08CA" w:rsidP="00FE328D">
            <w:pPr>
              <w:tabs>
                <w:tab w:val="left" w:pos="4742"/>
              </w:tabs>
              <w:spacing w:line="276" w:lineRule="auto"/>
              <w:jc w:val="both"/>
              <w:rPr>
                <w:rFonts w:cs="Arial"/>
                <w:color w:val="000000" w:themeColor="text1"/>
                <w:szCs w:val="20"/>
              </w:rPr>
            </w:pPr>
            <w:r w:rsidRPr="00605612">
              <w:rPr>
                <w:rFonts w:cs="Arial"/>
                <w:color w:val="000000" w:themeColor="text1"/>
                <w:szCs w:val="20"/>
              </w:rPr>
              <w:lastRenderedPageBreak/>
              <w:t xml:space="preserve">Komisija je dne 16. decembra 2014 z </w:t>
            </w:r>
            <w:r>
              <w:rPr>
                <w:rFonts w:cs="Arial"/>
                <w:color w:val="000000" w:themeColor="text1"/>
                <w:szCs w:val="20"/>
              </w:rPr>
              <w:t xml:space="preserve">dokumentom </w:t>
            </w:r>
            <w:r w:rsidRPr="00605612">
              <w:rPr>
                <w:rFonts w:cs="Arial"/>
                <w:color w:val="000000" w:themeColor="text1"/>
                <w:szCs w:val="20"/>
              </w:rPr>
              <w:t>Delovni program Komisije za leto 2015 – Nov začetek in v svoj</w:t>
            </w:r>
            <w:r>
              <w:rPr>
                <w:rFonts w:cs="Arial"/>
                <w:color w:val="000000" w:themeColor="text1"/>
                <w:szCs w:val="20"/>
              </w:rPr>
              <w:t>em</w:t>
            </w:r>
            <w:r w:rsidRPr="00605612">
              <w:rPr>
                <w:rFonts w:cs="Arial"/>
                <w:color w:val="000000" w:themeColor="text1"/>
                <w:szCs w:val="20"/>
              </w:rPr>
              <w:t xml:space="preserve"> sporočil</w:t>
            </w:r>
            <w:r>
              <w:rPr>
                <w:rFonts w:cs="Arial"/>
                <w:color w:val="000000" w:themeColor="text1"/>
                <w:szCs w:val="20"/>
              </w:rPr>
              <w:t>u</w:t>
            </w:r>
            <w:r w:rsidRPr="00605612">
              <w:rPr>
                <w:rFonts w:cs="Arial"/>
                <w:color w:val="000000" w:themeColor="text1"/>
                <w:szCs w:val="20"/>
              </w:rPr>
              <w:t xml:space="preserve"> z dne 27. oktobra 2015 z naslovom Delovni program Komisije za leto 2016 – Čas je za drugačen pristop izpostavila potrebo po večji pravičnosti in preglednosti poslovanja gospodarskih družb. </w:t>
            </w:r>
          </w:p>
          <w:p w14:paraId="2A04BCBD" w14:textId="77777777" w:rsidR="000C08CA" w:rsidRPr="00605612" w:rsidRDefault="000C08CA" w:rsidP="00FE328D">
            <w:pPr>
              <w:tabs>
                <w:tab w:val="left" w:pos="4742"/>
              </w:tabs>
              <w:spacing w:line="276" w:lineRule="auto"/>
              <w:jc w:val="both"/>
              <w:rPr>
                <w:rFonts w:cs="Arial"/>
                <w:color w:val="000000" w:themeColor="text1"/>
                <w:szCs w:val="20"/>
              </w:rPr>
            </w:pPr>
          </w:p>
          <w:p w14:paraId="12C9761B" w14:textId="77777777" w:rsidR="000C08CA" w:rsidRPr="00605612" w:rsidRDefault="000C08CA" w:rsidP="00FE328D">
            <w:pPr>
              <w:tabs>
                <w:tab w:val="left" w:pos="4742"/>
              </w:tabs>
              <w:spacing w:line="276" w:lineRule="auto"/>
              <w:jc w:val="both"/>
              <w:rPr>
                <w:rFonts w:cs="Arial"/>
                <w:color w:val="000000" w:themeColor="text1"/>
                <w:szCs w:val="20"/>
              </w:rPr>
            </w:pPr>
            <w:r w:rsidRPr="00605612">
              <w:rPr>
                <w:rFonts w:cs="Arial"/>
                <w:color w:val="000000" w:themeColor="text1"/>
                <w:szCs w:val="20"/>
              </w:rPr>
              <w:t>Tudi Evropski parlament je v resoluciji z dne 26. marca 2019 poudaril potrebo po širšem javnem poročanju po državah kot sredstvu za povečanje preglednosti in krepitev javnega nadzora nad poslovanjem družb. Vzporedno z delom, ki ga je Svet opravil v boju proti izogibanju davkom od dohodkov pravnih oseb, je postalo nujno okrepiti javni nadzor nad plačevanjem davkov od dohodkov pravnih oseb (</w:t>
            </w:r>
            <w:r>
              <w:rPr>
                <w:rFonts w:cs="Arial"/>
                <w:color w:val="000000" w:themeColor="text1"/>
                <w:szCs w:val="20"/>
              </w:rPr>
              <w:t xml:space="preserve">ki jih </w:t>
            </w:r>
            <w:r w:rsidRPr="00605612">
              <w:rPr>
                <w:rFonts w:cs="Arial"/>
                <w:color w:val="000000" w:themeColor="text1"/>
                <w:szCs w:val="20"/>
              </w:rPr>
              <w:t>ustanov</w:t>
            </w:r>
            <w:r>
              <w:rPr>
                <w:rFonts w:cs="Arial"/>
                <w:color w:val="000000" w:themeColor="text1"/>
                <w:szCs w:val="20"/>
              </w:rPr>
              <w:t>ijo</w:t>
            </w:r>
            <w:r w:rsidRPr="00605612">
              <w:rPr>
                <w:rFonts w:cs="Arial"/>
                <w:color w:val="000000" w:themeColor="text1"/>
                <w:szCs w:val="20"/>
              </w:rPr>
              <w:t xml:space="preserve"> največj</w:t>
            </w:r>
            <w:r>
              <w:rPr>
                <w:rFonts w:cs="Arial"/>
                <w:color w:val="000000" w:themeColor="text1"/>
                <w:szCs w:val="20"/>
              </w:rPr>
              <w:t>e</w:t>
            </w:r>
            <w:r w:rsidRPr="00605612">
              <w:rPr>
                <w:rFonts w:cs="Arial"/>
                <w:color w:val="000000" w:themeColor="text1"/>
                <w:szCs w:val="20"/>
              </w:rPr>
              <w:t xml:space="preserve"> družb</w:t>
            </w:r>
            <w:r>
              <w:rPr>
                <w:rFonts w:cs="Arial"/>
                <w:color w:val="000000" w:themeColor="text1"/>
                <w:szCs w:val="20"/>
              </w:rPr>
              <w:t>e</w:t>
            </w:r>
            <w:r w:rsidRPr="00605612">
              <w:rPr>
                <w:rFonts w:cs="Arial"/>
                <w:color w:val="000000" w:themeColor="text1"/>
                <w:szCs w:val="20"/>
              </w:rPr>
              <w:t xml:space="preserve"> – multinacionalk</w:t>
            </w:r>
            <w:r>
              <w:rPr>
                <w:rFonts w:cs="Arial"/>
                <w:color w:val="000000" w:themeColor="text1"/>
                <w:szCs w:val="20"/>
              </w:rPr>
              <w:t>e</w:t>
            </w:r>
            <w:r w:rsidRPr="00605612">
              <w:rPr>
                <w:rFonts w:cs="Arial"/>
                <w:color w:val="000000" w:themeColor="text1"/>
                <w:szCs w:val="20"/>
              </w:rPr>
              <w:t>), ki poslujejo v</w:t>
            </w:r>
            <w:r>
              <w:rPr>
                <w:rFonts w:cs="Arial"/>
                <w:color w:val="000000" w:themeColor="text1"/>
                <w:szCs w:val="20"/>
              </w:rPr>
              <w:t xml:space="preserve"> Evropski</w:t>
            </w:r>
            <w:r w:rsidRPr="00605612">
              <w:rPr>
                <w:rFonts w:cs="Arial"/>
                <w:color w:val="000000" w:themeColor="text1"/>
                <w:szCs w:val="20"/>
              </w:rPr>
              <w:t xml:space="preserve"> </w:t>
            </w:r>
            <w:r>
              <w:rPr>
                <w:rFonts w:cs="Arial"/>
                <w:color w:val="000000" w:themeColor="text1"/>
                <w:szCs w:val="20"/>
              </w:rPr>
              <w:t>u</w:t>
            </w:r>
            <w:r w:rsidRPr="00605612">
              <w:rPr>
                <w:rFonts w:cs="Arial"/>
                <w:color w:val="000000" w:themeColor="text1"/>
                <w:szCs w:val="20"/>
              </w:rPr>
              <w:t>niji, da bi se dodatno spodbudil</w:t>
            </w:r>
            <w:r>
              <w:rPr>
                <w:rFonts w:cs="Arial"/>
                <w:color w:val="000000" w:themeColor="text1"/>
                <w:szCs w:val="20"/>
              </w:rPr>
              <w:t>i</w:t>
            </w:r>
            <w:r w:rsidRPr="00605612">
              <w:rPr>
                <w:rFonts w:cs="Arial"/>
                <w:color w:val="000000" w:themeColor="text1"/>
                <w:szCs w:val="20"/>
              </w:rPr>
              <w:t xml:space="preserve"> preglednost in družbena odgovornost družb, s čimer bi se prispevalo k splošni blaginji celotne družbe. Takšen nadzor je treba zagotoviti tudi za spodbujanje bolj informirane javne razprave, zlasti o ravni izpolnjevanja davčnih obveznosti nekaterih največjih družb (multinacionalk), ki poslujejo v Evropski uniji, in učinku izpolnjevanja davčnih obveznosti na realno gospodarstvo. Po </w:t>
            </w:r>
            <w:r>
              <w:rPr>
                <w:rFonts w:cs="Arial"/>
                <w:color w:val="000000" w:themeColor="text1"/>
                <w:szCs w:val="20"/>
              </w:rPr>
              <w:t>presoji</w:t>
            </w:r>
            <w:r w:rsidRPr="00605612">
              <w:rPr>
                <w:rFonts w:cs="Arial"/>
                <w:color w:val="000000" w:themeColor="text1"/>
                <w:szCs w:val="20"/>
              </w:rPr>
              <w:t xml:space="preserve"> Komisije je opredelitev skupnih pravil o preglednosti davka od dohodkov pravnih oseb v splošnem gospodarskem interesu, saj se s tem zagotovijo enakovredni zaščitni ukrepi v vsej Evropski uniji za splošno zaščito vlagateljev, upnikov in drugih tretjih oseb, s tem pa se prispeva k ponovni pridobitvi zaupanja državljanov Evropske unije v pravičnost nacionalnih davčnih sistemov. Takšen javni nadzor je mogoče doseči s poročanjem o davčnih informacijah v zvezi z dohodki</w:t>
            </w:r>
            <w:r>
              <w:rPr>
                <w:rFonts w:cs="Arial"/>
                <w:color w:val="000000" w:themeColor="text1"/>
                <w:szCs w:val="20"/>
              </w:rPr>
              <w:t>,</w:t>
            </w:r>
            <w:r w:rsidRPr="00605612">
              <w:rPr>
                <w:rFonts w:cs="Arial"/>
                <w:color w:val="000000" w:themeColor="text1"/>
                <w:szCs w:val="20"/>
              </w:rPr>
              <w:t xml:space="preserve"> ne glede na to, kje ima obvladujoča družba skupine ali družba, ki ne obvladuje družb </w:t>
            </w:r>
            <w:r>
              <w:rPr>
                <w:rFonts w:cs="Arial"/>
                <w:color w:val="000000" w:themeColor="text1"/>
                <w:szCs w:val="20"/>
              </w:rPr>
              <w:t xml:space="preserve">v </w:t>
            </w:r>
            <w:r w:rsidRPr="00605612">
              <w:rPr>
                <w:rFonts w:cs="Arial"/>
                <w:color w:val="000000" w:themeColor="text1"/>
                <w:szCs w:val="20"/>
              </w:rPr>
              <w:t xml:space="preserve">skupini, posluje pa na ozemljih več držav prek podružnic, svoj sedež (ali </w:t>
            </w:r>
            <w:r>
              <w:rPr>
                <w:rFonts w:cs="Arial"/>
                <w:color w:val="000000" w:themeColor="text1"/>
                <w:szCs w:val="20"/>
              </w:rPr>
              <w:t>v</w:t>
            </w:r>
            <w:r w:rsidRPr="00605612">
              <w:rPr>
                <w:rFonts w:cs="Arial"/>
                <w:color w:val="000000" w:themeColor="text1"/>
                <w:szCs w:val="20"/>
              </w:rPr>
              <w:t xml:space="preserve"> Evropsk</w:t>
            </w:r>
            <w:r>
              <w:rPr>
                <w:rFonts w:cs="Arial"/>
                <w:color w:val="000000" w:themeColor="text1"/>
                <w:szCs w:val="20"/>
              </w:rPr>
              <w:t>i</w:t>
            </w:r>
            <w:r w:rsidRPr="00605612">
              <w:rPr>
                <w:rFonts w:cs="Arial"/>
                <w:color w:val="000000" w:themeColor="text1"/>
                <w:szCs w:val="20"/>
              </w:rPr>
              <w:t xml:space="preserve"> unij</w:t>
            </w:r>
            <w:r>
              <w:rPr>
                <w:rFonts w:cs="Arial"/>
                <w:color w:val="000000" w:themeColor="text1"/>
                <w:szCs w:val="20"/>
              </w:rPr>
              <w:t>i</w:t>
            </w:r>
            <w:r w:rsidRPr="00605612">
              <w:rPr>
                <w:rFonts w:cs="Arial"/>
                <w:color w:val="000000" w:themeColor="text1"/>
                <w:szCs w:val="20"/>
              </w:rPr>
              <w:t xml:space="preserve"> ali izven </w:t>
            </w:r>
            <w:r>
              <w:rPr>
                <w:rFonts w:cs="Arial"/>
                <w:color w:val="000000" w:themeColor="text1"/>
                <w:szCs w:val="20"/>
              </w:rPr>
              <w:t>nje</w:t>
            </w:r>
            <w:r w:rsidRPr="00605612">
              <w:rPr>
                <w:rFonts w:cs="Arial"/>
                <w:color w:val="000000" w:themeColor="text1"/>
                <w:szCs w:val="20"/>
              </w:rPr>
              <w:t>).</w:t>
            </w:r>
          </w:p>
          <w:p w14:paraId="55C49C4F" w14:textId="77777777" w:rsidR="000C08CA" w:rsidRPr="00605612" w:rsidRDefault="000C08CA" w:rsidP="00FE328D">
            <w:pPr>
              <w:tabs>
                <w:tab w:val="left" w:pos="4742"/>
              </w:tabs>
              <w:spacing w:line="276" w:lineRule="auto"/>
              <w:jc w:val="both"/>
              <w:rPr>
                <w:rFonts w:cs="Arial"/>
                <w:color w:val="000000" w:themeColor="text1"/>
                <w:szCs w:val="20"/>
              </w:rPr>
            </w:pPr>
          </w:p>
          <w:p w14:paraId="72AD6CDF" w14:textId="77777777" w:rsidR="000C08CA" w:rsidRPr="00605612" w:rsidRDefault="000C08CA" w:rsidP="00FE328D">
            <w:pPr>
              <w:tabs>
                <w:tab w:val="left" w:pos="4742"/>
              </w:tabs>
              <w:spacing w:line="276" w:lineRule="auto"/>
              <w:jc w:val="both"/>
              <w:rPr>
                <w:rFonts w:cs="Arial"/>
                <w:color w:val="000000" w:themeColor="text1"/>
                <w:szCs w:val="20"/>
              </w:rPr>
            </w:pPr>
            <w:r w:rsidRPr="00605612">
              <w:rPr>
                <w:rFonts w:cs="Arial"/>
                <w:color w:val="000000" w:themeColor="text1"/>
                <w:szCs w:val="20"/>
              </w:rPr>
              <w:t xml:space="preserve">Po </w:t>
            </w:r>
            <w:r>
              <w:rPr>
                <w:rFonts w:cs="Arial"/>
                <w:color w:val="000000" w:themeColor="text1"/>
                <w:szCs w:val="20"/>
              </w:rPr>
              <w:t>presoji</w:t>
            </w:r>
            <w:r w:rsidRPr="00605612">
              <w:rPr>
                <w:rFonts w:cs="Arial"/>
                <w:color w:val="000000" w:themeColor="text1"/>
                <w:szCs w:val="20"/>
              </w:rPr>
              <w:t xml:space="preserve"> Komisije bo več preglednosti pri razkrivanju finančnih podatkov koristilo vsem, saj bo s tem civilna družba bolj vključena, zaposleni </w:t>
            </w:r>
            <w:r>
              <w:rPr>
                <w:rFonts w:cs="Arial"/>
                <w:color w:val="000000" w:themeColor="text1"/>
                <w:szCs w:val="20"/>
              </w:rPr>
              <w:t xml:space="preserve">bodo </w:t>
            </w:r>
            <w:r w:rsidRPr="00605612">
              <w:rPr>
                <w:rFonts w:cs="Arial"/>
                <w:color w:val="000000" w:themeColor="text1"/>
                <w:szCs w:val="20"/>
              </w:rPr>
              <w:t xml:space="preserve">bolje obveščeni in vlagatelji </w:t>
            </w:r>
            <w:r>
              <w:rPr>
                <w:rFonts w:cs="Arial"/>
                <w:color w:val="000000" w:themeColor="text1"/>
                <w:szCs w:val="20"/>
              </w:rPr>
              <w:t xml:space="preserve">bodo </w:t>
            </w:r>
            <w:r w:rsidRPr="00605612">
              <w:rPr>
                <w:rFonts w:cs="Arial"/>
                <w:color w:val="000000" w:themeColor="text1"/>
                <w:szCs w:val="20"/>
              </w:rPr>
              <w:t xml:space="preserve">bolj naklonjeni tveganjem. </w:t>
            </w:r>
            <w:r>
              <w:rPr>
                <w:rFonts w:cs="Arial"/>
                <w:color w:val="000000" w:themeColor="text1"/>
                <w:szCs w:val="20"/>
              </w:rPr>
              <w:t>Z</w:t>
            </w:r>
            <w:r w:rsidRPr="00605612">
              <w:rPr>
                <w:rFonts w:cs="Arial"/>
                <w:color w:val="000000" w:themeColor="text1"/>
                <w:szCs w:val="20"/>
              </w:rPr>
              <w:t>aradi boljših odnosov z deležniki bodo koristi občutile tudi družbe, kar bo vodilo do večje stabilnosti in lažjega dostopa do financiranja zaradi jasnejšega profila tveganja in boljšega ugleda.</w:t>
            </w:r>
          </w:p>
          <w:p w14:paraId="02368F9E" w14:textId="77777777" w:rsidR="000C08CA" w:rsidRPr="00605612" w:rsidRDefault="000C08CA" w:rsidP="00FE328D">
            <w:pPr>
              <w:tabs>
                <w:tab w:val="left" w:pos="4742"/>
              </w:tabs>
              <w:spacing w:line="276" w:lineRule="auto"/>
              <w:jc w:val="both"/>
              <w:rPr>
                <w:rFonts w:cs="Arial"/>
                <w:color w:val="000000" w:themeColor="text1"/>
                <w:szCs w:val="20"/>
              </w:rPr>
            </w:pPr>
          </w:p>
          <w:p w14:paraId="02304365" w14:textId="77777777" w:rsidR="000C08CA" w:rsidRPr="00605612" w:rsidRDefault="000C08CA" w:rsidP="00FE328D">
            <w:pPr>
              <w:tabs>
                <w:tab w:val="left" w:pos="4742"/>
              </w:tabs>
              <w:spacing w:line="276" w:lineRule="auto"/>
              <w:jc w:val="both"/>
              <w:rPr>
                <w:rFonts w:cs="Arial"/>
                <w:color w:val="000000" w:themeColor="text1"/>
                <w:szCs w:val="20"/>
              </w:rPr>
            </w:pPr>
            <w:r w:rsidRPr="00605612">
              <w:rPr>
                <w:rFonts w:cs="Arial"/>
                <w:color w:val="000000" w:themeColor="text1"/>
                <w:szCs w:val="20"/>
              </w:rPr>
              <w:t xml:space="preserve">Javno poročanje po državah je učinkovito in ustrezno orodje za povečanje preglednosti v zvezi z dejavnostmi multinacionalk in za omogočanje, da lahko javnost </w:t>
            </w:r>
            <w:r>
              <w:rPr>
                <w:rFonts w:cs="Arial"/>
                <w:color w:val="000000" w:themeColor="text1"/>
                <w:szCs w:val="20"/>
              </w:rPr>
              <w:t>presoja</w:t>
            </w:r>
            <w:r w:rsidRPr="00605612">
              <w:rPr>
                <w:rFonts w:cs="Arial"/>
                <w:color w:val="000000" w:themeColor="text1"/>
                <w:szCs w:val="20"/>
              </w:rPr>
              <w:t xml:space="preserve"> učinek teh dejavnosti na realno gospodarstvo. Poleg tega takšno poročanje izboljšuje zmožnost delničarjev, da pravilno ocenijo tveganja, ki jih prevzemajo družbe, vodi do naložbenih strategij, ki temeljijo na točnih in primerljivih informacijah, in povečuje zmožnost nosilcev odločanja, da </w:t>
            </w:r>
            <w:r>
              <w:rPr>
                <w:rFonts w:cs="Arial"/>
                <w:color w:val="000000" w:themeColor="text1"/>
                <w:szCs w:val="20"/>
              </w:rPr>
              <w:t>presojajo</w:t>
            </w:r>
            <w:r w:rsidRPr="00605612">
              <w:rPr>
                <w:rFonts w:cs="Arial"/>
                <w:color w:val="000000" w:themeColor="text1"/>
                <w:szCs w:val="20"/>
              </w:rPr>
              <w:t xml:space="preserve"> učinkovitost in vpliv nacionalne zakonodaje. Hkrati bo javno poročanje pozitivno vplivalo tudi na pravic</w:t>
            </w:r>
            <w:r>
              <w:rPr>
                <w:rFonts w:cs="Arial"/>
                <w:color w:val="000000" w:themeColor="text1"/>
                <w:szCs w:val="20"/>
              </w:rPr>
              <w:t>e</w:t>
            </w:r>
            <w:r w:rsidRPr="00605612">
              <w:rPr>
                <w:rFonts w:cs="Arial"/>
                <w:color w:val="000000" w:themeColor="text1"/>
                <w:szCs w:val="20"/>
              </w:rPr>
              <w:t xml:space="preserve"> zaposlenih do obveščanja in posvetovanja, kot so </w:t>
            </w:r>
            <w:r>
              <w:rPr>
                <w:rFonts w:cs="Arial"/>
                <w:color w:val="000000" w:themeColor="text1"/>
                <w:szCs w:val="20"/>
              </w:rPr>
              <w:t>navedene</w:t>
            </w:r>
            <w:r w:rsidRPr="00605612">
              <w:rPr>
                <w:rFonts w:cs="Arial"/>
                <w:color w:val="000000" w:themeColor="text1"/>
                <w:szCs w:val="20"/>
              </w:rPr>
              <w:t xml:space="preserve"> v </w:t>
            </w:r>
            <w:r w:rsidRPr="00EF0818">
              <w:rPr>
                <w:rFonts w:cs="Arial"/>
                <w:color w:val="000000" w:themeColor="text1"/>
                <w:szCs w:val="20"/>
              </w:rPr>
              <w:t>Direktiv</w:t>
            </w:r>
            <w:r>
              <w:rPr>
                <w:rFonts w:cs="Arial"/>
                <w:color w:val="000000" w:themeColor="text1"/>
                <w:szCs w:val="20"/>
              </w:rPr>
              <w:t>i</w:t>
            </w:r>
            <w:r w:rsidRPr="00EF0818">
              <w:rPr>
                <w:rFonts w:cs="Arial"/>
                <w:color w:val="000000" w:themeColor="text1"/>
                <w:szCs w:val="20"/>
              </w:rPr>
              <w:t xml:space="preserve"> 2002/14/ES Evropskega parlamenta </w:t>
            </w:r>
            <w:r>
              <w:rPr>
                <w:rFonts w:cs="Arial"/>
                <w:color w:val="000000" w:themeColor="text1"/>
                <w:szCs w:val="20"/>
              </w:rPr>
              <w:t>i</w:t>
            </w:r>
            <w:r w:rsidRPr="00EF0818">
              <w:rPr>
                <w:rFonts w:cs="Arial"/>
                <w:color w:val="000000" w:themeColor="text1"/>
                <w:szCs w:val="20"/>
              </w:rPr>
              <w:t>n Sveta z dne 11. marca 2002 o določitvi splošnega okvira za obveščanje in posvetovanje z delavci v Evropski skupnosti</w:t>
            </w:r>
            <w:r>
              <w:rPr>
                <w:rFonts w:cs="Arial"/>
                <w:color w:val="000000" w:themeColor="text1"/>
                <w:szCs w:val="20"/>
              </w:rPr>
              <w:t xml:space="preserve"> (</w:t>
            </w:r>
            <w:r w:rsidRPr="003B58C5">
              <w:rPr>
                <w:rFonts w:cs="Arial"/>
                <w:color w:val="000000" w:themeColor="text1"/>
                <w:szCs w:val="20"/>
              </w:rPr>
              <w:t xml:space="preserve">UL L </w:t>
            </w:r>
            <w:r>
              <w:rPr>
                <w:rFonts w:cs="Arial"/>
                <w:color w:val="000000" w:themeColor="text1"/>
                <w:szCs w:val="20"/>
              </w:rPr>
              <w:t xml:space="preserve">št. </w:t>
            </w:r>
            <w:r w:rsidRPr="003B58C5">
              <w:rPr>
                <w:rFonts w:cs="Arial"/>
                <w:color w:val="000000" w:themeColor="text1"/>
                <w:szCs w:val="20"/>
              </w:rPr>
              <w:t>80</w:t>
            </w:r>
            <w:r>
              <w:rPr>
                <w:rFonts w:cs="Arial"/>
                <w:color w:val="000000" w:themeColor="text1"/>
                <w:szCs w:val="20"/>
              </w:rPr>
              <w:t xml:space="preserve"> z dne</w:t>
            </w:r>
            <w:r w:rsidRPr="003B58C5">
              <w:rPr>
                <w:rFonts w:cs="Arial"/>
                <w:color w:val="000000" w:themeColor="text1"/>
                <w:szCs w:val="20"/>
              </w:rPr>
              <w:t xml:space="preserve"> 23.</w:t>
            </w:r>
            <w:r>
              <w:rPr>
                <w:rFonts w:cs="Arial"/>
                <w:color w:val="000000" w:themeColor="text1"/>
                <w:szCs w:val="20"/>
              </w:rPr>
              <w:t xml:space="preserve"> </w:t>
            </w:r>
            <w:r w:rsidRPr="003B58C5">
              <w:rPr>
                <w:rFonts w:cs="Arial"/>
                <w:color w:val="000000" w:themeColor="text1"/>
                <w:szCs w:val="20"/>
              </w:rPr>
              <w:t>3.</w:t>
            </w:r>
            <w:r>
              <w:rPr>
                <w:rFonts w:cs="Arial"/>
                <w:color w:val="000000" w:themeColor="text1"/>
                <w:szCs w:val="20"/>
              </w:rPr>
              <w:t xml:space="preserve"> </w:t>
            </w:r>
            <w:r w:rsidRPr="003B58C5">
              <w:rPr>
                <w:rFonts w:cs="Arial"/>
                <w:color w:val="000000" w:themeColor="text1"/>
                <w:szCs w:val="20"/>
              </w:rPr>
              <w:t>2002, str. 29</w:t>
            </w:r>
            <w:r>
              <w:rPr>
                <w:rFonts w:cs="Arial"/>
                <w:color w:val="000000" w:themeColor="text1"/>
                <w:szCs w:val="20"/>
              </w:rPr>
              <w:t>)</w:t>
            </w:r>
            <w:r w:rsidRPr="00605612">
              <w:rPr>
                <w:rFonts w:cs="Arial"/>
                <w:color w:val="000000" w:themeColor="text1"/>
                <w:szCs w:val="20"/>
              </w:rPr>
              <w:t xml:space="preserve">, saj bodo lahko zaposleni </w:t>
            </w:r>
            <w:r>
              <w:rPr>
                <w:rFonts w:cs="Arial"/>
                <w:color w:val="000000" w:themeColor="text1"/>
                <w:szCs w:val="20"/>
              </w:rPr>
              <w:t>na podlagi</w:t>
            </w:r>
            <w:r w:rsidRPr="00605612">
              <w:rPr>
                <w:rFonts w:cs="Arial"/>
                <w:color w:val="000000" w:themeColor="text1"/>
                <w:szCs w:val="20"/>
              </w:rPr>
              <w:t xml:space="preserve"> več informacij izboljšali vedenje o dejavnostih družbe ter kakovost dialoga, ki poteka </w:t>
            </w:r>
            <w:r>
              <w:rPr>
                <w:rFonts w:cs="Arial"/>
                <w:color w:val="000000" w:themeColor="text1"/>
                <w:szCs w:val="20"/>
              </w:rPr>
              <w:t>v</w:t>
            </w:r>
            <w:r w:rsidRPr="00605612">
              <w:rPr>
                <w:rFonts w:cs="Arial"/>
                <w:color w:val="000000" w:themeColor="text1"/>
                <w:szCs w:val="20"/>
              </w:rPr>
              <w:t xml:space="preserve"> družb</w:t>
            </w:r>
            <w:r>
              <w:rPr>
                <w:rFonts w:cs="Arial"/>
                <w:color w:val="000000" w:themeColor="text1"/>
                <w:szCs w:val="20"/>
              </w:rPr>
              <w:t>i</w:t>
            </w:r>
            <w:r w:rsidRPr="00605612">
              <w:rPr>
                <w:rFonts w:cs="Arial"/>
                <w:color w:val="000000" w:themeColor="text1"/>
                <w:szCs w:val="20"/>
              </w:rPr>
              <w:t xml:space="preserve">, v kateri so zaposleni. Ob vsem navedenem je zelo pomembno poskrbeti tudi, da se javni nadzor nad </w:t>
            </w:r>
            <w:r>
              <w:rPr>
                <w:rFonts w:cs="Arial"/>
                <w:color w:val="000000" w:themeColor="text1"/>
                <w:szCs w:val="20"/>
              </w:rPr>
              <w:t>nekaterimi</w:t>
            </w:r>
            <w:r w:rsidRPr="00605612">
              <w:rPr>
                <w:rFonts w:cs="Arial"/>
                <w:color w:val="000000" w:themeColor="text1"/>
                <w:szCs w:val="20"/>
              </w:rPr>
              <w:t xml:space="preserve"> informacijami v zvezi z dohodki družb izvaja brez škode naložbenemu okolju </w:t>
            </w:r>
            <w:r>
              <w:rPr>
                <w:rFonts w:cs="Arial"/>
                <w:color w:val="000000" w:themeColor="text1"/>
                <w:szCs w:val="20"/>
              </w:rPr>
              <w:t>in</w:t>
            </w:r>
            <w:r w:rsidRPr="00605612">
              <w:rPr>
                <w:rFonts w:cs="Arial"/>
                <w:color w:val="000000" w:themeColor="text1"/>
                <w:szCs w:val="20"/>
              </w:rPr>
              <w:t xml:space="preserve"> konkurenčnosti družb Evropske unije, vključno z ma</w:t>
            </w:r>
            <w:r>
              <w:rPr>
                <w:rFonts w:cs="Arial"/>
                <w:color w:val="000000" w:themeColor="text1"/>
                <w:szCs w:val="20"/>
              </w:rPr>
              <w:t>jhn</w:t>
            </w:r>
            <w:r w:rsidRPr="00605612">
              <w:rPr>
                <w:rFonts w:cs="Arial"/>
                <w:color w:val="000000" w:themeColor="text1"/>
                <w:szCs w:val="20"/>
              </w:rPr>
              <w:t xml:space="preserve">imi in srednjimi družbami, kot so </w:t>
            </w:r>
            <w:r>
              <w:rPr>
                <w:rFonts w:cs="Arial"/>
                <w:color w:val="000000" w:themeColor="text1"/>
                <w:szCs w:val="20"/>
              </w:rPr>
              <w:t>navedene</w:t>
            </w:r>
            <w:r w:rsidRPr="00605612">
              <w:rPr>
                <w:rFonts w:cs="Arial"/>
                <w:color w:val="000000" w:themeColor="text1"/>
                <w:szCs w:val="20"/>
              </w:rPr>
              <w:t xml:space="preserve"> v Direktivi 2013/34/EU.</w:t>
            </w:r>
          </w:p>
          <w:p w14:paraId="10962681" w14:textId="77777777" w:rsidR="000C08CA" w:rsidRPr="00605612" w:rsidRDefault="000C08CA" w:rsidP="00FE328D">
            <w:pPr>
              <w:spacing w:line="276" w:lineRule="auto"/>
              <w:jc w:val="both"/>
              <w:rPr>
                <w:rFonts w:cs="Arial"/>
                <w:color w:val="000000" w:themeColor="text1"/>
                <w:szCs w:val="20"/>
              </w:rPr>
            </w:pPr>
          </w:p>
          <w:p w14:paraId="6B4FDECD" w14:textId="77777777" w:rsidR="000C08CA" w:rsidRPr="00605612" w:rsidRDefault="000C08CA" w:rsidP="00FE328D">
            <w:pPr>
              <w:autoSpaceDE w:val="0"/>
              <w:autoSpaceDN w:val="0"/>
              <w:adjustRightInd w:val="0"/>
              <w:spacing w:line="276" w:lineRule="auto"/>
              <w:jc w:val="both"/>
              <w:rPr>
                <w:rFonts w:cs="Arial"/>
                <w:color w:val="000000" w:themeColor="text1"/>
                <w:szCs w:val="20"/>
                <w:shd w:val="clear" w:color="auto" w:fill="FFFFFF"/>
              </w:rPr>
            </w:pPr>
            <w:r w:rsidRPr="00605612">
              <w:rPr>
                <w:rFonts w:cs="Arial"/>
                <w:color w:val="000000" w:themeColor="text1"/>
                <w:szCs w:val="20"/>
              </w:rPr>
              <w:t xml:space="preserve">Direktiva 2021/2101/EU določa zahtevo, da nekatere največje družbe, ki obvladujejo družbe v skupini (multinacionalke) </w:t>
            </w:r>
            <w:r>
              <w:rPr>
                <w:rFonts w:cs="Arial"/>
                <w:color w:val="000000" w:themeColor="text1"/>
                <w:szCs w:val="20"/>
              </w:rPr>
              <w:t>oziroma</w:t>
            </w:r>
            <w:r w:rsidRPr="009B1402">
              <w:rPr>
                <w:rFonts w:cs="Arial"/>
                <w:color w:val="000000" w:themeColor="text1"/>
                <w:szCs w:val="20"/>
              </w:rPr>
              <w:t xml:space="preserve"> </w:t>
            </w:r>
            <w:r>
              <w:rPr>
                <w:rFonts w:cs="Arial"/>
                <w:color w:val="000000" w:themeColor="text1"/>
                <w:szCs w:val="20"/>
              </w:rPr>
              <w:t>so</w:t>
            </w:r>
            <w:r w:rsidRPr="009B1402">
              <w:rPr>
                <w:rFonts w:cs="Arial"/>
                <w:color w:val="000000" w:themeColor="text1"/>
                <w:szCs w:val="20"/>
              </w:rPr>
              <w:t xml:space="preserve"> zavezan</w:t>
            </w:r>
            <w:r>
              <w:rPr>
                <w:rFonts w:cs="Arial"/>
                <w:color w:val="000000" w:themeColor="text1"/>
                <w:szCs w:val="20"/>
              </w:rPr>
              <w:t>e</w:t>
            </w:r>
            <w:r w:rsidRPr="009B1402">
              <w:rPr>
                <w:rFonts w:cs="Arial"/>
                <w:color w:val="000000" w:themeColor="text1"/>
                <w:szCs w:val="20"/>
              </w:rPr>
              <w:t xml:space="preserve"> </w:t>
            </w:r>
            <w:r>
              <w:rPr>
                <w:rFonts w:cs="Arial"/>
                <w:color w:val="000000" w:themeColor="text1"/>
                <w:szCs w:val="20"/>
              </w:rPr>
              <w:t xml:space="preserve">k </w:t>
            </w:r>
            <w:r w:rsidRPr="009B1402">
              <w:rPr>
                <w:rFonts w:cs="Arial"/>
                <w:color w:val="000000" w:themeColor="text1"/>
                <w:szCs w:val="20"/>
              </w:rPr>
              <w:t>pripravi konsolidiran</w:t>
            </w:r>
            <w:r>
              <w:rPr>
                <w:rFonts w:cs="Arial"/>
                <w:color w:val="000000" w:themeColor="text1"/>
                <w:szCs w:val="20"/>
              </w:rPr>
              <w:t>ega</w:t>
            </w:r>
            <w:r w:rsidRPr="009B1402">
              <w:rPr>
                <w:rFonts w:cs="Arial"/>
                <w:color w:val="000000" w:themeColor="text1"/>
                <w:szCs w:val="20"/>
              </w:rPr>
              <w:t xml:space="preserve"> letn</w:t>
            </w:r>
            <w:r>
              <w:rPr>
                <w:rFonts w:cs="Arial"/>
                <w:color w:val="000000" w:themeColor="text1"/>
                <w:szCs w:val="20"/>
              </w:rPr>
              <w:t>ega</w:t>
            </w:r>
            <w:r w:rsidRPr="009B1402">
              <w:rPr>
                <w:rFonts w:cs="Arial"/>
                <w:color w:val="000000" w:themeColor="text1"/>
                <w:szCs w:val="20"/>
              </w:rPr>
              <w:t xml:space="preserve"> poročil</w:t>
            </w:r>
            <w:r>
              <w:rPr>
                <w:rFonts w:cs="Arial"/>
                <w:color w:val="000000" w:themeColor="text1"/>
                <w:szCs w:val="20"/>
              </w:rPr>
              <w:t>a</w:t>
            </w:r>
            <w:r w:rsidRPr="009B1402">
              <w:rPr>
                <w:rFonts w:cs="Arial"/>
                <w:color w:val="000000" w:themeColor="text1"/>
                <w:szCs w:val="20"/>
              </w:rPr>
              <w:t xml:space="preserve"> za najširši krog družb v skupini </w:t>
            </w:r>
            <w:r w:rsidRPr="00605612">
              <w:rPr>
                <w:rFonts w:cs="Arial"/>
                <w:color w:val="000000" w:themeColor="text1"/>
                <w:szCs w:val="20"/>
              </w:rPr>
              <w:t>in katerih prihodk</w:t>
            </w:r>
            <w:r>
              <w:rPr>
                <w:rFonts w:cs="Arial"/>
                <w:color w:val="000000" w:themeColor="text1"/>
                <w:szCs w:val="20"/>
              </w:rPr>
              <w:t>i</w:t>
            </w:r>
            <w:r w:rsidRPr="00605612">
              <w:rPr>
                <w:rFonts w:cs="Arial"/>
                <w:color w:val="000000" w:themeColor="text1"/>
                <w:szCs w:val="20"/>
              </w:rPr>
              <w:t xml:space="preserve"> na konsolidirani ravni v dveh preteklih zaporednih poslovnih letih obakrat presega</w:t>
            </w:r>
            <w:r>
              <w:rPr>
                <w:rFonts w:cs="Arial"/>
                <w:color w:val="000000" w:themeColor="text1"/>
                <w:szCs w:val="20"/>
              </w:rPr>
              <w:t>jo</w:t>
            </w:r>
            <w:r w:rsidRPr="00605612">
              <w:rPr>
                <w:rFonts w:cs="Arial"/>
                <w:color w:val="000000" w:themeColor="text1"/>
                <w:szCs w:val="20"/>
              </w:rPr>
              <w:t xml:space="preserve"> skupno 750</w:t>
            </w:r>
            <w:r>
              <w:rPr>
                <w:rFonts w:cs="Arial"/>
                <w:color w:val="000000" w:themeColor="text1"/>
                <w:szCs w:val="20"/>
              </w:rPr>
              <w:t>,</w:t>
            </w:r>
            <w:r w:rsidRPr="00605612">
              <w:rPr>
                <w:rFonts w:cs="Arial"/>
                <w:color w:val="000000" w:themeColor="text1"/>
                <w:szCs w:val="20"/>
              </w:rPr>
              <w:t xml:space="preserve">000.000 </w:t>
            </w:r>
            <w:r>
              <w:rPr>
                <w:rFonts w:cs="Arial"/>
                <w:color w:val="000000" w:themeColor="text1"/>
                <w:szCs w:val="20"/>
              </w:rPr>
              <w:t>EUR</w:t>
            </w:r>
            <w:r w:rsidRPr="00605612">
              <w:rPr>
                <w:rFonts w:cs="Arial"/>
                <w:color w:val="000000" w:themeColor="text1"/>
                <w:szCs w:val="20"/>
              </w:rPr>
              <w:t xml:space="preserve">, pripravijo, objavijo </w:t>
            </w:r>
            <w:r>
              <w:rPr>
                <w:rFonts w:cs="Arial"/>
                <w:color w:val="000000" w:themeColor="text1"/>
                <w:szCs w:val="20"/>
              </w:rPr>
              <w:t xml:space="preserve">ali predložijo Ajpesu in </w:t>
            </w:r>
            <w:r w:rsidRPr="00605612">
              <w:rPr>
                <w:rFonts w:cs="Arial"/>
                <w:color w:val="000000" w:themeColor="text1"/>
                <w:szCs w:val="20"/>
              </w:rPr>
              <w:t>omogočijo dostop do poročila o davčnih informacijah v zvezi z dohodki</w:t>
            </w:r>
            <w:r>
              <w:rPr>
                <w:rFonts w:cs="Arial"/>
                <w:color w:val="000000" w:themeColor="text1"/>
                <w:szCs w:val="20"/>
              </w:rPr>
              <w:t xml:space="preserve"> oziroma ga </w:t>
            </w:r>
            <w:r w:rsidRPr="00774A2C">
              <w:rPr>
                <w:rFonts w:cs="Arial"/>
                <w:color w:val="000000" w:themeColor="text1"/>
                <w:szCs w:val="20"/>
              </w:rPr>
              <w:t>objavi</w:t>
            </w:r>
            <w:r>
              <w:rPr>
                <w:rFonts w:cs="Arial"/>
                <w:color w:val="000000" w:themeColor="text1"/>
                <w:szCs w:val="20"/>
              </w:rPr>
              <w:t>jo</w:t>
            </w:r>
            <w:r w:rsidRPr="00774A2C">
              <w:rPr>
                <w:rFonts w:cs="Arial"/>
                <w:color w:val="000000" w:themeColor="text1"/>
                <w:szCs w:val="20"/>
              </w:rPr>
              <w:t xml:space="preserve"> na spletni strani</w:t>
            </w:r>
            <w:r w:rsidRPr="00605612">
              <w:rPr>
                <w:rFonts w:cs="Arial"/>
                <w:color w:val="000000" w:themeColor="text1"/>
                <w:szCs w:val="20"/>
              </w:rPr>
              <w:t xml:space="preserve">. Enaka zahteva velja tudi za samostojne družbe (družbe, ki niso </w:t>
            </w:r>
            <w:r>
              <w:rPr>
                <w:rFonts w:cs="Arial"/>
                <w:color w:val="000000" w:themeColor="text1"/>
                <w:szCs w:val="20"/>
              </w:rPr>
              <w:t xml:space="preserve">v </w:t>
            </w:r>
            <w:r w:rsidRPr="00605612">
              <w:rPr>
                <w:rFonts w:cs="Arial"/>
                <w:color w:val="000000" w:themeColor="text1"/>
                <w:szCs w:val="20"/>
              </w:rPr>
              <w:t>skupin</w:t>
            </w:r>
            <w:r>
              <w:rPr>
                <w:rFonts w:cs="Arial"/>
                <w:color w:val="000000" w:themeColor="text1"/>
                <w:szCs w:val="20"/>
              </w:rPr>
              <w:t>i</w:t>
            </w:r>
            <w:r w:rsidRPr="00605612">
              <w:rPr>
                <w:rFonts w:cs="Arial"/>
                <w:color w:val="000000" w:themeColor="text1"/>
                <w:szCs w:val="20"/>
              </w:rPr>
              <w:t>), če presežejo naveden</w:t>
            </w:r>
            <w:r>
              <w:rPr>
                <w:rFonts w:cs="Arial"/>
                <w:color w:val="000000" w:themeColor="text1"/>
                <w:szCs w:val="20"/>
              </w:rPr>
              <w:t>o</w:t>
            </w:r>
            <w:r w:rsidRPr="00605612">
              <w:rPr>
                <w:rFonts w:cs="Arial"/>
                <w:color w:val="000000" w:themeColor="text1"/>
                <w:szCs w:val="20"/>
              </w:rPr>
              <w:t xml:space="preserve"> </w:t>
            </w:r>
            <w:r>
              <w:rPr>
                <w:rFonts w:cs="Arial"/>
                <w:color w:val="000000" w:themeColor="text1"/>
                <w:szCs w:val="20"/>
              </w:rPr>
              <w:t>merilo</w:t>
            </w:r>
            <w:r w:rsidRPr="00605612">
              <w:rPr>
                <w:rFonts w:cs="Arial"/>
                <w:color w:val="000000" w:themeColor="text1"/>
                <w:szCs w:val="20"/>
              </w:rPr>
              <w:t xml:space="preserve"> 750</w:t>
            </w:r>
            <w:r>
              <w:rPr>
                <w:rFonts w:cs="Arial"/>
                <w:color w:val="000000" w:themeColor="text1"/>
                <w:szCs w:val="20"/>
              </w:rPr>
              <w:t>.</w:t>
            </w:r>
            <w:r w:rsidRPr="00605612">
              <w:rPr>
                <w:rFonts w:cs="Arial"/>
                <w:color w:val="000000" w:themeColor="text1"/>
                <w:szCs w:val="20"/>
              </w:rPr>
              <w:t>000.000</w:t>
            </w:r>
            <w:r w:rsidRPr="00605612">
              <w:rPr>
                <w:rFonts w:cs="Arial"/>
                <w:szCs w:val="20"/>
              </w:rPr>
              <w:t xml:space="preserve"> </w:t>
            </w:r>
            <w:r>
              <w:rPr>
                <w:rFonts w:cs="Arial"/>
                <w:color w:val="000000" w:themeColor="text1"/>
                <w:szCs w:val="20"/>
              </w:rPr>
              <w:t>EUR</w:t>
            </w:r>
            <w:r w:rsidRPr="00605612">
              <w:rPr>
                <w:rFonts w:cs="Arial"/>
                <w:color w:val="000000" w:themeColor="text1"/>
                <w:szCs w:val="20"/>
              </w:rPr>
              <w:t xml:space="preserve"> prihodk</w:t>
            </w:r>
            <w:r>
              <w:rPr>
                <w:rFonts w:cs="Arial"/>
                <w:color w:val="000000" w:themeColor="text1"/>
                <w:szCs w:val="20"/>
              </w:rPr>
              <w:t>ov</w:t>
            </w:r>
            <w:r w:rsidRPr="00605612">
              <w:rPr>
                <w:rFonts w:cs="Arial"/>
                <w:color w:val="000000" w:themeColor="text1"/>
                <w:szCs w:val="20"/>
              </w:rPr>
              <w:t xml:space="preserve">. </w:t>
            </w:r>
            <w:r>
              <w:rPr>
                <w:rFonts w:cs="Arial"/>
                <w:color w:val="000000" w:themeColor="text1"/>
                <w:szCs w:val="20"/>
              </w:rPr>
              <w:t>K</w:t>
            </w:r>
            <w:r w:rsidRPr="00605612">
              <w:rPr>
                <w:rFonts w:cs="Arial"/>
                <w:color w:val="000000" w:themeColor="text1"/>
                <w:szCs w:val="20"/>
              </w:rPr>
              <w:t xml:space="preserve"> objavi </w:t>
            </w:r>
            <w:r>
              <w:rPr>
                <w:rFonts w:cs="Arial"/>
                <w:color w:val="000000" w:themeColor="text1"/>
                <w:szCs w:val="20"/>
              </w:rPr>
              <w:t>ali</w:t>
            </w:r>
            <w:r w:rsidRPr="00605612">
              <w:rPr>
                <w:rFonts w:cs="Arial"/>
                <w:color w:val="000000" w:themeColor="text1"/>
                <w:szCs w:val="20"/>
              </w:rPr>
              <w:t xml:space="preserve"> </w:t>
            </w:r>
            <w:r>
              <w:rPr>
                <w:rFonts w:cs="Arial"/>
                <w:color w:val="000000" w:themeColor="text1"/>
                <w:szCs w:val="20"/>
              </w:rPr>
              <w:t xml:space="preserve">predložitvi Ajpesu in </w:t>
            </w:r>
            <w:r w:rsidRPr="00605612">
              <w:rPr>
                <w:rFonts w:cs="Arial"/>
                <w:color w:val="000000" w:themeColor="text1"/>
                <w:szCs w:val="20"/>
              </w:rPr>
              <w:t xml:space="preserve">zagotovitvi dostopa do poročila o davčnih informacijah v zvezi z dohodki </w:t>
            </w:r>
            <w:r>
              <w:rPr>
                <w:rFonts w:cs="Arial"/>
                <w:color w:val="000000" w:themeColor="text1"/>
                <w:szCs w:val="20"/>
              </w:rPr>
              <w:t xml:space="preserve">ali njegovi </w:t>
            </w:r>
            <w:r w:rsidRPr="00774A2C">
              <w:rPr>
                <w:rFonts w:cs="Arial"/>
                <w:color w:val="000000" w:themeColor="text1"/>
                <w:szCs w:val="20"/>
              </w:rPr>
              <w:t>objavi na spletni strani</w:t>
            </w:r>
            <w:r w:rsidRPr="00605612">
              <w:rPr>
                <w:rFonts w:cs="Arial"/>
                <w:color w:val="000000" w:themeColor="text1"/>
                <w:szCs w:val="20"/>
              </w:rPr>
              <w:t xml:space="preserve"> </w:t>
            </w:r>
            <w:r>
              <w:rPr>
                <w:rFonts w:cs="Arial"/>
                <w:color w:val="000000" w:themeColor="text1"/>
                <w:szCs w:val="20"/>
              </w:rPr>
              <w:t xml:space="preserve">se </w:t>
            </w:r>
            <w:r w:rsidRPr="00605612">
              <w:rPr>
                <w:rFonts w:cs="Arial"/>
                <w:color w:val="000000" w:themeColor="text1"/>
                <w:szCs w:val="20"/>
              </w:rPr>
              <w:t>zavezuje</w:t>
            </w:r>
            <w:r>
              <w:rPr>
                <w:rFonts w:cs="Arial"/>
                <w:color w:val="000000" w:themeColor="text1"/>
                <w:szCs w:val="20"/>
              </w:rPr>
              <w:t>jo tudi</w:t>
            </w:r>
            <w:r w:rsidRPr="00605612">
              <w:rPr>
                <w:rFonts w:cs="Arial"/>
                <w:color w:val="000000" w:themeColor="text1"/>
                <w:szCs w:val="20"/>
              </w:rPr>
              <w:t xml:space="preserve"> odvisne družbe in podružnice tujega podjetja</w:t>
            </w:r>
            <w:r w:rsidRPr="00605612">
              <w:rPr>
                <w:rFonts w:cs="Arial"/>
                <w:szCs w:val="20"/>
              </w:rPr>
              <w:t xml:space="preserve"> </w:t>
            </w:r>
            <w:r w:rsidRPr="00605612">
              <w:rPr>
                <w:rFonts w:cs="Arial"/>
                <w:color w:val="000000" w:themeColor="text1"/>
                <w:szCs w:val="20"/>
              </w:rPr>
              <w:t xml:space="preserve">iz tretje države, če so izpolnjeni </w:t>
            </w:r>
            <w:r>
              <w:rPr>
                <w:rFonts w:cs="Arial"/>
                <w:color w:val="000000" w:themeColor="text1"/>
                <w:szCs w:val="20"/>
              </w:rPr>
              <w:t>zadevni</w:t>
            </w:r>
            <w:r w:rsidRPr="00605612">
              <w:rPr>
                <w:rFonts w:cs="Arial"/>
                <w:color w:val="000000" w:themeColor="text1"/>
                <w:szCs w:val="20"/>
              </w:rPr>
              <w:t xml:space="preserve"> pogoji. Odvisne družbe in podružnice tujega podjetja iz tretje države so dolžne objaviti oziroma </w:t>
            </w:r>
            <w:r>
              <w:rPr>
                <w:rFonts w:cs="Arial"/>
                <w:color w:val="000000" w:themeColor="text1"/>
                <w:szCs w:val="20"/>
              </w:rPr>
              <w:t xml:space="preserve">predložiti Ajpesu in </w:t>
            </w:r>
            <w:r w:rsidRPr="00605612">
              <w:rPr>
                <w:rFonts w:cs="Arial"/>
                <w:color w:val="000000" w:themeColor="text1"/>
                <w:szCs w:val="20"/>
              </w:rPr>
              <w:t>zagotoviti dostop do poročila o davčnih informacijah v zvezi z dohodki</w:t>
            </w:r>
            <w:r>
              <w:rPr>
                <w:rFonts w:cs="Arial"/>
                <w:color w:val="000000" w:themeColor="text1"/>
                <w:szCs w:val="20"/>
              </w:rPr>
              <w:t xml:space="preserve"> </w:t>
            </w:r>
            <w:r w:rsidRPr="00605612">
              <w:rPr>
                <w:rFonts w:cs="Arial"/>
                <w:color w:val="000000" w:themeColor="text1"/>
                <w:szCs w:val="20"/>
              </w:rPr>
              <w:t>obvladujoče družbe iz tretje države</w:t>
            </w:r>
            <w:r>
              <w:rPr>
                <w:rFonts w:cs="Arial"/>
                <w:color w:val="000000" w:themeColor="text1"/>
                <w:szCs w:val="20"/>
              </w:rPr>
              <w:t xml:space="preserve"> </w:t>
            </w:r>
            <w:r>
              <w:rPr>
                <w:rFonts w:cs="Arial"/>
                <w:color w:val="000000" w:themeColor="text1"/>
                <w:szCs w:val="20"/>
              </w:rPr>
              <w:lastRenderedPageBreak/>
              <w:t xml:space="preserve">oziroma ga </w:t>
            </w:r>
            <w:r w:rsidRPr="00774A2C">
              <w:rPr>
                <w:rFonts w:cs="Arial"/>
                <w:color w:val="000000" w:themeColor="text1"/>
                <w:szCs w:val="20"/>
              </w:rPr>
              <w:t>objavi</w:t>
            </w:r>
            <w:r>
              <w:rPr>
                <w:rFonts w:cs="Arial"/>
                <w:color w:val="000000" w:themeColor="text1"/>
                <w:szCs w:val="20"/>
              </w:rPr>
              <w:t>ti</w:t>
            </w:r>
            <w:r w:rsidRPr="00774A2C">
              <w:rPr>
                <w:rFonts w:cs="Arial"/>
                <w:color w:val="000000" w:themeColor="text1"/>
                <w:szCs w:val="20"/>
              </w:rPr>
              <w:t xml:space="preserve"> na spletni strani</w:t>
            </w:r>
            <w:r w:rsidRPr="00605612">
              <w:rPr>
                <w:rFonts w:cs="Arial"/>
                <w:color w:val="000000" w:themeColor="text1"/>
                <w:szCs w:val="20"/>
              </w:rPr>
              <w:t xml:space="preserve">, če ta tega ustrezno pripravi. Če odvisna družba ali podružnica poročila </w:t>
            </w:r>
            <w:r>
              <w:rPr>
                <w:rFonts w:cs="Arial"/>
                <w:color w:val="000000" w:themeColor="text1"/>
                <w:szCs w:val="20"/>
              </w:rPr>
              <w:t xml:space="preserve">o davčnih informacijah </w:t>
            </w:r>
            <w:r w:rsidRPr="00605612">
              <w:rPr>
                <w:rFonts w:cs="Arial"/>
                <w:color w:val="000000" w:themeColor="text1"/>
                <w:szCs w:val="20"/>
              </w:rPr>
              <w:t>v zvezi z dohodki od svoje obvladujoče družbe</w:t>
            </w:r>
            <w:r w:rsidRPr="00605612">
              <w:rPr>
                <w:rFonts w:cs="Arial"/>
                <w:szCs w:val="20"/>
              </w:rPr>
              <w:t xml:space="preserve"> </w:t>
            </w:r>
            <w:r w:rsidRPr="00605612">
              <w:rPr>
                <w:rFonts w:cs="Arial"/>
                <w:color w:val="000000" w:themeColor="text1"/>
                <w:szCs w:val="20"/>
              </w:rPr>
              <w:t xml:space="preserve">ne pridobi, od nje zahteva, da zagotovi vse podatke, potrebne za pripravo poročila. Če družba zahtevanih podatkov ne predloži, odvisna družba ali podružnica pripravi in objavi oziroma </w:t>
            </w:r>
            <w:r>
              <w:rPr>
                <w:rFonts w:cs="Arial"/>
                <w:color w:val="000000" w:themeColor="text1"/>
                <w:szCs w:val="20"/>
              </w:rPr>
              <w:t xml:space="preserve">predloži Ajpesu in </w:t>
            </w:r>
            <w:r w:rsidRPr="00605612">
              <w:rPr>
                <w:rFonts w:cs="Arial"/>
                <w:color w:val="000000" w:themeColor="text1"/>
                <w:szCs w:val="20"/>
              </w:rPr>
              <w:t xml:space="preserve">zagotovi dostop do poročila </w:t>
            </w:r>
            <w:r>
              <w:rPr>
                <w:rFonts w:cs="Arial"/>
                <w:color w:val="000000" w:themeColor="text1"/>
                <w:szCs w:val="20"/>
              </w:rPr>
              <w:t xml:space="preserve">o davčnih informacijah </w:t>
            </w:r>
            <w:r w:rsidRPr="00605612">
              <w:rPr>
                <w:rFonts w:cs="Arial"/>
                <w:color w:val="000000" w:themeColor="text1"/>
                <w:szCs w:val="20"/>
              </w:rPr>
              <w:t>v zvezi z dohodki</w:t>
            </w:r>
            <w:r>
              <w:rPr>
                <w:rFonts w:cs="Arial"/>
                <w:color w:val="000000" w:themeColor="text1"/>
                <w:szCs w:val="20"/>
              </w:rPr>
              <w:t xml:space="preserve"> oziroma ga </w:t>
            </w:r>
            <w:r w:rsidRPr="00774A2C">
              <w:rPr>
                <w:rFonts w:cs="Arial"/>
                <w:color w:val="000000" w:themeColor="text1"/>
                <w:szCs w:val="20"/>
              </w:rPr>
              <w:t>objavi na spletni strani</w:t>
            </w:r>
            <w:r w:rsidRPr="00605612">
              <w:rPr>
                <w:rFonts w:cs="Arial"/>
                <w:color w:val="000000" w:themeColor="text1"/>
                <w:szCs w:val="20"/>
              </w:rPr>
              <w:t xml:space="preserve">, </w:t>
            </w:r>
            <w:r>
              <w:rPr>
                <w:rFonts w:cs="Arial"/>
                <w:color w:val="000000" w:themeColor="text1"/>
                <w:szCs w:val="20"/>
              </w:rPr>
              <w:t>to poročilo pa</w:t>
            </w:r>
            <w:r w:rsidRPr="00605612">
              <w:rPr>
                <w:rFonts w:cs="Arial"/>
                <w:color w:val="000000" w:themeColor="text1"/>
                <w:szCs w:val="20"/>
              </w:rPr>
              <w:t xml:space="preserve"> vsebuje podatke, ki jih ima na voljo, jih je prejela od družbe, skupaj z izjavo, da poročilo ne vsebuje vseh zahtevanih podatkov, ker jih njena obvladujoča oziroma matična družba ni predložila. Obveznost tako velja za vse odvisne družbe in podružnice družb iz tretjih držav, razen za družbe</w:t>
            </w:r>
            <w:r w:rsidRPr="00605612">
              <w:rPr>
                <w:rFonts w:cs="Arial"/>
                <w:color w:val="000000" w:themeColor="text1"/>
                <w:szCs w:val="20"/>
                <w:shd w:val="clear" w:color="auto" w:fill="FFFFFF"/>
              </w:rPr>
              <w:t>, povezane družbe in podružnice, če imajo vse sedež v le eni državi članici.</w:t>
            </w:r>
          </w:p>
          <w:p w14:paraId="72233CAC" w14:textId="77777777" w:rsidR="000C08CA" w:rsidRPr="00605612" w:rsidRDefault="000C08CA" w:rsidP="00FE328D">
            <w:pPr>
              <w:autoSpaceDE w:val="0"/>
              <w:autoSpaceDN w:val="0"/>
              <w:adjustRightInd w:val="0"/>
              <w:spacing w:line="276" w:lineRule="auto"/>
              <w:jc w:val="both"/>
              <w:rPr>
                <w:rFonts w:cs="Arial"/>
                <w:color w:val="000000" w:themeColor="text1"/>
                <w:szCs w:val="20"/>
                <w:shd w:val="clear" w:color="auto" w:fill="FFFFFF"/>
              </w:rPr>
            </w:pPr>
          </w:p>
          <w:p w14:paraId="4CDB9755" w14:textId="77777777" w:rsidR="000C08CA" w:rsidRPr="00605612" w:rsidRDefault="000C08CA" w:rsidP="00FE328D">
            <w:pPr>
              <w:autoSpaceDE w:val="0"/>
              <w:autoSpaceDN w:val="0"/>
              <w:adjustRightInd w:val="0"/>
              <w:spacing w:line="276" w:lineRule="auto"/>
              <w:jc w:val="both"/>
              <w:rPr>
                <w:rFonts w:cs="Arial"/>
                <w:color w:val="000000" w:themeColor="text1"/>
                <w:szCs w:val="20"/>
                <w:shd w:val="clear" w:color="auto" w:fill="FFFFFF"/>
              </w:rPr>
            </w:pPr>
            <w:r w:rsidRPr="00605612">
              <w:rPr>
                <w:rFonts w:cs="Arial"/>
                <w:color w:val="000000" w:themeColor="text1"/>
                <w:szCs w:val="20"/>
                <w:shd w:val="clear" w:color="auto" w:fill="FFFFFF"/>
              </w:rPr>
              <w:t xml:space="preserve">Direktiva </w:t>
            </w:r>
            <w:r w:rsidRPr="00605612">
              <w:rPr>
                <w:rFonts w:cs="Arial"/>
                <w:color w:val="000000" w:themeColor="text1"/>
                <w:szCs w:val="20"/>
              </w:rPr>
              <w:t>2021/2101/</w:t>
            </w:r>
            <w:r>
              <w:rPr>
                <w:rFonts w:cs="Arial"/>
                <w:color w:val="000000" w:themeColor="text1"/>
                <w:szCs w:val="20"/>
              </w:rPr>
              <w:t xml:space="preserve">EU </w:t>
            </w:r>
            <w:r w:rsidRPr="00605612">
              <w:rPr>
                <w:rFonts w:cs="Arial"/>
                <w:color w:val="000000" w:themeColor="text1"/>
                <w:szCs w:val="20"/>
                <w:shd w:val="clear" w:color="auto" w:fill="FFFFFF"/>
              </w:rPr>
              <w:t>določa tudi vsebino poročila o davčnih informacijah v zvezi z dohodki gospodarskih družb. Navedeno poročilo mora vsebovati informacije v zvezi z vsemi dejavnostmi družbe, vključno z dejavnostmi vseh povezanih družb, konsolidiranih v računovodskih izkazih za posamezno poslovno leto, za katero je treba pripraviti poročilo (če prihodk</w:t>
            </w:r>
            <w:r>
              <w:rPr>
                <w:rFonts w:cs="Arial"/>
                <w:color w:val="000000" w:themeColor="text1"/>
                <w:szCs w:val="20"/>
                <w:shd w:val="clear" w:color="auto" w:fill="FFFFFF"/>
              </w:rPr>
              <w:t>i</w:t>
            </w:r>
            <w:r w:rsidRPr="00605612">
              <w:rPr>
                <w:rFonts w:cs="Arial"/>
                <w:color w:val="000000" w:themeColor="text1"/>
                <w:szCs w:val="20"/>
                <w:shd w:val="clear" w:color="auto" w:fill="FFFFFF"/>
              </w:rPr>
              <w:t xml:space="preserve"> v dveh preteklih zaporednih poslovnih letih obakrat presega</w:t>
            </w:r>
            <w:r>
              <w:rPr>
                <w:rFonts w:cs="Arial"/>
                <w:color w:val="000000" w:themeColor="text1"/>
                <w:szCs w:val="20"/>
                <w:shd w:val="clear" w:color="auto" w:fill="FFFFFF"/>
              </w:rPr>
              <w:t>jo</w:t>
            </w:r>
            <w:r w:rsidRPr="00605612">
              <w:rPr>
                <w:rFonts w:cs="Arial"/>
                <w:color w:val="000000" w:themeColor="text1"/>
                <w:szCs w:val="20"/>
                <w:shd w:val="clear" w:color="auto" w:fill="FFFFFF"/>
              </w:rPr>
              <w:t xml:space="preserve"> 750.000.000</w:t>
            </w:r>
            <w:r w:rsidRPr="00605612">
              <w:rPr>
                <w:rFonts w:cs="Arial"/>
                <w:szCs w:val="20"/>
              </w:rPr>
              <w:t xml:space="preserve"> </w:t>
            </w:r>
            <w:r>
              <w:rPr>
                <w:rFonts w:cs="Arial"/>
                <w:color w:val="000000" w:themeColor="text1"/>
                <w:szCs w:val="20"/>
                <w:shd w:val="clear" w:color="auto" w:fill="FFFFFF"/>
              </w:rPr>
              <w:t>EUR</w:t>
            </w:r>
            <w:r w:rsidRPr="00605612">
              <w:rPr>
                <w:rFonts w:cs="Arial"/>
                <w:color w:val="000000" w:themeColor="text1"/>
                <w:szCs w:val="20"/>
                <w:shd w:val="clear" w:color="auto" w:fill="FFFFFF"/>
              </w:rPr>
              <w:t>). Poročilo mora tako vsebovati seznam vseh odvisnih družb s sedežem v Evropski uniji ali v davčnih</w:t>
            </w:r>
            <w:r w:rsidRPr="00605612" w:rsidDel="00B7435D">
              <w:rPr>
                <w:rFonts w:cs="Arial"/>
                <w:color w:val="000000" w:themeColor="text1"/>
                <w:szCs w:val="20"/>
                <w:shd w:val="clear" w:color="auto" w:fill="FFFFFF"/>
              </w:rPr>
              <w:t xml:space="preserve"> </w:t>
            </w:r>
            <w:r>
              <w:rPr>
                <w:rFonts w:cs="Arial"/>
                <w:color w:val="000000" w:themeColor="text1"/>
                <w:szCs w:val="20"/>
                <w:shd w:val="clear" w:color="auto" w:fill="FFFFFF"/>
              </w:rPr>
              <w:t>jurisdikcijah</w:t>
            </w:r>
            <w:r w:rsidRPr="00605612">
              <w:rPr>
                <w:rFonts w:cs="Arial"/>
                <w:color w:val="000000" w:themeColor="text1"/>
                <w:szCs w:val="20"/>
                <w:shd w:val="clear" w:color="auto" w:fill="FFFFFF"/>
              </w:rPr>
              <w:t xml:space="preserve"> iz Priloge I in po potrebi iz Priloge II k relevantni različici Sklepov Sveta o posodobljenem seznamu EU z jurisdikcijami, ki niso pripravljene sodelovati v davčne namene. </w:t>
            </w:r>
            <w:r>
              <w:rPr>
                <w:rFonts w:cs="Arial"/>
                <w:color w:val="000000" w:themeColor="text1"/>
                <w:szCs w:val="20"/>
                <w:shd w:val="clear" w:color="auto" w:fill="FFFFFF"/>
              </w:rPr>
              <w:t xml:space="preserve">Navedene </w:t>
            </w:r>
            <w:r w:rsidRPr="00605612">
              <w:rPr>
                <w:rFonts w:cs="Arial"/>
                <w:color w:val="000000" w:themeColor="text1"/>
                <w:szCs w:val="20"/>
                <w:shd w:val="clear" w:color="auto" w:fill="FFFFFF"/>
              </w:rPr>
              <w:t>Sklepe je Svet za ekonomske in finančne zadeve prvič</w:t>
            </w:r>
            <w:r>
              <w:rPr>
                <w:rFonts w:cs="Arial"/>
                <w:color w:val="000000" w:themeColor="text1"/>
                <w:szCs w:val="20"/>
                <w:shd w:val="clear" w:color="auto" w:fill="FFFFFF"/>
              </w:rPr>
              <w:t xml:space="preserve"> </w:t>
            </w:r>
            <w:r w:rsidRPr="00605612">
              <w:rPr>
                <w:rFonts w:cs="Arial"/>
                <w:color w:val="000000" w:themeColor="text1"/>
                <w:szCs w:val="20"/>
                <w:shd w:val="clear" w:color="auto" w:fill="FFFFFF"/>
              </w:rPr>
              <w:t>sprejel 5.</w:t>
            </w:r>
            <w:r>
              <w:rPr>
                <w:rFonts w:cs="Arial"/>
                <w:color w:val="000000" w:themeColor="text1"/>
                <w:szCs w:val="20"/>
                <w:shd w:val="clear" w:color="auto" w:fill="FFFFFF"/>
              </w:rPr>
              <w:t> </w:t>
            </w:r>
            <w:r w:rsidRPr="00605612">
              <w:rPr>
                <w:rFonts w:cs="Arial"/>
                <w:color w:val="000000" w:themeColor="text1"/>
                <w:szCs w:val="20"/>
                <w:shd w:val="clear" w:color="auto" w:fill="FFFFFF"/>
              </w:rPr>
              <w:t xml:space="preserve">decembra 2017 oziroma </w:t>
            </w:r>
            <w:r>
              <w:rPr>
                <w:rFonts w:cs="Arial"/>
                <w:color w:val="000000" w:themeColor="text1"/>
                <w:szCs w:val="20"/>
                <w:shd w:val="clear" w:color="auto" w:fill="FFFFFF"/>
              </w:rPr>
              <w:t xml:space="preserve">je </w:t>
            </w:r>
            <w:r w:rsidRPr="00605612">
              <w:rPr>
                <w:rFonts w:cs="Arial"/>
                <w:color w:val="000000" w:themeColor="text1"/>
                <w:szCs w:val="20"/>
                <w:shd w:val="clear" w:color="auto" w:fill="FFFFFF"/>
              </w:rPr>
              <w:t>potrdil seznam in priporočila za zadevne jurisdikcije o ukrepih, ki jih morajo sprejeti, da bi bile umaknjene s seznama. Na podlagi sklepov Svet</w:t>
            </w:r>
            <w:r>
              <w:rPr>
                <w:rFonts w:cs="Arial"/>
                <w:color w:val="000000" w:themeColor="text1"/>
                <w:szCs w:val="20"/>
                <w:shd w:val="clear" w:color="auto" w:fill="FFFFFF"/>
              </w:rPr>
              <w:t>a</w:t>
            </w:r>
            <w:r w:rsidRPr="00605612">
              <w:rPr>
                <w:rFonts w:cs="Arial"/>
                <w:color w:val="000000" w:themeColor="text1"/>
                <w:szCs w:val="20"/>
                <w:shd w:val="clear" w:color="auto" w:fill="FFFFFF"/>
              </w:rPr>
              <w:t xml:space="preserve"> za ekonomske in finančne zadeve</w:t>
            </w:r>
            <w:r w:rsidRPr="00605612" w:rsidDel="00F35F99">
              <w:rPr>
                <w:rFonts w:cs="Arial"/>
                <w:color w:val="000000" w:themeColor="text1"/>
                <w:szCs w:val="20"/>
                <w:shd w:val="clear" w:color="auto" w:fill="FFFFFF"/>
              </w:rPr>
              <w:t xml:space="preserve"> </w:t>
            </w:r>
            <w:r w:rsidRPr="00605612">
              <w:rPr>
                <w:rFonts w:cs="Arial"/>
                <w:color w:val="000000" w:themeColor="text1"/>
                <w:szCs w:val="20"/>
                <w:shd w:val="clear" w:color="auto" w:fill="FFFFFF"/>
              </w:rPr>
              <w:t>skupina za kodeks ravnanja ob pomoči Komisije vodi razprave z jurisdikcijami, uvrščenimi na seznam, da bi se dogovorili o ukrepih, ki se od njih pričakujejo, in spremljanju teh ukrepov, če želijo, da se umaknejo s seznama. Skupina za kodeks ravnanja na podlagi morebitnih novih sprejetih zavez in izvajanja teh zavez priporoči posodobitev seznama jurisdikcij, ki niso pripravljene sodelovati v davčne namene. Sklep o spremembi seznama sprejme Svet za ekonomske in finančne zadeve</w:t>
            </w:r>
            <w:r w:rsidRPr="00605612" w:rsidDel="00F35F99">
              <w:rPr>
                <w:rFonts w:cs="Arial"/>
                <w:color w:val="000000" w:themeColor="text1"/>
                <w:szCs w:val="20"/>
                <w:shd w:val="clear" w:color="auto" w:fill="FFFFFF"/>
              </w:rPr>
              <w:t xml:space="preserve"> </w:t>
            </w:r>
            <w:r w:rsidRPr="00605612">
              <w:rPr>
                <w:rFonts w:cs="Arial"/>
                <w:color w:val="000000" w:themeColor="text1"/>
                <w:szCs w:val="20"/>
                <w:shd w:val="clear" w:color="auto" w:fill="FFFFFF"/>
              </w:rPr>
              <w:t xml:space="preserve">na podlagi pomembnih dejstev, ki mu jih </w:t>
            </w:r>
            <w:r>
              <w:rPr>
                <w:rFonts w:cs="Arial"/>
                <w:color w:val="000000" w:themeColor="text1"/>
                <w:szCs w:val="20"/>
                <w:shd w:val="clear" w:color="auto" w:fill="FFFFFF"/>
              </w:rPr>
              <w:t>zagotovi</w:t>
            </w:r>
            <w:r w:rsidRPr="00605612">
              <w:rPr>
                <w:rFonts w:cs="Arial"/>
                <w:color w:val="000000" w:themeColor="text1"/>
                <w:szCs w:val="20"/>
                <w:shd w:val="clear" w:color="auto" w:fill="FFFFFF"/>
              </w:rPr>
              <w:t xml:space="preserve"> skupina za kodeks ravnanja. </w:t>
            </w:r>
            <w:r>
              <w:rPr>
                <w:rFonts w:cs="Arial"/>
                <w:color w:val="000000" w:themeColor="text1"/>
                <w:szCs w:val="20"/>
                <w:shd w:val="clear" w:color="auto" w:fill="FFFFFF"/>
              </w:rPr>
              <w:t>Merila</w:t>
            </w:r>
            <w:r w:rsidRPr="00605612">
              <w:rPr>
                <w:rFonts w:cs="Arial"/>
                <w:color w:val="000000" w:themeColor="text1"/>
                <w:szCs w:val="20"/>
                <w:shd w:val="clear" w:color="auto" w:fill="FFFFFF"/>
              </w:rPr>
              <w:t xml:space="preserve"> za uvrstitev na seznam so preglednost, pravična obdavčitev in ukrepi za preprečevanje erozije davčne osnove in preusmerjanja dobička, državam članicam EU omogoča</w:t>
            </w:r>
            <w:r>
              <w:rPr>
                <w:rFonts w:cs="Arial"/>
                <w:color w:val="000000" w:themeColor="text1"/>
                <w:szCs w:val="20"/>
                <w:shd w:val="clear" w:color="auto" w:fill="FFFFFF"/>
              </w:rPr>
              <w:t>, da</w:t>
            </w:r>
            <w:r w:rsidRPr="00605612">
              <w:rPr>
                <w:rFonts w:cs="Arial"/>
                <w:color w:val="000000" w:themeColor="text1"/>
                <w:szCs w:val="20"/>
                <w:shd w:val="clear" w:color="auto" w:fill="FFFFFF"/>
              </w:rPr>
              <w:t xml:space="preserve"> strožje obravnava</w:t>
            </w:r>
            <w:r>
              <w:rPr>
                <w:rFonts w:cs="Arial"/>
                <w:color w:val="000000" w:themeColor="text1"/>
                <w:szCs w:val="20"/>
                <w:shd w:val="clear" w:color="auto" w:fill="FFFFFF"/>
              </w:rPr>
              <w:t>jo</w:t>
            </w:r>
            <w:r w:rsidRPr="00605612">
              <w:rPr>
                <w:rFonts w:cs="Arial"/>
                <w:color w:val="000000" w:themeColor="text1"/>
                <w:szCs w:val="20"/>
                <w:shd w:val="clear" w:color="auto" w:fill="FFFFFF"/>
              </w:rPr>
              <w:t xml:space="preserve"> države, ki spodbujajo zlorabe davčnih pravil in praks. Cilj seznama ni poimensko izpostavljati države in jih sramotiti, temveč spodbuditi pozitivne spremembe s sodelovanjem. Seznam jurisdikcij namreč temelji na stalnem in dinamičnem procesu, ki določa merila v skladu z mednarodnimi davčnimi standardi</w:t>
            </w:r>
            <w:r>
              <w:rPr>
                <w:rFonts w:cs="Arial"/>
                <w:color w:val="000000" w:themeColor="text1"/>
                <w:szCs w:val="20"/>
                <w:shd w:val="clear" w:color="auto" w:fill="FFFFFF"/>
              </w:rPr>
              <w:t xml:space="preserve"> in</w:t>
            </w:r>
            <w:r w:rsidRPr="00605612">
              <w:rPr>
                <w:rFonts w:cs="Arial"/>
                <w:color w:val="000000" w:themeColor="text1"/>
                <w:szCs w:val="20"/>
                <w:shd w:val="clear" w:color="auto" w:fill="FFFFFF"/>
              </w:rPr>
              <w:t xml:space="preserve"> države podvrže pregledom glede na ta merila, </w:t>
            </w:r>
            <w:r>
              <w:rPr>
                <w:rFonts w:cs="Arial"/>
                <w:color w:val="000000" w:themeColor="text1"/>
                <w:szCs w:val="20"/>
                <w:shd w:val="clear" w:color="auto" w:fill="FFFFFF"/>
              </w:rPr>
              <w:t xml:space="preserve">ter v katerem se </w:t>
            </w:r>
            <w:r w:rsidRPr="00605612">
              <w:rPr>
                <w:rFonts w:cs="Arial"/>
                <w:color w:val="000000" w:themeColor="text1"/>
                <w:szCs w:val="20"/>
                <w:shd w:val="clear" w:color="auto" w:fill="FFFFFF"/>
              </w:rPr>
              <w:t xml:space="preserve">sodeluje z državami, ki tega ne </w:t>
            </w:r>
            <w:r w:rsidRPr="0016161B">
              <w:rPr>
                <w:rFonts w:cs="Arial"/>
                <w:color w:val="000000" w:themeColor="text1"/>
                <w:szCs w:val="20"/>
                <w:shd w:val="clear" w:color="auto" w:fill="FFFFFF"/>
              </w:rPr>
              <w:t>izpolnjujejo, črta države s seznama, potem ko se zavežejo, da bodo izpolnile merila, ali ukrepajo, in spremlja ra</w:t>
            </w:r>
            <w:r w:rsidRPr="00605612">
              <w:rPr>
                <w:rFonts w:cs="Arial"/>
                <w:color w:val="000000" w:themeColor="text1"/>
                <w:szCs w:val="20"/>
                <w:shd w:val="clear" w:color="auto" w:fill="FFFFFF"/>
              </w:rPr>
              <w:t xml:space="preserve">zvoj, </w:t>
            </w:r>
            <w:r>
              <w:rPr>
                <w:rFonts w:cs="Arial"/>
                <w:color w:val="000000" w:themeColor="text1"/>
                <w:szCs w:val="20"/>
                <w:shd w:val="clear" w:color="auto" w:fill="FFFFFF"/>
              </w:rPr>
              <w:t xml:space="preserve">s čimer </w:t>
            </w:r>
            <w:r w:rsidRPr="00605612">
              <w:rPr>
                <w:rFonts w:cs="Arial"/>
                <w:color w:val="000000" w:themeColor="text1"/>
                <w:szCs w:val="20"/>
                <w:shd w:val="clear" w:color="auto" w:fill="FFFFFF"/>
              </w:rPr>
              <w:t xml:space="preserve"> se zagotavlja, da jurisdikcije ne bodo zaostajale za reformami. Davčne </w:t>
            </w:r>
            <w:r>
              <w:rPr>
                <w:rFonts w:cs="Arial"/>
                <w:color w:val="000000" w:themeColor="text1"/>
                <w:szCs w:val="20"/>
                <w:shd w:val="clear" w:color="auto" w:fill="FFFFFF"/>
              </w:rPr>
              <w:t>jurisdikcije</w:t>
            </w:r>
            <w:r w:rsidRPr="00605612">
              <w:rPr>
                <w:rFonts w:cs="Arial"/>
                <w:color w:val="000000" w:themeColor="text1"/>
                <w:szCs w:val="20"/>
                <w:shd w:val="clear" w:color="auto" w:fill="FFFFFF"/>
              </w:rPr>
              <w:t xml:space="preserve">, ki še </w:t>
            </w:r>
            <w:r>
              <w:rPr>
                <w:rFonts w:cs="Arial"/>
                <w:color w:val="000000" w:themeColor="text1"/>
                <w:szCs w:val="20"/>
                <w:shd w:val="clear" w:color="auto" w:fill="FFFFFF"/>
              </w:rPr>
              <w:t>ne izpolnjujejo vseh</w:t>
            </w:r>
            <w:r w:rsidRPr="00605612">
              <w:rPr>
                <w:rFonts w:cs="Arial"/>
                <w:color w:val="000000" w:themeColor="text1"/>
                <w:szCs w:val="20"/>
                <w:shd w:val="clear" w:color="auto" w:fill="FFFFFF"/>
              </w:rPr>
              <w:t xml:space="preserve"> mednarodni</w:t>
            </w:r>
            <w:r>
              <w:rPr>
                <w:rFonts w:cs="Arial"/>
                <w:color w:val="000000" w:themeColor="text1"/>
                <w:szCs w:val="20"/>
                <w:shd w:val="clear" w:color="auto" w:fill="FFFFFF"/>
              </w:rPr>
              <w:t>h</w:t>
            </w:r>
            <w:r w:rsidRPr="00605612">
              <w:rPr>
                <w:rFonts w:cs="Arial"/>
                <w:color w:val="000000" w:themeColor="text1"/>
                <w:szCs w:val="20"/>
                <w:shd w:val="clear" w:color="auto" w:fill="FFFFFF"/>
              </w:rPr>
              <w:t xml:space="preserve"> davčni</w:t>
            </w:r>
            <w:r>
              <w:rPr>
                <w:rFonts w:cs="Arial"/>
                <w:color w:val="000000" w:themeColor="text1"/>
                <w:szCs w:val="20"/>
                <w:shd w:val="clear" w:color="auto" w:fill="FFFFFF"/>
              </w:rPr>
              <w:t>h</w:t>
            </w:r>
            <w:r w:rsidRPr="00605612">
              <w:rPr>
                <w:rFonts w:cs="Arial"/>
                <w:color w:val="000000" w:themeColor="text1"/>
                <w:szCs w:val="20"/>
                <w:shd w:val="clear" w:color="auto" w:fill="FFFFFF"/>
              </w:rPr>
              <w:t xml:space="preserve"> standard</w:t>
            </w:r>
            <w:r>
              <w:rPr>
                <w:rFonts w:cs="Arial"/>
                <w:color w:val="000000" w:themeColor="text1"/>
                <w:szCs w:val="20"/>
                <w:shd w:val="clear" w:color="auto" w:fill="FFFFFF"/>
              </w:rPr>
              <w:t>ov</w:t>
            </w:r>
            <w:r w:rsidRPr="00605612">
              <w:rPr>
                <w:rFonts w:cs="Arial"/>
                <w:color w:val="000000" w:themeColor="text1"/>
                <w:szCs w:val="20"/>
                <w:shd w:val="clear" w:color="auto" w:fill="FFFFFF"/>
              </w:rPr>
              <w:t>, vendar so se zavezale k reformam, so vključene v</w:t>
            </w:r>
            <w:r>
              <w:rPr>
                <w:rFonts w:cs="Arial"/>
                <w:color w:val="000000" w:themeColor="text1"/>
                <w:szCs w:val="20"/>
                <w:shd w:val="clear" w:color="auto" w:fill="FFFFFF"/>
              </w:rPr>
              <w:t xml:space="preserve"> dokument o stanju, ki je</w:t>
            </w:r>
            <w:r w:rsidRPr="00605612">
              <w:rPr>
                <w:rFonts w:cs="Arial"/>
                <w:color w:val="000000" w:themeColor="text1"/>
                <w:szCs w:val="20"/>
                <w:shd w:val="clear" w:color="auto" w:fill="FFFFFF"/>
              </w:rPr>
              <w:t xml:space="preserve"> </w:t>
            </w:r>
            <w:r>
              <w:rPr>
                <w:rFonts w:cs="Arial"/>
                <w:color w:val="000000" w:themeColor="text1"/>
                <w:szCs w:val="20"/>
                <w:shd w:val="clear" w:color="auto" w:fill="FFFFFF"/>
              </w:rPr>
              <w:t>P</w:t>
            </w:r>
            <w:r w:rsidRPr="00605612">
              <w:rPr>
                <w:rFonts w:cs="Arial"/>
                <w:color w:val="000000" w:themeColor="text1"/>
                <w:szCs w:val="20"/>
                <w:shd w:val="clear" w:color="auto" w:fill="FFFFFF"/>
              </w:rPr>
              <w:t>rilog</w:t>
            </w:r>
            <w:r>
              <w:rPr>
                <w:rFonts w:cs="Arial"/>
                <w:color w:val="000000" w:themeColor="text1"/>
                <w:szCs w:val="20"/>
                <w:shd w:val="clear" w:color="auto" w:fill="FFFFFF"/>
              </w:rPr>
              <w:t>a </w:t>
            </w:r>
            <w:r w:rsidRPr="00605612">
              <w:rPr>
                <w:rFonts w:cs="Arial"/>
                <w:color w:val="000000" w:themeColor="text1"/>
                <w:szCs w:val="20"/>
                <w:shd w:val="clear" w:color="auto" w:fill="FFFFFF"/>
              </w:rPr>
              <w:t xml:space="preserve">II </w:t>
            </w:r>
            <w:r>
              <w:rPr>
                <w:rFonts w:cs="Arial"/>
                <w:color w:val="000000" w:themeColor="text1"/>
                <w:szCs w:val="20"/>
                <w:shd w:val="clear" w:color="auto" w:fill="FFFFFF"/>
              </w:rPr>
              <w:t>k sklepom</w:t>
            </w:r>
            <w:r w:rsidRPr="00605612">
              <w:rPr>
                <w:rFonts w:cs="Arial"/>
                <w:color w:val="000000" w:themeColor="text1"/>
                <w:szCs w:val="20"/>
                <w:shd w:val="clear" w:color="auto" w:fill="FFFFFF"/>
              </w:rPr>
              <w:t>. Ko davčna</w:t>
            </w:r>
            <w:r w:rsidRPr="00605612" w:rsidDel="008B08C0">
              <w:rPr>
                <w:rFonts w:cs="Arial"/>
                <w:color w:val="000000" w:themeColor="text1"/>
                <w:szCs w:val="20"/>
                <w:shd w:val="clear" w:color="auto" w:fill="FFFFFF"/>
              </w:rPr>
              <w:t xml:space="preserve"> </w:t>
            </w:r>
            <w:r>
              <w:rPr>
                <w:rFonts w:cs="Arial"/>
                <w:color w:val="000000" w:themeColor="text1"/>
                <w:szCs w:val="20"/>
                <w:shd w:val="clear" w:color="auto" w:fill="FFFFFF"/>
              </w:rPr>
              <w:t>jurisdikcija</w:t>
            </w:r>
            <w:r w:rsidRPr="00605612">
              <w:rPr>
                <w:rFonts w:cs="Arial"/>
                <w:color w:val="000000" w:themeColor="text1"/>
                <w:szCs w:val="20"/>
                <w:shd w:val="clear" w:color="auto" w:fill="FFFFFF"/>
              </w:rPr>
              <w:t xml:space="preserve"> izpolni vse svoje obveznosti, se iz priloge črta.</w:t>
            </w:r>
          </w:p>
          <w:p w14:paraId="1F4973AB" w14:textId="77777777" w:rsidR="000C08CA" w:rsidRPr="00605612" w:rsidRDefault="000C08CA" w:rsidP="00FE328D">
            <w:pPr>
              <w:spacing w:line="276" w:lineRule="auto"/>
              <w:jc w:val="both"/>
              <w:rPr>
                <w:rFonts w:cs="Arial"/>
                <w:color w:val="000000" w:themeColor="text1"/>
                <w:szCs w:val="20"/>
              </w:rPr>
            </w:pPr>
          </w:p>
          <w:p w14:paraId="5FE72E27" w14:textId="77777777" w:rsidR="000C08CA" w:rsidRPr="00605612" w:rsidRDefault="000C08CA" w:rsidP="00FE328D">
            <w:pPr>
              <w:spacing w:line="276" w:lineRule="auto"/>
              <w:jc w:val="both"/>
              <w:rPr>
                <w:rFonts w:cs="Arial"/>
                <w:color w:val="000000" w:themeColor="text1"/>
                <w:szCs w:val="20"/>
              </w:rPr>
            </w:pPr>
            <w:r>
              <w:rPr>
                <w:rFonts w:cs="Arial"/>
                <w:color w:val="000000" w:themeColor="text1"/>
                <w:szCs w:val="20"/>
              </w:rPr>
              <w:t xml:space="preserve">Navedena </w:t>
            </w:r>
            <w:r w:rsidRPr="00605612">
              <w:rPr>
                <w:rFonts w:cs="Arial"/>
                <w:color w:val="000000" w:themeColor="text1"/>
                <w:szCs w:val="20"/>
              </w:rPr>
              <w:t xml:space="preserve">direktiva zahteva tudi, da se razkritje informacije o družbah omeji na tisto, kar je nujno, da se omogoči učinkovit javni nadzor, tako da razkritje ne povzroči nesorazmernih tveganj ali škode za družbe z vidika konkurenčnosti ali morebitnih napačnih razlag v zvezi s posameznimi družbami. Družbe imajo tako na podlagi direktive pravico, da iz poročila začasno izpustijo </w:t>
            </w:r>
            <w:r>
              <w:rPr>
                <w:rFonts w:cs="Arial"/>
                <w:color w:val="000000" w:themeColor="text1"/>
                <w:szCs w:val="20"/>
              </w:rPr>
              <w:t>neko</w:t>
            </w:r>
            <w:r w:rsidRPr="00605612">
              <w:rPr>
                <w:rFonts w:cs="Arial"/>
                <w:color w:val="000000" w:themeColor="text1"/>
                <w:szCs w:val="20"/>
              </w:rPr>
              <w:t xml:space="preserve"> informacijo, ki jo bi morale razkriti, če bi to razkritje resno škodovalo poslovnemu položaju družbe, na katero se poročilo nanaša, </w:t>
            </w:r>
            <w:r>
              <w:rPr>
                <w:rFonts w:cs="Arial"/>
                <w:color w:val="000000" w:themeColor="text1"/>
                <w:szCs w:val="20"/>
              </w:rPr>
              <w:t>če ob tem</w:t>
            </w:r>
            <w:r w:rsidRPr="00605612">
              <w:rPr>
                <w:rFonts w:cs="Arial"/>
                <w:color w:val="000000" w:themeColor="text1"/>
                <w:szCs w:val="20"/>
              </w:rPr>
              <w:t xml:space="preserve"> jasno razkrijejo razlog za odlog, ga v poročilu obrazložijo in priložijo ustrezna dokazila. Informacije, ki jih družba izpusti, je treba razkriti v poznejšem poročilu o davčnih informacijah v zvezi z dohodki v največ petih letih od datuma prve izpustitve. Ne glede na navedeno družba nikoli ne sme iz poročila izpustiti podatkov, ki se nanašajo na informacije o davčnih </w:t>
            </w:r>
            <w:r>
              <w:rPr>
                <w:rFonts w:cs="Arial"/>
                <w:color w:val="000000" w:themeColor="text1"/>
                <w:szCs w:val="20"/>
              </w:rPr>
              <w:t>jurisdikcijah</w:t>
            </w:r>
            <w:r w:rsidRPr="00605612">
              <w:rPr>
                <w:rFonts w:cs="Arial"/>
                <w:color w:val="000000" w:themeColor="text1"/>
                <w:szCs w:val="20"/>
              </w:rPr>
              <w:t xml:space="preserve">, navedenih v Prilogi I in Prilogi II k relevantni različici </w:t>
            </w:r>
            <w:r>
              <w:rPr>
                <w:rFonts w:cs="Arial"/>
                <w:color w:val="000000" w:themeColor="text1"/>
                <w:szCs w:val="20"/>
              </w:rPr>
              <w:t xml:space="preserve">navedenih </w:t>
            </w:r>
            <w:r w:rsidRPr="00605612">
              <w:rPr>
                <w:rFonts w:cs="Arial"/>
                <w:color w:val="000000" w:themeColor="text1"/>
                <w:szCs w:val="20"/>
              </w:rPr>
              <w:t>Sklepov Sveta.</w:t>
            </w:r>
          </w:p>
          <w:p w14:paraId="42E26F80" w14:textId="77777777" w:rsidR="000C08CA" w:rsidRPr="00605612" w:rsidRDefault="000C08CA" w:rsidP="00FE328D">
            <w:pPr>
              <w:spacing w:line="276" w:lineRule="auto"/>
              <w:jc w:val="both"/>
              <w:rPr>
                <w:rFonts w:cs="Arial"/>
                <w:color w:val="000000" w:themeColor="text1"/>
                <w:szCs w:val="20"/>
              </w:rPr>
            </w:pPr>
          </w:p>
          <w:p w14:paraId="03DC5978" w14:textId="77777777" w:rsidR="000C08CA" w:rsidRPr="00605612" w:rsidRDefault="000C08CA" w:rsidP="00FE328D">
            <w:pPr>
              <w:spacing w:line="276" w:lineRule="auto"/>
              <w:jc w:val="both"/>
              <w:rPr>
                <w:rFonts w:cs="Arial"/>
                <w:color w:val="000000" w:themeColor="text1"/>
                <w:szCs w:val="20"/>
              </w:rPr>
            </w:pPr>
            <w:r>
              <w:rPr>
                <w:rFonts w:cs="Arial"/>
                <w:color w:val="000000" w:themeColor="text1"/>
                <w:szCs w:val="20"/>
              </w:rPr>
              <w:t xml:space="preserve">Navedena </w:t>
            </w:r>
            <w:r w:rsidRPr="00605612">
              <w:rPr>
                <w:rFonts w:cs="Arial"/>
                <w:color w:val="000000" w:themeColor="text1"/>
                <w:szCs w:val="20"/>
              </w:rPr>
              <w:t>direktiva</w:t>
            </w:r>
            <w:r>
              <w:rPr>
                <w:rFonts w:cs="Arial"/>
                <w:color w:val="000000" w:themeColor="text1"/>
                <w:szCs w:val="20"/>
              </w:rPr>
              <w:t xml:space="preserve"> </w:t>
            </w:r>
            <w:r w:rsidRPr="00605612">
              <w:rPr>
                <w:rFonts w:cs="Arial"/>
                <w:color w:val="000000" w:themeColor="text1"/>
                <w:szCs w:val="20"/>
              </w:rPr>
              <w:t xml:space="preserve">določa strožji režim za davčne </w:t>
            </w:r>
            <w:r>
              <w:rPr>
                <w:rFonts w:cs="Arial"/>
                <w:color w:val="000000" w:themeColor="text1"/>
                <w:szCs w:val="20"/>
              </w:rPr>
              <w:t>jurisdikcije</w:t>
            </w:r>
            <w:r w:rsidRPr="00605612">
              <w:rPr>
                <w:rFonts w:cs="Arial"/>
                <w:color w:val="000000" w:themeColor="text1"/>
                <w:szCs w:val="20"/>
              </w:rPr>
              <w:t xml:space="preserve"> iz Priloge I in Priloge II k relevantni različici navedenih Sklepov Sveta v zvezi s podajanjem informacij. Namreč, družbe so v poročilu o davčnih informacijah v zvezi z dohodki dolžne razkriti informacije za vsako davčno </w:t>
            </w:r>
            <w:r>
              <w:rPr>
                <w:rFonts w:cs="Arial"/>
                <w:color w:val="000000" w:themeColor="text1"/>
                <w:szCs w:val="20"/>
              </w:rPr>
              <w:t>jurisdikcijo</w:t>
            </w:r>
            <w:r w:rsidRPr="00605612">
              <w:rPr>
                <w:rFonts w:cs="Arial"/>
                <w:color w:val="000000" w:themeColor="text1"/>
                <w:szCs w:val="20"/>
              </w:rPr>
              <w:t xml:space="preserve"> iz </w:t>
            </w:r>
            <w:r w:rsidRPr="00605612">
              <w:rPr>
                <w:rFonts w:cs="Arial"/>
                <w:color w:val="000000" w:themeColor="text1"/>
                <w:szCs w:val="20"/>
              </w:rPr>
              <w:lastRenderedPageBreak/>
              <w:t xml:space="preserve">navedenih prilog, enako kot morajo biti informacije v poročilu razčlenjene po državah članicah. Le za druge davčne </w:t>
            </w:r>
            <w:r>
              <w:rPr>
                <w:rFonts w:cs="Arial"/>
                <w:color w:val="000000" w:themeColor="text1"/>
                <w:szCs w:val="20"/>
              </w:rPr>
              <w:t>jurisdikcije</w:t>
            </w:r>
            <w:r w:rsidRPr="00605612">
              <w:rPr>
                <w:rFonts w:cs="Arial"/>
                <w:color w:val="000000" w:themeColor="text1"/>
                <w:szCs w:val="20"/>
              </w:rPr>
              <w:t xml:space="preserve"> (tiste </w:t>
            </w:r>
            <w:r>
              <w:rPr>
                <w:rFonts w:cs="Arial"/>
                <w:color w:val="000000" w:themeColor="text1"/>
                <w:szCs w:val="20"/>
              </w:rPr>
              <w:t>zunaj</w:t>
            </w:r>
            <w:r w:rsidRPr="00605612">
              <w:rPr>
                <w:rFonts w:cs="Arial"/>
                <w:color w:val="000000" w:themeColor="text1"/>
                <w:szCs w:val="20"/>
              </w:rPr>
              <w:t xml:space="preserve"> Evropske unije in tiste, ki niso navedene v </w:t>
            </w:r>
            <w:r>
              <w:rPr>
                <w:rFonts w:cs="Arial"/>
                <w:color w:val="000000" w:themeColor="text1"/>
                <w:szCs w:val="20"/>
              </w:rPr>
              <w:t>nobeni izmed</w:t>
            </w:r>
            <w:r w:rsidRPr="00605612">
              <w:rPr>
                <w:rFonts w:cs="Arial"/>
                <w:color w:val="000000" w:themeColor="text1"/>
                <w:szCs w:val="20"/>
              </w:rPr>
              <w:t xml:space="preserve"> omenjeni</w:t>
            </w:r>
            <w:r>
              <w:rPr>
                <w:rFonts w:cs="Arial"/>
                <w:color w:val="000000" w:themeColor="text1"/>
                <w:szCs w:val="20"/>
              </w:rPr>
              <w:t>h</w:t>
            </w:r>
            <w:r w:rsidRPr="00605612">
              <w:rPr>
                <w:rFonts w:cs="Arial"/>
                <w:color w:val="000000" w:themeColor="text1"/>
                <w:szCs w:val="20"/>
              </w:rPr>
              <w:t xml:space="preserve"> prilog) lahko družba informacije v poročilu poda združeno.</w:t>
            </w:r>
          </w:p>
          <w:p w14:paraId="37610D83" w14:textId="77777777" w:rsidR="000C08CA" w:rsidRPr="00605612" w:rsidRDefault="000C08CA" w:rsidP="00FE328D">
            <w:pPr>
              <w:spacing w:line="276" w:lineRule="auto"/>
              <w:jc w:val="both"/>
              <w:rPr>
                <w:rFonts w:cs="Arial"/>
                <w:color w:val="000000" w:themeColor="text1"/>
                <w:szCs w:val="20"/>
              </w:rPr>
            </w:pPr>
          </w:p>
          <w:p w14:paraId="215027EB" w14:textId="77777777" w:rsidR="000C08CA" w:rsidRPr="00605612" w:rsidRDefault="000C08CA" w:rsidP="00FE328D">
            <w:pPr>
              <w:spacing w:line="276" w:lineRule="auto"/>
              <w:jc w:val="both"/>
              <w:rPr>
                <w:rFonts w:cs="Arial"/>
                <w:color w:val="000000" w:themeColor="text1"/>
                <w:szCs w:val="20"/>
              </w:rPr>
            </w:pPr>
            <w:r w:rsidRPr="00605612">
              <w:rPr>
                <w:rFonts w:cs="Arial"/>
                <w:color w:val="000000" w:themeColor="text1"/>
                <w:szCs w:val="20"/>
              </w:rPr>
              <w:t>Ker je pomembno zagotoviti, da so podatki primerljivi, bo na podlagi</w:t>
            </w:r>
            <w:r>
              <w:rPr>
                <w:rFonts w:cs="Arial"/>
                <w:color w:val="000000" w:themeColor="text1"/>
                <w:szCs w:val="20"/>
              </w:rPr>
              <w:t xml:space="preserve"> navedene</w:t>
            </w:r>
            <w:r w:rsidRPr="00605612">
              <w:rPr>
                <w:rFonts w:cs="Arial"/>
                <w:color w:val="000000" w:themeColor="text1"/>
                <w:szCs w:val="20"/>
              </w:rPr>
              <w:t xml:space="preserve"> direktive Komisija z izvedbenim aktom določila skupno predlogo in strojno berljive elektronske oblike poročanja</w:t>
            </w:r>
            <w:r>
              <w:rPr>
                <w:rFonts w:cs="Arial"/>
                <w:color w:val="000000" w:themeColor="text1"/>
                <w:szCs w:val="20"/>
              </w:rPr>
              <w:t xml:space="preserve"> oziroma bo </w:t>
            </w:r>
            <w:r w:rsidRPr="003B2A0D">
              <w:rPr>
                <w:rFonts w:cs="Arial"/>
                <w:bCs/>
                <w:szCs w:val="20"/>
              </w:rPr>
              <w:t>spreje</w:t>
            </w:r>
            <w:r>
              <w:rPr>
                <w:rFonts w:cs="Arial"/>
                <w:bCs/>
                <w:szCs w:val="20"/>
              </w:rPr>
              <w:t>la</w:t>
            </w:r>
            <w:r w:rsidRPr="003B2A0D">
              <w:rPr>
                <w:rFonts w:cs="Arial"/>
                <w:bCs/>
                <w:szCs w:val="20"/>
              </w:rPr>
              <w:t xml:space="preserve"> standard</w:t>
            </w:r>
            <w:r>
              <w:rPr>
                <w:rFonts w:cs="Arial"/>
                <w:bCs/>
                <w:szCs w:val="20"/>
              </w:rPr>
              <w:t>e</w:t>
            </w:r>
            <w:r w:rsidRPr="003B2A0D">
              <w:rPr>
                <w:rFonts w:cs="Arial"/>
                <w:bCs/>
                <w:szCs w:val="20"/>
              </w:rPr>
              <w:t>n obraz</w:t>
            </w:r>
            <w:r>
              <w:rPr>
                <w:rFonts w:cs="Arial"/>
                <w:bCs/>
                <w:szCs w:val="20"/>
              </w:rPr>
              <w:t>e</w:t>
            </w:r>
            <w:r w:rsidRPr="003B2A0D">
              <w:rPr>
                <w:rFonts w:cs="Arial"/>
                <w:bCs/>
                <w:szCs w:val="20"/>
              </w:rPr>
              <w:t xml:space="preserve">c </w:t>
            </w:r>
            <w:r w:rsidRPr="003B2A0D">
              <w:rPr>
                <w:rFonts w:cs="Arial"/>
                <w:szCs w:val="20"/>
              </w:rPr>
              <w:t>v elektronski obliki, ki</w:t>
            </w:r>
            <w:r w:rsidRPr="003B2A0D" w:rsidDel="001874A4">
              <w:rPr>
                <w:rFonts w:cs="Arial"/>
                <w:bCs/>
                <w:szCs w:val="20"/>
              </w:rPr>
              <w:t xml:space="preserve"> </w:t>
            </w:r>
            <w:r w:rsidRPr="003B2A0D">
              <w:rPr>
                <w:rFonts w:cs="Arial"/>
                <w:bCs/>
                <w:szCs w:val="20"/>
              </w:rPr>
              <w:t>je strojno berljiva</w:t>
            </w:r>
            <w:r>
              <w:rPr>
                <w:rFonts w:cs="Arial"/>
                <w:bCs/>
                <w:szCs w:val="20"/>
              </w:rPr>
              <w:t>,</w:t>
            </w:r>
            <w:r w:rsidRPr="00605612">
              <w:rPr>
                <w:rFonts w:cs="Arial"/>
                <w:color w:val="000000" w:themeColor="text1"/>
                <w:szCs w:val="20"/>
              </w:rPr>
              <w:t xml:space="preserve"> za predložitev poročila o davčnih informacijah v zvezi z dohodki. Izvedbeni akt bo izdan kot </w:t>
            </w:r>
            <w:r>
              <w:rPr>
                <w:rFonts w:cs="Arial"/>
                <w:color w:val="000000" w:themeColor="text1"/>
                <w:szCs w:val="20"/>
              </w:rPr>
              <w:t xml:space="preserve">izvedbena </w:t>
            </w:r>
            <w:r w:rsidRPr="00605612">
              <w:rPr>
                <w:rFonts w:cs="Arial"/>
                <w:color w:val="000000" w:themeColor="text1"/>
                <w:szCs w:val="20"/>
              </w:rPr>
              <w:t xml:space="preserve">uredba, ki </w:t>
            </w:r>
            <w:r>
              <w:rPr>
                <w:rFonts w:cs="Arial"/>
                <w:color w:val="000000" w:themeColor="text1"/>
                <w:szCs w:val="20"/>
              </w:rPr>
              <w:t xml:space="preserve">se </w:t>
            </w:r>
            <w:r w:rsidRPr="00605612">
              <w:rPr>
                <w:rFonts w:cs="Arial"/>
                <w:color w:val="000000" w:themeColor="text1"/>
                <w:szCs w:val="20"/>
              </w:rPr>
              <w:t>v državah članicah uporablja neposredno</w:t>
            </w:r>
            <w:r>
              <w:rPr>
                <w:rFonts w:cs="Arial"/>
                <w:color w:val="000000" w:themeColor="text1"/>
                <w:szCs w:val="20"/>
              </w:rPr>
              <w:t>,</w:t>
            </w:r>
            <w:r w:rsidRPr="00605612">
              <w:rPr>
                <w:rFonts w:cs="Arial"/>
                <w:color w:val="000000" w:themeColor="text1"/>
                <w:szCs w:val="20"/>
              </w:rPr>
              <w:t xml:space="preserve"> zato ZGD-1 ne bo treba </w:t>
            </w:r>
            <w:r>
              <w:rPr>
                <w:rFonts w:cs="Arial"/>
                <w:color w:val="000000" w:themeColor="text1"/>
                <w:szCs w:val="20"/>
              </w:rPr>
              <w:t>znova</w:t>
            </w:r>
            <w:r w:rsidRPr="00605612">
              <w:rPr>
                <w:rFonts w:cs="Arial"/>
                <w:color w:val="000000" w:themeColor="text1"/>
                <w:szCs w:val="20"/>
              </w:rPr>
              <w:t xml:space="preserve"> dopolniti</w:t>
            </w:r>
            <w:r>
              <w:rPr>
                <w:rFonts w:cs="Arial"/>
                <w:color w:val="000000" w:themeColor="text1"/>
                <w:szCs w:val="20"/>
              </w:rPr>
              <w:t xml:space="preserve">, da bi se </w:t>
            </w:r>
            <w:r w:rsidRPr="00605612">
              <w:rPr>
                <w:rFonts w:cs="Arial"/>
                <w:color w:val="000000" w:themeColor="text1"/>
                <w:szCs w:val="20"/>
              </w:rPr>
              <w:t>uskladi</w:t>
            </w:r>
            <w:r>
              <w:rPr>
                <w:rFonts w:cs="Arial"/>
                <w:color w:val="000000" w:themeColor="text1"/>
                <w:szCs w:val="20"/>
              </w:rPr>
              <w:t>l</w:t>
            </w:r>
            <w:r w:rsidRPr="00605612">
              <w:rPr>
                <w:rFonts w:cs="Arial"/>
                <w:color w:val="000000" w:themeColor="text1"/>
                <w:szCs w:val="20"/>
              </w:rPr>
              <w:t xml:space="preserve"> s pravom Evropske unije.</w:t>
            </w:r>
          </w:p>
          <w:p w14:paraId="1B18273C" w14:textId="77777777" w:rsidR="000C08CA" w:rsidRPr="00605612" w:rsidRDefault="000C08CA" w:rsidP="00FE328D">
            <w:pPr>
              <w:spacing w:line="276" w:lineRule="auto"/>
              <w:jc w:val="both"/>
              <w:rPr>
                <w:rFonts w:cs="Arial"/>
                <w:color w:val="000000" w:themeColor="text1"/>
                <w:szCs w:val="20"/>
              </w:rPr>
            </w:pPr>
          </w:p>
          <w:p w14:paraId="08A5D981" w14:textId="77777777" w:rsidR="000C08CA" w:rsidRPr="00605612" w:rsidRDefault="000C08CA" w:rsidP="00FE328D">
            <w:pPr>
              <w:spacing w:line="276" w:lineRule="auto"/>
              <w:jc w:val="both"/>
              <w:rPr>
                <w:rFonts w:cs="Arial"/>
                <w:color w:val="000000" w:themeColor="text1"/>
                <w:szCs w:val="20"/>
              </w:rPr>
            </w:pPr>
            <w:r w:rsidRPr="00605612">
              <w:rPr>
                <w:rFonts w:cs="Arial"/>
                <w:color w:val="000000" w:themeColor="text1"/>
                <w:szCs w:val="20"/>
              </w:rPr>
              <w:t>Z</w:t>
            </w:r>
            <w:r>
              <w:rPr>
                <w:rFonts w:cs="Arial"/>
                <w:color w:val="000000" w:themeColor="text1"/>
                <w:szCs w:val="20"/>
              </w:rPr>
              <w:t xml:space="preserve">a </w:t>
            </w:r>
            <w:r w:rsidRPr="00605612">
              <w:rPr>
                <w:rFonts w:cs="Arial"/>
                <w:color w:val="000000" w:themeColor="text1"/>
                <w:szCs w:val="20"/>
              </w:rPr>
              <w:t>krepit</w:t>
            </w:r>
            <w:r>
              <w:rPr>
                <w:rFonts w:cs="Arial"/>
                <w:color w:val="000000" w:themeColor="text1"/>
                <w:szCs w:val="20"/>
              </w:rPr>
              <w:t>e</w:t>
            </w:r>
            <w:r w:rsidRPr="00605612">
              <w:rPr>
                <w:rFonts w:cs="Arial"/>
                <w:color w:val="000000" w:themeColor="text1"/>
                <w:szCs w:val="20"/>
              </w:rPr>
              <w:t xml:space="preserve">v preglednosti in družbene odgovornost podjetij do vlagateljev, upnikov, drugih tretjih </w:t>
            </w:r>
            <w:r>
              <w:rPr>
                <w:rFonts w:cs="Arial"/>
                <w:color w:val="000000" w:themeColor="text1"/>
                <w:szCs w:val="20"/>
              </w:rPr>
              <w:t>oseb</w:t>
            </w:r>
            <w:r w:rsidRPr="00605612">
              <w:rPr>
                <w:rFonts w:cs="Arial"/>
                <w:color w:val="000000" w:themeColor="text1"/>
                <w:szCs w:val="20"/>
              </w:rPr>
              <w:t xml:space="preserve"> in širše javnosti ter </w:t>
            </w:r>
            <w:r>
              <w:rPr>
                <w:rFonts w:cs="Arial"/>
                <w:color w:val="000000" w:themeColor="text1"/>
                <w:szCs w:val="20"/>
              </w:rPr>
              <w:t xml:space="preserve">za </w:t>
            </w:r>
            <w:r w:rsidRPr="00605612">
              <w:rPr>
                <w:rFonts w:cs="Arial"/>
                <w:color w:val="000000" w:themeColor="text1"/>
                <w:szCs w:val="20"/>
              </w:rPr>
              <w:t>zagotovit</w:t>
            </w:r>
            <w:r>
              <w:rPr>
                <w:rFonts w:cs="Arial"/>
                <w:color w:val="000000" w:themeColor="text1"/>
                <w:szCs w:val="20"/>
              </w:rPr>
              <w:t>e</w:t>
            </w:r>
            <w:r w:rsidRPr="00605612">
              <w:rPr>
                <w:rFonts w:cs="Arial"/>
                <w:color w:val="000000" w:themeColor="text1"/>
                <w:szCs w:val="20"/>
              </w:rPr>
              <w:t xml:space="preserve">v ustreznega upravljanja direktiva določa skupno odgovornost članov upravnih, poslovodnih in nadzornih organov družb za zagotovitev skladnosti z obveznostmi poročanja v skladu </w:t>
            </w:r>
            <w:r>
              <w:rPr>
                <w:rFonts w:cs="Arial"/>
                <w:color w:val="000000" w:themeColor="text1"/>
                <w:szCs w:val="20"/>
              </w:rPr>
              <w:t>z navedeno</w:t>
            </w:r>
            <w:r w:rsidRPr="00605612">
              <w:rPr>
                <w:rFonts w:cs="Arial"/>
                <w:color w:val="000000" w:themeColor="text1"/>
                <w:szCs w:val="20"/>
              </w:rPr>
              <w:t xml:space="preserve"> direktivo. Glede na to, da </w:t>
            </w:r>
            <w:r>
              <w:rPr>
                <w:rFonts w:cs="Arial"/>
                <w:color w:val="000000" w:themeColor="text1"/>
                <w:szCs w:val="20"/>
              </w:rPr>
              <w:t>morda</w:t>
            </w:r>
            <w:r w:rsidRPr="00605612">
              <w:rPr>
                <w:rFonts w:cs="Arial"/>
                <w:color w:val="000000" w:themeColor="text1"/>
                <w:szCs w:val="20"/>
              </w:rPr>
              <w:t xml:space="preserve"> člani upravnih, poslovodnih in nadzornih organov odvisnih družb, ki imajo sedež v Evropski uniji in ki jih nadzira obvladujoča družba s sedežem zunaj Evropske unije, ali oseba oziroma osebe, odgovorne za izvajanje formalnosti v zvezi z razkritjem za podružnico (zastopnik tujega podjetja iz tretje države), le omejeno poznajo vsebino poročila o davčnih informacijah v zvezi z dohodki družbe, ki ga pripravi obvladujoča družba, ali imajo le omejeno možnost preje</w:t>
            </w:r>
            <w:r>
              <w:rPr>
                <w:rFonts w:cs="Arial"/>
                <w:color w:val="000000" w:themeColor="text1"/>
                <w:szCs w:val="20"/>
              </w:rPr>
              <w:t>manja</w:t>
            </w:r>
            <w:r w:rsidRPr="00605612">
              <w:rPr>
                <w:rFonts w:cs="Arial"/>
                <w:color w:val="000000" w:themeColor="text1"/>
                <w:szCs w:val="20"/>
              </w:rPr>
              <w:t xml:space="preserve"> tak</w:t>
            </w:r>
            <w:r>
              <w:rPr>
                <w:rFonts w:cs="Arial"/>
                <w:color w:val="000000" w:themeColor="text1"/>
                <w:szCs w:val="20"/>
              </w:rPr>
              <w:t>ih</w:t>
            </w:r>
            <w:r w:rsidRPr="00605612">
              <w:rPr>
                <w:rFonts w:cs="Arial"/>
                <w:color w:val="000000" w:themeColor="text1"/>
                <w:szCs w:val="20"/>
              </w:rPr>
              <w:t xml:space="preserve"> informacij ali poročil</w:t>
            </w:r>
            <w:r>
              <w:rPr>
                <w:rFonts w:cs="Arial"/>
                <w:color w:val="000000" w:themeColor="text1"/>
                <w:szCs w:val="20"/>
              </w:rPr>
              <w:t>a</w:t>
            </w:r>
            <w:r w:rsidRPr="00605612">
              <w:rPr>
                <w:rFonts w:cs="Arial"/>
                <w:color w:val="000000" w:themeColor="text1"/>
                <w:szCs w:val="20"/>
              </w:rPr>
              <w:t xml:space="preserve"> od obvladujoče družbe, bi morali biti ti člani ali te osebe odgovorni za to, da je bilo poročilo o davčnih informacijah njihove obvladujoče družbe ali družbe, ki je ustanovil</w:t>
            </w:r>
            <w:r>
              <w:rPr>
                <w:rFonts w:cs="Arial"/>
                <w:color w:val="000000" w:themeColor="text1"/>
                <w:szCs w:val="20"/>
              </w:rPr>
              <w:t>a</w:t>
            </w:r>
            <w:r w:rsidRPr="00605612">
              <w:rPr>
                <w:rFonts w:cs="Arial"/>
                <w:color w:val="000000" w:themeColor="text1"/>
                <w:szCs w:val="20"/>
              </w:rPr>
              <w:t xml:space="preserve"> podružnico, po njihovem najboljšem vedenju in sposobnostih pripravljeno in objavljeno na način, kot to določa direktiva, oziroma da je odvisna družba ali podružnica pripravila, objavila in omogočila dostop do vseh informacij, ki jih ima na voljo, jih je prejela ali pridobila. Če so informacije ali poročilo nepopolni, se odgovornost navedenih oseb razširi tudi na objavo izjave, v kateri odvisna družba ali podružnica navede, da ji obvladujoča družba ali družba, ki je ustanovila podružnico, ni dala na voljo vseh potrebnih informacij.</w:t>
            </w:r>
          </w:p>
          <w:p w14:paraId="5D95DFE3" w14:textId="77777777" w:rsidR="000C08CA" w:rsidRPr="00605612" w:rsidRDefault="000C08CA" w:rsidP="00FE328D">
            <w:pPr>
              <w:spacing w:line="276" w:lineRule="auto"/>
              <w:jc w:val="both"/>
              <w:rPr>
                <w:rFonts w:cs="Arial"/>
                <w:color w:val="000000" w:themeColor="text1"/>
                <w:szCs w:val="20"/>
              </w:rPr>
            </w:pPr>
          </w:p>
          <w:p w14:paraId="59BADFE1" w14:textId="77777777" w:rsidR="000C08CA" w:rsidRPr="00605612" w:rsidRDefault="000C08CA" w:rsidP="00FE328D">
            <w:pPr>
              <w:spacing w:line="276" w:lineRule="auto"/>
              <w:jc w:val="both"/>
              <w:rPr>
                <w:rFonts w:cs="Arial"/>
                <w:color w:val="000000" w:themeColor="text1"/>
                <w:szCs w:val="20"/>
              </w:rPr>
            </w:pPr>
            <w:r>
              <w:rPr>
                <w:rFonts w:cs="Arial"/>
                <w:color w:val="000000" w:themeColor="text1"/>
                <w:szCs w:val="20"/>
              </w:rPr>
              <w:t>Navedena d</w:t>
            </w:r>
            <w:r w:rsidRPr="00605612">
              <w:rPr>
                <w:rFonts w:cs="Arial"/>
                <w:color w:val="000000" w:themeColor="text1"/>
                <w:szCs w:val="20"/>
              </w:rPr>
              <w:t>irektiva</w:t>
            </w:r>
            <w:r>
              <w:rPr>
                <w:rFonts w:cs="Arial"/>
                <w:color w:val="000000" w:themeColor="text1"/>
                <w:szCs w:val="20"/>
              </w:rPr>
              <w:t xml:space="preserve"> </w:t>
            </w:r>
            <w:r w:rsidRPr="00605612">
              <w:rPr>
                <w:rFonts w:cs="Arial"/>
                <w:color w:val="000000" w:themeColor="text1"/>
                <w:szCs w:val="20"/>
              </w:rPr>
              <w:t xml:space="preserve">glede nadzora nad poročanjem družb vključuje tudi revizorja. </w:t>
            </w:r>
            <w:r>
              <w:rPr>
                <w:rFonts w:cs="Arial"/>
                <w:color w:val="000000" w:themeColor="text1"/>
                <w:szCs w:val="20"/>
              </w:rPr>
              <w:t>Kadar</w:t>
            </w:r>
            <w:r w:rsidRPr="00605612">
              <w:rPr>
                <w:rFonts w:cs="Arial"/>
                <w:color w:val="000000" w:themeColor="text1"/>
                <w:szCs w:val="20"/>
              </w:rPr>
              <w:t xml:space="preserve"> so računovodski izkazi družbe podvrženi revidiranju, </w:t>
            </w:r>
            <w:r>
              <w:rPr>
                <w:rFonts w:cs="Arial"/>
                <w:color w:val="000000" w:themeColor="text1"/>
                <w:szCs w:val="20"/>
              </w:rPr>
              <w:t xml:space="preserve">revizor </w:t>
            </w:r>
            <w:r w:rsidRPr="00605612">
              <w:rPr>
                <w:rFonts w:cs="Arial"/>
                <w:color w:val="000000" w:themeColor="text1"/>
                <w:szCs w:val="20"/>
              </w:rPr>
              <w:t>v revizijskem poročilu navede, ali je morala družba za poslovno leto pred poslovnim letom, za katero so bili pripravljeni računovodski izkazi, ki se revidirajo, objaviti poročilo o davčnih informacijah v zvezi z dohodki, in če da, ali je bilo poročilo objavljeno, kot to določa direktiva.</w:t>
            </w:r>
          </w:p>
          <w:p w14:paraId="712BA176" w14:textId="77777777" w:rsidR="000C08CA" w:rsidRPr="00605612" w:rsidRDefault="000C08CA" w:rsidP="00FE328D">
            <w:pPr>
              <w:spacing w:line="276" w:lineRule="auto"/>
              <w:jc w:val="both"/>
              <w:rPr>
                <w:rFonts w:cs="Arial"/>
                <w:color w:val="000000" w:themeColor="text1"/>
                <w:szCs w:val="20"/>
              </w:rPr>
            </w:pPr>
          </w:p>
          <w:p w14:paraId="31DE2D32" w14:textId="77777777" w:rsidR="000C08CA" w:rsidRPr="00605612" w:rsidRDefault="000C08CA" w:rsidP="00FE328D">
            <w:pPr>
              <w:spacing w:line="276" w:lineRule="auto"/>
              <w:jc w:val="both"/>
              <w:rPr>
                <w:rFonts w:cs="Arial"/>
                <w:color w:val="000000" w:themeColor="text1"/>
                <w:szCs w:val="20"/>
              </w:rPr>
            </w:pPr>
            <w:r w:rsidRPr="00605612">
              <w:rPr>
                <w:rFonts w:cs="Arial"/>
                <w:color w:val="000000" w:themeColor="text1"/>
                <w:szCs w:val="20"/>
              </w:rPr>
              <w:t>Glede obveznosti objave poročila o davčnih informacijah v zvezi z dohodki družb in izjave odvisne družbe ali podružnice, da obvladujoča družba ali družba, ki je ustanovila podružnico, ni dala na voljo vseh potrebnih informacij za sestavo popolnega poročila, direktiva določa rok 12 mesecev od datuma bilance stanja za poslovno leto, za katero je bilo poročilo pripravljeno. Poleg tega zahteva, da sta poročilo o davčnih informacijah v zvezi z dohodki družb in izjava v vsaj enem od uradnih jezikov Evropske unije brezplačno dostopna javnosti najpozneje v 12 mesecih po datumu bilance stanja za poslovno leto, za katero je bilo poročilo pripravljeno, na spletnem mestu obvladujoče družbe skupine ali družbe, ki ni del skupine, ali odvisne družbe ali z njo povezane družbe ali podružnice ali družbe, ki je ustanovilo podružnico.</w:t>
            </w:r>
          </w:p>
          <w:p w14:paraId="33789E6C" w14:textId="77777777" w:rsidR="000C08CA" w:rsidRPr="00605612" w:rsidRDefault="000C08CA" w:rsidP="00FE328D">
            <w:pPr>
              <w:spacing w:line="276" w:lineRule="auto"/>
              <w:jc w:val="both"/>
              <w:rPr>
                <w:rFonts w:cs="Arial"/>
                <w:color w:val="000000" w:themeColor="text1"/>
                <w:szCs w:val="20"/>
              </w:rPr>
            </w:pPr>
          </w:p>
          <w:p w14:paraId="3562651C" w14:textId="77777777" w:rsidR="000C08CA" w:rsidRPr="00605612" w:rsidRDefault="000C08CA" w:rsidP="00FE328D">
            <w:pPr>
              <w:jc w:val="both"/>
              <w:rPr>
                <w:rFonts w:cs="Arial"/>
                <w:b/>
                <w:bCs/>
                <w:color w:val="000000" w:themeColor="text1"/>
                <w:szCs w:val="20"/>
              </w:rPr>
            </w:pPr>
            <w:r w:rsidRPr="00605612">
              <w:rPr>
                <w:rFonts w:cs="Arial"/>
                <w:b/>
                <w:bCs/>
                <w:color w:val="000000" w:themeColor="text1"/>
                <w:szCs w:val="20"/>
              </w:rPr>
              <w:t>Stanje in pristojnosti glede poročanja družb v Sloveniji</w:t>
            </w:r>
          </w:p>
          <w:p w14:paraId="1ACDAEC7" w14:textId="77777777" w:rsidR="000C08CA" w:rsidRDefault="000C08CA" w:rsidP="00FE328D">
            <w:pPr>
              <w:spacing w:line="276" w:lineRule="auto"/>
              <w:jc w:val="both"/>
              <w:rPr>
                <w:rFonts w:cs="Arial"/>
                <w:color w:val="000000" w:themeColor="text1"/>
                <w:szCs w:val="20"/>
              </w:rPr>
            </w:pPr>
          </w:p>
          <w:p w14:paraId="5FB6C655" w14:textId="77777777" w:rsidR="000C08CA" w:rsidRDefault="000C08CA" w:rsidP="00FE328D">
            <w:pPr>
              <w:spacing w:line="276" w:lineRule="auto"/>
              <w:jc w:val="both"/>
              <w:rPr>
                <w:rFonts w:cs="Arial"/>
                <w:color w:val="000000" w:themeColor="text1"/>
                <w:szCs w:val="20"/>
              </w:rPr>
            </w:pPr>
            <w:r w:rsidRPr="005F7387">
              <w:rPr>
                <w:rFonts w:cs="Arial"/>
                <w:color w:val="000000" w:themeColor="text1"/>
                <w:szCs w:val="20"/>
              </w:rPr>
              <w:t xml:space="preserve">Poročanje po državah </w:t>
            </w:r>
            <w:r>
              <w:rPr>
                <w:rFonts w:cs="Arial"/>
                <w:color w:val="000000" w:themeColor="text1"/>
                <w:szCs w:val="20"/>
              </w:rPr>
              <w:t xml:space="preserve">je kot obveznost </w:t>
            </w:r>
            <w:r w:rsidRPr="005F7387">
              <w:rPr>
                <w:rFonts w:cs="Arial"/>
                <w:color w:val="000000" w:themeColor="text1"/>
                <w:szCs w:val="20"/>
              </w:rPr>
              <w:t>poročan</w:t>
            </w:r>
            <w:r>
              <w:rPr>
                <w:rFonts w:cs="Arial"/>
                <w:color w:val="000000" w:themeColor="text1"/>
                <w:szCs w:val="20"/>
              </w:rPr>
              <w:t xml:space="preserve">ja novejšega izvora in poteka po različnih sektorjih in glede mnogoterih informacij, katerega namen je spodbuditi preglednost izpolnjevanja zadevnih obveznosti. </w:t>
            </w:r>
          </w:p>
          <w:p w14:paraId="01E39402" w14:textId="77777777" w:rsidR="000C08CA" w:rsidRDefault="000C08CA" w:rsidP="00FE328D">
            <w:pPr>
              <w:spacing w:line="276" w:lineRule="auto"/>
              <w:jc w:val="both"/>
              <w:rPr>
                <w:rFonts w:cs="Arial"/>
                <w:color w:val="000000" w:themeColor="text1"/>
                <w:szCs w:val="20"/>
              </w:rPr>
            </w:pPr>
          </w:p>
          <w:p w14:paraId="12B1BE23" w14:textId="77777777" w:rsidR="000C08CA" w:rsidRPr="00517541"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Po finančni krizi v letih 2007 </w:t>
            </w:r>
            <w:r>
              <w:rPr>
                <w:rFonts w:cs="Arial"/>
                <w:color w:val="000000" w:themeColor="text1"/>
                <w:szCs w:val="20"/>
              </w:rPr>
              <w:t>in</w:t>
            </w:r>
            <w:r w:rsidRPr="00517541">
              <w:rPr>
                <w:rFonts w:cs="Arial"/>
                <w:color w:val="000000" w:themeColor="text1"/>
                <w:szCs w:val="20"/>
              </w:rPr>
              <w:t xml:space="preserve"> 2008 </w:t>
            </w:r>
            <w:r>
              <w:rPr>
                <w:rFonts w:cs="Arial"/>
                <w:color w:val="000000" w:themeColor="text1"/>
                <w:szCs w:val="20"/>
              </w:rPr>
              <w:t xml:space="preserve">se </w:t>
            </w:r>
            <w:r w:rsidRPr="00517541">
              <w:rPr>
                <w:rFonts w:cs="Arial"/>
                <w:color w:val="000000" w:themeColor="text1"/>
                <w:szCs w:val="20"/>
              </w:rPr>
              <w:t xml:space="preserve">je </w:t>
            </w:r>
            <w:r>
              <w:rPr>
                <w:rFonts w:cs="Arial"/>
                <w:color w:val="000000" w:themeColor="text1"/>
                <w:szCs w:val="20"/>
              </w:rPr>
              <w:t xml:space="preserve">okrepil pomen preglednosti </w:t>
            </w:r>
            <w:r w:rsidRPr="00517541">
              <w:rPr>
                <w:rFonts w:cs="Arial"/>
                <w:color w:val="000000" w:themeColor="text1"/>
                <w:szCs w:val="20"/>
              </w:rPr>
              <w:t xml:space="preserve">plačevanja davčnih obveznosti, saj </w:t>
            </w:r>
            <w:r>
              <w:rPr>
                <w:rFonts w:cs="Arial"/>
                <w:color w:val="000000" w:themeColor="text1"/>
                <w:szCs w:val="20"/>
              </w:rPr>
              <w:t>sta</w:t>
            </w:r>
            <w:r w:rsidRPr="00517541">
              <w:rPr>
                <w:rFonts w:cs="Arial"/>
                <w:color w:val="000000" w:themeColor="text1"/>
                <w:szCs w:val="20"/>
              </w:rPr>
              <w:t xml:space="preserve"> navedena kriza in posledično reševanje velikih mednarodnih gospodarskih subjektov privedla </w:t>
            </w:r>
            <w:r w:rsidRPr="00517541">
              <w:rPr>
                <w:rFonts w:cs="Arial"/>
                <w:color w:val="000000" w:themeColor="text1"/>
                <w:szCs w:val="20"/>
              </w:rPr>
              <w:lastRenderedPageBreak/>
              <w:t xml:space="preserve">do večjih potreb po javnofinančnih sredstvih, hkrati pa </w:t>
            </w:r>
            <w:r>
              <w:rPr>
                <w:rFonts w:cs="Arial"/>
                <w:color w:val="000000" w:themeColor="text1"/>
                <w:szCs w:val="20"/>
              </w:rPr>
              <w:t>sta</w:t>
            </w:r>
            <w:r w:rsidRPr="00517541">
              <w:rPr>
                <w:rFonts w:cs="Arial"/>
                <w:color w:val="000000" w:themeColor="text1"/>
                <w:szCs w:val="20"/>
              </w:rPr>
              <w:t xml:space="preserve"> razkrila uporabo strategij davčnega načrtovanja, </w:t>
            </w:r>
            <w:r>
              <w:rPr>
                <w:rFonts w:cs="Arial"/>
                <w:color w:val="000000" w:themeColor="text1"/>
                <w:szCs w:val="20"/>
              </w:rPr>
              <w:t>pri čemer</w:t>
            </w:r>
            <w:r w:rsidRPr="00517541">
              <w:rPr>
                <w:rFonts w:cs="Arial"/>
                <w:color w:val="000000" w:themeColor="text1"/>
                <w:szCs w:val="20"/>
              </w:rPr>
              <w:t xml:space="preserve"> so veliki mednarodni gospodarski subjekti s poslovnimi operacijami prenašali dobičke iz jurisdikcij z višjimi davki v jurisdikcije z nižjimi davki, s čimer se je izničila davčna osnova jurisdikcij z višjimi davki. Navedeno pomeni, da subjekti niso plačali davka tam, kjer je bila vrednost ustvarjena. Naveden</w:t>
            </w:r>
            <w:r>
              <w:rPr>
                <w:rFonts w:cs="Arial"/>
                <w:color w:val="000000" w:themeColor="text1"/>
                <w:szCs w:val="20"/>
              </w:rPr>
              <w:t xml:space="preserve">o je </w:t>
            </w:r>
            <w:r w:rsidRPr="00517541">
              <w:rPr>
                <w:rFonts w:cs="Arial"/>
                <w:color w:val="000000" w:themeColor="text1"/>
                <w:szCs w:val="20"/>
              </w:rPr>
              <w:t>spodbudil</w:t>
            </w:r>
            <w:r>
              <w:rPr>
                <w:rFonts w:cs="Arial"/>
                <w:color w:val="000000" w:themeColor="text1"/>
                <w:szCs w:val="20"/>
              </w:rPr>
              <w:t>o</w:t>
            </w:r>
            <w:r w:rsidRPr="00517541">
              <w:rPr>
                <w:rFonts w:cs="Arial"/>
                <w:color w:val="000000" w:themeColor="text1"/>
                <w:szCs w:val="20"/>
              </w:rPr>
              <w:t xml:space="preserve"> politično ukrepanje predvsem </w:t>
            </w:r>
            <w:r>
              <w:rPr>
                <w:rFonts w:cs="Arial"/>
                <w:color w:val="000000" w:themeColor="text1"/>
                <w:szCs w:val="20"/>
              </w:rPr>
              <w:t>glede</w:t>
            </w:r>
            <w:r w:rsidRPr="00517541">
              <w:rPr>
                <w:rFonts w:cs="Arial"/>
                <w:color w:val="000000" w:themeColor="text1"/>
                <w:szCs w:val="20"/>
              </w:rPr>
              <w:t xml:space="preserve"> oblikovanja sodobne davčne politike, k</w:t>
            </w:r>
            <w:r>
              <w:rPr>
                <w:rFonts w:cs="Arial"/>
                <w:color w:val="000000" w:themeColor="text1"/>
                <w:szCs w:val="20"/>
              </w:rPr>
              <w:t>atere</w:t>
            </w:r>
            <w:r w:rsidRPr="00517541">
              <w:rPr>
                <w:rFonts w:cs="Arial"/>
                <w:color w:val="000000" w:themeColor="text1"/>
                <w:szCs w:val="20"/>
              </w:rPr>
              <w:t xml:space="preserve"> cilj</w:t>
            </w:r>
            <w:r>
              <w:rPr>
                <w:rFonts w:cs="Arial"/>
                <w:color w:val="000000" w:themeColor="text1"/>
                <w:szCs w:val="20"/>
              </w:rPr>
              <w:t xml:space="preserve"> je</w:t>
            </w:r>
            <w:r w:rsidRPr="00517541">
              <w:rPr>
                <w:rFonts w:cs="Arial"/>
                <w:color w:val="000000" w:themeColor="text1"/>
                <w:szCs w:val="20"/>
              </w:rPr>
              <w:t xml:space="preserve"> učinkovito in pravično obdavčenje. </w:t>
            </w:r>
            <w:r>
              <w:rPr>
                <w:rFonts w:cs="Arial"/>
                <w:color w:val="000000" w:themeColor="text1"/>
                <w:szCs w:val="20"/>
              </w:rPr>
              <w:t>To</w:t>
            </w:r>
            <w:r w:rsidRPr="00517541">
              <w:rPr>
                <w:rFonts w:cs="Arial"/>
                <w:color w:val="000000" w:themeColor="text1"/>
                <w:szCs w:val="20"/>
              </w:rPr>
              <w:t xml:space="preserve"> vključuje tudi zagotovitev, da se davek plača tam, kjer se ustvarijo dobički in vrednost. </w:t>
            </w:r>
            <w:r>
              <w:rPr>
                <w:rFonts w:cs="Arial"/>
                <w:color w:val="000000" w:themeColor="text1"/>
                <w:szCs w:val="20"/>
              </w:rPr>
              <w:t>Ob u</w:t>
            </w:r>
            <w:r w:rsidRPr="00517541">
              <w:rPr>
                <w:rFonts w:cs="Arial"/>
                <w:color w:val="000000" w:themeColor="text1"/>
                <w:szCs w:val="20"/>
              </w:rPr>
              <w:t>pošteva</w:t>
            </w:r>
            <w:r>
              <w:rPr>
                <w:rFonts w:cs="Arial"/>
                <w:color w:val="000000" w:themeColor="text1"/>
                <w:szCs w:val="20"/>
              </w:rPr>
              <w:t>nju</w:t>
            </w:r>
            <w:r w:rsidRPr="00517541">
              <w:rPr>
                <w:rFonts w:cs="Arial"/>
                <w:color w:val="000000" w:themeColor="text1"/>
                <w:szCs w:val="20"/>
              </w:rPr>
              <w:t xml:space="preserve"> </w:t>
            </w:r>
            <w:r>
              <w:rPr>
                <w:rFonts w:cs="Arial"/>
                <w:color w:val="000000" w:themeColor="text1"/>
                <w:szCs w:val="20"/>
              </w:rPr>
              <w:t>tega</w:t>
            </w:r>
            <w:r w:rsidRPr="00517541">
              <w:rPr>
                <w:rFonts w:cs="Arial"/>
                <w:color w:val="000000" w:themeColor="text1"/>
                <w:szCs w:val="20"/>
              </w:rPr>
              <w:t xml:space="preserve"> je Organizacija za </w:t>
            </w:r>
            <w:r w:rsidRPr="000C4733">
              <w:rPr>
                <w:rFonts w:cs="Arial"/>
                <w:color w:val="000000" w:themeColor="text1"/>
                <w:szCs w:val="20"/>
              </w:rPr>
              <w:t xml:space="preserve">gospodarsko </w:t>
            </w:r>
            <w:r w:rsidRPr="00517541">
              <w:rPr>
                <w:rFonts w:cs="Arial"/>
                <w:color w:val="000000" w:themeColor="text1"/>
                <w:szCs w:val="20"/>
              </w:rPr>
              <w:t>sodelovanje in razvoj (v nadaljnjem besedilu: OECD) pristopila k akcijskemu načrtu</w:t>
            </w:r>
            <w:r>
              <w:rPr>
                <w:rFonts w:cs="Arial"/>
                <w:color w:val="000000" w:themeColor="text1"/>
                <w:szCs w:val="20"/>
              </w:rPr>
              <w:t xml:space="preserve"> </w:t>
            </w:r>
            <w:r w:rsidRPr="004D5F1B">
              <w:rPr>
                <w:rFonts w:cs="Arial"/>
                <w:color w:val="000000" w:themeColor="text1"/>
                <w:szCs w:val="20"/>
              </w:rPr>
              <w:t>za preprečevanje erozije davčne osnove in preusmerjanja dobička</w:t>
            </w:r>
            <w:r>
              <w:rPr>
                <w:rFonts w:cs="Arial"/>
                <w:color w:val="000000" w:themeColor="text1"/>
                <w:szCs w:val="20"/>
              </w:rPr>
              <w:t>, in to s</w:t>
            </w:r>
            <w:r w:rsidRPr="00517541">
              <w:rPr>
                <w:rFonts w:cs="Arial"/>
                <w:color w:val="000000" w:themeColor="text1"/>
                <w:szCs w:val="20"/>
              </w:rPr>
              <w:t xml:space="preserve"> konkretni</w:t>
            </w:r>
            <w:r>
              <w:rPr>
                <w:rFonts w:cs="Arial"/>
                <w:color w:val="000000" w:themeColor="text1"/>
                <w:szCs w:val="20"/>
              </w:rPr>
              <w:t>mi</w:t>
            </w:r>
            <w:r w:rsidRPr="00517541">
              <w:rPr>
                <w:rFonts w:cs="Arial"/>
                <w:color w:val="000000" w:themeColor="text1"/>
                <w:szCs w:val="20"/>
              </w:rPr>
              <w:t xml:space="preserve"> ukrepi (</w:t>
            </w:r>
            <w:r>
              <w:rPr>
                <w:rFonts w:cs="Arial"/>
                <w:color w:val="000000" w:themeColor="text1"/>
                <w:szCs w:val="20"/>
              </w:rPr>
              <w:t xml:space="preserve">teh je </w:t>
            </w:r>
            <w:r w:rsidRPr="00517541">
              <w:rPr>
                <w:rFonts w:cs="Arial"/>
                <w:color w:val="000000" w:themeColor="text1"/>
                <w:szCs w:val="20"/>
              </w:rPr>
              <w:t xml:space="preserve">15). </w:t>
            </w:r>
            <w:r>
              <w:rPr>
                <w:rFonts w:cs="Arial"/>
                <w:color w:val="000000" w:themeColor="text1"/>
                <w:szCs w:val="20"/>
              </w:rPr>
              <w:t>U</w:t>
            </w:r>
            <w:r w:rsidRPr="00517541">
              <w:rPr>
                <w:rFonts w:cs="Arial"/>
                <w:color w:val="000000" w:themeColor="text1"/>
                <w:szCs w:val="20"/>
              </w:rPr>
              <w:t>krepe iz akcijskega načrta OECD je povzela tudi</w:t>
            </w:r>
            <w:r w:rsidRPr="00517541" w:rsidDel="00766426">
              <w:rPr>
                <w:rFonts w:cs="Arial"/>
                <w:color w:val="000000" w:themeColor="text1"/>
                <w:szCs w:val="20"/>
              </w:rPr>
              <w:t xml:space="preserve"> </w:t>
            </w:r>
            <w:r>
              <w:rPr>
                <w:rFonts w:cs="Arial"/>
                <w:color w:val="000000" w:themeColor="text1"/>
                <w:szCs w:val="20"/>
              </w:rPr>
              <w:t>K</w:t>
            </w:r>
            <w:r w:rsidRPr="00517541">
              <w:rPr>
                <w:rFonts w:cs="Arial"/>
                <w:color w:val="000000" w:themeColor="text1"/>
                <w:szCs w:val="20"/>
              </w:rPr>
              <w:t xml:space="preserve">omisija, ko je bil v letu 2016 sprejet </w:t>
            </w:r>
            <w:r w:rsidRPr="00EE0A35">
              <w:rPr>
                <w:rFonts w:cs="Arial"/>
                <w:color w:val="000000" w:themeColor="text1"/>
                <w:szCs w:val="20"/>
              </w:rPr>
              <w:t>sveženj</w:t>
            </w:r>
            <w:r w:rsidRPr="00517541">
              <w:rPr>
                <w:rFonts w:cs="Arial"/>
                <w:color w:val="000000" w:themeColor="text1"/>
                <w:szCs w:val="20"/>
              </w:rPr>
              <w:t xml:space="preserve"> proti izogibanju davkom.</w:t>
            </w:r>
          </w:p>
          <w:p w14:paraId="47D7FB0A" w14:textId="77777777" w:rsidR="000C08CA" w:rsidRPr="00517541" w:rsidRDefault="000C08CA" w:rsidP="00FE328D">
            <w:pPr>
              <w:spacing w:line="276" w:lineRule="auto"/>
              <w:jc w:val="both"/>
              <w:rPr>
                <w:rFonts w:cs="Arial"/>
                <w:color w:val="000000" w:themeColor="text1"/>
                <w:szCs w:val="20"/>
              </w:rPr>
            </w:pPr>
          </w:p>
          <w:p w14:paraId="43C69390" w14:textId="77777777" w:rsidR="000C08CA" w:rsidRPr="00517541"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Eden izmed 15 ukrepov </w:t>
            </w:r>
            <w:r>
              <w:rPr>
                <w:rFonts w:cs="Arial"/>
                <w:color w:val="000000" w:themeColor="text1"/>
                <w:szCs w:val="20"/>
              </w:rPr>
              <w:t>iz akcijskega načrta</w:t>
            </w:r>
            <w:r w:rsidRPr="00517541">
              <w:rPr>
                <w:rFonts w:cs="Arial"/>
                <w:color w:val="000000" w:themeColor="text1"/>
                <w:szCs w:val="20"/>
              </w:rPr>
              <w:t xml:space="preserve"> je bil tudi ukrep 13, </w:t>
            </w:r>
            <w:r>
              <w:rPr>
                <w:rFonts w:cs="Arial"/>
                <w:color w:val="000000" w:themeColor="text1"/>
                <w:szCs w:val="20"/>
              </w:rPr>
              <w:t>v skladu s katerim</w:t>
            </w:r>
            <w:r w:rsidRPr="00517541">
              <w:rPr>
                <w:rFonts w:cs="Arial"/>
                <w:color w:val="000000" w:themeColor="text1"/>
                <w:szCs w:val="20"/>
              </w:rPr>
              <w:t xml:space="preserve"> je </w:t>
            </w:r>
            <w:r>
              <w:rPr>
                <w:rFonts w:cs="Arial"/>
                <w:color w:val="000000" w:themeColor="text1"/>
                <w:szCs w:val="20"/>
              </w:rPr>
              <w:t xml:space="preserve">treba </w:t>
            </w:r>
            <w:r w:rsidRPr="00517541">
              <w:rPr>
                <w:rFonts w:cs="Arial"/>
                <w:color w:val="000000" w:themeColor="text1"/>
                <w:szCs w:val="20"/>
              </w:rPr>
              <w:t xml:space="preserve">za </w:t>
            </w:r>
            <w:r>
              <w:rPr>
                <w:rFonts w:cs="Arial"/>
                <w:color w:val="000000" w:themeColor="text1"/>
                <w:szCs w:val="20"/>
              </w:rPr>
              <w:t>večjo preglednost</w:t>
            </w:r>
            <w:r w:rsidRPr="00517541">
              <w:rPr>
                <w:rFonts w:cs="Arial"/>
                <w:color w:val="000000" w:themeColor="text1"/>
                <w:szCs w:val="20"/>
              </w:rPr>
              <w:t xml:space="preserve"> na področju davkov davčnim upravam zagotoviti ustrezne informacije za ravnanje, saj je to </w:t>
            </w:r>
            <w:r>
              <w:rPr>
                <w:rFonts w:cs="Arial"/>
                <w:color w:val="000000" w:themeColor="text1"/>
                <w:szCs w:val="20"/>
              </w:rPr>
              <w:t>ključni</w:t>
            </w:r>
            <w:r w:rsidRPr="00517541">
              <w:rPr>
                <w:rFonts w:cs="Arial"/>
                <w:color w:val="000000" w:themeColor="text1"/>
                <w:szCs w:val="20"/>
              </w:rPr>
              <w:t xml:space="preserve"> element, ki prispeva k reševanju problematike zmanjševanja davčne osnove in preusmerjanja dobička. Naveden</w:t>
            </w:r>
            <w:r>
              <w:rPr>
                <w:rFonts w:cs="Arial"/>
                <w:color w:val="000000" w:themeColor="text1"/>
                <w:szCs w:val="20"/>
              </w:rPr>
              <w:t>i</w:t>
            </w:r>
            <w:r w:rsidRPr="00517541">
              <w:rPr>
                <w:rFonts w:cs="Arial"/>
                <w:color w:val="000000" w:themeColor="text1"/>
                <w:szCs w:val="20"/>
              </w:rPr>
              <w:t xml:space="preserve"> element je bil zajet v standardu poročanj</w:t>
            </w:r>
            <w:r>
              <w:rPr>
                <w:rFonts w:cs="Arial"/>
                <w:color w:val="000000" w:themeColor="text1"/>
                <w:szCs w:val="20"/>
              </w:rPr>
              <w:t>a</w:t>
            </w:r>
            <w:r w:rsidRPr="00517541">
              <w:rPr>
                <w:rFonts w:cs="Arial"/>
                <w:color w:val="000000" w:themeColor="text1"/>
                <w:szCs w:val="20"/>
              </w:rPr>
              <w:t xml:space="preserve"> po državah. </w:t>
            </w:r>
          </w:p>
          <w:p w14:paraId="3417C87D" w14:textId="77777777" w:rsidR="000C08CA" w:rsidRPr="00517541" w:rsidRDefault="000C08CA" w:rsidP="00FE328D">
            <w:pPr>
              <w:spacing w:line="276" w:lineRule="auto"/>
              <w:jc w:val="both"/>
              <w:rPr>
                <w:rFonts w:cs="Arial"/>
                <w:color w:val="000000" w:themeColor="text1"/>
                <w:szCs w:val="20"/>
              </w:rPr>
            </w:pPr>
          </w:p>
          <w:p w14:paraId="0F7340B3" w14:textId="77777777" w:rsidR="000C08CA"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Poročanje po državah je letno poročanje mednarodnih skupin podjetij, katerih letni konsolidirani prihodki znašajo 750.000.000 EUR. Sporočeni podatki se nato izmenjajo med državami, ki so bodisi podpisnice Večstranskega sporazuma med pristojnimi organi o izmenjavi poročil po državah ali na podlagi </w:t>
            </w:r>
            <w:r>
              <w:rPr>
                <w:rFonts w:cs="Arial"/>
                <w:color w:val="000000" w:themeColor="text1"/>
                <w:szCs w:val="20"/>
              </w:rPr>
              <w:t>dvostranskih</w:t>
            </w:r>
            <w:r w:rsidRPr="00517541">
              <w:rPr>
                <w:rFonts w:cs="Arial"/>
                <w:color w:val="000000" w:themeColor="text1"/>
                <w:szCs w:val="20"/>
              </w:rPr>
              <w:t xml:space="preserve"> dogovorov, ki temeljijo na Konvenciji o odpravi dvojnega obdavčevanja v zvezi z davki od dohodka in premoženja ter preprečevanju davčnih utaj in izogibanja davkom. Države članice si navedene podatke izmenjajo na podlagi direktive o upravnem sodelovanju na področju obdavčevanja. Poročanje po državah predvideva, da morajo mednarodne skupine podjetij, katerih letni konsolidirani prihodki znašajo 750.000.000 EUR, v poročilu po državah vsako leto in za vsako jurisdikcijo, v kateri poslujejo, navesti </w:t>
            </w:r>
            <w:r>
              <w:rPr>
                <w:rFonts w:cs="Arial"/>
                <w:color w:val="000000" w:themeColor="text1"/>
                <w:szCs w:val="20"/>
              </w:rPr>
              <w:t>te</w:t>
            </w:r>
            <w:r w:rsidRPr="00517541">
              <w:rPr>
                <w:rFonts w:cs="Arial"/>
                <w:color w:val="000000" w:themeColor="text1"/>
                <w:szCs w:val="20"/>
              </w:rPr>
              <w:t xml:space="preserve"> informacije: prihodek, dobiček (izgubo) pred plačilom davka na dobiček, plačan</w:t>
            </w:r>
            <w:r>
              <w:rPr>
                <w:rFonts w:cs="Arial"/>
                <w:color w:val="000000" w:themeColor="text1"/>
                <w:szCs w:val="20"/>
              </w:rPr>
              <w:t>i</w:t>
            </w:r>
            <w:r w:rsidRPr="00517541">
              <w:rPr>
                <w:rFonts w:cs="Arial"/>
                <w:color w:val="000000" w:themeColor="text1"/>
                <w:szCs w:val="20"/>
              </w:rPr>
              <w:t xml:space="preserve"> in obračunan</w:t>
            </w:r>
            <w:r>
              <w:rPr>
                <w:rFonts w:cs="Arial"/>
                <w:color w:val="000000" w:themeColor="text1"/>
                <w:szCs w:val="20"/>
              </w:rPr>
              <w:t>i</w:t>
            </w:r>
            <w:r w:rsidRPr="00517541">
              <w:rPr>
                <w:rFonts w:cs="Arial"/>
                <w:color w:val="000000" w:themeColor="text1"/>
                <w:szCs w:val="20"/>
              </w:rPr>
              <w:t xml:space="preserve"> davek od dohodkov, izkazani kapital, nerazporejen</w:t>
            </w:r>
            <w:r>
              <w:rPr>
                <w:rFonts w:cs="Arial"/>
                <w:color w:val="000000" w:themeColor="text1"/>
                <w:szCs w:val="20"/>
              </w:rPr>
              <w:t>i</w:t>
            </w:r>
            <w:r w:rsidRPr="00517541">
              <w:rPr>
                <w:rFonts w:cs="Arial"/>
                <w:color w:val="000000" w:themeColor="text1"/>
                <w:szCs w:val="20"/>
              </w:rPr>
              <w:t xml:space="preserve"> dobiček, število zaposlenih, vrednost opredmetenih sredstev, razen denarja in denarnih ustreznikov, in sicer glede na posamezno jurisdikcijo, v kateri deluje mednarodna skupina podjetij, ter vse osebe v sestavi skupine, ki poslujejo v posameznih jurisdikcijah</w:t>
            </w:r>
            <w:r>
              <w:rPr>
                <w:rFonts w:cs="Arial"/>
                <w:color w:val="000000" w:themeColor="text1"/>
                <w:szCs w:val="20"/>
              </w:rPr>
              <w:t>,</w:t>
            </w:r>
            <w:r w:rsidRPr="00517541">
              <w:rPr>
                <w:rFonts w:cs="Arial"/>
                <w:color w:val="000000" w:themeColor="text1"/>
                <w:szCs w:val="20"/>
              </w:rPr>
              <w:t xml:space="preserve"> in vrsto glavnih poslovnih dejavnosti. Pravila za izvajanje poročanja in izmenjava</w:t>
            </w:r>
            <w:r>
              <w:rPr>
                <w:rFonts w:cs="Arial"/>
                <w:color w:val="000000" w:themeColor="text1"/>
                <w:szCs w:val="20"/>
              </w:rPr>
              <w:t xml:space="preserve"> informacij</w:t>
            </w:r>
            <w:r w:rsidRPr="00517541">
              <w:rPr>
                <w:rFonts w:cs="Arial"/>
                <w:color w:val="000000" w:themeColor="text1"/>
                <w:szCs w:val="20"/>
              </w:rPr>
              <w:t xml:space="preserve"> </w:t>
            </w:r>
            <w:r>
              <w:rPr>
                <w:rFonts w:cs="Arial"/>
                <w:color w:val="000000" w:themeColor="text1"/>
                <w:szCs w:val="20"/>
              </w:rPr>
              <w:t>so</w:t>
            </w:r>
            <w:r w:rsidRPr="00517541">
              <w:rPr>
                <w:rFonts w:cs="Arial"/>
                <w:color w:val="000000" w:themeColor="text1"/>
                <w:szCs w:val="20"/>
              </w:rPr>
              <w:t xml:space="preserve"> v slovenskem pravnem redu urejen</w:t>
            </w:r>
            <w:r>
              <w:rPr>
                <w:rFonts w:cs="Arial"/>
                <w:color w:val="000000" w:themeColor="text1"/>
                <w:szCs w:val="20"/>
              </w:rPr>
              <w:t>i</w:t>
            </w:r>
            <w:r w:rsidRPr="00517541">
              <w:rPr>
                <w:rFonts w:cs="Arial"/>
                <w:color w:val="000000" w:themeColor="text1"/>
                <w:szCs w:val="20"/>
              </w:rPr>
              <w:t xml:space="preserve"> v</w:t>
            </w:r>
            <w:r>
              <w:rPr>
                <w:rFonts w:cs="Arial"/>
                <w:color w:val="000000" w:themeColor="text1"/>
                <w:szCs w:val="20"/>
              </w:rPr>
              <w:t xml:space="preserve"> </w:t>
            </w:r>
            <w:r w:rsidRPr="00517541">
              <w:rPr>
                <w:rFonts w:cs="Arial"/>
                <w:color w:val="000000" w:themeColor="text1"/>
                <w:szCs w:val="20"/>
              </w:rPr>
              <w:t>zakonodaji, ki ureja davčni postopek.</w:t>
            </w:r>
          </w:p>
          <w:p w14:paraId="5385CBF9" w14:textId="77777777" w:rsidR="000C08CA" w:rsidRDefault="000C08CA" w:rsidP="00FE328D">
            <w:pPr>
              <w:spacing w:line="276" w:lineRule="auto"/>
              <w:jc w:val="both"/>
              <w:rPr>
                <w:rFonts w:cs="Arial"/>
                <w:color w:val="000000" w:themeColor="text1"/>
                <w:szCs w:val="20"/>
              </w:rPr>
            </w:pPr>
          </w:p>
          <w:p w14:paraId="4EEEEB18" w14:textId="77777777" w:rsidR="000C08CA" w:rsidRDefault="000C08CA" w:rsidP="00FE328D">
            <w:pPr>
              <w:spacing w:line="276" w:lineRule="auto"/>
              <w:jc w:val="both"/>
              <w:rPr>
                <w:rFonts w:cs="Arial"/>
                <w:color w:val="000000" w:themeColor="text1"/>
                <w:szCs w:val="20"/>
              </w:rPr>
            </w:pPr>
            <w:r>
              <w:rPr>
                <w:rFonts w:cs="Arial"/>
                <w:color w:val="000000" w:themeColor="text1"/>
                <w:szCs w:val="20"/>
              </w:rPr>
              <w:t xml:space="preserve">Čedalje večji pomen ima tudi preglednost v </w:t>
            </w:r>
            <w:r w:rsidRPr="00802768">
              <w:rPr>
                <w:rFonts w:cs="Arial"/>
                <w:color w:val="000000" w:themeColor="text1"/>
                <w:szCs w:val="20"/>
              </w:rPr>
              <w:t>ekstraktivn</w:t>
            </w:r>
            <w:r>
              <w:rPr>
                <w:rFonts w:cs="Arial"/>
                <w:color w:val="000000" w:themeColor="text1"/>
                <w:szCs w:val="20"/>
              </w:rPr>
              <w:t>i</w:t>
            </w:r>
            <w:r w:rsidRPr="00802768">
              <w:rPr>
                <w:rFonts w:cs="Arial"/>
                <w:color w:val="000000" w:themeColor="text1"/>
                <w:szCs w:val="20"/>
              </w:rPr>
              <w:t xml:space="preserve"> industrij</w:t>
            </w:r>
            <w:r>
              <w:rPr>
                <w:rFonts w:cs="Arial"/>
                <w:color w:val="000000" w:themeColor="text1"/>
                <w:szCs w:val="20"/>
              </w:rPr>
              <w:t>i (</w:t>
            </w:r>
            <w:r w:rsidRPr="00CF4910">
              <w:rPr>
                <w:rFonts w:cs="Arial"/>
                <w:color w:val="000000" w:themeColor="text1"/>
                <w:szCs w:val="20"/>
              </w:rPr>
              <w:t xml:space="preserve">dejavnosti, ki zadevajo raziskovanje, odkrivanje, razvijanje in izkoriščanje </w:t>
            </w:r>
            <w:r w:rsidRPr="00EC1B5C">
              <w:rPr>
                <w:rFonts w:cs="Arial"/>
                <w:color w:val="000000" w:themeColor="text1"/>
                <w:szCs w:val="20"/>
              </w:rPr>
              <w:t>zalog mineralov, nafte in naravnega plina</w:t>
            </w:r>
            <w:r>
              <w:rPr>
                <w:rFonts w:cs="Arial"/>
                <w:color w:val="000000" w:themeColor="text1"/>
                <w:szCs w:val="20"/>
              </w:rPr>
              <w:t>)</w:t>
            </w:r>
            <w:r w:rsidRPr="00802768">
              <w:rPr>
                <w:rFonts w:cs="Arial"/>
                <w:color w:val="000000" w:themeColor="text1"/>
                <w:szCs w:val="20"/>
              </w:rPr>
              <w:t xml:space="preserve"> in v sektorju izkoriščanja pr</w:t>
            </w:r>
            <w:r>
              <w:rPr>
                <w:rFonts w:cs="Arial"/>
                <w:color w:val="000000" w:themeColor="text1"/>
                <w:szCs w:val="20"/>
              </w:rPr>
              <w:t>a</w:t>
            </w:r>
            <w:r w:rsidRPr="00802768">
              <w:rPr>
                <w:rFonts w:cs="Arial"/>
                <w:color w:val="000000" w:themeColor="text1"/>
                <w:szCs w:val="20"/>
              </w:rPr>
              <w:t>gozdov</w:t>
            </w:r>
            <w:r>
              <w:rPr>
                <w:rFonts w:cs="Arial"/>
                <w:color w:val="000000" w:themeColor="text1"/>
                <w:szCs w:val="20"/>
              </w:rPr>
              <w:t xml:space="preserve">. V zvezi z </w:t>
            </w:r>
            <w:r w:rsidRPr="00684EBB">
              <w:rPr>
                <w:rFonts w:cs="Arial"/>
                <w:color w:val="000000" w:themeColor="text1"/>
                <w:szCs w:val="20"/>
              </w:rPr>
              <w:t>mednarodn</w:t>
            </w:r>
            <w:r>
              <w:rPr>
                <w:rFonts w:cs="Arial"/>
                <w:color w:val="000000" w:themeColor="text1"/>
                <w:szCs w:val="20"/>
              </w:rPr>
              <w:t>o</w:t>
            </w:r>
            <w:r w:rsidRPr="00684EBB">
              <w:rPr>
                <w:rFonts w:cs="Arial"/>
                <w:color w:val="000000" w:themeColor="text1"/>
                <w:szCs w:val="20"/>
              </w:rPr>
              <w:t xml:space="preserve"> pobud</w:t>
            </w:r>
            <w:r>
              <w:rPr>
                <w:rFonts w:cs="Arial"/>
                <w:color w:val="000000" w:themeColor="text1"/>
                <w:szCs w:val="20"/>
              </w:rPr>
              <w:t>o</w:t>
            </w:r>
            <w:r w:rsidRPr="00684EBB">
              <w:rPr>
                <w:rFonts w:cs="Arial"/>
                <w:color w:val="000000" w:themeColor="text1"/>
                <w:szCs w:val="20"/>
              </w:rPr>
              <w:t xml:space="preserve"> za </w:t>
            </w:r>
            <w:r>
              <w:rPr>
                <w:rFonts w:cs="Arial"/>
                <w:color w:val="000000" w:themeColor="text1"/>
                <w:szCs w:val="20"/>
              </w:rPr>
              <w:t xml:space="preserve">preglednost v </w:t>
            </w:r>
            <w:r w:rsidRPr="00684EBB">
              <w:rPr>
                <w:rFonts w:cs="Arial"/>
                <w:color w:val="000000" w:themeColor="text1"/>
                <w:szCs w:val="20"/>
              </w:rPr>
              <w:t>ekstraktivn</w:t>
            </w:r>
            <w:r>
              <w:rPr>
                <w:rFonts w:cs="Arial"/>
                <w:color w:val="000000" w:themeColor="text1"/>
                <w:szCs w:val="20"/>
              </w:rPr>
              <w:t>i</w:t>
            </w:r>
            <w:r w:rsidRPr="00684EBB">
              <w:rPr>
                <w:rFonts w:cs="Arial"/>
                <w:color w:val="000000" w:themeColor="text1"/>
                <w:szCs w:val="20"/>
              </w:rPr>
              <w:t xml:space="preserve"> industrij</w:t>
            </w:r>
            <w:r>
              <w:rPr>
                <w:rFonts w:cs="Arial"/>
                <w:color w:val="000000" w:themeColor="text1"/>
                <w:szCs w:val="20"/>
              </w:rPr>
              <w:t>i</w:t>
            </w:r>
            <w:r w:rsidRPr="00684EBB">
              <w:rPr>
                <w:rFonts w:cs="Arial"/>
                <w:color w:val="000000" w:themeColor="text1"/>
                <w:szCs w:val="20"/>
              </w:rPr>
              <w:t xml:space="preserve"> </w:t>
            </w:r>
            <w:r>
              <w:rPr>
                <w:rFonts w:cs="Arial"/>
                <w:color w:val="000000" w:themeColor="text1"/>
                <w:szCs w:val="20"/>
              </w:rPr>
              <w:t>je K</w:t>
            </w:r>
            <w:r w:rsidRPr="00684EBB">
              <w:rPr>
                <w:rFonts w:cs="Arial"/>
                <w:color w:val="000000" w:themeColor="text1"/>
                <w:szCs w:val="20"/>
              </w:rPr>
              <w:t>omisija javno izrazila podporo</w:t>
            </w:r>
            <w:r>
              <w:rPr>
                <w:rFonts w:cs="Arial"/>
                <w:color w:val="000000" w:themeColor="text1"/>
                <w:szCs w:val="20"/>
              </w:rPr>
              <w:t xml:space="preserve"> in</w:t>
            </w:r>
            <w:r w:rsidRPr="00684EBB">
              <w:rPr>
                <w:rFonts w:cs="Arial"/>
                <w:color w:val="000000" w:themeColor="text1"/>
                <w:szCs w:val="20"/>
              </w:rPr>
              <w:t xml:space="preserve"> napovedala pripravljenost za </w:t>
            </w:r>
            <w:r>
              <w:rPr>
                <w:rFonts w:cs="Arial"/>
                <w:color w:val="000000" w:themeColor="text1"/>
                <w:szCs w:val="20"/>
              </w:rPr>
              <w:t xml:space="preserve">pripravo </w:t>
            </w:r>
            <w:r w:rsidRPr="00684EBB">
              <w:rPr>
                <w:rFonts w:cs="Arial"/>
                <w:color w:val="000000" w:themeColor="text1"/>
                <w:szCs w:val="20"/>
              </w:rPr>
              <w:t>zakonodaj</w:t>
            </w:r>
            <w:r>
              <w:rPr>
                <w:rFonts w:cs="Arial"/>
                <w:color w:val="000000" w:themeColor="text1"/>
                <w:szCs w:val="20"/>
              </w:rPr>
              <w:t>nega predloga</w:t>
            </w:r>
            <w:r w:rsidRPr="00684EBB">
              <w:rPr>
                <w:rFonts w:cs="Arial"/>
                <w:color w:val="000000" w:themeColor="text1"/>
                <w:szCs w:val="20"/>
              </w:rPr>
              <w:t xml:space="preserve">, ki bo </w:t>
            </w:r>
            <w:r>
              <w:rPr>
                <w:rFonts w:cs="Arial"/>
                <w:color w:val="000000" w:themeColor="text1"/>
                <w:szCs w:val="20"/>
              </w:rPr>
              <w:t>spodbudil</w:t>
            </w:r>
            <w:r w:rsidRPr="00684EBB">
              <w:rPr>
                <w:rFonts w:cs="Arial"/>
                <w:color w:val="000000" w:themeColor="text1"/>
                <w:szCs w:val="20"/>
              </w:rPr>
              <w:t xml:space="preserve"> razkritja za podjetja v ekstraktivni industriji. Podobna zaveza je bila sprejeta v sklepnih izjavah vrha skupine G8 v Deauvillu maja 2011, </w:t>
            </w:r>
            <w:r>
              <w:rPr>
                <w:rFonts w:cs="Arial"/>
                <w:color w:val="000000" w:themeColor="text1"/>
                <w:szCs w:val="20"/>
              </w:rPr>
              <w:t>pri čemer</w:t>
            </w:r>
            <w:r w:rsidRPr="00684EBB">
              <w:rPr>
                <w:rFonts w:cs="Arial"/>
                <w:color w:val="000000" w:themeColor="text1"/>
                <w:szCs w:val="20"/>
              </w:rPr>
              <w:t xml:space="preserve"> se je skupina G8 zavezala, da bo </w:t>
            </w:r>
            <w:r>
              <w:rPr>
                <w:rFonts w:cs="Arial"/>
                <w:color w:val="000000" w:themeColor="text1"/>
                <w:szCs w:val="20"/>
              </w:rPr>
              <w:t>vzpostavila pravni okvir, ki bo spodbujal</w:t>
            </w:r>
            <w:r w:rsidRPr="00684EBB">
              <w:rPr>
                <w:rFonts w:cs="Arial"/>
                <w:color w:val="000000" w:themeColor="text1"/>
                <w:szCs w:val="20"/>
              </w:rPr>
              <w:t xml:space="preserve"> </w:t>
            </w:r>
            <w:r>
              <w:rPr>
                <w:rFonts w:cs="Arial"/>
                <w:color w:val="000000" w:themeColor="text1"/>
                <w:szCs w:val="20"/>
              </w:rPr>
              <w:t xml:space="preserve">preglednost pri plačilih, ki jih vladam namenijo </w:t>
            </w:r>
            <w:r w:rsidRPr="00684EBB">
              <w:rPr>
                <w:rFonts w:cs="Arial"/>
                <w:color w:val="000000" w:themeColor="text1"/>
                <w:szCs w:val="20"/>
              </w:rPr>
              <w:t>podjetja, ki delujejo na področju nafte, zemeljskega plina ali rudarjenja. Poleg tega je Evropski parlament pripravil resolucijo, v kateri je podprl poročanj</w:t>
            </w:r>
            <w:r>
              <w:rPr>
                <w:rFonts w:cs="Arial"/>
                <w:color w:val="000000" w:themeColor="text1"/>
                <w:szCs w:val="20"/>
              </w:rPr>
              <w:t>e</w:t>
            </w:r>
            <w:r w:rsidRPr="00684EBB">
              <w:rPr>
                <w:rFonts w:cs="Arial"/>
                <w:color w:val="000000" w:themeColor="text1"/>
                <w:szCs w:val="20"/>
              </w:rPr>
              <w:t xml:space="preserve"> po državah, predvsem v zvezi z ekstraktivno industrijo.</w:t>
            </w:r>
            <w:r>
              <w:rPr>
                <w:rFonts w:cs="Arial"/>
                <w:color w:val="000000" w:themeColor="text1"/>
                <w:szCs w:val="20"/>
              </w:rPr>
              <w:t xml:space="preserve"> </w:t>
            </w:r>
            <w:r w:rsidRPr="00517541">
              <w:rPr>
                <w:rFonts w:cs="Arial"/>
                <w:color w:val="000000" w:themeColor="text1"/>
                <w:szCs w:val="20"/>
              </w:rPr>
              <w:t xml:space="preserve">Poročanje po državah </w:t>
            </w:r>
            <w:r>
              <w:rPr>
                <w:rFonts w:cs="Arial"/>
                <w:color w:val="000000" w:themeColor="text1"/>
                <w:szCs w:val="20"/>
              </w:rPr>
              <w:t xml:space="preserve">je letno poročanje </w:t>
            </w:r>
            <w:r w:rsidRPr="00395CBE">
              <w:rPr>
                <w:rFonts w:cs="Arial"/>
                <w:color w:val="000000" w:themeColor="text1"/>
                <w:szCs w:val="20"/>
              </w:rPr>
              <w:t>velik</w:t>
            </w:r>
            <w:r>
              <w:rPr>
                <w:rFonts w:cs="Arial"/>
                <w:color w:val="000000" w:themeColor="text1"/>
                <w:szCs w:val="20"/>
              </w:rPr>
              <w:t>ih</w:t>
            </w:r>
            <w:r w:rsidRPr="00395CBE">
              <w:rPr>
                <w:rFonts w:cs="Arial"/>
                <w:color w:val="000000" w:themeColor="text1"/>
                <w:szCs w:val="20"/>
              </w:rPr>
              <w:t xml:space="preserve"> družb</w:t>
            </w:r>
            <w:r>
              <w:rPr>
                <w:rFonts w:cs="Arial"/>
                <w:color w:val="000000" w:themeColor="text1"/>
                <w:szCs w:val="20"/>
              </w:rPr>
              <w:t xml:space="preserve"> in obvladujočih družb v skupini</w:t>
            </w:r>
            <w:r w:rsidRPr="00395CBE">
              <w:rPr>
                <w:rFonts w:cs="Arial"/>
                <w:color w:val="000000" w:themeColor="text1"/>
                <w:szCs w:val="20"/>
              </w:rPr>
              <w:t>, kateri</w:t>
            </w:r>
            <w:r>
              <w:rPr>
                <w:rFonts w:cs="Arial"/>
                <w:color w:val="000000" w:themeColor="text1"/>
                <w:szCs w:val="20"/>
              </w:rPr>
              <w:t>h</w:t>
            </w:r>
            <w:r w:rsidRPr="00395CBE">
              <w:rPr>
                <w:rFonts w:cs="Arial"/>
                <w:color w:val="000000" w:themeColor="text1"/>
                <w:szCs w:val="20"/>
              </w:rPr>
              <w:t xml:space="preserve"> dejavnost zajema raziskovanje, iskanje, odkrivanje, razvijanje in izkoriščanje zalog mineralov, nafte, zemeljskega plina ali drugih materialov v okviru gospodarskih dejavnosti, navedenih v oddelkih od 5 do 8 </w:t>
            </w:r>
            <w:r>
              <w:rPr>
                <w:rFonts w:cs="Arial"/>
                <w:color w:val="000000" w:themeColor="text1"/>
                <w:szCs w:val="20"/>
              </w:rPr>
              <w:t>dela</w:t>
            </w:r>
            <w:r w:rsidRPr="00395CBE">
              <w:rPr>
                <w:rFonts w:cs="Arial"/>
                <w:color w:val="000000" w:themeColor="text1"/>
                <w:szCs w:val="20"/>
              </w:rPr>
              <w:t xml:space="preserve"> B Priloge I Uredbe o standardni klasifikaciji dejavnosti (Uradni list RS, št. 69/07 in 17/08)</w:t>
            </w:r>
            <w:r>
              <w:rPr>
                <w:rFonts w:cs="Arial"/>
                <w:color w:val="000000" w:themeColor="text1"/>
                <w:szCs w:val="20"/>
              </w:rPr>
              <w:t xml:space="preserve"> in</w:t>
            </w:r>
            <w:r w:rsidRPr="009F5178">
              <w:rPr>
                <w:rFonts w:cs="Arial"/>
                <w:color w:val="000000" w:themeColor="text1"/>
                <w:szCs w:val="20"/>
              </w:rPr>
              <w:t xml:space="preserve"> velik</w:t>
            </w:r>
            <w:r>
              <w:rPr>
                <w:rFonts w:cs="Arial"/>
                <w:color w:val="000000" w:themeColor="text1"/>
                <w:szCs w:val="20"/>
              </w:rPr>
              <w:t>ih</w:t>
            </w:r>
            <w:r w:rsidRPr="009F5178">
              <w:rPr>
                <w:rFonts w:cs="Arial"/>
                <w:color w:val="000000" w:themeColor="text1"/>
                <w:szCs w:val="20"/>
              </w:rPr>
              <w:t xml:space="preserve"> družb, ki ne opravljajo</w:t>
            </w:r>
            <w:r>
              <w:rPr>
                <w:rFonts w:cs="Arial"/>
                <w:color w:val="000000" w:themeColor="text1"/>
                <w:szCs w:val="20"/>
              </w:rPr>
              <w:t xml:space="preserve"> navedenih</w:t>
            </w:r>
            <w:r w:rsidRPr="009F5178">
              <w:rPr>
                <w:rFonts w:cs="Arial"/>
                <w:color w:val="000000" w:themeColor="text1"/>
                <w:szCs w:val="20"/>
              </w:rPr>
              <w:t xml:space="preserve"> dejavnosti, opravlja pa jih katera izmed njihovih odvisnih družb.</w:t>
            </w:r>
            <w:r w:rsidRPr="00395CBE">
              <w:rPr>
                <w:rFonts w:cs="Arial"/>
                <w:color w:val="000000" w:themeColor="text1"/>
                <w:szCs w:val="20"/>
              </w:rPr>
              <w:t xml:space="preserve"> </w:t>
            </w:r>
            <w:r>
              <w:rPr>
                <w:rFonts w:cs="Arial"/>
                <w:color w:val="000000" w:themeColor="text1"/>
                <w:szCs w:val="20"/>
              </w:rPr>
              <w:t xml:space="preserve">Obveznost velja tudi </w:t>
            </w:r>
            <w:r w:rsidRPr="00395CBE">
              <w:rPr>
                <w:rFonts w:cs="Arial"/>
                <w:color w:val="000000" w:themeColor="text1"/>
                <w:szCs w:val="20"/>
              </w:rPr>
              <w:t>za družbe, ki opravljajo dejavnosti v sektorju izkoriščanja pragozdov,</w:t>
            </w:r>
            <w:r>
              <w:t xml:space="preserve"> </w:t>
            </w:r>
            <w:r w:rsidRPr="009F5178">
              <w:rPr>
                <w:rFonts w:cs="Arial"/>
                <w:color w:val="000000" w:themeColor="text1"/>
                <w:szCs w:val="20"/>
              </w:rPr>
              <w:t>naveden</w:t>
            </w:r>
            <w:r>
              <w:rPr>
                <w:rFonts w:cs="Arial"/>
                <w:color w:val="000000" w:themeColor="text1"/>
                <w:szCs w:val="20"/>
              </w:rPr>
              <w:t>e</w:t>
            </w:r>
            <w:r w:rsidRPr="009F5178">
              <w:rPr>
                <w:rFonts w:cs="Arial"/>
                <w:color w:val="000000" w:themeColor="text1"/>
                <w:szCs w:val="20"/>
              </w:rPr>
              <w:t xml:space="preserve"> v skupini 2.2 oddelka 2 </w:t>
            </w:r>
            <w:r>
              <w:rPr>
                <w:rFonts w:cs="Arial"/>
                <w:color w:val="000000" w:themeColor="text1"/>
                <w:szCs w:val="20"/>
              </w:rPr>
              <w:t>dela</w:t>
            </w:r>
            <w:r w:rsidRPr="009F5178">
              <w:rPr>
                <w:rFonts w:cs="Arial"/>
                <w:color w:val="000000" w:themeColor="text1"/>
                <w:szCs w:val="20"/>
              </w:rPr>
              <w:t xml:space="preserve"> A Priloge I Uredbe o standardni klasifikaciji dejavnosti.</w:t>
            </w:r>
            <w:r>
              <w:rPr>
                <w:rFonts w:cs="Arial"/>
                <w:color w:val="000000" w:themeColor="text1"/>
                <w:szCs w:val="20"/>
              </w:rPr>
              <w:t xml:space="preserve"> </w:t>
            </w:r>
          </w:p>
          <w:p w14:paraId="3EBDD72E" w14:textId="77777777" w:rsidR="000C08CA" w:rsidRDefault="000C08CA" w:rsidP="00FE328D">
            <w:pPr>
              <w:spacing w:line="276" w:lineRule="auto"/>
              <w:jc w:val="both"/>
              <w:rPr>
                <w:rFonts w:cs="Arial"/>
                <w:color w:val="000000" w:themeColor="text1"/>
                <w:szCs w:val="20"/>
              </w:rPr>
            </w:pPr>
          </w:p>
          <w:p w14:paraId="13F4C2ED" w14:textId="77777777" w:rsidR="000C08CA" w:rsidRDefault="000C08CA" w:rsidP="00FE328D">
            <w:pPr>
              <w:spacing w:line="276" w:lineRule="auto"/>
              <w:jc w:val="both"/>
              <w:rPr>
                <w:rFonts w:cs="Arial"/>
                <w:color w:val="000000" w:themeColor="text1"/>
                <w:szCs w:val="20"/>
              </w:rPr>
            </w:pPr>
            <w:r w:rsidRPr="008C2040">
              <w:rPr>
                <w:rFonts w:cs="Arial"/>
                <w:color w:val="000000" w:themeColor="text1"/>
                <w:szCs w:val="20"/>
              </w:rPr>
              <w:t>Namen določbe je, da se od velikih družb, ki poslujejo v državah, ki imajo veliko naravnih virov, zlasti</w:t>
            </w:r>
            <w:r>
              <w:rPr>
                <w:rFonts w:cs="Arial"/>
                <w:color w:val="000000" w:themeColor="text1"/>
                <w:szCs w:val="20"/>
              </w:rPr>
              <w:t xml:space="preserve"> </w:t>
            </w:r>
            <w:r w:rsidRPr="008C2040">
              <w:rPr>
                <w:rFonts w:cs="Arial"/>
                <w:color w:val="000000" w:themeColor="text1"/>
                <w:szCs w:val="20"/>
              </w:rPr>
              <w:t xml:space="preserve">rudnin, nafte, zemeljskega plina in pragozdov, zahteva </w:t>
            </w:r>
            <w:r>
              <w:rPr>
                <w:rFonts w:cs="Arial"/>
                <w:color w:val="000000" w:themeColor="text1"/>
                <w:szCs w:val="20"/>
              </w:rPr>
              <w:t xml:space="preserve">pregledno </w:t>
            </w:r>
            <w:r w:rsidRPr="008C2040">
              <w:rPr>
                <w:rFonts w:cs="Arial"/>
                <w:color w:val="000000" w:themeColor="text1"/>
                <w:szCs w:val="20"/>
              </w:rPr>
              <w:t>poročanje o plačilih vladam v</w:t>
            </w:r>
            <w:r>
              <w:rPr>
                <w:rFonts w:cs="Arial"/>
                <w:color w:val="000000" w:themeColor="text1"/>
                <w:szCs w:val="20"/>
              </w:rPr>
              <w:t xml:space="preserve"> </w:t>
            </w:r>
            <w:r w:rsidRPr="008C2040">
              <w:rPr>
                <w:rFonts w:cs="Arial"/>
                <w:color w:val="000000" w:themeColor="text1"/>
                <w:szCs w:val="20"/>
              </w:rPr>
              <w:t xml:space="preserve">zvezi </w:t>
            </w:r>
            <w:r w:rsidRPr="008C2040">
              <w:rPr>
                <w:rFonts w:cs="Arial"/>
                <w:color w:val="000000" w:themeColor="text1"/>
                <w:szCs w:val="20"/>
              </w:rPr>
              <w:lastRenderedPageBreak/>
              <w:t>z izkoriščanjem naravnih virov. Poročilo je treba tudi javno objaviti, kot velja za letna poročila</w:t>
            </w:r>
            <w:r>
              <w:rPr>
                <w:rFonts w:cs="Arial"/>
                <w:color w:val="000000" w:themeColor="text1"/>
                <w:szCs w:val="20"/>
              </w:rPr>
              <w:t xml:space="preserve"> </w:t>
            </w:r>
            <w:r w:rsidRPr="008C2040">
              <w:rPr>
                <w:rFonts w:cs="Arial"/>
                <w:color w:val="000000" w:themeColor="text1"/>
                <w:szCs w:val="20"/>
              </w:rPr>
              <w:t>velikih družb.</w:t>
            </w:r>
            <w:r>
              <w:rPr>
                <w:rFonts w:cs="Arial"/>
                <w:color w:val="000000" w:themeColor="text1"/>
                <w:szCs w:val="20"/>
              </w:rPr>
              <w:t xml:space="preserve"> </w:t>
            </w:r>
            <w:r w:rsidRPr="008C2040">
              <w:rPr>
                <w:rFonts w:cs="Arial"/>
                <w:color w:val="000000" w:themeColor="text1"/>
                <w:szCs w:val="20"/>
              </w:rPr>
              <w:t>Družbe lahko obveznost izpolnijo tudi samo s pripravo konsolidiranega poročila o plačilih vladam, če</w:t>
            </w:r>
            <w:r>
              <w:rPr>
                <w:rFonts w:cs="Arial"/>
                <w:color w:val="000000" w:themeColor="text1"/>
                <w:szCs w:val="20"/>
              </w:rPr>
              <w:t xml:space="preserve"> </w:t>
            </w:r>
            <w:r w:rsidRPr="008C2040">
              <w:rPr>
                <w:rFonts w:cs="Arial"/>
                <w:color w:val="000000" w:themeColor="text1"/>
                <w:szCs w:val="20"/>
              </w:rPr>
              <w:t>je obvladujoča družba iz države članice. V poročilu ni treba navajati plačil, ki v poslovne</w:t>
            </w:r>
            <w:r>
              <w:rPr>
                <w:rFonts w:cs="Arial"/>
                <w:color w:val="000000" w:themeColor="text1"/>
                <w:szCs w:val="20"/>
              </w:rPr>
              <w:t>m</w:t>
            </w:r>
            <w:r w:rsidRPr="008C2040">
              <w:rPr>
                <w:rFonts w:cs="Arial"/>
                <w:color w:val="000000" w:themeColor="text1"/>
                <w:szCs w:val="20"/>
              </w:rPr>
              <w:t xml:space="preserve"> let</w:t>
            </w:r>
            <w:r>
              <w:rPr>
                <w:rFonts w:cs="Arial"/>
                <w:color w:val="000000" w:themeColor="text1"/>
                <w:szCs w:val="20"/>
              </w:rPr>
              <w:t xml:space="preserve">u </w:t>
            </w:r>
            <w:r w:rsidRPr="008C2040">
              <w:rPr>
                <w:rFonts w:cs="Arial"/>
                <w:color w:val="000000" w:themeColor="text1"/>
                <w:szCs w:val="20"/>
              </w:rPr>
              <w:t xml:space="preserve">enkratno ali v več posameznih plačilih ne presegajo 100.000 </w:t>
            </w:r>
            <w:r>
              <w:rPr>
                <w:rFonts w:cs="Arial"/>
                <w:color w:val="000000" w:themeColor="text1"/>
                <w:szCs w:val="20"/>
              </w:rPr>
              <w:t>EUR</w:t>
            </w:r>
            <w:r w:rsidRPr="008C2040">
              <w:rPr>
                <w:rFonts w:cs="Arial"/>
                <w:color w:val="000000" w:themeColor="text1"/>
                <w:szCs w:val="20"/>
              </w:rPr>
              <w:t>.</w:t>
            </w:r>
            <w:r>
              <w:rPr>
                <w:rFonts w:cs="Arial"/>
                <w:color w:val="000000" w:themeColor="text1"/>
                <w:szCs w:val="20"/>
              </w:rPr>
              <w:t xml:space="preserve"> </w:t>
            </w:r>
            <w:r w:rsidRPr="008C2040">
              <w:rPr>
                <w:rFonts w:cs="Arial"/>
                <w:color w:val="000000" w:themeColor="text1"/>
                <w:szCs w:val="20"/>
              </w:rPr>
              <w:t>Poročilo o plačilih vladam mora vključevati razkritja glede na posamezne države in projekte. V</w:t>
            </w:r>
            <w:r>
              <w:rPr>
                <w:rFonts w:cs="Arial"/>
                <w:color w:val="000000" w:themeColor="text1"/>
                <w:szCs w:val="20"/>
              </w:rPr>
              <w:t xml:space="preserve"> </w:t>
            </w:r>
            <w:r w:rsidRPr="008C2040">
              <w:rPr>
                <w:rFonts w:cs="Arial"/>
                <w:color w:val="000000" w:themeColor="text1"/>
                <w:szCs w:val="20"/>
              </w:rPr>
              <w:t xml:space="preserve">poročilu je treba v zvezi z opravljanjem teh dejavnosti razkriti </w:t>
            </w:r>
            <w:r>
              <w:rPr>
                <w:rFonts w:cs="Arial"/>
                <w:color w:val="000000" w:themeColor="text1"/>
                <w:szCs w:val="20"/>
              </w:rPr>
              <w:t xml:space="preserve">(1) </w:t>
            </w:r>
            <w:r w:rsidRPr="008C2040">
              <w:rPr>
                <w:rFonts w:cs="Arial"/>
                <w:color w:val="000000" w:themeColor="text1"/>
                <w:szCs w:val="20"/>
              </w:rPr>
              <w:t>skupni znesek vseh opravljenih plačil organom</w:t>
            </w:r>
            <w:r>
              <w:rPr>
                <w:rFonts w:cs="Arial"/>
                <w:color w:val="000000" w:themeColor="text1"/>
                <w:szCs w:val="20"/>
              </w:rPr>
              <w:t xml:space="preserve"> in (2) </w:t>
            </w:r>
            <w:r w:rsidRPr="008C2040">
              <w:rPr>
                <w:rFonts w:cs="Arial"/>
                <w:color w:val="000000" w:themeColor="text1"/>
                <w:szCs w:val="20"/>
              </w:rPr>
              <w:t>skupni znesek plačil po posameznih postavkah</w:t>
            </w:r>
            <w:r>
              <w:rPr>
                <w:rFonts w:cs="Arial"/>
                <w:color w:val="000000" w:themeColor="text1"/>
                <w:szCs w:val="20"/>
              </w:rPr>
              <w:t>, te so</w:t>
            </w:r>
            <w:r w:rsidRPr="008C2040">
              <w:rPr>
                <w:rFonts w:cs="Arial"/>
                <w:color w:val="000000" w:themeColor="text1"/>
                <w:szCs w:val="20"/>
              </w:rPr>
              <w:t xml:space="preserve">: </w:t>
            </w:r>
            <w:r>
              <w:rPr>
                <w:rFonts w:cs="Arial"/>
                <w:color w:val="000000" w:themeColor="text1"/>
                <w:szCs w:val="20"/>
              </w:rPr>
              <w:t xml:space="preserve">(a) </w:t>
            </w:r>
            <w:r w:rsidRPr="008C2040">
              <w:rPr>
                <w:rFonts w:cs="Arial"/>
                <w:color w:val="000000" w:themeColor="text1"/>
                <w:szCs w:val="20"/>
              </w:rPr>
              <w:t>upravičenosti do proizvodnje</w:t>
            </w:r>
            <w:r>
              <w:rPr>
                <w:rFonts w:cs="Arial"/>
                <w:color w:val="000000" w:themeColor="text1"/>
                <w:szCs w:val="20"/>
              </w:rPr>
              <w:t>,</w:t>
            </w:r>
            <w:r w:rsidRPr="008C2040">
              <w:rPr>
                <w:rFonts w:cs="Arial"/>
                <w:color w:val="000000" w:themeColor="text1"/>
                <w:szCs w:val="20"/>
              </w:rPr>
              <w:t xml:space="preserve"> </w:t>
            </w:r>
            <w:r>
              <w:rPr>
                <w:rFonts w:cs="Arial"/>
                <w:color w:val="000000" w:themeColor="text1"/>
                <w:szCs w:val="20"/>
              </w:rPr>
              <w:t xml:space="preserve">(b) </w:t>
            </w:r>
            <w:r w:rsidRPr="008C2040">
              <w:rPr>
                <w:rFonts w:cs="Arial"/>
                <w:color w:val="000000" w:themeColor="text1"/>
                <w:szCs w:val="20"/>
              </w:rPr>
              <w:t>davki (brez davkov</w:t>
            </w:r>
            <w:r>
              <w:rPr>
                <w:rFonts w:cs="Arial"/>
                <w:color w:val="000000" w:themeColor="text1"/>
                <w:szCs w:val="20"/>
              </w:rPr>
              <w:t xml:space="preserve">, </w:t>
            </w:r>
            <w:r w:rsidRPr="008C2040">
              <w:rPr>
                <w:rFonts w:cs="Arial"/>
                <w:color w:val="000000" w:themeColor="text1"/>
                <w:szCs w:val="20"/>
              </w:rPr>
              <w:t>zaračunanih na potrošnjo)</w:t>
            </w:r>
            <w:r>
              <w:rPr>
                <w:rFonts w:cs="Arial"/>
                <w:color w:val="000000" w:themeColor="text1"/>
                <w:szCs w:val="20"/>
              </w:rPr>
              <w:t>,</w:t>
            </w:r>
            <w:r w:rsidRPr="008C2040">
              <w:rPr>
                <w:rFonts w:cs="Arial"/>
                <w:color w:val="000000" w:themeColor="text1"/>
                <w:szCs w:val="20"/>
              </w:rPr>
              <w:t xml:space="preserve"> </w:t>
            </w:r>
            <w:r>
              <w:rPr>
                <w:rFonts w:cs="Arial"/>
                <w:color w:val="000000" w:themeColor="text1"/>
                <w:szCs w:val="20"/>
              </w:rPr>
              <w:t xml:space="preserve">(c) </w:t>
            </w:r>
            <w:r w:rsidRPr="008C2040">
              <w:rPr>
                <w:rFonts w:cs="Arial"/>
                <w:color w:val="000000" w:themeColor="text1"/>
                <w:szCs w:val="20"/>
              </w:rPr>
              <w:t>licenčnine</w:t>
            </w:r>
            <w:r>
              <w:rPr>
                <w:rFonts w:cs="Arial"/>
                <w:color w:val="000000" w:themeColor="text1"/>
                <w:szCs w:val="20"/>
              </w:rPr>
              <w:t>,</w:t>
            </w:r>
            <w:r w:rsidRPr="008C2040">
              <w:rPr>
                <w:rFonts w:cs="Arial"/>
                <w:color w:val="000000" w:themeColor="text1"/>
                <w:szCs w:val="20"/>
              </w:rPr>
              <w:t xml:space="preserve"> </w:t>
            </w:r>
            <w:r>
              <w:rPr>
                <w:rFonts w:cs="Arial"/>
                <w:color w:val="000000" w:themeColor="text1"/>
                <w:szCs w:val="20"/>
              </w:rPr>
              <w:t xml:space="preserve">(č) </w:t>
            </w:r>
            <w:r w:rsidRPr="008C2040">
              <w:rPr>
                <w:rFonts w:cs="Arial"/>
                <w:color w:val="000000" w:themeColor="text1"/>
                <w:szCs w:val="20"/>
              </w:rPr>
              <w:t>dividende</w:t>
            </w:r>
            <w:r>
              <w:rPr>
                <w:rFonts w:cs="Arial"/>
                <w:color w:val="000000" w:themeColor="text1"/>
                <w:szCs w:val="20"/>
              </w:rPr>
              <w:t>,</w:t>
            </w:r>
            <w:r w:rsidRPr="008C2040">
              <w:rPr>
                <w:rFonts w:cs="Arial"/>
                <w:color w:val="000000" w:themeColor="text1"/>
                <w:szCs w:val="20"/>
              </w:rPr>
              <w:t xml:space="preserve"> </w:t>
            </w:r>
            <w:r>
              <w:rPr>
                <w:rFonts w:cs="Arial"/>
                <w:color w:val="000000" w:themeColor="text1"/>
                <w:szCs w:val="20"/>
              </w:rPr>
              <w:t xml:space="preserve">(d) </w:t>
            </w:r>
            <w:r w:rsidRPr="008C2040">
              <w:rPr>
                <w:rFonts w:cs="Arial"/>
                <w:color w:val="000000" w:themeColor="text1"/>
                <w:szCs w:val="20"/>
              </w:rPr>
              <w:t>dodatki za sklenitev pogodbe, odkritje in</w:t>
            </w:r>
            <w:r>
              <w:rPr>
                <w:rFonts w:cs="Arial"/>
                <w:color w:val="000000" w:themeColor="text1"/>
                <w:szCs w:val="20"/>
              </w:rPr>
              <w:t xml:space="preserve"> </w:t>
            </w:r>
            <w:r w:rsidRPr="008C2040">
              <w:rPr>
                <w:rFonts w:cs="Arial"/>
                <w:color w:val="000000" w:themeColor="text1"/>
                <w:szCs w:val="20"/>
              </w:rPr>
              <w:t>proizvodnjo</w:t>
            </w:r>
            <w:r>
              <w:rPr>
                <w:rFonts w:cs="Arial"/>
                <w:color w:val="000000" w:themeColor="text1"/>
                <w:szCs w:val="20"/>
              </w:rPr>
              <w:t>,</w:t>
            </w:r>
            <w:r w:rsidRPr="008C2040">
              <w:rPr>
                <w:rFonts w:cs="Arial"/>
                <w:color w:val="000000" w:themeColor="text1"/>
                <w:szCs w:val="20"/>
              </w:rPr>
              <w:t xml:space="preserve"> </w:t>
            </w:r>
            <w:r>
              <w:rPr>
                <w:rFonts w:cs="Arial"/>
                <w:color w:val="000000" w:themeColor="text1"/>
                <w:szCs w:val="20"/>
              </w:rPr>
              <w:t xml:space="preserve">(e) </w:t>
            </w:r>
            <w:r w:rsidRPr="008C2040">
              <w:rPr>
                <w:rFonts w:cs="Arial"/>
                <w:color w:val="000000" w:themeColor="text1"/>
                <w:szCs w:val="20"/>
              </w:rPr>
              <w:t xml:space="preserve">nadomestila za licence ali koncesije ter </w:t>
            </w:r>
            <w:r>
              <w:rPr>
                <w:rFonts w:cs="Arial"/>
                <w:color w:val="000000" w:themeColor="text1"/>
                <w:szCs w:val="20"/>
              </w:rPr>
              <w:t xml:space="preserve">(f) </w:t>
            </w:r>
            <w:r w:rsidRPr="008C2040">
              <w:rPr>
                <w:rFonts w:cs="Arial"/>
                <w:color w:val="000000" w:themeColor="text1"/>
                <w:szCs w:val="20"/>
              </w:rPr>
              <w:t>plačila za izboljšanje infrastrukture.</w:t>
            </w:r>
            <w:r>
              <w:rPr>
                <w:rFonts w:cs="Arial"/>
                <w:color w:val="000000" w:themeColor="text1"/>
                <w:szCs w:val="20"/>
              </w:rPr>
              <w:t xml:space="preserve"> </w:t>
            </w:r>
            <w:r w:rsidRPr="008C2040">
              <w:rPr>
                <w:rFonts w:cs="Arial"/>
                <w:color w:val="000000" w:themeColor="text1"/>
                <w:szCs w:val="20"/>
              </w:rPr>
              <w:t>Družbe so zavezane tudi k pripravi konsolidiranega poročila o plačilih vladam, pri čemer se za obliko,</w:t>
            </w:r>
            <w:r>
              <w:rPr>
                <w:rFonts w:cs="Arial"/>
                <w:color w:val="000000" w:themeColor="text1"/>
                <w:szCs w:val="20"/>
              </w:rPr>
              <w:t xml:space="preserve"> </w:t>
            </w:r>
            <w:r w:rsidRPr="008C2040">
              <w:rPr>
                <w:rFonts w:cs="Arial"/>
                <w:color w:val="000000" w:themeColor="text1"/>
                <w:szCs w:val="20"/>
              </w:rPr>
              <w:t>vsebino in objavo smiselno uporabljajo določbe o letnem konsolidiranem poročilu.</w:t>
            </w:r>
          </w:p>
          <w:p w14:paraId="2FE6AEF4" w14:textId="77777777" w:rsidR="000C08CA" w:rsidRDefault="000C08CA" w:rsidP="00FE328D">
            <w:pPr>
              <w:spacing w:line="276" w:lineRule="auto"/>
              <w:jc w:val="both"/>
              <w:rPr>
                <w:rFonts w:cs="Arial"/>
                <w:color w:val="000000" w:themeColor="text1"/>
                <w:szCs w:val="20"/>
              </w:rPr>
            </w:pPr>
          </w:p>
          <w:p w14:paraId="3FD28A9A" w14:textId="77777777" w:rsidR="000C08CA"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 xml:space="preserve">zakonodaji, ki ureja </w:t>
            </w:r>
            <w:r>
              <w:rPr>
                <w:rFonts w:cs="Arial"/>
                <w:color w:val="000000" w:themeColor="text1"/>
                <w:szCs w:val="20"/>
              </w:rPr>
              <w:t xml:space="preserve">pravo družb. ZGD-1I, ki je začel veljati </w:t>
            </w:r>
            <w:r w:rsidRPr="00D5302C">
              <w:rPr>
                <w:rFonts w:cs="Arial"/>
                <w:color w:val="000000" w:themeColor="text1"/>
                <w:szCs w:val="20"/>
              </w:rPr>
              <w:t>8.</w:t>
            </w:r>
            <w:r>
              <w:rPr>
                <w:rFonts w:cs="Arial"/>
                <w:color w:val="000000" w:themeColor="text1"/>
                <w:szCs w:val="20"/>
              </w:rPr>
              <w:t xml:space="preserve"> avgusta </w:t>
            </w:r>
            <w:r w:rsidRPr="00D5302C">
              <w:rPr>
                <w:rFonts w:cs="Arial"/>
                <w:color w:val="000000" w:themeColor="text1"/>
                <w:szCs w:val="20"/>
              </w:rPr>
              <w:t>2015</w:t>
            </w:r>
            <w:r>
              <w:rPr>
                <w:rFonts w:cs="Arial"/>
                <w:color w:val="000000" w:themeColor="text1"/>
                <w:szCs w:val="20"/>
              </w:rPr>
              <w:t xml:space="preserve">, je določil novi 70.b člen, s katerim je za zadevne družbe predpisal </w:t>
            </w:r>
            <w:r w:rsidRPr="008C0A3E">
              <w:rPr>
                <w:rFonts w:cs="Arial"/>
                <w:color w:val="000000" w:themeColor="text1"/>
                <w:szCs w:val="20"/>
              </w:rPr>
              <w:t>javno poročanje po državah</w:t>
            </w:r>
            <w:r>
              <w:rPr>
                <w:rFonts w:cs="Arial"/>
                <w:color w:val="000000" w:themeColor="text1"/>
                <w:szCs w:val="20"/>
              </w:rPr>
              <w:t>,</w:t>
            </w:r>
            <w:r w:rsidRPr="008C0A3E">
              <w:rPr>
                <w:rFonts w:cs="Arial"/>
                <w:color w:val="000000" w:themeColor="text1"/>
                <w:szCs w:val="20"/>
              </w:rPr>
              <w:t xml:space="preserve"> </w:t>
            </w:r>
            <w:r>
              <w:rPr>
                <w:rFonts w:cs="Arial"/>
                <w:color w:val="000000" w:themeColor="text1"/>
                <w:szCs w:val="20"/>
              </w:rPr>
              <w:t xml:space="preserve">in sicer glede </w:t>
            </w:r>
            <w:r w:rsidRPr="001D2385">
              <w:rPr>
                <w:rFonts w:cs="Arial"/>
                <w:color w:val="000000" w:themeColor="text1"/>
                <w:szCs w:val="20"/>
              </w:rPr>
              <w:t>plačil vladam</w:t>
            </w:r>
            <w:r>
              <w:rPr>
                <w:rFonts w:cs="Arial"/>
                <w:color w:val="000000" w:themeColor="text1"/>
                <w:szCs w:val="20"/>
              </w:rPr>
              <w:t xml:space="preserve">. S temi določbami se je v slovenski pravni red preneslo </w:t>
            </w:r>
            <w:r w:rsidRPr="00A52439">
              <w:rPr>
                <w:rFonts w:cs="Arial"/>
                <w:color w:val="000000" w:themeColor="text1"/>
                <w:szCs w:val="20"/>
              </w:rPr>
              <w:t>10. poglavje</w:t>
            </w:r>
            <w:r>
              <w:rPr>
                <w:rFonts w:cs="Arial"/>
                <w:color w:val="000000" w:themeColor="text1"/>
                <w:szCs w:val="20"/>
              </w:rPr>
              <w:t xml:space="preserve"> </w:t>
            </w:r>
            <w:r w:rsidRPr="00A52439">
              <w:rPr>
                <w:rFonts w:cs="Arial"/>
                <w:color w:val="000000" w:themeColor="text1"/>
                <w:szCs w:val="20"/>
              </w:rPr>
              <w:t>Direktive 2013/34</w:t>
            </w:r>
            <w:r>
              <w:rPr>
                <w:rFonts w:cs="Arial"/>
                <w:color w:val="000000" w:themeColor="text1"/>
                <w:szCs w:val="20"/>
              </w:rPr>
              <w:t>/</w:t>
            </w:r>
            <w:r w:rsidRPr="00A52439">
              <w:rPr>
                <w:rFonts w:cs="Arial"/>
                <w:color w:val="000000" w:themeColor="text1"/>
                <w:szCs w:val="20"/>
              </w:rPr>
              <w:t>EU.</w:t>
            </w:r>
          </w:p>
          <w:p w14:paraId="0B1C061F" w14:textId="77777777" w:rsidR="000C08CA" w:rsidRDefault="000C08CA" w:rsidP="00FE328D">
            <w:pPr>
              <w:spacing w:line="276" w:lineRule="auto"/>
              <w:jc w:val="both"/>
              <w:rPr>
                <w:rFonts w:cs="Arial"/>
                <w:color w:val="000000" w:themeColor="text1"/>
                <w:szCs w:val="20"/>
              </w:rPr>
            </w:pPr>
          </w:p>
          <w:p w14:paraId="4D239460" w14:textId="77777777" w:rsidR="000C08CA" w:rsidRDefault="000C08CA" w:rsidP="00FE328D">
            <w:pPr>
              <w:spacing w:line="276" w:lineRule="auto"/>
              <w:jc w:val="both"/>
              <w:rPr>
                <w:rFonts w:cs="Arial"/>
                <w:color w:val="000000" w:themeColor="text1"/>
                <w:szCs w:val="20"/>
              </w:rPr>
            </w:pPr>
            <w:r>
              <w:rPr>
                <w:rFonts w:cs="Arial"/>
                <w:color w:val="000000" w:themeColor="text1"/>
                <w:szCs w:val="20"/>
              </w:rPr>
              <w:t>Čedalje večji pomen ima preglednost tudi na področju finančnega sektorja. Javno p</w:t>
            </w:r>
            <w:r w:rsidRPr="009439DD">
              <w:rPr>
                <w:rFonts w:cs="Arial"/>
                <w:color w:val="000000" w:themeColor="text1"/>
                <w:szCs w:val="20"/>
              </w:rPr>
              <w:t xml:space="preserve">oročanje po državah </w:t>
            </w:r>
            <w:r>
              <w:rPr>
                <w:rFonts w:cs="Arial"/>
                <w:color w:val="000000" w:themeColor="text1"/>
                <w:szCs w:val="20"/>
              </w:rPr>
              <w:t>v bančnem sektorju je letno poročanje b</w:t>
            </w:r>
            <w:r w:rsidRPr="00055D8F">
              <w:rPr>
                <w:rFonts w:cs="Arial"/>
                <w:color w:val="000000" w:themeColor="text1"/>
                <w:szCs w:val="20"/>
              </w:rPr>
              <w:t xml:space="preserve">ank </w:t>
            </w:r>
            <w:r>
              <w:rPr>
                <w:rFonts w:cs="Arial"/>
                <w:color w:val="000000" w:themeColor="text1"/>
                <w:szCs w:val="20"/>
              </w:rPr>
              <w:t xml:space="preserve">o mednarodnem poslovanju. V prilogi h </w:t>
            </w:r>
            <w:r w:rsidRPr="00055D8F">
              <w:rPr>
                <w:rFonts w:cs="Arial"/>
                <w:color w:val="000000" w:themeColor="text1"/>
                <w:szCs w:val="20"/>
              </w:rPr>
              <w:t>konsolidiranim računovodskim izkazom</w:t>
            </w:r>
            <w:r w:rsidRPr="009439DD">
              <w:rPr>
                <w:rFonts w:cs="Arial"/>
                <w:color w:val="000000" w:themeColor="text1"/>
                <w:szCs w:val="20"/>
              </w:rPr>
              <w:t xml:space="preserve"> </w:t>
            </w:r>
            <w:r>
              <w:rPr>
                <w:rFonts w:cs="Arial"/>
                <w:color w:val="000000" w:themeColor="text1"/>
                <w:szCs w:val="20"/>
              </w:rPr>
              <w:t>se</w:t>
            </w:r>
            <w:r w:rsidRPr="00055D8F">
              <w:rPr>
                <w:rFonts w:cs="Arial"/>
                <w:color w:val="000000" w:themeColor="text1"/>
                <w:szCs w:val="20"/>
              </w:rPr>
              <w:t xml:space="preserve"> s pojasnili </w:t>
            </w:r>
            <w:r>
              <w:rPr>
                <w:rFonts w:cs="Arial"/>
                <w:color w:val="000000" w:themeColor="text1"/>
                <w:szCs w:val="20"/>
              </w:rPr>
              <w:t>razkrijejo p</w:t>
            </w:r>
            <w:r w:rsidRPr="00670D23">
              <w:rPr>
                <w:rFonts w:cs="Arial"/>
                <w:color w:val="000000" w:themeColor="text1"/>
                <w:szCs w:val="20"/>
              </w:rPr>
              <w:t>odatk</w:t>
            </w:r>
            <w:r>
              <w:rPr>
                <w:rFonts w:cs="Arial"/>
                <w:color w:val="000000" w:themeColor="text1"/>
                <w:szCs w:val="20"/>
              </w:rPr>
              <w:t>i</w:t>
            </w:r>
            <w:r w:rsidRPr="00670D23">
              <w:rPr>
                <w:rFonts w:cs="Arial"/>
                <w:color w:val="000000" w:themeColor="text1"/>
                <w:szCs w:val="20"/>
              </w:rPr>
              <w:t xml:space="preserve"> po posameznih državah članicah in tretjih državah, v katerih poslujejo podružnice banke in/ali družbe, v katerih ima banka pomemben vpliv oziroma jih obvladuje (odvisne družbe, pridružene družbe in skupaj obvladovane družbe)</w:t>
            </w:r>
            <w:r>
              <w:rPr>
                <w:rFonts w:cs="Arial"/>
                <w:color w:val="000000" w:themeColor="text1"/>
                <w:szCs w:val="20"/>
              </w:rPr>
              <w:t>. R</w:t>
            </w:r>
            <w:r w:rsidRPr="008C2040">
              <w:rPr>
                <w:rFonts w:cs="Arial"/>
                <w:color w:val="000000" w:themeColor="text1"/>
                <w:szCs w:val="20"/>
              </w:rPr>
              <w:t>azkriti</w:t>
            </w:r>
            <w:r>
              <w:rPr>
                <w:rFonts w:cs="Arial"/>
                <w:color w:val="000000" w:themeColor="text1"/>
                <w:szCs w:val="20"/>
              </w:rPr>
              <w:t xml:space="preserve"> je treba te podatke:</w:t>
            </w:r>
            <w:r>
              <w:t xml:space="preserve"> </w:t>
            </w:r>
            <w:r w:rsidRPr="00944C4D">
              <w:rPr>
                <w:rFonts w:cs="Arial"/>
                <w:color w:val="000000" w:themeColor="text1"/>
                <w:szCs w:val="20"/>
              </w:rPr>
              <w:t>(a)</w:t>
            </w:r>
            <w:r>
              <w:rPr>
                <w:rFonts w:cs="Arial"/>
                <w:color w:val="000000" w:themeColor="text1"/>
                <w:szCs w:val="20"/>
              </w:rPr>
              <w:t xml:space="preserve"> </w:t>
            </w:r>
            <w:r w:rsidRPr="00944C4D">
              <w:rPr>
                <w:rFonts w:cs="Arial"/>
                <w:color w:val="000000" w:themeColor="text1"/>
                <w:szCs w:val="20"/>
              </w:rPr>
              <w:t>ime, naravo dejavnosti in geografsko lokacijo,</w:t>
            </w:r>
            <w:r>
              <w:rPr>
                <w:rFonts w:cs="Arial"/>
                <w:color w:val="000000" w:themeColor="text1"/>
                <w:szCs w:val="20"/>
              </w:rPr>
              <w:t xml:space="preserve"> </w:t>
            </w:r>
            <w:r w:rsidRPr="00944C4D">
              <w:rPr>
                <w:rFonts w:cs="Arial"/>
                <w:color w:val="000000" w:themeColor="text1"/>
                <w:szCs w:val="20"/>
              </w:rPr>
              <w:t>(b)</w:t>
            </w:r>
            <w:r>
              <w:rPr>
                <w:rFonts w:cs="Arial"/>
                <w:color w:val="000000" w:themeColor="text1"/>
                <w:szCs w:val="20"/>
              </w:rPr>
              <w:t xml:space="preserve"> </w:t>
            </w:r>
            <w:r w:rsidRPr="00944C4D">
              <w:rPr>
                <w:rFonts w:cs="Arial"/>
                <w:color w:val="000000" w:themeColor="text1"/>
                <w:szCs w:val="20"/>
              </w:rPr>
              <w:t>promet iz izkaza poslovnega izida pred izvedbo konsolidacijskih knjižb in metodologijo,</w:t>
            </w:r>
            <w:r>
              <w:rPr>
                <w:rFonts w:cs="Arial"/>
                <w:color w:val="000000" w:themeColor="text1"/>
                <w:szCs w:val="20"/>
              </w:rPr>
              <w:t xml:space="preserve"> </w:t>
            </w:r>
            <w:r w:rsidRPr="00944C4D">
              <w:rPr>
                <w:rFonts w:cs="Arial"/>
                <w:color w:val="000000" w:themeColor="text1"/>
                <w:szCs w:val="20"/>
              </w:rPr>
              <w:t>(c)</w:t>
            </w:r>
            <w:r>
              <w:rPr>
                <w:rFonts w:cs="Arial"/>
                <w:color w:val="000000" w:themeColor="text1"/>
                <w:szCs w:val="20"/>
              </w:rPr>
              <w:t xml:space="preserve"> </w:t>
            </w:r>
            <w:r w:rsidRPr="00944C4D">
              <w:rPr>
                <w:rFonts w:cs="Arial"/>
                <w:color w:val="000000" w:themeColor="text1"/>
                <w:szCs w:val="20"/>
              </w:rPr>
              <w:t>število zaposlenih v ekvivalentu polnega delovnega časa,</w:t>
            </w:r>
            <w:r>
              <w:rPr>
                <w:rFonts w:cs="Arial"/>
                <w:color w:val="000000" w:themeColor="text1"/>
                <w:szCs w:val="20"/>
              </w:rPr>
              <w:t xml:space="preserve"> </w:t>
            </w:r>
            <w:r w:rsidRPr="00944C4D">
              <w:rPr>
                <w:rFonts w:cs="Arial"/>
                <w:color w:val="000000" w:themeColor="text1"/>
                <w:szCs w:val="20"/>
              </w:rPr>
              <w:t>(</w:t>
            </w:r>
            <w:r>
              <w:rPr>
                <w:rFonts w:cs="Arial"/>
                <w:color w:val="000000" w:themeColor="text1"/>
                <w:szCs w:val="20"/>
              </w:rPr>
              <w:t>č</w:t>
            </w:r>
            <w:r w:rsidRPr="00944C4D">
              <w:rPr>
                <w:rFonts w:cs="Arial"/>
                <w:color w:val="000000" w:themeColor="text1"/>
                <w:szCs w:val="20"/>
              </w:rPr>
              <w:t>)</w:t>
            </w:r>
            <w:r>
              <w:rPr>
                <w:rFonts w:cs="Arial"/>
                <w:color w:val="000000" w:themeColor="text1"/>
                <w:szCs w:val="20"/>
              </w:rPr>
              <w:t xml:space="preserve"> </w:t>
            </w:r>
            <w:r w:rsidRPr="00944C4D">
              <w:rPr>
                <w:rFonts w:cs="Arial"/>
                <w:color w:val="000000" w:themeColor="text1"/>
                <w:szCs w:val="20"/>
              </w:rPr>
              <w:t>dobiček ali izgubo pred obdavčitvijo pred izvedbo konsolidacijskih knjižb,</w:t>
            </w:r>
            <w:r>
              <w:rPr>
                <w:rFonts w:cs="Arial"/>
                <w:color w:val="000000" w:themeColor="text1"/>
                <w:szCs w:val="20"/>
              </w:rPr>
              <w:t xml:space="preserve"> (d) </w:t>
            </w:r>
            <w:r w:rsidRPr="00944C4D">
              <w:rPr>
                <w:rFonts w:cs="Arial"/>
                <w:color w:val="000000" w:themeColor="text1"/>
                <w:szCs w:val="20"/>
              </w:rPr>
              <w:t>plačani davek od dohodka pravnih oseb</w:t>
            </w:r>
            <w:r>
              <w:rPr>
                <w:rFonts w:cs="Arial"/>
                <w:color w:val="000000" w:themeColor="text1"/>
                <w:szCs w:val="20"/>
              </w:rPr>
              <w:t xml:space="preserve"> in </w:t>
            </w:r>
            <w:r w:rsidRPr="00944C4D">
              <w:rPr>
                <w:rFonts w:cs="Arial"/>
                <w:color w:val="000000" w:themeColor="text1"/>
                <w:szCs w:val="20"/>
              </w:rPr>
              <w:t>(</w:t>
            </w:r>
            <w:r>
              <w:rPr>
                <w:rFonts w:cs="Arial"/>
                <w:color w:val="000000" w:themeColor="text1"/>
                <w:szCs w:val="20"/>
              </w:rPr>
              <w:t>e</w:t>
            </w:r>
            <w:r w:rsidRPr="00944C4D">
              <w:rPr>
                <w:rFonts w:cs="Arial"/>
                <w:color w:val="000000" w:themeColor="text1"/>
                <w:szCs w:val="20"/>
              </w:rPr>
              <w:t>)</w:t>
            </w:r>
            <w:r>
              <w:rPr>
                <w:rFonts w:cs="Arial"/>
                <w:color w:val="000000" w:themeColor="text1"/>
                <w:szCs w:val="20"/>
              </w:rPr>
              <w:t xml:space="preserve"> </w:t>
            </w:r>
            <w:r w:rsidRPr="00944C4D">
              <w:rPr>
                <w:rFonts w:cs="Arial"/>
                <w:color w:val="000000" w:themeColor="text1"/>
                <w:szCs w:val="20"/>
              </w:rPr>
              <w:t>prejete javne subvencije</w:t>
            </w:r>
            <w:r w:rsidRPr="00532EDF">
              <w:rPr>
                <w:rFonts w:cs="Arial"/>
                <w:color w:val="000000" w:themeColor="text1"/>
                <w:szCs w:val="20"/>
              </w:rPr>
              <w:t>.</w:t>
            </w:r>
            <w:r>
              <w:rPr>
                <w:rFonts w:cs="Arial"/>
                <w:color w:val="000000" w:themeColor="text1"/>
                <w:szCs w:val="20"/>
              </w:rPr>
              <w:t xml:space="preserve"> </w:t>
            </w:r>
          </w:p>
          <w:p w14:paraId="68FFFACB" w14:textId="77777777" w:rsidR="000C08CA" w:rsidRDefault="000C08CA" w:rsidP="00FE328D">
            <w:pPr>
              <w:spacing w:line="276" w:lineRule="auto"/>
              <w:jc w:val="both"/>
              <w:rPr>
                <w:rFonts w:cs="Arial"/>
                <w:color w:val="000000" w:themeColor="text1"/>
                <w:szCs w:val="20"/>
              </w:rPr>
            </w:pPr>
          </w:p>
          <w:p w14:paraId="3F45285F" w14:textId="77777777" w:rsidR="000C08CA"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 xml:space="preserve">zakonodaji, ki ureja </w:t>
            </w:r>
            <w:r>
              <w:rPr>
                <w:rFonts w:cs="Arial"/>
                <w:color w:val="000000" w:themeColor="text1"/>
                <w:szCs w:val="20"/>
              </w:rPr>
              <w:t xml:space="preserve">bančno pravo. Na podlagi pooblastila v 109. členu </w:t>
            </w:r>
            <w:r w:rsidRPr="001739E4">
              <w:rPr>
                <w:rFonts w:cs="Arial"/>
                <w:color w:val="000000" w:themeColor="text1"/>
                <w:szCs w:val="20"/>
              </w:rPr>
              <w:t>Zakon</w:t>
            </w:r>
            <w:r>
              <w:rPr>
                <w:rFonts w:cs="Arial"/>
                <w:color w:val="000000" w:themeColor="text1"/>
                <w:szCs w:val="20"/>
              </w:rPr>
              <w:t>a</w:t>
            </w:r>
            <w:r w:rsidRPr="001739E4">
              <w:rPr>
                <w:rFonts w:cs="Arial"/>
                <w:color w:val="000000" w:themeColor="text1"/>
                <w:szCs w:val="20"/>
              </w:rPr>
              <w:t xml:space="preserve"> o bančništvu (Uradni list RS, št. 92/21 in 123/21 – ZBNIP)</w:t>
            </w:r>
            <w:r>
              <w:rPr>
                <w:rFonts w:cs="Arial"/>
                <w:color w:val="000000" w:themeColor="text1"/>
                <w:szCs w:val="20"/>
              </w:rPr>
              <w:t xml:space="preserve"> je </w:t>
            </w:r>
            <w:r w:rsidRPr="00EC1145">
              <w:rPr>
                <w:rFonts w:cs="Arial"/>
                <w:color w:val="000000" w:themeColor="text1"/>
                <w:szCs w:val="20"/>
              </w:rPr>
              <w:t>Svet Banke Slovenije</w:t>
            </w:r>
            <w:r>
              <w:rPr>
                <w:rFonts w:cs="Arial"/>
                <w:color w:val="000000" w:themeColor="text1"/>
                <w:szCs w:val="20"/>
              </w:rPr>
              <w:t xml:space="preserve"> sprejel </w:t>
            </w:r>
            <w:r w:rsidRPr="00E843A0">
              <w:rPr>
                <w:rFonts w:cs="Arial"/>
                <w:color w:val="000000" w:themeColor="text1"/>
                <w:szCs w:val="20"/>
              </w:rPr>
              <w:t>Sklep o poslovnih knjigah in letnih poročilih bank in hranilnic (Uradni list RS, št. 184/21)</w:t>
            </w:r>
            <w:r>
              <w:rPr>
                <w:rFonts w:cs="Arial"/>
                <w:color w:val="000000" w:themeColor="text1"/>
                <w:szCs w:val="20"/>
              </w:rPr>
              <w:t xml:space="preserve">, ki v 3. točki drugega odstavka 20. člena ureja vsebino letnega poročila in v skladu s katerim se izvaja </w:t>
            </w:r>
            <w:r w:rsidRPr="00827918">
              <w:rPr>
                <w:rFonts w:cs="Arial"/>
                <w:color w:val="000000" w:themeColor="text1"/>
                <w:szCs w:val="20"/>
              </w:rPr>
              <w:t>javno poročanje po država</w:t>
            </w:r>
            <w:r>
              <w:rPr>
                <w:rFonts w:cs="Arial"/>
                <w:color w:val="000000" w:themeColor="text1"/>
                <w:szCs w:val="20"/>
              </w:rPr>
              <w:t>h, ki je v Evropski u</w:t>
            </w:r>
            <w:r w:rsidRPr="00827918">
              <w:rPr>
                <w:rFonts w:cs="Arial"/>
                <w:color w:val="000000" w:themeColor="text1"/>
                <w:szCs w:val="20"/>
              </w:rPr>
              <w:t>nij</w:t>
            </w:r>
            <w:r>
              <w:rPr>
                <w:rFonts w:cs="Arial"/>
                <w:color w:val="000000" w:themeColor="text1"/>
                <w:szCs w:val="20"/>
              </w:rPr>
              <w:t>i</w:t>
            </w:r>
            <w:r w:rsidRPr="00827918">
              <w:rPr>
                <w:rFonts w:cs="Arial"/>
                <w:color w:val="000000" w:themeColor="text1"/>
                <w:szCs w:val="20"/>
              </w:rPr>
              <w:t xml:space="preserve"> </w:t>
            </w:r>
            <w:r>
              <w:rPr>
                <w:rFonts w:cs="Arial"/>
                <w:color w:val="000000" w:themeColor="text1"/>
                <w:szCs w:val="20"/>
              </w:rPr>
              <w:t xml:space="preserve">uveden </w:t>
            </w:r>
            <w:r w:rsidRPr="00827918">
              <w:rPr>
                <w:rFonts w:cs="Arial"/>
                <w:color w:val="000000" w:themeColor="text1"/>
                <w:szCs w:val="20"/>
              </w:rPr>
              <w:t>z Direktivo 2013/36/EU Evropskega parlamenta in Sveta.</w:t>
            </w:r>
            <w:r>
              <w:rPr>
                <w:rFonts w:cs="Arial"/>
                <w:color w:val="000000" w:themeColor="text1"/>
                <w:szCs w:val="20"/>
              </w:rPr>
              <w:t xml:space="preserve"> </w:t>
            </w:r>
          </w:p>
          <w:p w14:paraId="5B2A8A32" w14:textId="77777777" w:rsidR="000C08CA" w:rsidRDefault="000C08CA" w:rsidP="00FE328D">
            <w:pPr>
              <w:spacing w:line="276" w:lineRule="auto"/>
              <w:jc w:val="both"/>
              <w:rPr>
                <w:rFonts w:cs="Arial"/>
                <w:color w:val="000000" w:themeColor="text1"/>
                <w:szCs w:val="20"/>
              </w:rPr>
            </w:pPr>
          </w:p>
          <w:p w14:paraId="0A047729" w14:textId="77777777" w:rsidR="000C08CA" w:rsidRDefault="000C08CA" w:rsidP="00FE328D">
            <w:pPr>
              <w:spacing w:line="276" w:lineRule="auto"/>
              <w:jc w:val="both"/>
              <w:rPr>
                <w:rFonts w:cs="Arial"/>
                <w:color w:val="000000" w:themeColor="text1"/>
                <w:szCs w:val="20"/>
              </w:rPr>
            </w:pPr>
            <w:r>
              <w:rPr>
                <w:rFonts w:cs="Arial"/>
                <w:color w:val="000000" w:themeColor="text1"/>
                <w:szCs w:val="20"/>
              </w:rPr>
              <w:t>Javno p</w:t>
            </w:r>
            <w:r w:rsidRPr="009439DD">
              <w:rPr>
                <w:rFonts w:cs="Arial"/>
                <w:color w:val="000000" w:themeColor="text1"/>
                <w:szCs w:val="20"/>
              </w:rPr>
              <w:t xml:space="preserve">oročanje po državah </w:t>
            </w:r>
            <w:r>
              <w:rPr>
                <w:rFonts w:cs="Arial"/>
                <w:color w:val="000000" w:themeColor="text1"/>
                <w:szCs w:val="20"/>
              </w:rPr>
              <w:t xml:space="preserve">na naložbenem področju je letno poročanje </w:t>
            </w:r>
            <w:r w:rsidRPr="00AD4FF0">
              <w:rPr>
                <w:rFonts w:cs="Arial"/>
                <w:color w:val="000000" w:themeColor="text1"/>
                <w:szCs w:val="20"/>
              </w:rPr>
              <w:t>borznoposrednišk</w:t>
            </w:r>
            <w:r>
              <w:rPr>
                <w:rFonts w:cs="Arial"/>
                <w:color w:val="000000" w:themeColor="text1"/>
                <w:szCs w:val="20"/>
              </w:rPr>
              <w:t>ih</w:t>
            </w:r>
            <w:r w:rsidRPr="00AD4FF0">
              <w:rPr>
                <w:rFonts w:cs="Arial"/>
                <w:color w:val="000000" w:themeColor="text1"/>
                <w:szCs w:val="20"/>
              </w:rPr>
              <w:t xml:space="preserve"> družb</w:t>
            </w:r>
            <w:r>
              <w:rPr>
                <w:rFonts w:cs="Arial"/>
                <w:color w:val="000000" w:themeColor="text1"/>
                <w:szCs w:val="20"/>
              </w:rPr>
              <w:t xml:space="preserve"> oziroma borznoposredniških družb v skupini</w:t>
            </w:r>
            <w:r w:rsidRPr="00AD4FF0">
              <w:rPr>
                <w:rFonts w:cs="Arial"/>
                <w:color w:val="000000" w:themeColor="text1"/>
                <w:szCs w:val="20"/>
              </w:rPr>
              <w:t xml:space="preserve"> </w:t>
            </w:r>
            <w:r>
              <w:rPr>
                <w:rFonts w:cs="Arial"/>
                <w:color w:val="000000" w:themeColor="text1"/>
                <w:szCs w:val="20"/>
              </w:rPr>
              <w:t>o njihovem čezmejnem poslovanju. Za zadevne b</w:t>
            </w:r>
            <w:r w:rsidRPr="0086511B">
              <w:rPr>
                <w:rFonts w:cs="Arial"/>
                <w:color w:val="000000" w:themeColor="text1"/>
                <w:szCs w:val="20"/>
              </w:rPr>
              <w:t>orznoposrednišk</w:t>
            </w:r>
            <w:r>
              <w:rPr>
                <w:rFonts w:cs="Arial"/>
                <w:color w:val="000000" w:themeColor="text1"/>
                <w:szCs w:val="20"/>
              </w:rPr>
              <w:t>e</w:t>
            </w:r>
            <w:r w:rsidRPr="0086511B">
              <w:rPr>
                <w:rFonts w:cs="Arial"/>
                <w:color w:val="000000" w:themeColor="text1"/>
                <w:szCs w:val="20"/>
              </w:rPr>
              <w:t xml:space="preserve"> družb</w:t>
            </w:r>
            <w:r>
              <w:rPr>
                <w:rFonts w:cs="Arial"/>
                <w:color w:val="000000" w:themeColor="text1"/>
                <w:szCs w:val="20"/>
              </w:rPr>
              <w:t xml:space="preserve">e je predpisana obveznost, da </w:t>
            </w:r>
            <w:r w:rsidRPr="0086511B">
              <w:rPr>
                <w:rFonts w:cs="Arial"/>
                <w:color w:val="000000" w:themeColor="text1"/>
                <w:szCs w:val="20"/>
              </w:rPr>
              <w:t>letno razkrije</w:t>
            </w:r>
            <w:r>
              <w:rPr>
                <w:rFonts w:cs="Arial"/>
                <w:color w:val="000000" w:themeColor="text1"/>
                <w:szCs w:val="20"/>
              </w:rPr>
              <w:t>jo</w:t>
            </w:r>
            <w:r w:rsidRPr="0086511B">
              <w:rPr>
                <w:rFonts w:cs="Arial"/>
                <w:color w:val="000000" w:themeColor="text1"/>
                <w:szCs w:val="20"/>
              </w:rPr>
              <w:t xml:space="preserve"> </w:t>
            </w:r>
            <w:r>
              <w:rPr>
                <w:rFonts w:cs="Arial"/>
                <w:color w:val="000000" w:themeColor="text1"/>
                <w:szCs w:val="20"/>
              </w:rPr>
              <w:t>nekatere</w:t>
            </w:r>
            <w:r w:rsidRPr="0086511B">
              <w:rPr>
                <w:rFonts w:cs="Arial"/>
                <w:color w:val="000000" w:themeColor="text1"/>
                <w:szCs w:val="20"/>
              </w:rPr>
              <w:t xml:space="preserve"> informacije po posameznih državah članicah</w:t>
            </w:r>
            <w:r>
              <w:rPr>
                <w:rFonts w:cs="Arial"/>
                <w:color w:val="000000" w:themeColor="text1"/>
                <w:szCs w:val="20"/>
              </w:rPr>
              <w:t xml:space="preserve"> EU</w:t>
            </w:r>
            <w:r w:rsidRPr="0086511B">
              <w:rPr>
                <w:rFonts w:cs="Arial"/>
                <w:color w:val="000000" w:themeColor="text1"/>
                <w:szCs w:val="20"/>
              </w:rPr>
              <w:t xml:space="preserve"> in tretjih državah</w:t>
            </w:r>
            <w:r>
              <w:rPr>
                <w:rFonts w:cs="Arial"/>
                <w:color w:val="000000" w:themeColor="text1"/>
                <w:szCs w:val="20"/>
              </w:rPr>
              <w:t>. V</w:t>
            </w:r>
            <w:r w:rsidRPr="009439DD">
              <w:rPr>
                <w:rFonts w:cs="Arial"/>
                <w:color w:val="000000" w:themeColor="text1"/>
                <w:szCs w:val="20"/>
              </w:rPr>
              <w:t xml:space="preserve"> poročilu po državah </w:t>
            </w:r>
            <w:r>
              <w:rPr>
                <w:rFonts w:cs="Arial"/>
                <w:color w:val="000000" w:themeColor="text1"/>
                <w:szCs w:val="20"/>
              </w:rPr>
              <w:t xml:space="preserve">morajo </w:t>
            </w:r>
            <w:r w:rsidRPr="00AD4FF0">
              <w:rPr>
                <w:rFonts w:cs="Arial"/>
                <w:color w:val="000000" w:themeColor="text1"/>
                <w:szCs w:val="20"/>
              </w:rPr>
              <w:t>borznoposrednišk</w:t>
            </w:r>
            <w:r>
              <w:rPr>
                <w:rFonts w:cs="Arial"/>
                <w:color w:val="000000" w:themeColor="text1"/>
                <w:szCs w:val="20"/>
              </w:rPr>
              <w:t>e</w:t>
            </w:r>
            <w:r w:rsidRPr="00AD4FF0">
              <w:rPr>
                <w:rFonts w:cs="Arial"/>
                <w:color w:val="000000" w:themeColor="text1"/>
                <w:szCs w:val="20"/>
              </w:rPr>
              <w:t xml:space="preserve"> družb</w:t>
            </w:r>
            <w:r>
              <w:rPr>
                <w:rFonts w:cs="Arial"/>
                <w:color w:val="000000" w:themeColor="text1"/>
                <w:szCs w:val="20"/>
              </w:rPr>
              <w:t xml:space="preserve">e </w:t>
            </w:r>
            <w:r w:rsidRPr="009439DD">
              <w:rPr>
                <w:rFonts w:cs="Arial"/>
                <w:color w:val="000000" w:themeColor="text1"/>
                <w:szCs w:val="20"/>
              </w:rPr>
              <w:t xml:space="preserve">navesti </w:t>
            </w:r>
            <w:r>
              <w:rPr>
                <w:rFonts w:cs="Arial"/>
                <w:color w:val="000000" w:themeColor="text1"/>
                <w:szCs w:val="20"/>
              </w:rPr>
              <w:t>te</w:t>
            </w:r>
            <w:r w:rsidRPr="009439DD">
              <w:rPr>
                <w:rFonts w:cs="Arial"/>
                <w:color w:val="000000" w:themeColor="text1"/>
                <w:szCs w:val="20"/>
              </w:rPr>
              <w:t xml:space="preserve"> informacije</w:t>
            </w:r>
            <w:r>
              <w:rPr>
                <w:rFonts w:cs="Arial"/>
                <w:color w:val="000000" w:themeColor="text1"/>
                <w:szCs w:val="20"/>
              </w:rPr>
              <w:t xml:space="preserve">: (1) </w:t>
            </w:r>
            <w:r w:rsidRPr="0086511B">
              <w:rPr>
                <w:rFonts w:cs="Arial"/>
                <w:color w:val="000000" w:themeColor="text1"/>
                <w:szCs w:val="20"/>
              </w:rPr>
              <w:t>ime, naravo dejavnosti in lokacijo vseh odvisnih podjetij in podružnic</w:t>
            </w:r>
            <w:r>
              <w:rPr>
                <w:rFonts w:cs="Arial"/>
                <w:color w:val="000000" w:themeColor="text1"/>
                <w:szCs w:val="20"/>
              </w:rPr>
              <w:t xml:space="preserve">, (2) </w:t>
            </w:r>
            <w:r w:rsidRPr="0086511B">
              <w:rPr>
                <w:rFonts w:cs="Arial"/>
                <w:color w:val="000000" w:themeColor="text1"/>
                <w:szCs w:val="20"/>
              </w:rPr>
              <w:t>promet</w:t>
            </w:r>
            <w:r>
              <w:rPr>
                <w:rFonts w:cs="Arial"/>
                <w:color w:val="000000" w:themeColor="text1"/>
                <w:szCs w:val="20"/>
              </w:rPr>
              <w:t xml:space="preserve">, (3) </w:t>
            </w:r>
            <w:r w:rsidRPr="0086511B">
              <w:rPr>
                <w:rFonts w:cs="Arial"/>
                <w:color w:val="000000" w:themeColor="text1"/>
                <w:szCs w:val="20"/>
              </w:rPr>
              <w:t>število zaposlenih v ekvivalentu polnega delovnega časa</w:t>
            </w:r>
            <w:r>
              <w:rPr>
                <w:rFonts w:cs="Arial"/>
                <w:color w:val="000000" w:themeColor="text1"/>
                <w:szCs w:val="20"/>
              </w:rPr>
              <w:t>, (</w:t>
            </w:r>
            <w:r w:rsidRPr="0086511B">
              <w:rPr>
                <w:rFonts w:cs="Arial"/>
                <w:color w:val="000000" w:themeColor="text1"/>
                <w:szCs w:val="20"/>
              </w:rPr>
              <w:t>4</w:t>
            </w:r>
            <w:r>
              <w:rPr>
                <w:rFonts w:cs="Arial"/>
                <w:color w:val="000000" w:themeColor="text1"/>
                <w:szCs w:val="20"/>
              </w:rPr>
              <w:t xml:space="preserve">) </w:t>
            </w:r>
            <w:r w:rsidRPr="0086511B">
              <w:rPr>
                <w:rFonts w:cs="Arial"/>
                <w:color w:val="000000" w:themeColor="text1"/>
                <w:szCs w:val="20"/>
              </w:rPr>
              <w:t>dobiček ali izgubo pred obdavčitvijo</w:t>
            </w:r>
            <w:r>
              <w:rPr>
                <w:rFonts w:cs="Arial"/>
                <w:color w:val="000000" w:themeColor="text1"/>
                <w:szCs w:val="20"/>
              </w:rPr>
              <w:t>, (</w:t>
            </w:r>
            <w:r w:rsidRPr="0086511B">
              <w:rPr>
                <w:rFonts w:cs="Arial"/>
                <w:color w:val="000000" w:themeColor="text1"/>
                <w:szCs w:val="20"/>
              </w:rPr>
              <w:t>5</w:t>
            </w:r>
            <w:r>
              <w:rPr>
                <w:rFonts w:cs="Arial"/>
                <w:color w:val="000000" w:themeColor="text1"/>
                <w:szCs w:val="20"/>
              </w:rPr>
              <w:t xml:space="preserve">) </w:t>
            </w:r>
            <w:r w:rsidRPr="0086511B">
              <w:rPr>
                <w:rFonts w:cs="Arial"/>
                <w:color w:val="000000" w:themeColor="text1"/>
                <w:szCs w:val="20"/>
              </w:rPr>
              <w:t>davek na poslovni izid</w:t>
            </w:r>
            <w:r>
              <w:rPr>
                <w:rFonts w:cs="Arial"/>
                <w:color w:val="000000" w:themeColor="text1"/>
                <w:szCs w:val="20"/>
              </w:rPr>
              <w:t xml:space="preserve"> in (</w:t>
            </w:r>
            <w:r w:rsidRPr="0086511B">
              <w:rPr>
                <w:rFonts w:cs="Arial"/>
                <w:color w:val="000000" w:themeColor="text1"/>
                <w:szCs w:val="20"/>
              </w:rPr>
              <w:t>6</w:t>
            </w:r>
            <w:r>
              <w:rPr>
                <w:rFonts w:cs="Arial"/>
                <w:color w:val="000000" w:themeColor="text1"/>
                <w:szCs w:val="20"/>
              </w:rPr>
              <w:t xml:space="preserve">) </w:t>
            </w:r>
            <w:r w:rsidRPr="0086511B">
              <w:rPr>
                <w:rFonts w:cs="Arial"/>
                <w:color w:val="000000" w:themeColor="text1"/>
                <w:szCs w:val="20"/>
              </w:rPr>
              <w:t xml:space="preserve">obseg prejetih javnih subvencij </w:t>
            </w:r>
            <w:r>
              <w:rPr>
                <w:rFonts w:cs="Arial"/>
                <w:color w:val="000000" w:themeColor="text1"/>
                <w:szCs w:val="20"/>
              </w:rPr>
              <w:t>ali</w:t>
            </w:r>
            <w:r w:rsidRPr="0086511B">
              <w:rPr>
                <w:rFonts w:cs="Arial"/>
                <w:color w:val="000000" w:themeColor="text1"/>
                <w:szCs w:val="20"/>
              </w:rPr>
              <w:t xml:space="preserve"> javne podpore.</w:t>
            </w:r>
            <w:r>
              <w:rPr>
                <w:rFonts w:cs="Arial"/>
                <w:color w:val="000000" w:themeColor="text1"/>
                <w:szCs w:val="20"/>
              </w:rPr>
              <w:t xml:space="preserve"> Navedene i</w:t>
            </w:r>
            <w:r w:rsidRPr="0086511B">
              <w:rPr>
                <w:rFonts w:cs="Arial"/>
                <w:color w:val="000000" w:themeColor="text1"/>
                <w:szCs w:val="20"/>
              </w:rPr>
              <w:t xml:space="preserve">nformacije se revidirajo v skladu z zakonom, ki ureja revidiranje, in se objavijo, kadar je mogoče, kot priloga k letnim računovodskim izkazom ali, kadar je ustrezno, </w:t>
            </w:r>
            <w:r>
              <w:rPr>
                <w:rFonts w:cs="Arial"/>
                <w:color w:val="000000" w:themeColor="text1"/>
                <w:szCs w:val="20"/>
              </w:rPr>
              <w:t xml:space="preserve">h </w:t>
            </w:r>
            <w:r w:rsidRPr="0086511B">
              <w:rPr>
                <w:rFonts w:cs="Arial"/>
                <w:color w:val="000000" w:themeColor="text1"/>
                <w:szCs w:val="20"/>
              </w:rPr>
              <w:t>konsolidiranim računovodskim izkazom borznoposredniške družbe.</w:t>
            </w:r>
          </w:p>
          <w:p w14:paraId="685C0EF3" w14:textId="77777777" w:rsidR="000C08CA" w:rsidRDefault="000C08CA" w:rsidP="00FE328D">
            <w:pPr>
              <w:spacing w:line="276" w:lineRule="auto"/>
              <w:jc w:val="both"/>
              <w:rPr>
                <w:rFonts w:cs="Arial"/>
                <w:color w:val="000000" w:themeColor="text1"/>
                <w:szCs w:val="20"/>
              </w:rPr>
            </w:pPr>
          </w:p>
          <w:p w14:paraId="2EB65CD1" w14:textId="77777777" w:rsidR="000C08CA" w:rsidRPr="00605612" w:rsidRDefault="000C08CA" w:rsidP="00FE328D">
            <w:pPr>
              <w:spacing w:line="276" w:lineRule="auto"/>
              <w:jc w:val="both"/>
              <w:rPr>
                <w:rFonts w:cs="Arial"/>
                <w:color w:val="000000" w:themeColor="text1"/>
                <w:szCs w:val="20"/>
              </w:rPr>
            </w:pPr>
            <w:r w:rsidRPr="00517541">
              <w:rPr>
                <w:rFonts w:cs="Arial"/>
                <w:color w:val="000000" w:themeColor="text1"/>
                <w:szCs w:val="20"/>
              </w:rPr>
              <w:t xml:space="preserve">Pravila za izvajanje poročanja </w:t>
            </w:r>
            <w:r>
              <w:rPr>
                <w:rFonts w:cs="Arial"/>
                <w:color w:val="000000" w:themeColor="text1"/>
                <w:szCs w:val="20"/>
              </w:rPr>
              <w:t>so</w:t>
            </w:r>
            <w:r w:rsidRPr="00517541">
              <w:rPr>
                <w:rFonts w:cs="Arial"/>
                <w:color w:val="000000" w:themeColor="text1"/>
                <w:szCs w:val="20"/>
              </w:rPr>
              <w:t xml:space="preserve"> v slovenskem pravnem redu urejena v</w:t>
            </w:r>
            <w:r>
              <w:rPr>
                <w:rFonts w:cs="Arial"/>
                <w:color w:val="000000" w:themeColor="text1"/>
                <w:szCs w:val="20"/>
              </w:rPr>
              <w:t xml:space="preserve"> </w:t>
            </w:r>
            <w:r w:rsidRPr="00517541">
              <w:rPr>
                <w:rFonts w:cs="Arial"/>
                <w:color w:val="000000" w:themeColor="text1"/>
                <w:szCs w:val="20"/>
              </w:rPr>
              <w:t>zakonodaji, ki ureja</w:t>
            </w:r>
            <w:r>
              <w:rPr>
                <w:rFonts w:cs="Arial"/>
                <w:color w:val="000000" w:themeColor="text1"/>
                <w:szCs w:val="20"/>
              </w:rPr>
              <w:t xml:space="preserve"> pravo </w:t>
            </w:r>
            <w:r w:rsidRPr="00B53D3B">
              <w:rPr>
                <w:rFonts w:cs="Arial"/>
                <w:color w:val="000000" w:themeColor="text1"/>
                <w:szCs w:val="20"/>
              </w:rPr>
              <w:t>investicijskih podjetij</w:t>
            </w:r>
            <w:r>
              <w:rPr>
                <w:rFonts w:cs="Arial"/>
                <w:color w:val="000000" w:themeColor="text1"/>
                <w:szCs w:val="20"/>
              </w:rPr>
              <w:t xml:space="preserve">. Z </w:t>
            </w:r>
            <w:r w:rsidRPr="00B23E62">
              <w:rPr>
                <w:rFonts w:cs="Arial"/>
                <w:color w:val="000000" w:themeColor="text1"/>
                <w:szCs w:val="20"/>
              </w:rPr>
              <w:t>29. člen</w:t>
            </w:r>
            <w:r>
              <w:rPr>
                <w:rFonts w:cs="Arial"/>
                <w:color w:val="000000" w:themeColor="text1"/>
                <w:szCs w:val="20"/>
              </w:rPr>
              <w:t>om</w:t>
            </w:r>
            <w:r w:rsidRPr="00B23E62">
              <w:rPr>
                <w:rFonts w:cs="Arial"/>
                <w:color w:val="000000" w:themeColor="text1"/>
                <w:szCs w:val="20"/>
              </w:rPr>
              <w:t xml:space="preserve"> Zakon</w:t>
            </w:r>
            <w:r>
              <w:rPr>
                <w:rFonts w:cs="Arial"/>
                <w:color w:val="000000" w:themeColor="text1"/>
                <w:szCs w:val="20"/>
              </w:rPr>
              <w:t>a</w:t>
            </w:r>
            <w:r w:rsidRPr="00B23E62">
              <w:rPr>
                <w:rFonts w:cs="Arial"/>
                <w:color w:val="000000" w:themeColor="text1"/>
                <w:szCs w:val="20"/>
              </w:rPr>
              <w:t xml:space="preserve"> o bonitetnem nadzoru investicijskih podjetij (Uradni list RS, št. 123/21) </w:t>
            </w:r>
            <w:r w:rsidRPr="00AD4FF0">
              <w:rPr>
                <w:rFonts w:cs="Arial"/>
                <w:color w:val="000000" w:themeColor="text1"/>
                <w:szCs w:val="20"/>
              </w:rPr>
              <w:t xml:space="preserve">se ureja poročanje po državah, in sicer </w:t>
            </w:r>
            <w:r>
              <w:rPr>
                <w:rFonts w:cs="Arial"/>
                <w:color w:val="000000" w:themeColor="text1"/>
                <w:szCs w:val="20"/>
              </w:rPr>
              <w:t>če</w:t>
            </w:r>
            <w:r w:rsidRPr="00AD4FF0">
              <w:rPr>
                <w:rFonts w:cs="Arial"/>
                <w:color w:val="000000" w:themeColor="text1"/>
                <w:szCs w:val="20"/>
              </w:rPr>
              <w:t xml:space="preserve"> ima borznoposredniška družba podružnice ali odvisna podjetja, ki so finančne institucije, v</w:t>
            </w:r>
            <w:r>
              <w:rPr>
                <w:rFonts w:cs="Arial"/>
                <w:color w:val="000000" w:themeColor="text1"/>
                <w:szCs w:val="20"/>
              </w:rPr>
              <w:t xml:space="preserve"> </w:t>
            </w:r>
            <w:r w:rsidRPr="00AD4FF0">
              <w:rPr>
                <w:rFonts w:cs="Arial"/>
                <w:color w:val="000000" w:themeColor="text1"/>
                <w:szCs w:val="20"/>
              </w:rPr>
              <w:t xml:space="preserve">državi članici </w:t>
            </w:r>
            <w:r>
              <w:rPr>
                <w:rFonts w:cs="Arial"/>
                <w:color w:val="000000" w:themeColor="text1"/>
                <w:szCs w:val="20"/>
              </w:rPr>
              <w:t xml:space="preserve">EU </w:t>
            </w:r>
            <w:r w:rsidRPr="00AD4FF0">
              <w:rPr>
                <w:rFonts w:cs="Arial"/>
                <w:color w:val="000000" w:themeColor="text1"/>
                <w:szCs w:val="20"/>
              </w:rPr>
              <w:t>ali tretji državi.</w:t>
            </w:r>
            <w:r>
              <w:rPr>
                <w:rFonts w:cs="Arial"/>
                <w:color w:val="000000" w:themeColor="text1"/>
                <w:szCs w:val="20"/>
              </w:rPr>
              <w:t xml:space="preserve"> Z zakonsko določbo je v slovenski pravni red prenesen </w:t>
            </w:r>
            <w:r w:rsidRPr="00112FB8">
              <w:rPr>
                <w:rFonts w:cs="Arial"/>
                <w:color w:val="000000" w:themeColor="text1"/>
                <w:szCs w:val="20"/>
              </w:rPr>
              <w:t>27. člen</w:t>
            </w:r>
            <w:r>
              <w:rPr>
                <w:rFonts w:cs="Arial"/>
                <w:color w:val="000000" w:themeColor="text1"/>
                <w:szCs w:val="20"/>
              </w:rPr>
              <w:t xml:space="preserve"> </w:t>
            </w:r>
            <w:r w:rsidRPr="00D63AE4">
              <w:rPr>
                <w:rFonts w:cs="Arial"/>
                <w:color w:val="000000" w:themeColor="text1"/>
                <w:szCs w:val="20"/>
              </w:rPr>
              <w:t>Direktiv</w:t>
            </w:r>
            <w:r>
              <w:rPr>
                <w:rFonts w:cs="Arial"/>
                <w:color w:val="000000" w:themeColor="text1"/>
                <w:szCs w:val="20"/>
              </w:rPr>
              <w:t>e</w:t>
            </w:r>
            <w:r w:rsidRPr="00D63AE4">
              <w:rPr>
                <w:rFonts w:cs="Arial"/>
                <w:color w:val="000000" w:themeColor="text1"/>
                <w:szCs w:val="20"/>
              </w:rPr>
              <w:t xml:space="preserve"> (EU) 2019/2034 Evropskega Parlamenta in Sveta z dne 27. novembra 2019 o bonitetnem nadzoru investicijskih podjetij ter o spremembi direktiv </w:t>
            </w:r>
            <w:r w:rsidRPr="00D63AE4">
              <w:rPr>
                <w:rFonts w:cs="Arial"/>
                <w:color w:val="000000" w:themeColor="text1"/>
                <w:szCs w:val="20"/>
              </w:rPr>
              <w:lastRenderedPageBreak/>
              <w:t>2002/87/ES, 2009/65/ES, 2011/61/EU, 2013/36/EU, 2014/59/EU in 2014/65/EU</w:t>
            </w:r>
            <w:r>
              <w:rPr>
                <w:rFonts w:cs="Arial"/>
                <w:color w:val="000000" w:themeColor="text1"/>
                <w:szCs w:val="20"/>
              </w:rPr>
              <w:t xml:space="preserve"> (</w:t>
            </w:r>
            <w:r w:rsidRPr="00272531">
              <w:rPr>
                <w:rFonts w:cs="Arial"/>
                <w:color w:val="000000" w:themeColor="text1"/>
                <w:szCs w:val="20"/>
              </w:rPr>
              <w:t xml:space="preserve">UL L </w:t>
            </w:r>
            <w:r>
              <w:rPr>
                <w:rFonts w:cs="Arial"/>
                <w:color w:val="000000" w:themeColor="text1"/>
                <w:szCs w:val="20"/>
              </w:rPr>
              <w:t xml:space="preserve">št. </w:t>
            </w:r>
            <w:r w:rsidRPr="00272531">
              <w:rPr>
                <w:rFonts w:cs="Arial"/>
                <w:color w:val="000000" w:themeColor="text1"/>
                <w:szCs w:val="20"/>
              </w:rPr>
              <w:t>314</w:t>
            </w:r>
            <w:r>
              <w:rPr>
                <w:rFonts w:cs="Arial"/>
                <w:color w:val="000000" w:themeColor="text1"/>
                <w:szCs w:val="20"/>
              </w:rPr>
              <w:t xml:space="preserve"> z dne</w:t>
            </w:r>
            <w:r w:rsidRPr="00272531">
              <w:rPr>
                <w:rFonts w:cs="Arial"/>
                <w:color w:val="000000" w:themeColor="text1"/>
                <w:szCs w:val="20"/>
              </w:rPr>
              <w:t xml:space="preserve"> 5.</w:t>
            </w:r>
            <w:r>
              <w:rPr>
                <w:rFonts w:cs="Arial"/>
                <w:color w:val="000000" w:themeColor="text1"/>
                <w:szCs w:val="20"/>
              </w:rPr>
              <w:t xml:space="preserve"> </w:t>
            </w:r>
            <w:r w:rsidRPr="00272531">
              <w:rPr>
                <w:rFonts w:cs="Arial"/>
                <w:color w:val="000000" w:themeColor="text1"/>
                <w:szCs w:val="20"/>
              </w:rPr>
              <w:t>12.</w:t>
            </w:r>
            <w:r>
              <w:rPr>
                <w:rFonts w:cs="Arial"/>
                <w:color w:val="000000" w:themeColor="text1"/>
                <w:szCs w:val="20"/>
              </w:rPr>
              <w:t xml:space="preserve"> </w:t>
            </w:r>
            <w:r w:rsidRPr="00272531">
              <w:rPr>
                <w:rFonts w:cs="Arial"/>
                <w:color w:val="000000" w:themeColor="text1"/>
                <w:szCs w:val="20"/>
              </w:rPr>
              <w:t>2019, str. 64</w:t>
            </w:r>
            <w:r>
              <w:rPr>
                <w:rFonts w:cs="Arial"/>
                <w:color w:val="000000" w:themeColor="text1"/>
                <w:szCs w:val="20"/>
              </w:rPr>
              <w:t>).</w:t>
            </w:r>
          </w:p>
          <w:p w14:paraId="25137DEB" w14:textId="77777777" w:rsidR="000C08CA" w:rsidRPr="00605612" w:rsidRDefault="000C08CA" w:rsidP="00FE328D">
            <w:pPr>
              <w:jc w:val="both"/>
              <w:rPr>
                <w:rFonts w:cs="Arial"/>
                <w:color w:val="000000" w:themeColor="text1"/>
                <w:szCs w:val="20"/>
              </w:rPr>
            </w:pPr>
          </w:p>
          <w:p w14:paraId="77D2587D" w14:textId="77777777" w:rsidR="000C08CA" w:rsidRPr="00605612" w:rsidRDefault="000C08CA" w:rsidP="00FE328D">
            <w:pPr>
              <w:jc w:val="both"/>
              <w:rPr>
                <w:rFonts w:cs="Arial"/>
                <w:b/>
                <w:bCs/>
                <w:color w:val="000000" w:themeColor="text1"/>
                <w:szCs w:val="20"/>
              </w:rPr>
            </w:pPr>
            <w:r w:rsidRPr="00605612">
              <w:rPr>
                <w:rFonts w:cs="Arial"/>
                <w:b/>
                <w:bCs/>
                <w:color w:val="000000" w:themeColor="text1"/>
                <w:szCs w:val="20"/>
              </w:rPr>
              <w:t xml:space="preserve">Direktiva 2022/2464/EU </w:t>
            </w:r>
          </w:p>
          <w:p w14:paraId="5B99B57C" w14:textId="77777777" w:rsidR="000C08CA" w:rsidRPr="00605612" w:rsidRDefault="000C08CA" w:rsidP="00FE328D">
            <w:pPr>
              <w:jc w:val="both"/>
              <w:rPr>
                <w:rFonts w:cs="Arial"/>
                <w:color w:val="000000" w:themeColor="text1"/>
                <w:szCs w:val="20"/>
              </w:rPr>
            </w:pPr>
          </w:p>
          <w:p w14:paraId="32D43C7A"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Komisija</w:t>
            </w:r>
            <w:r w:rsidRPr="00605612">
              <w:rPr>
                <w:rFonts w:cs="Arial"/>
                <w:color w:val="000000" w:themeColor="text1"/>
                <w:szCs w:val="20"/>
              </w:rPr>
              <w:t xml:space="preserve"> se je leta 2019 v </w:t>
            </w:r>
            <w:r>
              <w:rPr>
                <w:rFonts w:cs="Arial"/>
                <w:color w:val="000000" w:themeColor="text1"/>
                <w:szCs w:val="20"/>
              </w:rPr>
              <w:t>e</w:t>
            </w:r>
            <w:r w:rsidRPr="00605612">
              <w:rPr>
                <w:rFonts w:cs="Arial"/>
                <w:color w:val="000000" w:themeColor="text1"/>
                <w:szCs w:val="20"/>
              </w:rPr>
              <w:t xml:space="preserve">vropskem zelenem dogovoru zavezala, da bo pregledala določbe o nefinančnem poročanju iz Direktive 2014/95/EU. Cilj </w:t>
            </w:r>
            <w:r>
              <w:rPr>
                <w:rFonts w:cs="Arial"/>
                <w:color w:val="000000" w:themeColor="text1"/>
                <w:szCs w:val="20"/>
              </w:rPr>
              <w:t>t</w:t>
            </w:r>
            <w:r w:rsidRPr="00605612">
              <w:rPr>
                <w:rFonts w:cs="Arial"/>
                <w:color w:val="000000" w:themeColor="text1"/>
                <w:szCs w:val="20"/>
              </w:rPr>
              <w:t xml:space="preserve">ega dogovora je do leta 2050 preoblikovati </w:t>
            </w:r>
            <w:r>
              <w:rPr>
                <w:rFonts w:cs="Arial"/>
                <w:color w:val="000000" w:themeColor="text1"/>
                <w:szCs w:val="20"/>
              </w:rPr>
              <w:t>Evropsko u</w:t>
            </w:r>
            <w:r w:rsidRPr="00605612">
              <w:rPr>
                <w:rFonts w:cs="Arial"/>
                <w:color w:val="000000" w:themeColor="text1"/>
                <w:szCs w:val="20"/>
              </w:rPr>
              <w:t xml:space="preserve">nijo v sodobno, z viri gospodarno in konkurenčno gospodarstvo brez neto emisij toplogrednih plinov. Njegov cilj je tudi zavarovati, ohraniti in poživiti naravni kapital </w:t>
            </w:r>
            <w:r>
              <w:rPr>
                <w:rFonts w:cs="Arial"/>
                <w:color w:val="000000" w:themeColor="text1"/>
                <w:szCs w:val="20"/>
              </w:rPr>
              <w:t>Evropske u</w:t>
            </w:r>
            <w:r w:rsidRPr="00605612">
              <w:rPr>
                <w:rFonts w:cs="Arial"/>
                <w:color w:val="000000" w:themeColor="text1"/>
                <w:szCs w:val="20"/>
              </w:rPr>
              <w:t xml:space="preserve">nije ter zaščititi zdravje in dobrobit državljanov </w:t>
            </w:r>
            <w:r>
              <w:rPr>
                <w:rFonts w:cs="Arial"/>
                <w:color w:val="000000" w:themeColor="text1"/>
                <w:szCs w:val="20"/>
              </w:rPr>
              <w:t>Evropske u</w:t>
            </w:r>
            <w:r w:rsidRPr="00605612">
              <w:rPr>
                <w:rFonts w:cs="Arial"/>
                <w:color w:val="000000" w:themeColor="text1"/>
                <w:szCs w:val="20"/>
              </w:rPr>
              <w:t xml:space="preserve">nije pred nevarnostmi in vplivi, ki izhajajo iz okolja. </w:t>
            </w:r>
          </w:p>
          <w:p w14:paraId="1320D36A" w14:textId="77777777" w:rsidR="000C08CA" w:rsidRPr="007168E8" w:rsidRDefault="000C08CA" w:rsidP="00FE328D">
            <w:pPr>
              <w:jc w:val="both"/>
              <w:rPr>
                <w:rFonts w:cs="Arial"/>
                <w:color w:val="000000" w:themeColor="text1"/>
                <w:szCs w:val="20"/>
              </w:rPr>
            </w:pPr>
          </w:p>
          <w:p w14:paraId="6D5B3ABC"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Komisija je v svojem sporočilu z dne 8. marca 2018 z naslovom Akcijski načrt: financiranje trajnostne rasti (v nadaljnjem besedilu akcijski načrt za financiranje trajnostne rasti) določila ukrepe za doseganje ciljev, </w:t>
            </w:r>
            <w:r>
              <w:rPr>
                <w:rFonts w:cs="Arial"/>
                <w:color w:val="000000" w:themeColor="text1"/>
                <w:szCs w:val="20"/>
              </w:rPr>
              <w:t>t</w:t>
            </w:r>
            <w:r w:rsidRPr="007168E8">
              <w:rPr>
                <w:rFonts w:cs="Arial"/>
                <w:color w:val="000000" w:themeColor="text1"/>
                <w:szCs w:val="20"/>
              </w:rPr>
              <w:t xml:space="preserve">i so: preusmeriti kapitalske tokove v naložbe v trajnostno rast, da bi dosegli trajnostno in vključujočo rast, obvladati finančna tveganja, ki izhajajo iz podnebnih sprememb, izčrpavanja virov, degradacije okolja in socialnih vprašanj, ter spodbuditi preglednost in dolgoročno naravnanost finančnih in gospodarskih dejavnosti. Pogoj za doseganje teh ciljev je, da nekatere kategorije podjetij razkrijejo relevantne, primerljive in zanesljive informacije o trajnostnosti. </w:t>
            </w:r>
          </w:p>
          <w:p w14:paraId="5FE92519" w14:textId="77777777" w:rsidR="000C08CA" w:rsidRPr="007168E8" w:rsidRDefault="000C08CA" w:rsidP="00FE328D">
            <w:pPr>
              <w:jc w:val="both"/>
              <w:rPr>
                <w:rFonts w:cs="Arial"/>
                <w:color w:val="000000" w:themeColor="text1"/>
                <w:szCs w:val="20"/>
              </w:rPr>
            </w:pPr>
          </w:p>
          <w:p w14:paraId="0E411204" w14:textId="77777777" w:rsidR="000C08CA" w:rsidRDefault="000C08CA" w:rsidP="00FE328D">
            <w:pPr>
              <w:jc w:val="both"/>
              <w:rPr>
                <w:rFonts w:cs="Arial"/>
                <w:color w:val="000000" w:themeColor="text1"/>
                <w:szCs w:val="20"/>
              </w:rPr>
            </w:pPr>
            <w:r w:rsidRPr="007168E8">
              <w:rPr>
                <w:rFonts w:cs="Arial"/>
                <w:color w:val="000000" w:themeColor="text1"/>
                <w:szCs w:val="20"/>
              </w:rPr>
              <w:t>Evropski parlament in Svet sta v okviru izvajanja akcijskega načrta za financiranje trajnostne rasti sprejela več zakonodajnih aktov</w:t>
            </w:r>
            <w:r w:rsidRPr="007168E8">
              <w:rPr>
                <w:rFonts w:cs="Arial"/>
                <w:color w:val="000000" w:themeColor="text1"/>
                <w:szCs w:val="20"/>
                <w:vertAlign w:val="superscript"/>
              </w:rPr>
              <w:footnoteReference w:id="2"/>
            </w:r>
            <w:r w:rsidRPr="007168E8">
              <w:rPr>
                <w:rFonts w:cs="Arial"/>
                <w:color w:val="000000" w:themeColor="text1"/>
                <w:szCs w:val="20"/>
              </w:rPr>
              <w:t xml:space="preserve"> z ukrepi za zagotovitev, da ima finančni sektor pomembno vlogo pri doseganju ciljev </w:t>
            </w:r>
            <w:r>
              <w:rPr>
                <w:rFonts w:cs="Arial"/>
                <w:color w:val="000000" w:themeColor="text1"/>
                <w:szCs w:val="20"/>
              </w:rPr>
              <w:t xml:space="preserve">iz </w:t>
            </w:r>
            <w:r w:rsidRPr="007168E8">
              <w:rPr>
                <w:rFonts w:cs="Arial"/>
                <w:color w:val="000000" w:themeColor="text1"/>
                <w:szCs w:val="20"/>
              </w:rPr>
              <w:t xml:space="preserve">evropskega zelenega dogovora. Za uspešno izvajanje </w:t>
            </w:r>
            <w:r>
              <w:rPr>
                <w:rFonts w:cs="Arial"/>
                <w:color w:val="000000" w:themeColor="text1"/>
                <w:szCs w:val="20"/>
              </w:rPr>
              <w:t>t</w:t>
            </w:r>
            <w:r w:rsidRPr="007168E8">
              <w:rPr>
                <w:rFonts w:cs="Arial"/>
                <w:color w:val="000000" w:themeColor="text1"/>
                <w:szCs w:val="20"/>
              </w:rPr>
              <w:t xml:space="preserve">ega dogovora in akcijskega načrta za financiranje trajnostne rasti so </w:t>
            </w:r>
            <w:r>
              <w:rPr>
                <w:rFonts w:cs="Arial"/>
                <w:color w:val="000000" w:themeColor="text1"/>
                <w:szCs w:val="20"/>
              </w:rPr>
              <w:t>ključni</w:t>
            </w:r>
            <w:r w:rsidRPr="007168E8">
              <w:rPr>
                <w:rFonts w:cs="Arial"/>
                <w:color w:val="000000" w:themeColor="text1"/>
                <w:szCs w:val="20"/>
              </w:rPr>
              <w:t xml:space="preserve"> boljši podatki </w:t>
            </w:r>
            <w:r>
              <w:rPr>
                <w:rFonts w:cs="Arial"/>
                <w:color w:val="000000" w:themeColor="text1"/>
                <w:szCs w:val="20"/>
              </w:rPr>
              <w:t>družb</w:t>
            </w:r>
            <w:r w:rsidRPr="007168E8">
              <w:rPr>
                <w:rFonts w:cs="Arial"/>
                <w:color w:val="000000" w:themeColor="text1"/>
                <w:szCs w:val="20"/>
              </w:rPr>
              <w:t xml:space="preserve"> o tveganjih glede trajnostnosti, ki so jim izpostavljena, ter o njihovem lastnem vplivu na ljudi in okolje. Direktiva 2014/95/EU,</w:t>
            </w:r>
            <w:bookmarkStart w:id="0" w:name="_Hlk148608988"/>
            <w:r w:rsidRPr="007168E8">
              <w:rPr>
                <w:rFonts w:cs="Arial"/>
                <w:color w:val="000000" w:themeColor="text1"/>
                <w:szCs w:val="20"/>
              </w:rPr>
              <w:t xml:space="preserve"> </w:t>
            </w:r>
            <w:r>
              <w:rPr>
                <w:rFonts w:cs="Arial"/>
                <w:color w:val="000000" w:themeColor="text1"/>
                <w:szCs w:val="20"/>
              </w:rPr>
              <w:t xml:space="preserve">Uredba </w:t>
            </w:r>
            <w:r w:rsidRPr="00981925">
              <w:rPr>
                <w:rFonts w:cs="Arial"/>
                <w:color w:val="000000" w:themeColor="text1"/>
                <w:szCs w:val="20"/>
              </w:rPr>
              <w:t>2019/2088/EU</w:t>
            </w:r>
            <w:r w:rsidRPr="007168E8">
              <w:rPr>
                <w:rFonts w:cs="Arial"/>
                <w:color w:val="000000" w:themeColor="text1"/>
                <w:szCs w:val="20"/>
              </w:rPr>
              <w:t xml:space="preserve"> </w:t>
            </w:r>
            <w:bookmarkEnd w:id="0"/>
            <w:r w:rsidRPr="007168E8">
              <w:rPr>
                <w:rFonts w:cs="Arial"/>
                <w:color w:val="000000" w:themeColor="text1"/>
                <w:szCs w:val="20"/>
              </w:rPr>
              <w:t xml:space="preserve">in </w:t>
            </w:r>
            <w:r w:rsidRPr="00BB7F40">
              <w:rPr>
                <w:rFonts w:cs="Arial"/>
                <w:color w:val="000000" w:themeColor="text1"/>
                <w:szCs w:val="20"/>
              </w:rPr>
              <w:t>Uredba 2020/852</w:t>
            </w:r>
            <w:r w:rsidRPr="00092DD6">
              <w:rPr>
                <w:rFonts w:cs="Arial"/>
                <w:color w:val="000000" w:themeColor="text1"/>
                <w:szCs w:val="20"/>
              </w:rPr>
              <w:t>/EU</w:t>
            </w:r>
            <w:r w:rsidRPr="007168E8">
              <w:rPr>
                <w:rFonts w:cs="Arial"/>
                <w:color w:val="000000" w:themeColor="text1"/>
                <w:szCs w:val="20"/>
              </w:rPr>
              <w:t xml:space="preserve"> so osrednji sestavni deli zahtev glede poročanja o trajnostnosti, na katerih temelji strategija EU za trajnostno financiranje. Namen tega pravnega okvira je vzpostaviti dosleden in skladen pretok informacij o trajnostnosti v celotni finančni vrednostni verigi.</w:t>
            </w:r>
          </w:p>
          <w:p w14:paraId="715CE670" w14:textId="77777777" w:rsidR="000C08CA" w:rsidRPr="007168E8" w:rsidRDefault="000C08CA" w:rsidP="00FE328D">
            <w:pPr>
              <w:jc w:val="both"/>
              <w:rPr>
                <w:rFonts w:cs="Arial"/>
                <w:color w:val="000000" w:themeColor="text1"/>
                <w:szCs w:val="20"/>
              </w:rPr>
            </w:pPr>
          </w:p>
          <w:p w14:paraId="14013F5E"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Direktiva 2022/2464/EU temelji na zahtevah glede poročanja o trajnostnosti iz Direktive 2014/95/EU in jih posodablja, da bi bile zahteve glede poročanja o trajnostnosti bolj usklajene s širšim pravnim okvirom za trajnostno financiranje, vključno </w:t>
            </w:r>
            <w:r>
              <w:rPr>
                <w:rFonts w:cs="Arial"/>
                <w:color w:val="000000" w:themeColor="text1"/>
                <w:szCs w:val="20"/>
              </w:rPr>
              <w:t xml:space="preserve">z </w:t>
            </w:r>
            <w:r w:rsidRPr="00981925">
              <w:rPr>
                <w:rFonts w:cs="Arial"/>
                <w:color w:val="000000" w:themeColor="text1"/>
                <w:szCs w:val="20"/>
              </w:rPr>
              <w:t>Ured</w:t>
            </w:r>
            <w:r>
              <w:rPr>
                <w:rFonts w:cs="Arial"/>
                <w:color w:val="000000" w:themeColor="text1"/>
                <w:szCs w:val="20"/>
              </w:rPr>
              <w:t>bo</w:t>
            </w:r>
            <w:r w:rsidRPr="00981925">
              <w:rPr>
                <w:rFonts w:cs="Arial"/>
                <w:color w:val="000000" w:themeColor="text1"/>
                <w:szCs w:val="20"/>
              </w:rPr>
              <w:t xml:space="preserve"> 2019/2088/EU</w:t>
            </w:r>
            <w:r w:rsidRPr="007168E8">
              <w:rPr>
                <w:rFonts w:cs="Arial"/>
                <w:color w:val="000000" w:themeColor="text1"/>
                <w:szCs w:val="20"/>
              </w:rPr>
              <w:t xml:space="preserve"> in </w:t>
            </w:r>
            <w:r w:rsidRPr="002131B9">
              <w:rPr>
                <w:rFonts w:cs="Arial"/>
                <w:color w:val="000000" w:themeColor="text1"/>
                <w:szCs w:val="20"/>
              </w:rPr>
              <w:t>Uredb</w:t>
            </w:r>
            <w:r>
              <w:rPr>
                <w:rFonts w:cs="Arial"/>
                <w:color w:val="000000" w:themeColor="text1"/>
                <w:szCs w:val="20"/>
              </w:rPr>
              <w:t>o</w:t>
            </w:r>
            <w:r w:rsidRPr="002131B9">
              <w:rPr>
                <w:rFonts w:cs="Arial"/>
                <w:color w:val="000000" w:themeColor="text1"/>
                <w:szCs w:val="20"/>
              </w:rPr>
              <w:t xml:space="preserve"> 2020/852</w:t>
            </w:r>
            <w:r>
              <w:rPr>
                <w:rFonts w:cs="Arial"/>
                <w:color w:val="000000" w:themeColor="text1"/>
                <w:szCs w:val="20"/>
              </w:rPr>
              <w:t>/EU</w:t>
            </w:r>
            <w:r w:rsidRPr="007168E8">
              <w:rPr>
                <w:rFonts w:cs="Arial"/>
                <w:color w:val="000000" w:themeColor="text1"/>
                <w:szCs w:val="20"/>
              </w:rPr>
              <w:t xml:space="preserve">, ter da bi bile v skladu s cilji </w:t>
            </w:r>
            <w:r>
              <w:rPr>
                <w:rFonts w:cs="Arial"/>
                <w:color w:val="000000" w:themeColor="text1"/>
                <w:szCs w:val="20"/>
              </w:rPr>
              <w:t xml:space="preserve">iz </w:t>
            </w:r>
            <w:r w:rsidRPr="007168E8">
              <w:rPr>
                <w:rFonts w:cs="Arial"/>
                <w:color w:val="000000" w:themeColor="text1"/>
                <w:szCs w:val="20"/>
              </w:rPr>
              <w:t xml:space="preserve">evropskega zelenega dogovora. </w:t>
            </w:r>
            <w:r w:rsidRPr="00981925">
              <w:rPr>
                <w:rFonts w:cs="Arial"/>
                <w:color w:val="000000" w:themeColor="text1"/>
                <w:szCs w:val="20"/>
              </w:rPr>
              <w:t>Uredba 2019/2088/EU</w:t>
            </w:r>
            <w:r w:rsidRPr="007168E8">
              <w:rPr>
                <w:rFonts w:cs="Arial"/>
                <w:color w:val="000000" w:themeColor="text1"/>
                <w:szCs w:val="20"/>
              </w:rPr>
              <w:t xml:space="preserve"> določa, kako bi morali udeleženci na finančnem trgu (vključno z upravitelji premoženja in finančnimi svetovalci) končnim vlagateljem in lastnikom sredstev razkrivati informacije o trajnostnosti. Udeleženci na finančnem trgu potrebujejo ustrezne informacije od </w:t>
            </w:r>
            <w:r>
              <w:rPr>
                <w:rFonts w:cs="Arial"/>
                <w:color w:val="000000" w:themeColor="text1"/>
                <w:szCs w:val="20"/>
              </w:rPr>
              <w:t>družb</w:t>
            </w:r>
            <w:r w:rsidRPr="007168E8">
              <w:rPr>
                <w:rFonts w:cs="Arial"/>
                <w:color w:val="000000" w:themeColor="text1"/>
                <w:szCs w:val="20"/>
              </w:rPr>
              <w:t xml:space="preserve">, v katera se vlaga, da bi lahko izpolnili zahteve </w:t>
            </w:r>
            <w:r>
              <w:rPr>
                <w:rFonts w:cs="Arial"/>
                <w:color w:val="000000" w:themeColor="text1"/>
                <w:szCs w:val="20"/>
              </w:rPr>
              <w:t xml:space="preserve">iz </w:t>
            </w:r>
            <w:r w:rsidRPr="00981925">
              <w:rPr>
                <w:rFonts w:cs="Arial"/>
                <w:color w:val="000000" w:themeColor="text1"/>
                <w:szCs w:val="20"/>
              </w:rPr>
              <w:t>Uredb</w:t>
            </w:r>
            <w:r>
              <w:rPr>
                <w:rFonts w:cs="Arial"/>
                <w:color w:val="000000" w:themeColor="text1"/>
                <w:szCs w:val="20"/>
              </w:rPr>
              <w:t>e</w:t>
            </w:r>
            <w:r w:rsidRPr="00981925">
              <w:rPr>
                <w:rFonts w:cs="Arial"/>
                <w:color w:val="000000" w:themeColor="text1"/>
                <w:szCs w:val="20"/>
              </w:rPr>
              <w:t xml:space="preserve"> 2019/2088/EU </w:t>
            </w:r>
            <w:r w:rsidRPr="007168E8">
              <w:rPr>
                <w:rFonts w:cs="Arial"/>
                <w:color w:val="000000" w:themeColor="text1"/>
                <w:szCs w:val="20"/>
              </w:rPr>
              <w:t xml:space="preserve">in s tem zadovoljili potrebe končnih vlagateljev, vključno s posamezniki in gospodinjstvi. Cilj Direktive 2022/2464/EU je zato zagotoviti, da </w:t>
            </w:r>
            <w:r>
              <w:rPr>
                <w:rFonts w:cs="Arial"/>
                <w:color w:val="000000" w:themeColor="text1"/>
                <w:szCs w:val="20"/>
              </w:rPr>
              <w:t>družbe</w:t>
            </w:r>
            <w:r w:rsidRPr="007168E8">
              <w:rPr>
                <w:rFonts w:cs="Arial"/>
                <w:color w:val="000000" w:themeColor="text1"/>
                <w:szCs w:val="20"/>
              </w:rPr>
              <w:t>, v kater</w:t>
            </w:r>
            <w:r>
              <w:rPr>
                <w:rFonts w:cs="Arial"/>
                <w:color w:val="000000" w:themeColor="text1"/>
                <w:szCs w:val="20"/>
              </w:rPr>
              <w:t>e</w:t>
            </w:r>
            <w:r w:rsidRPr="007168E8">
              <w:rPr>
                <w:rFonts w:cs="Arial"/>
                <w:color w:val="000000" w:themeColor="text1"/>
                <w:szCs w:val="20"/>
              </w:rPr>
              <w:t xml:space="preserve"> se vlaga, poročajo </w:t>
            </w:r>
            <w:r>
              <w:rPr>
                <w:rFonts w:cs="Arial"/>
                <w:color w:val="000000" w:themeColor="text1"/>
                <w:szCs w:val="20"/>
              </w:rPr>
              <w:lastRenderedPageBreak/>
              <w:t xml:space="preserve">o </w:t>
            </w:r>
            <w:r w:rsidRPr="007168E8">
              <w:rPr>
                <w:rFonts w:cs="Arial"/>
                <w:color w:val="000000" w:themeColor="text1"/>
                <w:szCs w:val="20"/>
              </w:rPr>
              <w:t>informacij</w:t>
            </w:r>
            <w:r>
              <w:rPr>
                <w:rFonts w:cs="Arial"/>
                <w:color w:val="000000" w:themeColor="text1"/>
                <w:szCs w:val="20"/>
              </w:rPr>
              <w:t>ah</w:t>
            </w:r>
            <w:r w:rsidRPr="007168E8">
              <w:rPr>
                <w:rFonts w:cs="Arial"/>
                <w:color w:val="000000" w:themeColor="text1"/>
                <w:szCs w:val="20"/>
              </w:rPr>
              <w:t xml:space="preserve">, ki jih potrebujejo udeleženci na finančnem trgu, </w:t>
            </w:r>
            <w:r>
              <w:rPr>
                <w:rFonts w:cs="Arial"/>
                <w:color w:val="000000" w:themeColor="text1"/>
                <w:szCs w:val="20"/>
              </w:rPr>
              <w:t xml:space="preserve">torej </w:t>
            </w:r>
            <w:r w:rsidRPr="007168E8">
              <w:rPr>
                <w:rFonts w:cs="Arial"/>
                <w:color w:val="000000" w:themeColor="text1"/>
                <w:szCs w:val="20"/>
              </w:rPr>
              <w:t xml:space="preserve">da izpolnijo svoje zahteve glede poročanja iz </w:t>
            </w:r>
            <w:r w:rsidRPr="00981925">
              <w:rPr>
                <w:rFonts w:cs="Arial"/>
                <w:color w:val="000000" w:themeColor="text1"/>
                <w:szCs w:val="20"/>
              </w:rPr>
              <w:t>Uredb</w:t>
            </w:r>
            <w:r>
              <w:rPr>
                <w:rFonts w:cs="Arial"/>
                <w:color w:val="000000" w:themeColor="text1"/>
                <w:szCs w:val="20"/>
              </w:rPr>
              <w:t>e</w:t>
            </w:r>
            <w:r w:rsidRPr="00981925">
              <w:rPr>
                <w:rFonts w:cs="Arial"/>
                <w:color w:val="000000" w:themeColor="text1"/>
                <w:szCs w:val="20"/>
              </w:rPr>
              <w:t xml:space="preserve"> 2019/2088/EU</w:t>
            </w:r>
            <w:r w:rsidRPr="007168E8">
              <w:rPr>
                <w:rFonts w:cs="Arial"/>
                <w:color w:val="000000" w:themeColor="text1"/>
                <w:szCs w:val="20"/>
              </w:rPr>
              <w:t xml:space="preserve">. </w:t>
            </w:r>
            <w:r w:rsidRPr="002131B9">
              <w:rPr>
                <w:rFonts w:cs="Arial"/>
                <w:color w:val="000000" w:themeColor="text1"/>
                <w:szCs w:val="20"/>
              </w:rPr>
              <w:t>Uredba 2020/852</w:t>
            </w:r>
            <w:r w:rsidRPr="00092DD6">
              <w:rPr>
                <w:rFonts w:cs="Arial"/>
                <w:color w:val="000000" w:themeColor="text1"/>
                <w:szCs w:val="20"/>
              </w:rPr>
              <w:t>/EU</w:t>
            </w:r>
            <w:r w:rsidRPr="007168E8">
              <w:rPr>
                <w:rFonts w:cs="Arial"/>
                <w:color w:val="000000" w:themeColor="text1"/>
                <w:szCs w:val="20"/>
              </w:rPr>
              <w:t xml:space="preserve"> vzpostavlja klasifikacijski sistem za okoljsko trajnostne gospodarske dejavnosti</w:t>
            </w:r>
            <w:r>
              <w:rPr>
                <w:rFonts w:cs="Arial"/>
                <w:color w:val="000000" w:themeColor="text1"/>
                <w:szCs w:val="20"/>
              </w:rPr>
              <w:t>, da se</w:t>
            </w:r>
            <w:r w:rsidRPr="007168E8">
              <w:rPr>
                <w:rFonts w:cs="Arial"/>
                <w:color w:val="000000" w:themeColor="text1"/>
                <w:szCs w:val="20"/>
              </w:rPr>
              <w:t xml:space="preserve"> povečaj</w:t>
            </w:r>
            <w:r>
              <w:rPr>
                <w:rFonts w:cs="Arial"/>
                <w:color w:val="000000" w:themeColor="text1"/>
                <w:szCs w:val="20"/>
              </w:rPr>
              <w:t>o</w:t>
            </w:r>
            <w:r w:rsidRPr="007168E8">
              <w:rPr>
                <w:rFonts w:cs="Arial"/>
                <w:color w:val="000000" w:themeColor="text1"/>
                <w:szCs w:val="20"/>
              </w:rPr>
              <w:t xml:space="preserve"> trajnostn</w:t>
            </w:r>
            <w:r>
              <w:rPr>
                <w:rFonts w:cs="Arial"/>
                <w:color w:val="000000" w:themeColor="text1"/>
                <w:szCs w:val="20"/>
              </w:rPr>
              <w:t>e</w:t>
            </w:r>
            <w:r w:rsidRPr="007168E8">
              <w:rPr>
                <w:rFonts w:cs="Arial"/>
                <w:color w:val="000000" w:themeColor="text1"/>
                <w:szCs w:val="20"/>
              </w:rPr>
              <w:t xml:space="preserve"> naložb</w:t>
            </w:r>
            <w:r>
              <w:rPr>
                <w:rFonts w:cs="Arial"/>
                <w:color w:val="000000" w:themeColor="text1"/>
                <w:szCs w:val="20"/>
              </w:rPr>
              <w:t>e</w:t>
            </w:r>
            <w:r w:rsidRPr="007168E8">
              <w:rPr>
                <w:rFonts w:cs="Arial"/>
                <w:color w:val="000000" w:themeColor="text1"/>
                <w:szCs w:val="20"/>
              </w:rPr>
              <w:t xml:space="preserve"> in </w:t>
            </w:r>
            <w:r>
              <w:rPr>
                <w:rFonts w:cs="Arial"/>
                <w:color w:val="000000" w:themeColor="text1"/>
                <w:szCs w:val="20"/>
              </w:rPr>
              <w:t xml:space="preserve">za </w:t>
            </w:r>
            <w:r w:rsidRPr="007168E8">
              <w:rPr>
                <w:rFonts w:cs="Arial"/>
                <w:color w:val="000000" w:themeColor="text1"/>
                <w:szCs w:val="20"/>
              </w:rPr>
              <w:t xml:space="preserve">boj proti lažnemu zelenemu oglaševanju trajnostnih finančnih produktov. Od </w:t>
            </w:r>
            <w:r>
              <w:rPr>
                <w:rFonts w:cs="Arial"/>
                <w:color w:val="000000" w:themeColor="text1"/>
                <w:szCs w:val="20"/>
              </w:rPr>
              <w:t>družb</w:t>
            </w:r>
            <w:r w:rsidRPr="007168E8">
              <w:rPr>
                <w:rFonts w:cs="Arial"/>
                <w:color w:val="000000" w:themeColor="text1"/>
                <w:szCs w:val="20"/>
              </w:rPr>
              <w:t xml:space="preserve">, ki spadajo na področje uporabe Direktive 2014/95/EU, zahteva, da razkrijejo </w:t>
            </w:r>
            <w:r>
              <w:rPr>
                <w:rFonts w:cs="Arial"/>
                <w:color w:val="000000" w:themeColor="text1"/>
                <w:szCs w:val="20"/>
              </w:rPr>
              <w:t>zadevne</w:t>
            </w:r>
            <w:r w:rsidRPr="007168E8">
              <w:rPr>
                <w:rFonts w:cs="Arial"/>
                <w:color w:val="000000" w:themeColor="text1"/>
                <w:szCs w:val="20"/>
              </w:rPr>
              <w:t xml:space="preserve"> kazalnike o tem, kolik</w:t>
            </w:r>
            <w:r>
              <w:rPr>
                <w:rFonts w:cs="Arial"/>
                <w:color w:val="000000" w:themeColor="text1"/>
                <w:szCs w:val="20"/>
              </w:rPr>
              <w:t>o</w:t>
            </w:r>
            <w:r w:rsidRPr="007168E8">
              <w:rPr>
                <w:rFonts w:cs="Arial"/>
                <w:color w:val="000000" w:themeColor="text1"/>
                <w:szCs w:val="20"/>
              </w:rPr>
              <w:t xml:space="preserve"> so njihove dejavnosti glede na taksonomijo okoljsko trajnostne. Te obveznosti razkritja bodo </w:t>
            </w:r>
            <w:r>
              <w:rPr>
                <w:rFonts w:cs="Arial"/>
                <w:color w:val="000000" w:themeColor="text1"/>
                <w:szCs w:val="20"/>
              </w:rPr>
              <w:t>opredeljene</w:t>
            </w:r>
            <w:r w:rsidRPr="007168E8">
              <w:rPr>
                <w:rFonts w:cs="Arial"/>
                <w:color w:val="000000" w:themeColor="text1"/>
                <w:szCs w:val="20"/>
              </w:rPr>
              <w:t xml:space="preserve"> v ločenem delegiranem aktu Komisije. Ti kazalniki dopolnjujejo informacije, ki jih morajo podjetja razkriti v skladu z Direktivo 2014/95/EU, </w:t>
            </w:r>
            <w:r>
              <w:rPr>
                <w:rFonts w:cs="Arial"/>
                <w:color w:val="000000" w:themeColor="text1"/>
                <w:szCs w:val="20"/>
              </w:rPr>
              <w:t>družbe</w:t>
            </w:r>
            <w:r w:rsidRPr="007168E8">
              <w:rPr>
                <w:rFonts w:cs="Arial"/>
                <w:color w:val="000000" w:themeColor="text1"/>
                <w:szCs w:val="20"/>
              </w:rPr>
              <w:t xml:space="preserve"> pa bodo moral</w:t>
            </w:r>
            <w:r>
              <w:rPr>
                <w:rFonts w:cs="Arial"/>
                <w:color w:val="000000" w:themeColor="text1"/>
                <w:szCs w:val="20"/>
              </w:rPr>
              <w:t>e</w:t>
            </w:r>
            <w:r w:rsidRPr="007168E8">
              <w:rPr>
                <w:rFonts w:cs="Arial"/>
                <w:color w:val="000000" w:themeColor="text1"/>
                <w:szCs w:val="20"/>
              </w:rPr>
              <w:t xml:space="preserve"> </w:t>
            </w:r>
            <w:r>
              <w:rPr>
                <w:rFonts w:cs="Arial"/>
                <w:color w:val="000000" w:themeColor="text1"/>
                <w:szCs w:val="20"/>
              </w:rPr>
              <w:t xml:space="preserve">o njih </w:t>
            </w:r>
            <w:r w:rsidRPr="007168E8">
              <w:rPr>
                <w:rFonts w:cs="Arial"/>
                <w:color w:val="000000" w:themeColor="text1"/>
                <w:szCs w:val="20"/>
              </w:rPr>
              <w:t>poročati skupaj z drugimi informacijami o trajnostnosti, ki jih zahteva Direktiva 2014/95/EU.</w:t>
            </w:r>
          </w:p>
          <w:p w14:paraId="0EE8A330" w14:textId="77777777" w:rsidR="000C08CA" w:rsidRPr="007168E8" w:rsidRDefault="000C08CA" w:rsidP="00FE328D">
            <w:pPr>
              <w:jc w:val="both"/>
              <w:rPr>
                <w:rFonts w:cs="Arial"/>
                <w:color w:val="000000" w:themeColor="text1"/>
                <w:szCs w:val="20"/>
              </w:rPr>
            </w:pPr>
          </w:p>
          <w:p w14:paraId="0DC91818"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V okviru omenjenih ukrepov je bila sprejeta tudi Direktiva 2022/2464/EU, ki posodablja določbe glede nefinančnega poročanja i</w:t>
            </w:r>
            <w:r>
              <w:rPr>
                <w:rFonts w:cs="Arial"/>
                <w:color w:val="000000" w:themeColor="text1"/>
                <w:szCs w:val="20"/>
              </w:rPr>
              <w:t>z</w:t>
            </w:r>
            <w:r w:rsidRPr="007168E8">
              <w:rPr>
                <w:rFonts w:cs="Arial"/>
                <w:color w:val="000000" w:themeColor="text1"/>
                <w:szCs w:val="20"/>
              </w:rPr>
              <w:t xml:space="preserve"> Direktive 2014/95/EU </w:t>
            </w:r>
            <w:r>
              <w:rPr>
                <w:rFonts w:cs="Arial"/>
                <w:color w:val="000000" w:themeColor="text1"/>
                <w:szCs w:val="20"/>
              </w:rPr>
              <w:t>ter</w:t>
            </w:r>
            <w:r w:rsidRPr="007168E8">
              <w:rPr>
                <w:rFonts w:cs="Arial"/>
                <w:color w:val="000000" w:themeColor="text1"/>
                <w:szCs w:val="20"/>
              </w:rPr>
              <w:t xml:space="preserve"> </w:t>
            </w:r>
            <w:r>
              <w:rPr>
                <w:rFonts w:cs="Arial"/>
                <w:color w:val="000000" w:themeColor="text1"/>
                <w:szCs w:val="20"/>
              </w:rPr>
              <w:t>obravnava</w:t>
            </w:r>
            <w:r w:rsidRPr="007168E8">
              <w:rPr>
                <w:rFonts w:cs="Arial"/>
                <w:color w:val="000000" w:themeColor="text1"/>
                <w:szCs w:val="20"/>
              </w:rPr>
              <w:t xml:space="preserve"> izzive in pomanjkljivosti trenutne ureditve. </w:t>
            </w:r>
            <w:r>
              <w:rPr>
                <w:rFonts w:cs="Arial"/>
                <w:color w:val="000000" w:themeColor="text1"/>
                <w:szCs w:val="20"/>
              </w:rPr>
              <w:t>Navedena</w:t>
            </w:r>
            <w:r w:rsidRPr="007168E8">
              <w:rPr>
                <w:rFonts w:cs="Arial"/>
                <w:color w:val="000000" w:themeColor="text1"/>
                <w:szCs w:val="20"/>
              </w:rPr>
              <w:t xml:space="preserve"> direktiva lahko s povečanjem odgovornosti in preglednosti </w:t>
            </w:r>
            <w:r>
              <w:rPr>
                <w:rFonts w:cs="Arial"/>
                <w:color w:val="000000" w:themeColor="text1"/>
                <w:szCs w:val="20"/>
              </w:rPr>
              <w:t>gospodarskih družb</w:t>
            </w:r>
            <w:r w:rsidRPr="007168E8">
              <w:rPr>
                <w:rFonts w:cs="Arial"/>
                <w:color w:val="000000" w:themeColor="text1"/>
                <w:szCs w:val="20"/>
              </w:rPr>
              <w:t xml:space="preserve"> glede njihovega vpliva na ljudi in okolje prispeva tudi h krepitvi odnosov med </w:t>
            </w:r>
            <w:r>
              <w:rPr>
                <w:rFonts w:cs="Arial"/>
                <w:color w:val="000000" w:themeColor="text1"/>
                <w:szCs w:val="20"/>
              </w:rPr>
              <w:t>gospodarstvom</w:t>
            </w:r>
            <w:r w:rsidRPr="007168E8">
              <w:rPr>
                <w:rFonts w:cs="Arial"/>
                <w:color w:val="000000" w:themeColor="text1"/>
                <w:szCs w:val="20"/>
              </w:rPr>
              <w:t xml:space="preserve"> in družbo. Ustvarila bo tudi priložnosti za </w:t>
            </w:r>
            <w:r>
              <w:rPr>
                <w:rFonts w:cs="Arial"/>
                <w:color w:val="000000" w:themeColor="text1"/>
                <w:szCs w:val="20"/>
              </w:rPr>
              <w:t>gospodarstvo</w:t>
            </w:r>
            <w:r w:rsidRPr="007168E8">
              <w:rPr>
                <w:rFonts w:cs="Arial"/>
                <w:color w:val="000000" w:themeColor="text1"/>
                <w:szCs w:val="20"/>
              </w:rPr>
              <w:t xml:space="preserve">, vlagatelje, civilno družbo in druge deležnike, da z digitalnimi tehnologijami </w:t>
            </w:r>
            <w:r>
              <w:rPr>
                <w:rFonts w:cs="Arial"/>
                <w:color w:val="000000" w:themeColor="text1"/>
                <w:szCs w:val="20"/>
              </w:rPr>
              <w:t>temeljito</w:t>
            </w:r>
            <w:r w:rsidRPr="007168E8">
              <w:rPr>
                <w:rFonts w:cs="Arial"/>
                <w:color w:val="000000" w:themeColor="text1"/>
                <w:szCs w:val="20"/>
              </w:rPr>
              <w:t xml:space="preserve"> izboljšajo način poročanja in uporabo informacij o trajnostnosti. </w:t>
            </w:r>
          </w:p>
          <w:p w14:paraId="76AE1846" w14:textId="77777777" w:rsidR="000C08CA" w:rsidRPr="007168E8" w:rsidRDefault="000C08CA" w:rsidP="00FE328D">
            <w:pPr>
              <w:jc w:val="both"/>
              <w:rPr>
                <w:rFonts w:cs="Arial"/>
                <w:color w:val="000000" w:themeColor="text1"/>
                <w:szCs w:val="20"/>
              </w:rPr>
            </w:pPr>
          </w:p>
          <w:p w14:paraId="0FE6212E" w14:textId="77777777" w:rsidR="000C08CA" w:rsidRDefault="000C08CA" w:rsidP="00FE328D">
            <w:pPr>
              <w:jc w:val="both"/>
              <w:rPr>
                <w:rFonts w:cs="Arial"/>
                <w:color w:val="000000" w:themeColor="text1"/>
                <w:szCs w:val="20"/>
              </w:rPr>
            </w:pPr>
            <w:r w:rsidRPr="00566EAB">
              <w:rPr>
                <w:rFonts w:cs="Arial"/>
                <w:color w:val="000000" w:themeColor="text1"/>
                <w:szCs w:val="20"/>
              </w:rPr>
              <w:t>Kot je podrobn</w:t>
            </w:r>
            <w:r>
              <w:rPr>
                <w:rFonts w:cs="Arial"/>
                <w:color w:val="000000" w:themeColor="text1"/>
                <w:szCs w:val="20"/>
              </w:rPr>
              <w:t>eje</w:t>
            </w:r>
            <w:r w:rsidRPr="00566EAB">
              <w:rPr>
                <w:rFonts w:cs="Arial"/>
                <w:color w:val="000000" w:themeColor="text1"/>
                <w:szCs w:val="20"/>
              </w:rPr>
              <w:t xml:space="preserve"> pojasnjeno že v 1. točki uvoda tega predloga, veljavna ureditev </w:t>
            </w:r>
            <w:r w:rsidRPr="00E91165">
              <w:rPr>
                <w:rFonts w:cs="Arial"/>
                <w:color w:val="000000" w:themeColor="text1"/>
                <w:szCs w:val="20"/>
              </w:rPr>
              <w:t>temelji na</w:t>
            </w:r>
            <w:r w:rsidRPr="00566EAB">
              <w:rPr>
                <w:rFonts w:cs="Arial"/>
                <w:color w:val="000000" w:themeColor="text1"/>
                <w:szCs w:val="20"/>
              </w:rPr>
              <w:t xml:space="preserve"> Direktiv</w:t>
            </w:r>
            <w:r>
              <w:rPr>
                <w:rFonts w:cs="Arial"/>
                <w:color w:val="000000" w:themeColor="text1"/>
                <w:szCs w:val="20"/>
              </w:rPr>
              <w:t>i</w:t>
            </w:r>
            <w:r w:rsidRPr="00566EAB">
              <w:rPr>
                <w:rFonts w:cs="Arial"/>
                <w:color w:val="000000" w:themeColor="text1"/>
                <w:szCs w:val="20"/>
              </w:rPr>
              <w:t xml:space="preserve"> 2014/95/EU, ki je bila v naš pravni red prenesena z ZGD-1J. </w:t>
            </w:r>
            <w:r w:rsidRPr="00E91165">
              <w:rPr>
                <w:rFonts w:cs="Arial"/>
                <w:color w:val="000000" w:themeColor="text1"/>
                <w:szCs w:val="20"/>
              </w:rPr>
              <w:t xml:space="preserve">V 70.c členu ZGD-1 se je takrat na novo določila obveznost priprave izjave o nefinančnem poslovanju za vse družbe, ki so subjekti javnega interesa in katerih povprečno število zaposlenih je večje od 500, </w:t>
            </w:r>
            <w:r>
              <w:rPr>
                <w:rFonts w:cs="Arial"/>
                <w:color w:val="000000" w:themeColor="text1"/>
                <w:szCs w:val="20"/>
              </w:rPr>
              <w:t>in</w:t>
            </w:r>
            <w:r w:rsidRPr="00E91165">
              <w:rPr>
                <w:rFonts w:cs="Arial"/>
                <w:color w:val="000000" w:themeColor="text1"/>
                <w:szCs w:val="20"/>
              </w:rPr>
              <w:t xml:space="preserve"> družbe, ki so zavezane k pripravi konsolidiranega letnega poročila in katerih povprečno število zaposlenih na konsolidirani ravni je večje od 500. Hkrati  se je razširil seznam pravnih oseb, ki so zavezane sprejeti izjavo o upravljanju družbe</w:t>
            </w:r>
            <w:r>
              <w:rPr>
                <w:rFonts w:cs="Arial"/>
                <w:color w:val="000000" w:themeColor="text1"/>
                <w:szCs w:val="20"/>
              </w:rPr>
              <w:t>,</w:t>
            </w:r>
            <w:r w:rsidRPr="00E91165">
              <w:rPr>
                <w:rFonts w:cs="Arial"/>
                <w:color w:val="000000" w:themeColor="text1"/>
                <w:szCs w:val="20"/>
              </w:rPr>
              <w:t xml:space="preserve"> in sicer na vse družbe, ki so zavezane k reviziji. Del te izjave je tudi politika raznolikosti, </w:t>
            </w:r>
            <w:r>
              <w:rPr>
                <w:rFonts w:cs="Arial"/>
                <w:color w:val="000000" w:themeColor="text1"/>
                <w:szCs w:val="20"/>
              </w:rPr>
              <w:t>ki jo</w:t>
            </w:r>
            <w:r w:rsidRPr="00E91165">
              <w:rPr>
                <w:rFonts w:cs="Arial"/>
                <w:color w:val="000000" w:themeColor="text1"/>
                <w:szCs w:val="20"/>
              </w:rPr>
              <w:t xml:space="preserve"> mora družba sprejeti ali pa pojasniti, zakaj je ni sprejela (peti odstavek 70. člena ZGD-1).</w:t>
            </w:r>
            <w:r w:rsidRPr="00566EAB">
              <w:rPr>
                <w:rFonts w:cs="Arial"/>
                <w:color w:val="000000" w:themeColor="text1"/>
                <w:szCs w:val="20"/>
              </w:rPr>
              <w:t xml:space="preserve"> ZGD-1J je krog zavezancev za pripravo izjave o nefinančnem poslovanju</w:t>
            </w:r>
            <w:r>
              <w:rPr>
                <w:rFonts w:cs="Arial"/>
                <w:color w:val="000000" w:themeColor="text1"/>
                <w:szCs w:val="20"/>
              </w:rPr>
              <w:t xml:space="preserve"> opredelil</w:t>
            </w:r>
            <w:r w:rsidRPr="00566EAB">
              <w:rPr>
                <w:rFonts w:cs="Arial"/>
                <w:color w:val="000000" w:themeColor="text1"/>
                <w:szCs w:val="20"/>
              </w:rPr>
              <w:t xml:space="preserve"> nekoliko drugače kot Direktiva 2014/95/EU, saj zavezancev ni omejil na pogoj, da mora družba izpolnjevati </w:t>
            </w:r>
            <w:r>
              <w:rPr>
                <w:rFonts w:cs="Arial"/>
                <w:color w:val="000000" w:themeColor="text1"/>
                <w:szCs w:val="20"/>
              </w:rPr>
              <w:t>merila</w:t>
            </w:r>
            <w:r w:rsidRPr="00566EAB">
              <w:rPr>
                <w:rFonts w:cs="Arial"/>
                <w:color w:val="000000" w:themeColor="text1"/>
                <w:szCs w:val="20"/>
              </w:rPr>
              <w:t xml:space="preserve"> za velike družbe (oziroma za velike skupine pri konsolidirani izjavi o nefinančnem poslovanju). </w:t>
            </w:r>
            <w:r w:rsidRPr="007253E0">
              <w:rPr>
                <w:rFonts w:cs="Arial"/>
                <w:color w:val="000000" w:themeColor="text1"/>
                <w:szCs w:val="20"/>
              </w:rPr>
              <w:t xml:space="preserve">Razlog je, da je ZGD-1 že takrat subjekte javnega interesa opredeljeval za potrebe osmega poglavja kot velike družbe, zato </w:t>
            </w:r>
            <w:r>
              <w:rPr>
                <w:rFonts w:cs="Arial"/>
                <w:color w:val="000000" w:themeColor="text1"/>
                <w:szCs w:val="20"/>
              </w:rPr>
              <w:t>je bilo določeno</w:t>
            </w:r>
            <w:r w:rsidRPr="007253E0">
              <w:rPr>
                <w:rFonts w:cs="Arial"/>
                <w:color w:val="000000" w:themeColor="text1"/>
                <w:szCs w:val="20"/>
              </w:rPr>
              <w:t xml:space="preserve">, da ni bilo potrebe po tem dodatku. </w:t>
            </w:r>
            <w:r w:rsidRPr="00566EAB">
              <w:rPr>
                <w:rFonts w:cs="Arial"/>
                <w:color w:val="000000" w:themeColor="text1"/>
                <w:szCs w:val="20"/>
              </w:rPr>
              <w:t xml:space="preserve">Pomemben je tudi podatek, da je bila </w:t>
            </w:r>
            <w:r>
              <w:rPr>
                <w:rFonts w:cs="Arial"/>
                <w:color w:val="000000" w:themeColor="text1"/>
                <w:szCs w:val="20"/>
              </w:rPr>
              <w:t>opredelitev</w:t>
            </w:r>
            <w:r w:rsidRPr="00566EAB">
              <w:rPr>
                <w:rFonts w:cs="Arial"/>
                <w:color w:val="000000" w:themeColor="text1"/>
                <w:szCs w:val="20"/>
              </w:rPr>
              <w:t xml:space="preserve"> subjektov javnega interesa v času spreje</w:t>
            </w:r>
            <w:r>
              <w:rPr>
                <w:rFonts w:cs="Arial"/>
                <w:color w:val="000000" w:themeColor="text1"/>
                <w:szCs w:val="20"/>
              </w:rPr>
              <w:t>tj</w:t>
            </w:r>
            <w:r w:rsidRPr="00566EAB">
              <w:rPr>
                <w:rFonts w:cs="Arial"/>
                <w:color w:val="000000" w:themeColor="text1"/>
                <w:szCs w:val="20"/>
              </w:rPr>
              <w:t>a ZGD-1J veliko ožja</w:t>
            </w:r>
            <w:r>
              <w:rPr>
                <w:rFonts w:cs="Arial"/>
                <w:color w:val="000000" w:themeColor="text1"/>
                <w:szCs w:val="20"/>
              </w:rPr>
              <w:t>,</w:t>
            </w:r>
            <w:r w:rsidRPr="00566EAB">
              <w:rPr>
                <w:rFonts w:cs="Arial"/>
                <w:color w:val="000000" w:themeColor="text1"/>
                <w:szCs w:val="20"/>
              </w:rPr>
              <w:t xml:space="preserve"> kot je </w:t>
            </w:r>
            <w:r>
              <w:rPr>
                <w:rFonts w:cs="Arial"/>
                <w:color w:val="000000" w:themeColor="text1"/>
                <w:szCs w:val="20"/>
              </w:rPr>
              <w:t>z</w:t>
            </w:r>
            <w:r w:rsidRPr="00566EAB">
              <w:rPr>
                <w:rFonts w:cs="Arial"/>
                <w:color w:val="000000" w:themeColor="text1"/>
                <w:szCs w:val="20"/>
              </w:rPr>
              <w:t xml:space="preserve">daj, zato so se razmere od takrat nekoliko spremenile. Hkrati je </w:t>
            </w:r>
            <w:r>
              <w:rPr>
                <w:rFonts w:cs="Arial"/>
                <w:color w:val="000000" w:themeColor="text1"/>
                <w:szCs w:val="20"/>
              </w:rPr>
              <w:t>treba</w:t>
            </w:r>
            <w:r w:rsidRPr="00566EAB">
              <w:rPr>
                <w:rFonts w:cs="Arial"/>
                <w:color w:val="000000" w:themeColor="text1"/>
                <w:szCs w:val="20"/>
              </w:rPr>
              <w:t xml:space="preserve"> pojasniti, da se v praksi redko pojavi družba, ki ima več kot 500 zaposlenih in ne bi hkrati tudi dosegla številčnega</w:t>
            </w:r>
            <w:r>
              <w:rPr>
                <w:rFonts w:cs="Arial"/>
                <w:color w:val="000000" w:themeColor="text1"/>
                <w:szCs w:val="20"/>
              </w:rPr>
              <w:t xml:space="preserve"> merila</w:t>
            </w:r>
            <w:r w:rsidRPr="00566EAB">
              <w:rPr>
                <w:rFonts w:cs="Arial"/>
                <w:color w:val="000000" w:themeColor="text1"/>
                <w:szCs w:val="20"/>
              </w:rPr>
              <w:t xml:space="preserve"> velikosti iz petega odstavka 55. člena ZGD-1 (saj potrebuje za toliko zaposlenih tudi veliko sredstev). Po trenutnih podatkih takšn</w:t>
            </w:r>
            <w:r>
              <w:rPr>
                <w:rFonts w:cs="Arial"/>
                <w:color w:val="000000" w:themeColor="text1"/>
                <w:szCs w:val="20"/>
              </w:rPr>
              <w:t>e</w:t>
            </w:r>
            <w:r w:rsidRPr="00566EAB">
              <w:rPr>
                <w:rFonts w:cs="Arial"/>
                <w:color w:val="000000" w:themeColor="text1"/>
                <w:szCs w:val="20"/>
              </w:rPr>
              <w:t xml:space="preserve"> družb</w:t>
            </w:r>
            <w:r>
              <w:rPr>
                <w:rFonts w:cs="Arial"/>
                <w:color w:val="000000" w:themeColor="text1"/>
                <w:szCs w:val="20"/>
              </w:rPr>
              <w:t>e</w:t>
            </w:r>
            <w:r w:rsidRPr="00566EAB">
              <w:rPr>
                <w:rFonts w:cs="Arial"/>
                <w:color w:val="000000" w:themeColor="text1"/>
                <w:szCs w:val="20"/>
              </w:rPr>
              <w:t xml:space="preserve"> </w:t>
            </w:r>
            <w:r>
              <w:rPr>
                <w:rFonts w:cs="Arial"/>
                <w:color w:val="000000" w:themeColor="text1"/>
                <w:szCs w:val="20"/>
              </w:rPr>
              <w:t>ni</w:t>
            </w:r>
            <w:r w:rsidRPr="00566EAB">
              <w:rPr>
                <w:rFonts w:cs="Arial"/>
                <w:color w:val="000000" w:themeColor="text1"/>
                <w:szCs w:val="20"/>
              </w:rPr>
              <w:t>, tako da je možno</w:t>
            </w:r>
            <w:r>
              <w:rPr>
                <w:rFonts w:cs="Arial"/>
                <w:color w:val="000000" w:themeColor="text1"/>
                <w:szCs w:val="20"/>
              </w:rPr>
              <w:t>, čeprav</w:t>
            </w:r>
            <w:r w:rsidRPr="00566EAB">
              <w:rPr>
                <w:rFonts w:cs="Arial"/>
                <w:color w:val="000000" w:themeColor="text1"/>
                <w:szCs w:val="20"/>
              </w:rPr>
              <w:t xml:space="preserve"> je zakonski zapis ZGD-1J nekoliko </w:t>
            </w:r>
            <w:r w:rsidRPr="00E91165">
              <w:rPr>
                <w:rFonts w:cs="Arial"/>
                <w:color w:val="000000" w:themeColor="text1"/>
                <w:szCs w:val="20"/>
              </w:rPr>
              <w:t>drugače opredelil</w:t>
            </w:r>
            <w:r w:rsidRPr="00566EAB">
              <w:rPr>
                <w:rFonts w:cs="Arial"/>
                <w:color w:val="000000" w:themeColor="text1"/>
                <w:szCs w:val="20"/>
              </w:rPr>
              <w:t xml:space="preserve"> </w:t>
            </w:r>
            <w:r>
              <w:rPr>
                <w:rFonts w:cs="Arial"/>
                <w:color w:val="000000" w:themeColor="text1"/>
                <w:szCs w:val="20"/>
              </w:rPr>
              <w:t>merila</w:t>
            </w:r>
            <w:r w:rsidRPr="00566EAB">
              <w:rPr>
                <w:rFonts w:cs="Arial"/>
                <w:color w:val="000000" w:themeColor="text1"/>
                <w:szCs w:val="20"/>
              </w:rPr>
              <w:t xml:space="preserve"> za zavezance za pripravo izjave o nefinančnem poslovanju, da se obseg </w:t>
            </w:r>
            <w:r>
              <w:rPr>
                <w:rFonts w:cs="Arial"/>
                <w:color w:val="000000" w:themeColor="text1"/>
                <w:szCs w:val="20"/>
              </w:rPr>
              <w:t xml:space="preserve">kroga </w:t>
            </w:r>
            <w:r w:rsidRPr="00566EAB">
              <w:rPr>
                <w:rFonts w:cs="Arial"/>
                <w:color w:val="000000" w:themeColor="text1"/>
                <w:szCs w:val="20"/>
              </w:rPr>
              <w:t>zavezancev po ZGD-1 in Direktiv</w:t>
            </w:r>
            <w:r>
              <w:rPr>
                <w:rFonts w:cs="Arial"/>
                <w:color w:val="000000" w:themeColor="text1"/>
                <w:szCs w:val="20"/>
              </w:rPr>
              <w:t>i</w:t>
            </w:r>
            <w:r w:rsidRPr="00566EAB">
              <w:rPr>
                <w:rFonts w:cs="Arial"/>
                <w:color w:val="000000" w:themeColor="text1"/>
                <w:szCs w:val="20"/>
              </w:rPr>
              <w:t xml:space="preserve"> 2014/95/EU v praksi niti ni razlikoval.</w:t>
            </w:r>
          </w:p>
          <w:p w14:paraId="0A939CFC" w14:textId="77777777" w:rsidR="000C08CA" w:rsidRPr="007168E8" w:rsidRDefault="000C08CA" w:rsidP="00FE328D">
            <w:pPr>
              <w:jc w:val="both"/>
              <w:rPr>
                <w:rFonts w:cs="Arial"/>
                <w:color w:val="000000" w:themeColor="text1"/>
                <w:szCs w:val="20"/>
              </w:rPr>
            </w:pPr>
          </w:p>
          <w:p w14:paraId="5BFA16A8"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V skladu z Direktivo 2014/95/EU je Komisija leta 2017 objavila nezavezujoče smernice za poročanje. Leta 2019 je objavila dodatne smernice za poročanje </w:t>
            </w:r>
            <w:r>
              <w:rPr>
                <w:rFonts w:cs="Arial"/>
                <w:color w:val="000000" w:themeColor="text1"/>
                <w:szCs w:val="20"/>
              </w:rPr>
              <w:t xml:space="preserve">o </w:t>
            </w:r>
            <w:r w:rsidRPr="007168E8">
              <w:rPr>
                <w:rFonts w:cs="Arial"/>
                <w:color w:val="000000" w:themeColor="text1"/>
                <w:szCs w:val="20"/>
              </w:rPr>
              <w:t>informacij</w:t>
            </w:r>
            <w:r>
              <w:rPr>
                <w:rFonts w:cs="Arial"/>
                <w:color w:val="000000" w:themeColor="text1"/>
                <w:szCs w:val="20"/>
              </w:rPr>
              <w:t>ah</w:t>
            </w:r>
            <w:r w:rsidRPr="007168E8">
              <w:rPr>
                <w:rFonts w:cs="Arial"/>
                <w:color w:val="000000" w:themeColor="text1"/>
                <w:szCs w:val="20"/>
              </w:rPr>
              <w:t>, povezanih s podnebjem. Te smernice niso dovolj izboljšale kakovosti informacij, ki jih podjetja razkrivajo v skladu z Direktivo 2014/95/EU.</w:t>
            </w:r>
          </w:p>
          <w:p w14:paraId="24442431" w14:textId="77777777" w:rsidR="000C08CA" w:rsidRPr="007168E8" w:rsidRDefault="000C08CA" w:rsidP="00FE328D">
            <w:pPr>
              <w:jc w:val="both"/>
              <w:rPr>
                <w:rFonts w:cs="Arial"/>
                <w:color w:val="000000" w:themeColor="text1"/>
                <w:szCs w:val="20"/>
              </w:rPr>
            </w:pPr>
          </w:p>
          <w:p w14:paraId="652D3AA0"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V praksi se je izkazalo, da so javno dostopne informacije o vplivu nefinančnih in trajnostnih problematik na družbe in o vplivu družb na širše okolje pomanjkljive, saj:</w:t>
            </w:r>
          </w:p>
          <w:p w14:paraId="132EE944" w14:textId="77777777" w:rsidR="000C08CA" w:rsidRDefault="000C08CA" w:rsidP="00FE328D">
            <w:pPr>
              <w:numPr>
                <w:ilvl w:val="0"/>
                <w:numId w:val="100"/>
              </w:numPr>
              <w:jc w:val="both"/>
              <w:rPr>
                <w:rFonts w:cs="Arial"/>
                <w:color w:val="000000" w:themeColor="text1"/>
                <w:szCs w:val="20"/>
              </w:rPr>
            </w:pPr>
            <w:r w:rsidRPr="007168E8">
              <w:rPr>
                <w:rFonts w:cs="Arial"/>
                <w:color w:val="000000" w:themeColor="text1"/>
                <w:szCs w:val="20"/>
              </w:rPr>
              <w:t>informacije niso dovolj zanesljive in med seboj primerljive,</w:t>
            </w:r>
          </w:p>
          <w:p w14:paraId="09B780B7" w14:textId="77777777" w:rsidR="000C08CA" w:rsidRDefault="000C08CA" w:rsidP="00FE328D">
            <w:pPr>
              <w:numPr>
                <w:ilvl w:val="0"/>
                <w:numId w:val="100"/>
              </w:numPr>
              <w:jc w:val="both"/>
              <w:rPr>
                <w:rFonts w:cs="Arial"/>
                <w:color w:val="000000" w:themeColor="text1"/>
                <w:szCs w:val="20"/>
              </w:rPr>
            </w:pPr>
            <w:r w:rsidRPr="007168E8">
              <w:rPr>
                <w:rFonts w:cs="Arial"/>
                <w:color w:val="000000" w:themeColor="text1"/>
                <w:szCs w:val="20"/>
              </w:rPr>
              <w:t xml:space="preserve">družbe ne </w:t>
            </w:r>
            <w:r>
              <w:rPr>
                <w:rFonts w:cs="Arial"/>
                <w:color w:val="000000" w:themeColor="text1"/>
                <w:szCs w:val="20"/>
              </w:rPr>
              <w:t>sporočijo</w:t>
            </w:r>
            <w:r w:rsidRPr="007168E8">
              <w:rPr>
                <w:rFonts w:cs="Arial"/>
                <w:color w:val="000000" w:themeColor="text1"/>
                <w:szCs w:val="20"/>
              </w:rPr>
              <w:t xml:space="preserve"> vseh nefinančnih informacij, za katere uporabniki menijo, da so potrebne, mnoge pa </w:t>
            </w:r>
            <w:r>
              <w:rPr>
                <w:rFonts w:cs="Arial"/>
                <w:color w:val="000000" w:themeColor="text1"/>
                <w:szCs w:val="20"/>
              </w:rPr>
              <w:t>sporočijo</w:t>
            </w:r>
            <w:r w:rsidRPr="007168E8">
              <w:rPr>
                <w:rFonts w:cs="Arial"/>
                <w:color w:val="000000" w:themeColor="text1"/>
                <w:szCs w:val="20"/>
              </w:rPr>
              <w:t xml:space="preserve"> informacije, za katere uporabniki menijo, da niso pomembne, </w:t>
            </w:r>
          </w:p>
          <w:p w14:paraId="5FD1A9FF" w14:textId="77777777" w:rsidR="000C08CA" w:rsidRDefault="000C08CA" w:rsidP="00FE328D">
            <w:pPr>
              <w:numPr>
                <w:ilvl w:val="0"/>
                <w:numId w:val="100"/>
              </w:numPr>
              <w:jc w:val="both"/>
              <w:rPr>
                <w:rFonts w:cs="Arial"/>
                <w:color w:val="000000" w:themeColor="text1"/>
                <w:szCs w:val="20"/>
              </w:rPr>
            </w:pPr>
            <w:r w:rsidRPr="007168E8">
              <w:rPr>
                <w:rFonts w:cs="Arial"/>
                <w:color w:val="000000" w:themeColor="text1"/>
                <w:szCs w:val="20"/>
              </w:rPr>
              <w:t xml:space="preserve">nekatere družbe trenutno ne poročajo o nefinančnih vidikih delovanja, vlagatelji pa </w:t>
            </w:r>
            <w:r>
              <w:rPr>
                <w:rFonts w:cs="Arial"/>
                <w:color w:val="000000" w:themeColor="text1"/>
                <w:szCs w:val="20"/>
              </w:rPr>
              <w:t>želijo</w:t>
            </w:r>
            <w:r w:rsidRPr="007168E8">
              <w:rPr>
                <w:rFonts w:cs="Arial"/>
                <w:color w:val="000000" w:themeColor="text1"/>
                <w:szCs w:val="20"/>
              </w:rPr>
              <w:t xml:space="preserve"> tovrstn</w:t>
            </w:r>
            <w:r>
              <w:rPr>
                <w:rFonts w:cs="Arial"/>
                <w:color w:val="000000" w:themeColor="text1"/>
                <w:szCs w:val="20"/>
              </w:rPr>
              <w:t>e</w:t>
            </w:r>
            <w:r w:rsidRPr="007168E8">
              <w:rPr>
                <w:rFonts w:cs="Arial"/>
                <w:color w:val="000000" w:themeColor="text1"/>
                <w:szCs w:val="20"/>
              </w:rPr>
              <w:t xml:space="preserve"> informacij</w:t>
            </w:r>
            <w:r>
              <w:rPr>
                <w:rFonts w:cs="Arial"/>
                <w:color w:val="000000" w:themeColor="text1"/>
                <w:szCs w:val="20"/>
              </w:rPr>
              <w:t>e</w:t>
            </w:r>
            <w:r w:rsidRPr="007168E8">
              <w:rPr>
                <w:rFonts w:cs="Arial"/>
                <w:color w:val="000000" w:themeColor="text1"/>
                <w:szCs w:val="20"/>
              </w:rPr>
              <w:t>,</w:t>
            </w:r>
          </w:p>
          <w:p w14:paraId="09737A5A" w14:textId="77777777" w:rsidR="000C08CA" w:rsidRDefault="000C08CA" w:rsidP="00FE328D">
            <w:pPr>
              <w:numPr>
                <w:ilvl w:val="0"/>
                <w:numId w:val="100"/>
              </w:numPr>
              <w:jc w:val="both"/>
              <w:rPr>
                <w:rFonts w:cs="Arial"/>
                <w:color w:val="000000" w:themeColor="text1"/>
                <w:szCs w:val="20"/>
              </w:rPr>
            </w:pPr>
            <w:r w:rsidRPr="007168E8">
              <w:rPr>
                <w:rFonts w:cs="Arial"/>
                <w:color w:val="000000" w:themeColor="text1"/>
                <w:szCs w:val="20"/>
              </w:rPr>
              <w:t>tudi kadar so predmet poročanja, nefinančne informacije družb niso zadostn</w:t>
            </w:r>
            <w:r>
              <w:rPr>
                <w:rFonts w:cs="Arial"/>
                <w:color w:val="000000" w:themeColor="text1"/>
                <w:szCs w:val="20"/>
              </w:rPr>
              <w:t>o</w:t>
            </w:r>
            <w:r w:rsidRPr="007168E8">
              <w:rPr>
                <w:rFonts w:cs="Arial"/>
                <w:color w:val="000000" w:themeColor="text1"/>
                <w:szCs w:val="20"/>
              </w:rPr>
              <w:t xml:space="preserve"> dostopne vlagateljem in drugim uporabnikom,</w:t>
            </w:r>
          </w:p>
          <w:p w14:paraId="2E297296" w14:textId="77777777" w:rsidR="000C08CA" w:rsidRDefault="000C08CA" w:rsidP="00FE328D">
            <w:pPr>
              <w:numPr>
                <w:ilvl w:val="0"/>
                <w:numId w:val="100"/>
              </w:numPr>
              <w:jc w:val="both"/>
              <w:rPr>
                <w:rFonts w:cs="Arial"/>
                <w:color w:val="000000" w:themeColor="text1"/>
                <w:szCs w:val="20"/>
              </w:rPr>
            </w:pPr>
            <w:r w:rsidRPr="007168E8">
              <w:rPr>
                <w:rFonts w:cs="Arial"/>
                <w:color w:val="000000" w:themeColor="text1"/>
                <w:szCs w:val="20"/>
              </w:rPr>
              <w:lastRenderedPageBreak/>
              <w:t xml:space="preserve">obstaja negotovost družb pri odločanju, katere podatke je treba sporočiti ter kako in kam jih </w:t>
            </w:r>
            <w:r>
              <w:rPr>
                <w:rFonts w:cs="Arial"/>
                <w:color w:val="000000" w:themeColor="text1"/>
                <w:szCs w:val="20"/>
              </w:rPr>
              <w:t>sporočiti</w:t>
            </w:r>
            <w:r w:rsidRPr="007168E8">
              <w:rPr>
                <w:rFonts w:cs="Arial"/>
                <w:color w:val="000000" w:themeColor="text1"/>
                <w:szCs w:val="20"/>
              </w:rPr>
              <w:t xml:space="preserve"> (nepotrebni stroški, nekatere dodatne zahteve po poročanju v </w:t>
            </w:r>
            <w:r>
              <w:rPr>
                <w:rFonts w:cs="Arial"/>
                <w:color w:val="000000" w:themeColor="text1"/>
                <w:szCs w:val="20"/>
              </w:rPr>
              <w:t>nekaterih</w:t>
            </w:r>
            <w:r w:rsidRPr="007168E8">
              <w:rPr>
                <w:rFonts w:cs="Arial"/>
                <w:color w:val="000000" w:themeColor="text1"/>
                <w:szCs w:val="20"/>
              </w:rPr>
              <w:t xml:space="preserve"> sektorjih).</w:t>
            </w:r>
          </w:p>
          <w:p w14:paraId="071DBE8F" w14:textId="77777777" w:rsidR="000C08CA" w:rsidRPr="007168E8" w:rsidRDefault="000C08CA" w:rsidP="00FE328D">
            <w:pPr>
              <w:jc w:val="both"/>
              <w:rPr>
                <w:rFonts w:cs="Arial"/>
                <w:color w:val="000000" w:themeColor="text1"/>
                <w:szCs w:val="20"/>
              </w:rPr>
            </w:pPr>
          </w:p>
          <w:p w14:paraId="1B24342A"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Zaradi navedenih pomanjkljivosti: </w:t>
            </w:r>
          </w:p>
          <w:p w14:paraId="56F1FC48" w14:textId="77777777" w:rsidR="000C08CA" w:rsidRDefault="000C08CA" w:rsidP="00FE328D">
            <w:pPr>
              <w:numPr>
                <w:ilvl w:val="0"/>
                <w:numId w:val="101"/>
              </w:numPr>
              <w:jc w:val="both"/>
              <w:rPr>
                <w:rFonts w:cs="Arial"/>
                <w:color w:val="000000" w:themeColor="text1"/>
                <w:szCs w:val="20"/>
              </w:rPr>
            </w:pPr>
            <w:r w:rsidRPr="007168E8">
              <w:rPr>
                <w:rFonts w:cs="Arial"/>
                <w:color w:val="000000" w:themeColor="text1"/>
                <w:szCs w:val="20"/>
              </w:rPr>
              <w:t>vlagatelji ne morejo zado</w:t>
            </w:r>
            <w:r>
              <w:rPr>
                <w:rFonts w:cs="Arial"/>
                <w:color w:val="000000" w:themeColor="text1"/>
                <w:szCs w:val="20"/>
              </w:rPr>
              <w:t>voljivo</w:t>
            </w:r>
            <w:r w:rsidRPr="007168E8">
              <w:rPr>
                <w:rFonts w:cs="Arial"/>
                <w:color w:val="000000" w:themeColor="text1"/>
                <w:szCs w:val="20"/>
              </w:rPr>
              <w:t xml:space="preserve"> upoštevati tveganj in priložnosti, povezanih s trajnostnostjo in socialno-okoljskimi vplivi njihovih naložb. Naložbe brez primerne ocene tveganj trajnostnega upravljanja </w:t>
            </w:r>
            <w:r>
              <w:rPr>
                <w:rFonts w:cs="Arial"/>
                <w:color w:val="000000" w:themeColor="text1"/>
                <w:szCs w:val="20"/>
              </w:rPr>
              <w:t>so</w:t>
            </w:r>
            <w:r w:rsidRPr="007168E8">
              <w:rPr>
                <w:rFonts w:cs="Arial"/>
                <w:color w:val="000000" w:themeColor="text1"/>
                <w:szCs w:val="20"/>
              </w:rPr>
              <w:t xml:space="preserve"> sistemski problem, saj niso zadostn</w:t>
            </w:r>
            <w:r>
              <w:rPr>
                <w:rFonts w:cs="Arial"/>
                <w:color w:val="000000" w:themeColor="text1"/>
                <w:szCs w:val="20"/>
              </w:rPr>
              <w:t>o</w:t>
            </w:r>
            <w:r w:rsidRPr="007168E8">
              <w:rPr>
                <w:rFonts w:cs="Arial"/>
                <w:color w:val="000000" w:themeColor="text1"/>
                <w:szCs w:val="20"/>
              </w:rPr>
              <w:t xml:space="preserve"> usmerjene v družbe, ki prispevajo k reševanju težav, povezanih s trajnostnostjo;</w:t>
            </w:r>
          </w:p>
          <w:p w14:paraId="1C684BDF" w14:textId="77777777" w:rsidR="000C08CA" w:rsidRDefault="000C08CA" w:rsidP="00FE328D">
            <w:pPr>
              <w:numPr>
                <w:ilvl w:val="0"/>
                <w:numId w:val="101"/>
              </w:numPr>
              <w:jc w:val="both"/>
              <w:rPr>
                <w:rFonts w:cs="Arial"/>
                <w:color w:val="000000" w:themeColor="text1"/>
                <w:szCs w:val="20"/>
              </w:rPr>
            </w:pPr>
            <w:r w:rsidRPr="007168E8">
              <w:rPr>
                <w:rFonts w:cs="Arial"/>
                <w:color w:val="000000" w:themeColor="text1"/>
                <w:szCs w:val="20"/>
              </w:rPr>
              <w:t>organizacije civilne družbe, sindikati in drugi akterji družbam ne morejo učinkovito naložiti odgovornosti za vpliv na širšo družbeno skupnost in okolje, kar posledično ustvarja primanjkljaj odgovornega delovanja in zaupanja v družbe ter v socialno tržno gospodarstvo;</w:t>
            </w:r>
          </w:p>
          <w:p w14:paraId="68336B32" w14:textId="77777777" w:rsidR="000C08CA" w:rsidRDefault="000C08CA" w:rsidP="00FE328D">
            <w:pPr>
              <w:numPr>
                <w:ilvl w:val="0"/>
                <w:numId w:val="101"/>
              </w:numPr>
              <w:jc w:val="both"/>
              <w:rPr>
                <w:rFonts w:cs="Arial"/>
                <w:color w:val="000000" w:themeColor="text1"/>
                <w:szCs w:val="20"/>
              </w:rPr>
            </w:pPr>
            <w:r w:rsidRPr="007168E8">
              <w:rPr>
                <w:rFonts w:cs="Arial"/>
                <w:color w:val="000000" w:themeColor="text1"/>
                <w:szCs w:val="20"/>
              </w:rPr>
              <w:t xml:space="preserve">evropski notranji trg nezadostno izkorišča potencial za implementacijo evropskega zelenega dogovora in doseganje ciljev </w:t>
            </w:r>
            <w:r>
              <w:rPr>
                <w:rFonts w:cs="Arial"/>
                <w:color w:val="000000" w:themeColor="text1"/>
                <w:szCs w:val="20"/>
              </w:rPr>
              <w:t xml:space="preserve">glede </w:t>
            </w:r>
            <w:r w:rsidRPr="007168E8">
              <w:rPr>
                <w:rFonts w:cs="Arial"/>
                <w:color w:val="000000" w:themeColor="text1"/>
                <w:szCs w:val="20"/>
              </w:rPr>
              <w:t>trajnostnega razvoja.</w:t>
            </w:r>
          </w:p>
          <w:p w14:paraId="17A45E6B" w14:textId="77777777" w:rsidR="000C08CA" w:rsidRPr="007168E8" w:rsidRDefault="000C08CA" w:rsidP="00FE328D">
            <w:pPr>
              <w:jc w:val="both"/>
              <w:rPr>
                <w:rFonts w:cs="Arial"/>
                <w:color w:val="000000" w:themeColor="text1"/>
                <w:szCs w:val="20"/>
              </w:rPr>
            </w:pPr>
          </w:p>
          <w:p w14:paraId="17C6EF03"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Namen </w:t>
            </w:r>
            <w:r w:rsidRPr="007248C3">
              <w:rPr>
                <w:rFonts w:cs="Arial"/>
                <w:color w:val="000000" w:themeColor="text1"/>
                <w:szCs w:val="20"/>
              </w:rPr>
              <w:t>Direktiv</w:t>
            </w:r>
            <w:r>
              <w:rPr>
                <w:rFonts w:cs="Arial"/>
                <w:color w:val="000000" w:themeColor="text1"/>
                <w:szCs w:val="20"/>
              </w:rPr>
              <w:t>e</w:t>
            </w:r>
            <w:r w:rsidRPr="007248C3">
              <w:rPr>
                <w:rFonts w:cs="Arial"/>
                <w:color w:val="000000" w:themeColor="text1"/>
                <w:szCs w:val="20"/>
              </w:rPr>
              <w:t xml:space="preserve"> 2022/2464/EU</w:t>
            </w:r>
            <w:r w:rsidRPr="007168E8">
              <w:rPr>
                <w:rFonts w:cs="Arial"/>
                <w:color w:val="000000" w:themeColor="text1"/>
                <w:szCs w:val="20"/>
              </w:rPr>
              <w:t xml:space="preserve"> je</w:t>
            </w:r>
            <w:r>
              <w:rPr>
                <w:rFonts w:cs="Arial"/>
                <w:color w:val="000000" w:themeColor="text1"/>
                <w:szCs w:val="20"/>
              </w:rPr>
              <w:t xml:space="preserve"> tako</w:t>
            </w:r>
            <w:r w:rsidDel="004C1ADE">
              <w:rPr>
                <w:rFonts w:cs="Arial"/>
                <w:color w:val="000000" w:themeColor="text1"/>
                <w:szCs w:val="20"/>
              </w:rPr>
              <w:t xml:space="preserve"> </w:t>
            </w:r>
            <w:r w:rsidRPr="007168E8">
              <w:rPr>
                <w:rFonts w:cs="Arial"/>
                <w:color w:val="000000" w:themeColor="text1"/>
                <w:szCs w:val="20"/>
              </w:rPr>
              <w:t>zagotoviti:</w:t>
            </w:r>
          </w:p>
          <w:p w14:paraId="45CC0C26" w14:textId="77777777" w:rsidR="000C08CA" w:rsidRPr="001A4A1E" w:rsidRDefault="000C08CA" w:rsidP="00FE328D">
            <w:pPr>
              <w:pStyle w:val="ListParagraph"/>
              <w:numPr>
                <w:ilvl w:val="0"/>
                <w:numId w:val="89"/>
              </w:numPr>
              <w:jc w:val="both"/>
              <w:rPr>
                <w:rFonts w:cs="Arial"/>
                <w:color w:val="000000" w:themeColor="text1"/>
                <w:szCs w:val="20"/>
              </w:rPr>
            </w:pPr>
            <w:r w:rsidRPr="00E91165">
              <w:rPr>
                <w:rFonts w:ascii="Arial" w:hAnsi="Arial" w:cs="Arial"/>
                <w:color w:val="000000" w:themeColor="text1"/>
                <w:sz w:val="20"/>
                <w:szCs w:val="20"/>
              </w:rPr>
              <w:t>boljšo obveščenost vlagateljev in širše družbene skupnosti</w:t>
            </w:r>
            <w:r>
              <w:rPr>
                <w:rFonts w:ascii="Arial" w:hAnsi="Arial" w:cs="Arial"/>
                <w:color w:val="000000" w:themeColor="text1"/>
                <w:sz w:val="20"/>
                <w:szCs w:val="20"/>
              </w:rPr>
              <w:t>:</w:t>
            </w:r>
          </w:p>
          <w:p w14:paraId="3FFAE146" w14:textId="77777777" w:rsidR="000C08CA" w:rsidRPr="00E91165" w:rsidRDefault="000C08CA" w:rsidP="00FE328D">
            <w:pPr>
              <w:pStyle w:val="ListParagraph"/>
              <w:numPr>
                <w:ilvl w:val="0"/>
                <w:numId w:val="82"/>
              </w:numPr>
              <w:jc w:val="both"/>
              <w:rPr>
                <w:rFonts w:ascii="Arial" w:hAnsi="Arial" w:cs="Arial"/>
                <w:color w:val="000000" w:themeColor="text1"/>
                <w:sz w:val="20"/>
                <w:szCs w:val="20"/>
              </w:rPr>
            </w:pPr>
            <w:r>
              <w:rPr>
                <w:rFonts w:ascii="Arial" w:hAnsi="Arial" w:cs="Arial"/>
                <w:color w:val="000000" w:themeColor="text1"/>
                <w:sz w:val="20"/>
                <w:szCs w:val="20"/>
              </w:rPr>
              <w:t xml:space="preserve">o </w:t>
            </w:r>
            <w:r w:rsidRPr="00E91165">
              <w:rPr>
                <w:rFonts w:ascii="Arial" w:hAnsi="Arial" w:cs="Arial"/>
                <w:color w:val="000000" w:themeColor="text1"/>
                <w:sz w:val="20"/>
                <w:szCs w:val="20"/>
              </w:rPr>
              <w:t xml:space="preserve">tveganjih, ki jih za družbe </w:t>
            </w:r>
            <w:r>
              <w:rPr>
                <w:rFonts w:ascii="Arial" w:hAnsi="Arial" w:cs="Arial"/>
                <w:color w:val="000000" w:themeColor="text1"/>
                <w:sz w:val="20"/>
                <w:szCs w:val="20"/>
              </w:rPr>
              <w:t>pomenijo</w:t>
            </w:r>
            <w:r w:rsidRPr="00E91165">
              <w:rPr>
                <w:rFonts w:ascii="Arial" w:hAnsi="Arial" w:cs="Arial"/>
                <w:color w:val="000000" w:themeColor="text1"/>
                <w:sz w:val="20"/>
                <w:szCs w:val="20"/>
              </w:rPr>
              <w:t xml:space="preserve"> trajnostne zadeve, ter </w:t>
            </w:r>
          </w:p>
          <w:p w14:paraId="16A1219C" w14:textId="77777777" w:rsidR="000C08CA" w:rsidRPr="00601AF2" w:rsidRDefault="000C08CA" w:rsidP="00FE328D">
            <w:pPr>
              <w:pStyle w:val="ListParagraph"/>
              <w:numPr>
                <w:ilvl w:val="0"/>
                <w:numId w:val="82"/>
              </w:numPr>
              <w:spacing w:after="0"/>
              <w:ind w:left="714" w:hanging="357"/>
              <w:jc w:val="both"/>
              <w:rPr>
                <w:rFonts w:ascii="Arial" w:hAnsi="Arial" w:cs="Arial"/>
                <w:color w:val="000000" w:themeColor="text1"/>
                <w:sz w:val="20"/>
                <w:szCs w:val="20"/>
              </w:rPr>
            </w:pPr>
            <w:r w:rsidRPr="00E91165">
              <w:rPr>
                <w:rFonts w:ascii="Arial" w:hAnsi="Arial" w:cs="Arial"/>
                <w:color w:val="000000" w:themeColor="text1"/>
                <w:sz w:val="20"/>
                <w:szCs w:val="20"/>
              </w:rPr>
              <w:t xml:space="preserve">o vplivu družb na okolje in širšo družbeno skupnost, </w:t>
            </w:r>
          </w:p>
          <w:p w14:paraId="3E9315B8" w14:textId="77777777" w:rsidR="000C08CA" w:rsidRPr="00EA28C2" w:rsidRDefault="000C08CA" w:rsidP="00FE328D">
            <w:pPr>
              <w:ind w:left="360"/>
              <w:jc w:val="both"/>
              <w:rPr>
                <w:rFonts w:cs="Arial"/>
                <w:color w:val="000000" w:themeColor="text1"/>
                <w:szCs w:val="20"/>
              </w:rPr>
            </w:pPr>
            <w:r w:rsidRPr="00EA28C2">
              <w:rPr>
                <w:rFonts w:cs="Arial"/>
                <w:color w:val="000000" w:themeColor="text1"/>
                <w:szCs w:val="20"/>
              </w:rPr>
              <w:t xml:space="preserve">kar bo pomembno prispevalo k doseganju ciljev </w:t>
            </w:r>
            <w:r>
              <w:rPr>
                <w:rFonts w:cs="Arial"/>
                <w:color w:val="000000" w:themeColor="text1"/>
                <w:szCs w:val="20"/>
              </w:rPr>
              <w:t xml:space="preserve">iz </w:t>
            </w:r>
            <w:r w:rsidRPr="00EA28C2">
              <w:rPr>
                <w:rFonts w:cs="Arial"/>
                <w:color w:val="000000" w:themeColor="text1"/>
                <w:szCs w:val="20"/>
              </w:rPr>
              <w:t>evropskega zelenega dogovora, družbe pa bodo postale odgovornejše za svoje vplive na ljudi in okolje, s čimer se bo okrepilo zaupanje med njimi in širšo družbeno skupnostjo,</w:t>
            </w:r>
          </w:p>
          <w:p w14:paraId="2BB50897" w14:textId="77777777" w:rsidR="000C08CA" w:rsidRPr="001A4A1E" w:rsidRDefault="000C08CA" w:rsidP="00FE328D">
            <w:pPr>
              <w:pStyle w:val="ListParagraph"/>
              <w:numPr>
                <w:ilvl w:val="0"/>
                <w:numId w:val="90"/>
              </w:numPr>
              <w:jc w:val="both"/>
              <w:rPr>
                <w:rFonts w:cs="Arial"/>
                <w:color w:val="000000" w:themeColor="text1"/>
                <w:szCs w:val="20"/>
              </w:rPr>
            </w:pPr>
            <w:r w:rsidRPr="00E91165">
              <w:rPr>
                <w:rFonts w:ascii="Arial" w:hAnsi="Arial" w:cs="Arial"/>
                <w:color w:val="000000" w:themeColor="text1"/>
                <w:sz w:val="20"/>
                <w:szCs w:val="20"/>
              </w:rPr>
              <w:t>večjo primernost, primerljivost, zanesljivost, dostopnost in uporabo teh podatkov,</w:t>
            </w:r>
          </w:p>
          <w:p w14:paraId="5B174D0A" w14:textId="77777777" w:rsidR="000C08CA" w:rsidRPr="001A4A1E" w:rsidRDefault="000C08CA" w:rsidP="00FE328D">
            <w:pPr>
              <w:pStyle w:val="ListParagraph"/>
              <w:numPr>
                <w:ilvl w:val="0"/>
                <w:numId w:val="90"/>
              </w:numPr>
              <w:jc w:val="both"/>
              <w:rPr>
                <w:rFonts w:cs="Arial"/>
                <w:color w:val="000000" w:themeColor="text1"/>
                <w:szCs w:val="20"/>
              </w:rPr>
            </w:pPr>
            <w:r w:rsidRPr="00E91165">
              <w:rPr>
                <w:rFonts w:ascii="Arial" w:hAnsi="Arial" w:cs="Arial"/>
                <w:color w:val="000000" w:themeColor="text1"/>
                <w:sz w:val="20"/>
                <w:szCs w:val="20"/>
              </w:rPr>
              <w:t xml:space="preserve">dolgoročno zmanjšanje stroškov, povezanih s poročanjem, z bolj jasno določitvijo </w:t>
            </w:r>
            <w:r>
              <w:rPr>
                <w:rFonts w:ascii="Arial" w:hAnsi="Arial" w:cs="Arial"/>
                <w:color w:val="000000" w:themeColor="text1"/>
                <w:sz w:val="20"/>
                <w:szCs w:val="20"/>
              </w:rPr>
              <w:t>poglavitnih</w:t>
            </w:r>
            <w:r w:rsidRPr="00E91165">
              <w:rPr>
                <w:rFonts w:ascii="Arial" w:hAnsi="Arial" w:cs="Arial"/>
                <w:color w:val="000000" w:themeColor="text1"/>
                <w:sz w:val="20"/>
                <w:szCs w:val="20"/>
              </w:rPr>
              <w:t xml:space="preserve"> informacij, ki jih je treba </w:t>
            </w:r>
            <w:r>
              <w:rPr>
                <w:rFonts w:ascii="Arial" w:hAnsi="Arial" w:cs="Arial"/>
                <w:color w:val="000000" w:themeColor="text1"/>
                <w:sz w:val="20"/>
                <w:szCs w:val="20"/>
              </w:rPr>
              <w:t>s</w:t>
            </w:r>
            <w:r w:rsidRPr="00E91165">
              <w:rPr>
                <w:rFonts w:ascii="Arial" w:hAnsi="Arial" w:cs="Arial"/>
                <w:color w:val="000000" w:themeColor="text1"/>
                <w:sz w:val="20"/>
                <w:szCs w:val="20"/>
              </w:rPr>
              <w:t>poročati.</w:t>
            </w:r>
          </w:p>
          <w:p w14:paraId="27F35DB6"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Direktiva spreminja več predpisov</w:t>
            </w:r>
            <w:r>
              <w:rPr>
                <w:rFonts w:cs="Arial"/>
                <w:color w:val="000000" w:themeColor="text1"/>
                <w:szCs w:val="20"/>
              </w:rPr>
              <w:t>:</w:t>
            </w:r>
            <w:r w:rsidRPr="007168E8">
              <w:rPr>
                <w:rFonts w:cs="Arial"/>
                <w:color w:val="000000" w:themeColor="text1"/>
                <w:szCs w:val="20"/>
              </w:rPr>
              <w:t xml:space="preserve"> Direktivo 2013/34/EU (računovodsko direktivo), zaradi česar je </w:t>
            </w:r>
            <w:r>
              <w:rPr>
                <w:rFonts w:cs="Arial"/>
                <w:color w:val="000000" w:themeColor="text1"/>
                <w:szCs w:val="20"/>
              </w:rPr>
              <w:t>treba spremeniti</w:t>
            </w:r>
            <w:r w:rsidRPr="007168E8">
              <w:rPr>
                <w:rFonts w:cs="Arial"/>
                <w:color w:val="000000" w:themeColor="text1"/>
                <w:szCs w:val="20"/>
              </w:rPr>
              <w:t xml:space="preserve"> ZGD-1</w:t>
            </w:r>
            <w:r>
              <w:rPr>
                <w:rFonts w:cs="Arial"/>
                <w:color w:val="000000" w:themeColor="text1"/>
                <w:szCs w:val="20"/>
              </w:rPr>
              <w:t xml:space="preserve">, </w:t>
            </w:r>
            <w:r w:rsidRPr="007168E8">
              <w:rPr>
                <w:rFonts w:cs="Arial"/>
                <w:color w:val="000000" w:themeColor="text1"/>
                <w:szCs w:val="20"/>
              </w:rPr>
              <w:t>direktivo o preglednosti</w:t>
            </w:r>
            <w:r w:rsidRPr="007168E8">
              <w:rPr>
                <w:rFonts w:cs="Arial"/>
                <w:color w:val="000000" w:themeColor="text1"/>
                <w:szCs w:val="20"/>
                <w:vertAlign w:val="superscript"/>
              </w:rPr>
              <w:footnoteReference w:id="3"/>
            </w:r>
            <w:r w:rsidRPr="007168E8">
              <w:rPr>
                <w:rFonts w:cs="Arial"/>
                <w:color w:val="000000" w:themeColor="text1"/>
                <w:szCs w:val="20"/>
              </w:rPr>
              <w:t>, revizijsko direktivo</w:t>
            </w:r>
            <w:r w:rsidRPr="007168E8">
              <w:rPr>
                <w:rFonts w:cs="Arial"/>
                <w:color w:val="000000" w:themeColor="text1"/>
                <w:szCs w:val="20"/>
                <w:vertAlign w:val="superscript"/>
              </w:rPr>
              <w:footnoteReference w:id="4"/>
            </w:r>
            <w:r w:rsidRPr="007168E8">
              <w:rPr>
                <w:rFonts w:cs="Arial"/>
                <w:color w:val="000000" w:themeColor="text1"/>
                <w:szCs w:val="20"/>
              </w:rPr>
              <w:t xml:space="preserve"> in revizijsko uredbo</w:t>
            </w:r>
            <w:r w:rsidRPr="007168E8">
              <w:rPr>
                <w:rFonts w:cs="Arial"/>
                <w:color w:val="000000" w:themeColor="text1"/>
                <w:szCs w:val="20"/>
                <w:vertAlign w:val="superscript"/>
              </w:rPr>
              <w:footnoteReference w:id="5"/>
            </w:r>
            <w:r w:rsidRPr="007168E8">
              <w:rPr>
                <w:rFonts w:cs="Arial"/>
                <w:color w:val="000000" w:themeColor="text1"/>
                <w:szCs w:val="20"/>
              </w:rPr>
              <w:t>, ki pa se v naš pravni red prenašajo z drugimi predpisi</w:t>
            </w:r>
            <w:r>
              <w:rPr>
                <w:rFonts w:cs="Arial"/>
                <w:color w:val="000000" w:themeColor="text1"/>
                <w:szCs w:val="20"/>
              </w:rPr>
              <w:t xml:space="preserve"> (pretežno s spremembo Zakona o revidiranju (ZRev-2))</w:t>
            </w:r>
            <w:r w:rsidRPr="007168E8">
              <w:rPr>
                <w:rFonts w:cs="Arial"/>
                <w:color w:val="000000" w:themeColor="text1"/>
                <w:szCs w:val="20"/>
              </w:rPr>
              <w:t>, zato njihove spremembe niso vključene v predlog zakona.</w:t>
            </w:r>
          </w:p>
          <w:p w14:paraId="3E5EEA3B" w14:textId="77777777" w:rsidR="000C08CA" w:rsidRPr="007168E8" w:rsidRDefault="000C08CA" w:rsidP="00FE328D">
            <w:pPr>
              <w:jc w:val="both"/>
              <w:rPr>
                <w:rFonts w:cs="Arial"/>
                <w:color w:val="000000" w:themeColor="text1"/>
                <w:szCs w:val="20"/>
              </w:rPr>
            </w:pPr>
          </w:p>
          <w:p w14:paraId="5A4CAE7A"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V primerjavi z zahtevami glede poročanja o nefinančnih informacijah iz Direktive 2014/95/EU so glavne novosti </w:t>
            </w:r>
            <w:r w:rsidRPr="007C06C5">
              <w:rPr>
                <w:rFonts w:cs="Arial"/>
                <w:color w:val="000000" w:themeColor="text1"/>
                <w:szCs w:val="20"/>
              </w:rPr>
              <w:t>Direktiv</w:t>
            </w:r>
            <w:r>
              <w:rPr>
                <w:rFonts w:cs="Arial"/>
                <w:color w:val="000000" w:themeColor="text1"/>
                <w:szCs w:val="20"/>
              </w:rPr>
              <w:t>e</w:t>
            </w:r>
            <w:r w:rsidRPr="007C06C5">
              <w:rPr>
                <w:rFonts w:cs="Arial"/>
                <w:color w:val="000000" w:themeColor="text1"/>
                <w:szCs w:val="20"/>
              </w:rPr>
              <w:t xml:space="preserve"> 2022/2464/EU</w:t>
            </w:r>
            <w:r w:rsidRPr="007168E8">
              <w:rPr>
                <w:rFonts w:cs="Arial"/>
                <w:color w:val="000000" w:themeColor="text1"/>
                <w:szCs w:val="20"/>
              </w:rPr>
              <w:t xml:space="preserve"> naslednje:</w:t>
            </w:r>
          </w:p>
          <w:p w14:paraId="4ACE5E61" w14:textId="77777777" w:rsidR="000C08CA" w:rsidRPr="007168E8" w:rsidRDefault="000C08CA" w:rsidP="00FE328D">
            <w:pPr>
              <w:jc w:val="both"/>
              <w:rPr>
                <w:rFonts w:cs="Arial"/>
                <w:color w:val="000000" w:themeColor="text1"/>
                <w:szCs w:val="20"/>
              </w:rPr>
            </w:pPr>
          </w:p>
          <w:p w14:paraId="6A0783D5" w14:textId="77777777" w:rsidR="000C08CA" w:rsidRPr="00E91165" w:rsidRDefault="000C08CA" w:rsidP="00FE328D">
            <w:pPr>
              <w:numPr>
                <w:ilvl w:val="0"/>
                <w:numId w:val="43"/>
              </w:numPr>
              <w:jc w:val="both"/>
              <w:rPr>
                <w:rFonts w:cs="Arial"/>
                <w:color w:val="000000" w:themeColor="text1"/>
                <w:szCs w:val="20"/>
                <w:u w:val="single"/>
              </w:rPr>
            </w:pPr>
            <w:r>
              <w:rPr>
                <w:rFonts w:cs="Arial"/>
                <w:color w:val="000000" w:themeColor="text1"/>
                <w:szCs w:val="20"/>
                <w:u w:val="single"/>
              </w:rPr>
              <w:t>š</w:t>
            </w:r>
            <w:r w:rsidRPr="00E91165">
              <w:rPr>
                <w:rFonts w:cs="Arial"/>
                <w:color w:val="000000" w:themeColor="text1"/>
                <w:szCs w:val="20"/>
                <w:u w:val="single"/>
              </w:rPr>
              <w:t xml:space="preserve">iritev </w:t>
            </w:r>
            <w:r>
              <w:rPr>
                <w:rFonts w:cs="Arial"/>
                <w:color w:val="000000" w:themeColor="text1"/>
                <w:szCs w:val="20"/>
                <w:u w:val="single"/>
              </w:rPr>
              <w:t xml:space="preserve">kroga </w:t>
            </w:r>
            <w:r w:rsidRPr="00E91165">
              <w:rPr>
                <w:rFonts w:cs="Arial"/>
                <w:color w:val="000000" w:themeColor="text1"/>
                <w:szCs w:val="20"/>
                <w:u w:val="single"/>
              </w:rPr>
              <w:t>zavezancev za poročanje</w:t>
            </w:r>
            <w:r>
              <w:rPr>
                <w:rFonts w:cs="Arial"/>
                <w:color w:val="000000" w:themeColor="text1"/>
                <w:szCs w:val="20"/>
                <w:u w:val="single"/>
              </w:rPr>
              <w:t>:</w:t>
            </w:r>
          </w:p>
          <w:p w14:paraId="3D595EFE" w14:textId="77777777" w:rsidR="000C08CA" w:rsidRPr="007168E8" w:rsidRDefault="000C08CA" w:rsidP="00FE328D">
            <w:pPr>
              <w:numPr>
                <w:ilvl w:val="0"/>
                <w:numId w:val="44"/>
              </w:numPr>
              <w:jc w:val="both"/>
              <w:rPr>
                <w:rFonts w:cs="Arial"/>
                <w:color w:val="000000" w:themeColor="text1"/>
                <w:szCs w:val="20"/>
              </w:rPr>
            </w:pPr>
            <w:r w:rsidRPr="007168E8">
              <w:rPr>
                <w:rFonts w:cs="Arial"/>
                <w:color w:val="000000" w:themeColor="text1"/>
                <w:szCs w:val="20"/>
              </w:rPr>
              <w:t>na vse velike družbe (ni več praga 500 zaposlenih in ne velja le za subjekte javnega interesa),</w:t>
            </w:r>
          </w:p>
          <w:p w14:paraId="289DFD3B" w14:textId="77777777" w:rsidR="000C08CA" w:rsidRPr="007168E8" w:rsidRDefault="000C08CA" w:rsidP="00FE328D">
            <w:pPr>
              <w:numPr>
                <w:ilvl w:val="0"/>
                <w:numId w:val="44"/>
              </w:numPr>
              <w:jc w:val="both"/>
              <w:rPr>
                <w:rFonts w:cs="Arial"/>
                <w:color w:val="000000" w:themeColor="text1"/>
                <w:szCs w:val="20"/>
              </w:rPr>
            </w:pPr>
            <w:r w:rsidRPr="007168E8">
              <w:rPr>
                <w:rFonts w:cs="Arial"/>
                <w:color w:val="000000" w:themeColor="text1"/>
                <w:szCs w:val="20"/>
              </w:rPr>
              <w:t xml:space="preserve">z dvoletnim časovnim zamikom (za </w:t>
            </w:r>
            <w:r>
              <w:rPr>
                <w:rFonts w:cs="Arial"/>
                <w:color w:val="000000" w:themeColor="text1"/>
                <w:szCs w:val="20"/>
              </w:rPr>
              <w:t>poslovna</w:t>
            </w:r>
            <w:r w:rsidRPr="007168E8">
              <w:rPr>
                <w:rFonts w:cs="Arial"/>
                <w:color w:val="000000" w:themeColor="text1"/>
                <w:szCs w:val="20"/>
              </w:rPr>
              <w:t xml:space="preserve"> leta od 1. 1. 2026) tudi na majhne in srednje družbe, z vrednostnimi papirji katerih se trguje na organiziranem trgu (v </w:t>
            </w:r>
            <w:r w:rsidRPr="00B22ABF">
              <w:rPr>
                <w:rFonts w:cs="Arial"/>
                <w:szCs w:val="20"/>
              </w:rPr>
              <w:t>nadalj</w:t>
            </w:r>
            <w:r>
              <w:rPr>
                <w:rFonts w:cs="Arial"/>
                <w:szCs w:val="20"/>
              </w:rPr>
              <w:t>njem</w:t>
            </w:r>
            <w:r w:rsidRPr="00B22ABF">
              <w:rPr>
                <w:rFonts w:cs="Arial"/>
                <w:szCs w:val="20"/>
              </w:rPr>
              <w:t xml:space="preserve"> besedil</w:t>
            </w:r>
            <w:r>
              <w:rPr>
                <w:rFonts w:cs="Arial"/>
                <w:szCs w:val="20"/>
              </w:rPr>
              <w:t>u</w:t>
            </w:r>
            <w:r w:rsidRPr="007168E8">
              <w:rPr>
                <w:rFonts w:cs="Arial"/>
                <w:color w:val="000000" w:themeColor="text1"/>
                <w:szCs w:val="20"/>
              </w:rPr>
              <w:t xml:space="preserve">: majhne in srednje družbe, ki kotirajo na borzi), z izjemo mikro družb. Te imajo možnost, da </w:t>
            </w:r>
            <w:r>
              <w:rPr>
                <w:rFonts w:cs="Arial"/>
                <w:color w:val="000000" w:themeColor="text1"/>
                <w:szCs w:val="20"/>
              </w:rPr>
              <w:t>prvi</w:t>
            </w:r>
            <w:r w:rsidRPr="007168E8">
              <w:rPr>
                <w:rFonts w:cs="Arial"/>
                <w:color w:val="000000" w:themeColor="text1"/>
                <w:szCs w:val="20"/>
              </w:rPr>
              <w:t xml:space="preserve"> dve leti ne pripravijo poročila o trajnostnosti, če v poslovnem poročil</w:t>
            </w:r>
            <w:r>
              <w:rPr>
                <w:rFonts w:cs="Arial"/>
                <w:color w:val="000000" w:themeColor="text1"/>
                <w:szCs w:val="20"/>
              </w:rPr>
              <w:t>u</w:t>
            </w:r>
            <w:r w:rsidRPr="007168E8">
              <w:rPr>
                <w:rFonts w:cs="Arial"/>
                <w:color w:val="000000" w:themeColor="text1"/>
                <w:szCs w:val="20"/>
              </w:rPr>
              <w:t xml:space="preserve"> navedejo razloge za to. </w:t>
            </w:r>
          </w:p>
          <w:p w14:paraId="50089ACC" w14:textId="77777777" w:rsidR="000C08CA" w:rsidRPr="007168E8" w:rsidRDefault="000C08CA" w:rsidP="00FE328D">
            <w:pPr>
              <w:jc w:val="both"/>
              <w:rPr>
                <w:rFonts w:cs="Arial"/>
                <w:color w:val="000000" w:themeColor="text1"/>
                <w:szCs w:val="20"/>
              </w:rPr>
            </w:pPr>
          </w:p>
          <w:p w14:paraId="75276031"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Glede na vse večji pomen tveganj, povezanih s trajnostnostjo, in ob upoštevanju, da majhne in srednje družbe, ki kotirajo na borzi, </w:t>
            </w:r>
            <w:r>
              <w:rPr>
                <w:rFonts w:cs="Arial"/>
                <w:color w:val="000000" w:themeColor="text1"/>
                <w:szCs w:val="20"/>
              </w:rPr>
              <w:t>zajemajo</w:t>
            </w:r>
            <w:r w:rsidRPr="007168E8">
              <w:rPr>
                <w:rFonts w:cs="Arial"/>
                <w:color w:val="000000" w:themeColor="text1"/>
                <w:szCs w:val="20"/>
              </w:rPr>
              <w:t xml:space="preserve"> znaten delež vseh družb v</w:t>
            </w:r>
            <w:r>
              <w:rPr>
                <w:rFonts w:cs="Arial"/>
                <w:color w:val="000000" w:themeColor="text1"/>
                <w:szCs w:val="20"/>
              </w:rPr>
              <w:t xml:space="preserve"> Evropski</w:t>
            </w:r>
            <w:r w:rsidRPr="007168E8">
              <w:rPr>
                <w:rFonts w:cs="Arial"/>
                <w:color w:val="000000" w:themeColor="text1"/>
                <w:szCs w:val="20"/>
              </w:rPr>
              <w:t xml:space="preserve"> </w:t>
            </w:r>
            <w:r>
              <w:rPr>
                <w:rFonts w:cs="Arial"/>
                <w:color w:val="000000" w:themeColor="text1"/>
                <w:szCs w:val="20"/>
              </w:rPr>
              <w:t>u</w:t>
            </w:r>
            <w:r w:rsidRPr="007168E8">
              <w:rPr>
                <w:rFonts w:cs="Arial"/>
                <w:color w:val="000000" w:themeColor="text1"/>
                <w:szCs w:val="20"/>
              </w:rPr>
              <w:t xml:space="preserve">niji, ki kotirajo na borzi, je za zagotovitev zaščite vlagateljev primerno zahtevati, da morajo tudi te razkriti informacije o zadevah v zvezi s trajnostnostjo. Uvedba te zahteve bo pomagala zagotoviti, da lahko udeleženci na finančnem trgu v naložbene portfelje vključijo manjše družbe, ki kotirajo na borzi, če te </w:t>
            </w:r>
            <w:r>
              <w:rPr>
                <w:rFonts w:cs="Arial"/>
                <w:color w:val="000000" w:themeColor="text1"/>
                <w:szCs w:val="20"/>
              </w:rPr>
              <w:t>s</w:t>
            </w:r>
            <w:r w:rsidRPr="007168E8">
              <w:rPr>
                <w:rFonts w:cs="Arial"/>
                <w:color w:val="000000" w:themeColor="text1"/>
                <w:szCs w:val="20"/>
              </w:rPr>
              <w:t xml:space="preserve">poročajo informacije o trajnostnosti, ki jih potrebujejo udeleženci na finančnem trgu. Zato bo prispevala k zaščiti in izboljšanju dostopa manjših družb, ki kotirajo na borzi, do finančnega kapitala ter preprečila diskriminacijo takšnih družb s strani udeležencev na finančnem trgu. Uvedba te zahteve je potrebna </w:t>
            </w:r>
            <w:r w:rsidRPr="007168E8">
              <w:rPr>
                <w:rFonts w:cs="Arial"/>
                <w:color w:val="000000" w:themeColor="text1"/>
                <w:szCs w:val="20"/>
              </w:rPr>
              <w:lastRenderedPageBreak/>
              <w:t>tudi za zagotovitev, da imajo udeleženci na finančnem trgu informacije, ki jih potrebujejo od družb, v kater</w:t>
            </w:r>
            <w:r>
              <w:rPr>
                <w:rFonts w:cs="Arial"/>
                <w:color w:val="000000" w:themeColor="text1"/>
                <w:szCs w:val="20"/>
              </w:rPr>
              <w:t>e</w:t>
            </w:r>
            <w:r w:rsidRPr="007168E8">
              <w:rPr>
                <w:rFonts w:cs="Arial"/>
                <w:color w:val="000000" w:themeColor="text1"/>
                <w:szCs w:val="20"/>
              </w:rPr>
              <w:t xml:space="preserve"> se vlaga, da bi lahko izpolnjevali svoje zahteve glede razkritij, povezanih s trajnostnostjo, iz </w:t>
            </w:r>
            <w:r w:rsidRPr="00981925">
              <w:rPr>
                <w:rFonts w:cs="Arial"/>
                <w:color w:val="000000" w:themeColor="text1"/>
                <w:szCs w:val="20"/>
              </w:rPr>
              <w:t>Uredb</w:t>
            </w:r>
            <w:r>
              <w:rPr>
                <w:rFonts w:cs="Arial"/>
                <w:color w:val="000000" w:themeColor="text1"/>
                <w:szCs w:val="20"/>
              </w:rPr>
              <w:t>e</w:t>
            </w:r>
            <w:r w:rsidRPr="00981925">
              <w:rPr>
                <w:rFonts w:cs="Arial"/>
                <w:color w:val="000000" w:themeColor="text1"/>
                <w:szCs w:val="20"/>
              </w:rPr>
              <w:t xml:space="preserve"> 2019/2088/EU</w:t>
            </w:r>
            <w:r w:rsidRPr="007168E8">
              <w:rPr>
                <w:rFonts w:cs="Arial"/>
                <w:color w:val="000000" w:themeColor="text1"/>
                <w:szCs w:val="20"/>
              </w:rPr>
              <w:t>.</w:t>
            </w:r>
          </w:p>
          <w:p w14:paraId="02A24113" w14:textId="77777777" w:rsidR="000C08CA" w:rsidRPr="007168E8" w:rsidRDefault="000C08CA" w:rsidP="00FE328D">
            <w:pPr>
              <w:jc w:val="both"/>
              <w:rPr>
                <w:rFonts w:cs="Arial"/>
                <w:color w:val="000000" w:themeColor="text1"/>
                <w:szCs w:val="20"/>
              </w:rPr>
            </w:pPr>
          </w:p>
          <w:p w14:paraId="25A72063"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Majhne in srednje družbe, ki ne kotirajo na borzi, se bodo lahko prostovoljno odločile za uporabo standardov in trajnostnega poročanja. </w:t>
            </w:r>
            <w:r>
              <w:rPr>
                <w:rFonts w:cs="Arial"/>
                <w:color w:val="000000" w:themeColor="text1"/>
                <w:szCs w:val="20"/>
              </w:rPr>
              <w:t xml:space="preserve">Ključno jih je </w:t>
            </w:r>
            <w:r w:rsidRPr="007168E8">
              <w:rPr>
                <w:rFonts w:cs="Arial"/>
                <w:color w:val="000000" w:themeColor="text1"/>
                <w:szCs w:val="20"/>
              </w:rPr>
              <w:t>spodbuditi k njihovi uporabi, saj bodo imel</w:t>
            </w:r>
            <w:r>
              <w:rPr>
                <w:rFonts w:cs="Arial"/>
                <w:color w:val="000000" w:themeColor="text1"/>
                <w:szCs w:val="20"/>
              </w:rPr>
              <w:t>e</w:t>
            </w:r>
            <w:r w:rsidRPr="007168E8">
              <w:rPr>
                <w:rFonts w:cs="Arial"/>
                <w:color w:val="000000" w:themeColor="text1"/>
                <w:szCs w:val="20"/>
              </w:rPr>
              <w:t xml:space="preserve"> </w:t>
            </w:r>
            <w:r>
              <w:rPr>
                <w:rFonts w:cs="Arial"/>
                <w:color w:val="000000" w:themeColor="text1"/>
                <w:szCs w:val="20"/>
              </w:rPr>
              <w:t>tako</w:t>
            </w:r>
            <w:r w:rsidRPr="007168E8">
              <w:rPr>
                <w:rFonts w:cs="Arial"/>
                <w:color w:val="000000" w:themeColor="text1"/>
                <w:szCs w:val="20"/>
              </w:rPr>
              <w:t xml:space="preserve"> večjo možnost za pridobitev </w:t>
            </w:r>
            <w:r>
              <w:rPr>
                <w:rFonts w:cs="Arial"/>
                <w:color w:val="000000" w:themeColor="text1"/>
                <w:szCs w:val="20"/>
              </w:rPr>
              <w:t>vlagatel</w:t>
            </w:r>
            <w:r w:rsidRPr="007168E8">
              <w:rPr>
                <w:rFonts w:cs="Arial"/>
                <w:color w:val="000000" w:themeColor="text1"/>
                <w:szCs w:val="20"/>
              </w:rPr>
              <w:t>jev</w:t>
            </w:r>
            <w:r>
              <w:rPr>
                <w:rFonts w:cs="Arial"/>
                <w:color w:val="000000" w:themeColor="text1"/>
                <w:szCs w:val="20"/>
              </w:rPr>
              <w:t>.</w:t>
            </w:r>
            <w:r w:rsidRPr="007168E8">
              <w:rPr>
                <w:rFonts w:cs="Arial"/>
                <w:color w:val="000000" w:themeColor="text1"/>
                <w:szCs w:val="20"/>
              </w:rPr>
              <w:t xml:space="preserve"> Komisija pripravlja posebne standarde, ki bodo prilagojeni</w:t>
            </w:r>
            <w:r>
              <w:rPr>
                <w:rFonts w:cs="Arial"/>
                <w:color w:val="000000" w:themeColor="text1"/>
                <w:szCs w:val="20"/>
              </w:rPr>
              <w:t xml:space="preserve"> prostovoljnemu poročanju o trajnostnosti za m</w:t>
            </w:r>
            <w:r w:rsidRPr="007168E8">
              <w:rPr>
                <w:rFonts w:cs="Arial"/>
                <w:color w:val="000000" w:themeColor="text1"/>
                <w:szCs w:val="20"/>
              </w:rPr>
              <w:t>ajhne in srednje družbe, ki ne kotirajo na borzi</w:t>
            </w:r>
            <w:r>
              <w:rPr>
                <w:rFonts w:cs="Arial"/>
                <w:color w:val="000000" w:themeColor="text1"/>
                <w:szCs w:val="20"/>
              </w:rPr>
              <w:t>;</w:t>
            </w:r>
          </w:p>
          <w:p w14:paraId="17924F6F" w14:textId="77777777" w:rsidR="000C08CA" w:rsidRPr="007168E8" w:rsidRDefault="000C08CA" w:rsidP="00FE328D">
            <w:pPr>
              <w:jc w:val="both"/>
              <w:rPr>
                <w:rFonts w:cs="Arial"/>
                <w:color w:val="000000" w:themeColor="text1"/>
                <w:szCs w:val="20"/>
              </w:rPr>
            </w:pPr>
          </w:p>
          <w:p w14:paraId="62FE1B28" w14:textId="77777777" w:rsidR="000C08CA" w:rsidRPr="00E91165" w:rsidRDefault="000C08CA" w:rsidP="00FE328D">
            <w:pPr>
              <w:numPr>
                <w:ilvl w:val="0"/>
                <w:numId w:val="43"/>
              </w:numPr>
              <w:jc w:val="both"/>
              <w:rPr>
                <w:rFonts w:cs="Arial"/>
                <w:color w:val="000000" w:themeColor="text1"/>
                <w:szCs w:val="20"/>
                <w:u w:val="single"/>
              </w:rPr>
            </w:pPr>
            <w:r>
              <w:rPr>
                <w:rFonts w:cs="Arial"/>
                <w:color w:val="000000" w:themeColor="text1"/>
                <w:szCs w:val="20"/>
                <w:u w:val="single"/>
              </w:rPr>
              <w:t>š</w:t>
            </w:r>
            <w:r w:rsidRPr="00E91165">
              <w:rPr>
                <w:rFonts w:cs="Arial"/>
                <w:color w:val="000000" w:themeColor="text1"/>
                <w:szCs w:val="20"/>
                <w:u w:val="single"/>
              </w:rPr>
              <w:t xml:space="preserve">iritev obsega in vsebine trajnostnih informacij, ki se morajo </w:t>
            </w:r>
            <w:r>
              <w:rPr>
                <w:rFonts w:cs="Arial"/>
                <w:color w:val="000000" w:themeColor="text1"/>
                <w:szCs w:val="20"/>
                <w:u w:val="single"/>
              </w:rPr>
              <w:t>s</w:t>
            </w:r>
            <w:r w:rsidRPr="00E91165">
              <w:rPr>
                <w:rFonts w:cs="Arial"/>
                <w:color w:val="000000" w:themeColor="text1"/>
                <w:szCs w:val="20"/>
                <w:u w:val="single"/>
              </w:rPr>
              <w:t>poročati</w:t>
            </w:r>
            <w:r>
              <w:rPr>
                <w:rFonts w:cs="Arial"/>
                <w:color w:val="000000" w:themeColor="text1"/>
                <w:szCs w:val="20"/>
                <w:u w:val="single"/>
              </w:rPr>
              <w:t>:</w:t>
            </w:r>
          </w:p>
          <w:p w14:paraId="4964B276" w14:textId="77777777" w:rsidR="000C08CA" w:rsidRPr="00DD286A" w:rsidRDefault="000C08CA" w:rsidP="00FE328D">
            <w:pPr>
              <w:pStyle w:val="ListParagraph"/>
              <w:numPr>
                <w:ilvl w:val="0"/>
                <w:numId w:val="77"/>
              </w:numPr>
              <w:jc w:val="both"/>
              <w:rPr>
                <w:rFonts w:cs="Arial"/>
                <w:color w:val="000000" w:themeColor="text1"/>
                <w:szCs w:val="20"/>
              </w:rPr>
            </w:pPr>
            <w:r w:rsidRPr="00E91165">
              <w:rPr>
                <w:rFonts w:ascii="Arial" w:hAnsi="Arial" w:cs="Arial"/>
                <w:color w:val="000000" w:themeColor="text1"/>
                <w:sz w:val="20"/>
                <w:szCs w:val="20"/>
              </w:rPr>
              <w:t xml:space="preserve">pojasnjuje se načelo dvojne pomembnosti in odpravlja </w:t>
            </w:r>
            <w:r>
              <w:rPr>
                <w:rFonts w:ascii="Arial" w:hAnsi="Arial" w:cs="Arial"/>
                <w:color w:val="000000" w:themeColor="text1"/>
                <w:sz w:val="20"/>
                <w:szCs w:val="20"/>
              </w:rPr>
              <w:t xml:space="preserve">se </w:t>
            </w:r>
            <w:r w:rsidRPr="00E91165">
              <w:rPr>
                <w:rFonts w:ascii="Arial" w:hAnsi="Arial" w:cs="Arial"/>
                <w:color w:val="000000" w:themeColor="text1"/>
                <w:sz w:val="20"/>
                <w:szCs w:val="20"/>
              </w:rPr>
              <w:t>vsakršn</w:t>
            </w:r>
            <w:r>
              <w:rPr>
                <w:rFonts w:ascii="Arial" w:hAnsi="Arial" w:cs="Arial"/>
                <w:color w:val="000000" w:themeColor="text1"/>
                <w:sz w:val="20"/>
                <w:szCs w:val="20"/>
              </w:rPr>
              <w:t>a</w:t>
            </w:r>
            <w:r w:rsidRPr="00E91165">
              <w:rPr>
                <w:rFonts w:ascii="Arial" w:hAnsi="Arial" w:cs="Arial"/>
                <w:color w:val="000000" w:themeColor="text1"/>
                <w:sz w:val="20"/>
                <w:szCs w:val="20"/>
              </w:rPr>
              <w:t xml:space="preserve"> dvoumnost glede dejstva, da bi morale družbe </w:t>
            </w:r>
            <w:r>
              <w:rPr>
                <w:rFonts w:ascii="Arial" w:hAnsi="Arial" w:cs="Arial"/>
                <w:color w:val="000000" w:themeColor="text1"/>
                <w:sz w:val="20"/>
                <w:szCs w:val="20"/>
              </w:rPr>
              <w:t>s</w:t>
            </w:r>
            <w:r w:rsidRPr="00E91165">
              <w:rPr>
                <w:rFonts w:ascii="Arial" w:hAnsi="Arial" w:cs="Arial"/>
                <w:color w:val="000000" w:themeColor="text1"/>
                <w:sz w:val="20"/>
                <w:szCs w:val="20"/>
              </w:rPr>
              <w:t>poročati tako informacije, potrebne za razumevanje, kako nanje vplivajo zadeve v zvezi s trajnostnostjo, kot informacije, potrebne za razumevanje vpliva, ki ga imajo na ljudi in okolje,</w:t>
            </w:r>
          </w:p>
          <w:p w14:paraId="371F260B" w14:textId="77777777" w:rsidR="000C08CA" w:rsidRPr="00DD286A" w:rsidRDefault="000C08CA" w:rsidP="00FE328D">
            <w:pPr>
              <w:pStyle w:val="ListParagraph"/>
              <w:numPr>
                <w:ilvl w:val="0"/>
                <w:numId w:val="78"/>
              </w:numPr>
              <w:jc w:val="both"/>
              <w:rPr>
                <w:rFonts w:cs="Arial"/>
                <w:color w:val="000000" w:themeColor="text1"/>
                <w:szCs w:val="20"/>
              </w:rPr>
            </w:pPr>
            <w:r w:rsidRPr="00E91165">
              <w:rPr>
                <w:rFonts w:ascii="Arial" w:hAnsi="Arial" w:cs="Arial"/>
                <w:color w:val="000000" w:themeColor="text1"/>
                <w:sz w:val="20"/>
                <w:szCs w:val="20"/>
              </w:rPr>
              <w:t>podrobneje se določa</w:t>
            </w:r>
            <w:r>
              <w:rPr>
                <w:rFonts w:ascii="Arial" w:hAnsi="Arial" w:cs="Arial"/>
                <w:color w:val="000000" w:themeColor="text1"/>
                <w:sz w:val="20"/>
                <w:szCs w:val="20"/>
              </w:rPr>
              <w:t>jo</w:t>
            </w:r>
            <w:r w:rsidRPr="00E91165">
              <w:rPr>
                <w:rFonts w:ascii="Arial" w:hAnsi="Arial" w:cs="Arial"/>
                <w:color w:val="000000" w:themeColor="text1"/>
                <w:sz w:val="20"/>
                <w:szCs w:val="20"/>
              </w:rPr>
              <w:t xml:space="preserve"> informacije, ki jih bodo morale družbe razkriti. V primerjavi z </w:t>
            </w:r>
            <w:r>
              <w:rPr>
                <w:rFonts w:ascii="Arial" w:hAnsi="Arial" w:cs="Arial"/>
                <w:color w:val="000000" w:themeColor="text1"/>
                <w:sz w:val="20"/>
                <w:szCs w:val="20"/>
              </w:rPr>
              <w:t>že veljavnimi</w:t>
            </w:r>
            <w:r w:rsidRPr="00E91165">
              <w:rPr>
                <w:rFonts w:ascii="Arial" w:hAnsi="Arial" w:cs="Arial"/>
                <w:color w:val="000000" w:themeColor="text1"/>
                <w:sz w:val="20"/>
                <w:szCs w:val="20"/>
              </w:rPr>
              <w:t xml:space="preserve"> določbami </w:t>
            </w:r>
            <w:r>
              <w:rPr>
                <w:rFonts w:ascii="Arial" w:hAnsi="Arial" w:cs="Arial"/>
                <w:color w:val="000000" w:themeColor="text1"/>
                <w:sz w:val="20"/>
                <w:szCs w:val="20"/>
              </w:rPr>
              <w:t xml:space="preserve">se </w:t>
            </w:r>
            <w:r w:rsidRPr="00E91165">
              <w:rPr>
                <w:rFonts w:ascii="Arial" w:hAnsi="Arial" w:cs="Arial"/>
                <w:color w:val="000000" w:themeColor="text1"/>
                <w:sz w:val="20"/>
                <w:szCs w:val="20"/>
              </w:rPr>
              <w:t>uvaja</w:t>
            </w:r>
            <w:r>
              <w:rPr>
                <w:rFonts w:ascii="Arial" w:hAnsi="Arial" w:cs="Arial"/>
                <w:color w:val="000000" w:themeColor="text1"/>
                <w:sz w:val="20"/>
                <w:szCs w:val="20"/>
              </w:rPr>
              <w:t>jo</w:t>
            </w:r>
            <w:r w:rsidRPr="00E91165">
              <w:rPr>
                <w:rFonts w:ascii="Arial" w:hAnsi="Arial" w:cs="Arial"/>
                <w:color w:val="000000" w:themeColor="text1"/>
                <w:sz w:val="20"/>
                <w:szCs w:val="20"/>
              </w:rPr>
              <w:t xml:space="preserve"> nove zahteve za družbe, da morajo zagotoviti informacije o strategiji, ciljih, vlogi upravnega odbora in vodstva, glavnih škodljivih vplivih, povezanih z družbo in njeno vrednostno verigo, neopredmetenih sredstvih </w:t>
            </w:r>
            <w:r>
              <w:rPr>
                <w:rFonts w:ascii="Arial" w:hAnsi="Arial" w:cs="Arial"/>
                <w:color w:val="000000" w:themeColor="text1"/>
                <w:sz w:val="20"/>
                <w:szCs w:val="20"/>
              </w:rPr>
              <w:t>in</w:t>
            </w:r>
            <w:r w:rsidRPr="00E91165">
              <w:rPr>
                <w:rFonts w:ascii="Arial" w:hAnsi="Arial" w:cs="Arial"/>
                <w:color w:val="000000" w:themeColor="text1"/>
                <w:sz w:val="20"/>
                <w:szCs w:val="20"/>
              </w:rPr>
              <w:t xml:space="preserve"> o tem, kako so določil</w:t>
            </w:r>
            <w:r>
              <w:rPr>
                <w:rFonts w:ascii="Arial" w:hAnsi="Arial" w:cs="Arial"/>
                <w:color w:val="000000" w:themeColor="text1"/>
                <w:sz w:val="20"/>
                <w:szCs w:val="20"/>
              </w:rPr>
              <w:t>e</w:t>
            </w:r>
            <w:r w:rsidRPr="00E91165">
              <w:rPr>
                <w:rFonts w:ascii="Arial" w:hAnsi="Arial" w:cs="Arial"/>
                <w:color w:val="000000" w:themeColor="text1"/>
                <w:sz w:val="20"/>
                <w:szCs w:val="20"/>
              </w:rPr>
              <w:t xml:space="preserve"> informacije, o katerih poročajo,</w:t>
            </w:r>
          </w:p>
          <w:p w14:paraId="41035148" w14:textId="77777777" w:rsidR="000C08CA" w:rsidRPr="00DD286A" w:rsidRDefault="000C08CA" w:rsidP="00FE328D">
            <w:pPr>
              <w:pStyle w:val="ListParagraph"/>
              <w:numPr>
                <w:ilvl w:val="0"/>
                <w:numId w:val="78"/>
              </w:numPr>
              <w:jc w:val="both"/>
              <w:rPr>
                <w:rFonts w:cs="Arial"/>
                <w:color w:val="000000" w:themeColor="text1"/>
                <w:szCs w:val="20"/>
              </w:rPr>
            </w:pPr>
            <w:r w:rsidRPr="00E91165">
              <w:rPr>
                <w:rFonts w:ascii="Arial" w:hAnsi="Arial" w:cs="Arial"/>
                <w:color w:val="000000" w:themeColor="text1"/>
                <w:sz w:val="20"/>
                <w:szCs w:val="20"/>
              </w:rPr>
              <w:t xml:space="preserve">določa se, da bi morale družbe </w:t>
            </w:r>
            <w:r>
              <w:rPr>
                <w:rFonts w:ascii="Arial" w:hAnsi="Arial" w:cs="Arial"/>
                <w:color w:val="000000" w:themeColor="text1"/>
                <w:sz w:val="20"/>
                <w:szCs w:val="20"/>
              </w:rPr>
              <w:t>s</w:t>
            </w:r>
            <w:r w:rsidRPr="00E91165">
              <w:rPr>
                <w:rFonts w:ascii="Arial" w:hAnsi="Arial" w:cs="Arial"/>
                <w:color w:val="000000" w:themeColor="text1"/>
                <w:sz w:val="20"/>
                <w:szCs w:val="20"/>
              </w:rPr>
              <w:t>poročati kvalitativne in kvantitativne informacije, informacije glede prihodnosti in preteklosti ter informacije, ki zajemajo kratko-, srednje- in dolgoročna obdobja, kakor je ustrezno</w:t>
            </w:r>
            <w:r>
              <w:rPr>
                <w:rFonts w:ascii="Arial" w:hAnsi="Arial" w:cs="Arial"/>
                <w:color w:val="000000" w:themeColor="text1"/>
                <w:sz w:val="20"/>
                <w:szCs w:val="20"/>
              </w:rPr>
              <w:t>,</w:t>
            </w:r>
          </w:p>
          <w:p w14:paraId="37521677" w14:textId="77777777" w:rsidR="000C08CA" w:rsidRPr="00DD286A" w:rsidRDefault="000C08CA" w:rsidP="00FE328D">
            <w:pPr>
              <w:pStyle w:val="ListParagraph"/>
              <w:numPr>
                <w:ilvl w:val="0"/>
                <w:numId w:val="78"/>
              </w:numPr>
              <w:jc w:val="both"/>
              <w:rPr>
                <w:rFonts w:cs="Arial"/>
                <w:color w:val="000000" w:themeColor="text1"/>
                <w:szCs w:val="20"/>
              </w:rPr>
            </w:pPr>
            <w:r w:rsidRPr="00E91165">
              <w:rPr>
                <w:rFonts w:ascii="Arial" w:hAnsi="Arial" w:cs="Arial"/>
                <w:color w:val="000000" w:themeColor="text1"/>
                <w:sz w:val="20"/>
                <w:szCs w:val="20"/>
              </w:rPr>
              <w:t>podrobnejš</w:t>
            </w:r>
            <w:r>
              <w:rPr>
                <w:rFonts w:ascii="Arial" w:hAnsi="Arial" w:cs="Arial"/>
                <w:color w:val="000000" w:themeColor="text1"/>
                <w:sz w:val="20"/>
                <w:szCs w:val="20"/>
              </w:rPr>
              <w:t>a</w:t>
            </w:r>
            <w:r w:rsidRPr="00E91165">
              <w:rPr>
                <w:rFonts w:ascii="Arial" w:hAnsi="Arial" w:cs="Arial"/>
                <w:color w:val="000000" w:themeColor="text1"/>
                <w:sz w:val="20"/>
                <w:szCs w:val="20"/>
              </w:rPr>
              <w:t xml:space="preserve"> vsebin</w:t>
            </w:r>
            <w:r>
              <w:rPr>
                <w:rFonts w:ascii="Arial" w:hAnsi="Arial" w:cs="Arial"/>
                <w:color w:val="000000" w:themeColor="text1"/>
                <w:sz w:val="20"/>
                <w:szCs w:val="20"/>
              </w:rPr>
              <w:t>a</w:t>
            </w:r>
            <w:r w:rsidRPr="00E91165">
              <w:rPr>
                <w:rFonts w:ascii="Arial" w:hAnsi="Arial" w:cs="Arial"/>
                <w:color w:val="000000" w:themeColor="text1"/>
                <w:sz w:val="20"/>
                <w:szCs w:val="20"/>
              </w:rPr>
              <w:t xml:space="preserve"> in način poročanja bo</w:t>
            </w:r>
            <w:r>
              <w:rPr>
                <w:rFonts w:ascii="Arial" w:hAnsi="Arial" w:cs="Arial"/>
                <w:color w:val="000000" w:themeColor="text1"/>
                <w:sz w:val="20"/>
                <w:szCs w:val="20"/>
              </w:rPr>
              <w:t xml:space="preserve">sta </w:t>
            </w:r>
            <w:r w:rsidRPr="00E91165">
              <w:rPr>
                <w:rFonts w:ascii="Arial" w:hAnsi="Arial" w:cs="Arial"/>
                <w:color w:val="000000" w:themeColor="text1"/>
                <w:sz w:val="20"/>
                <w:szCs w:val="20"/>
              </w:rPr>
              <w:t>določ</w:t>
            </w:r>
            <w:r>
              <w:rPr>
                <w:rFonts w:ascii="Arial" w:hAnsi="Arial" w:cs="Arial"/>
                <w:color w:val="000000" w:themeColor="text1"/>
                <w:sz w:val="20"/>
                <w:szCs w:val="20"/>
              </w:rPr>
              <w:t>ena</w:t>
            </w:r>
            <w:r w:rsidRPr="00E91165">
              <w:rPr>
                <w:rFonts w:ascii="Arial" w:hAnsi="Arial" w:cs="Arial"/>
                <w:color w:val="000000" w:themeColor="text1"/>
                <w:sz w:val="20"/>
                <w:szCs w:val="20"/>
              </w:rPr>
              <w:t xml:space="preserve"> </w:t>
            </w:r>
            <w:r>
              <w:rPr>
                <w:rFonts w:ascii="Arial" w:hAnsi="Arial" w:cs="Arial"/>
                <w:color w:val="000000" w:themeColor="text1"/>
                <w:sz w:val="20"/>
                <w:szCs w:val="20"/>
              </w:rPr>
              <w:t>v e</w:t>
            </w:r>
            <w:r w:rsidRPr="00E91165">
              <w:rPr>
                <w:rFonts w:ascii="Arial" w:hAnsi="Arial" w:cs="Arial"/>
                <w:color w:val="000000" w:themeColor="text1"/>
                <w:sz w:val="20"/>
                <w:szCs w:val="20"/>
              </w:rPr>
              <w:t>vropski</w:t>
            </w:r>
            <w:r>
              <w:rPr>
                <w:rFonts w:ascii="Arial" w:hAnsi="Arial" w:cs="Arial"/>
                <w:color w:val="000000" w:themeColor="text1"/>
                <w:sz w:val="20"/>
                <w:szCs w:val="20"/>
              </w:rPr>
              <w:t>h</w:t>
            </w:r>
            <w:r w:rsidRPr="00E91165">
              <w:rPr>
                <w:rFonts w:ascii="Arial" w:hAnsi="Arial" w:cs="Arial"/>
                <w:color w:val="000000" w:themeColor="text1"/>
                <w:sz w:val="20"/>
                <w:szCs w:val="20"/>
              </w:rPr>
              <w:t xml:space="preserve"> standardi</w:t>
            </w:r>
            <w:r>
              <w:rPr>
                <w:rFonts w:ascii="Arial" w:hAnsi="Arial" w:cs="Arial"/>
                <w:color w:val="000000" w:themeColor="text1"/>
                <w:sz w:val="20"/>
                <w:szCs w:val="20"/>
              </w:rPr>
              <w:t>h</w:t>
            </w:r>
            <w:r w:rsidRPr="00E91165">
              <w:rPr>
                <w:rFonts w:ascii="Arial" w:hAnsi="Arial" w:cs="Arial"/>
                <w:color w:val="000000" w:themeColor="text1"/>
                <w:sz w:val="20"/>
                <w:szCs w:val="20"/>
              </w:rPr>
              <w:t xml:space="preserve"> poročanja</w:t>
            </w:r>
            <w:r>
              <w:rPr>
                <w:rFonts w:ascii="Arial" w:hAnsi="Arial" w:cs="Arial"/>
                <w:color w:val="000000" w:themeColor="text1"/>
                <w:sz w:val="20"/>
                <w:szCs w:val="20"/>
              </w:rPr>
              <w:t xml:space="preserve"> o trajnostnosti</w:t>
            </w:r>
            <w:r w:rsidRPr="00E91165">
              <w:rPr>
                <w:rFonts w:ascii="Arial" w:hAnsi="Arial" w:cs="Arial"/>
                <w:color w:val="000000" w:themeColor="text1"/>
                <w:sz w:val="20"/>
                <w:szCs w:val="20"/>
              </w:rPr>
              <w:t xml:space="preserve"> (v </w:t>
            </w:r>
            <w:r w:rsidRPr="007767DF">
              <w:rPr>
                <w:rFonts w:ascii="Arial" w:hAnsi="Arial" w:cs="Arial"/>
                <w:color w:val="000000" w:themeColor="text1"/>
                <w:sz w:val="20"/>
                <w:szCs w:val="20"/>
              </w:rPr>
              <w:t>nadaljnjem besedilu</w:t>
            </w:r>
            <w:r w:rsidRPr="00E91165">
              <w:rPr>
                <w:rFonts w:ascii="Arial" w:hAnsi="Arial" w:cs="Arial"/>
                <w:color w:val="000000" w:themeColor="text1"/>
                <w:sz w:val="20"/>
                <w:szCs w:val="20"/>
              </w:rPr>
              <w:t>: ESRS)</w:t>
            </w:r>
            <w:r>
              <w:rPr>
                <w:rFonts w:ascii="Arial" w:hAnsi="Arial" w:cs="Arial"/>
                <w:color w:val="000000" w:themeColor="text1"/>
                <w:sz w:val="20"/>
                <w:szCs w:val="20"/>
              </w:rPr>
              <w:t>;</w:t>
            </w:r>
          </w:p>
          <w:p w14:paraId="6334AEDE" w14:textId="77777777" w:rsidR="000C08CA" w:rsidRPr="007168E8" w:rsidRDefault="000C08CA" w:rsidP="00FE328D">
            <w:pPr>
              <w:jc w:val="both"/>
              <w:rPr>
                <w:rFonts w:cs="Arial"/>
                <w:color w:val="000000" w:themeColor="text1"/>
                <w:szCs w:val="20"/>
              </w:rPr>
            </w:pPr>
          </w:p>
          <w:p w14:paraId="77255A1B" w14:textId="77777777" w:rsidR="000C08CA" w:rsidRPr="00E91165" w:rsidRDefault="000C08CA" w:rsidP="00FE328D">
            <w:pPr>
              <w:numPr>
                <w:ilvl w:val="0"/>
                <w:numId w:val="43"/>
              </w:numPr>
              <w:jc w:val="both"/>
              <w:rPr>
                <w:rFonts w:cs="Arial"/>
                <w:color w:val="000000" w:themeColor="text1"/>
                <w:szCs w:val="20"/>
                <w:u w:val="single"/>
              </w:rPr>
            </w:pPr>
            <w:r>
              <w:rPr>
                <w:rFonts w:cs="Arial"/>
                <w:color w:val="000000" w:themeColor="text1"/>
                <w:szCs w:val="20"/>
                <w:u w:val="single"/>
              </w:rPr>
              <w:t>u</w:t>
            </w:r>
            <w:r w:rsidRPr="00E91165">
              <w:rPr>
                <w:rFonts w:cs="Arial"/>
                <w:color w:val="000000" w:themeColor="text1"/>
                <w:szCs w:val="20"/>
                <w:u w:val="single"/>
              </w:rPr>
              <w:t>vedba ESRS</w:t>
            </w:r>
            <w:r>
              <w:rPr>
                <w:rFonts w:cs="Arial"/>
                <w:color w:val="000000" w:themeColor="text1"/>
                <w:szCs w:val="20"/>
                <w:u w:val="single"/>
              </w:rPr>
              <w:t>:</w:t>
            </w:r>
          </w:p>
          <w:p w14:paraId="6EFEA761" w14:textId="77777777" w:rsidR="000C08CA" w:rsidRPr="00DD286A" w:rsidRDefault="000C08CA" w:rsidP="00FE328D">
            <w:pPr>
              <w:pStyle w:val="ListParagraph"/>
              <w:numPr>
                <w:ilvl w:val="1"/>
                <w:numId w:val="79"/>
              </w:numPr>
              <w:jc w:val="both"/>
              <w:rPr>
                <w:rFonts w:cs="Arial"/>
                <w:color w:val="000000" w:themeColor="text1"/>
                <w:szCs w:val="20"/>
              </w:rPr>
            </w:pPr>
            <w:r w:rsidRPr="00E91165">
              <w:rPr>
                <w:rFonts w:ascii="Arial" w:hAnsi="Arial" w:cs="Arial"/>
                <w:color w:val="000000" w:themeColor="text1"/>
                <w:sz w:val="20"/>
                <w:szCs w:val="20"/>
              </w:rPr>
              <w:t xml:space="preserve">od vseh družb, ki bodo zavezane poročati o trajnostnosti, se zahteva, da poročajo v skladu z </w:t>
            </w:r>
            <w:r>
              <w:rPr>
                <w:rFonts w:ascii="Arial" w:hAnsi="Arial" w:cs="Arial"/>
                <w:color w:val="000000" w:themeColor="text1"/>
                <w:sz w:val="20"/>
                <w:szCs w:val="20"/>
              </w:rPr>
              <w:t>ESRS</w:t>
            </w:r>
            <w:r w:rsidRPr="00E91165">
              <w:rPr>
                <w:rFonts w:ascii="Arial" w:hAnsi="Arial" w:cs="Arial"/>
                <w:color w:val="000000" w:themeColor="text1"/>
                <w:sz w:val="20"/>
                <w:szCs w:val="20"/>
              </w:rPr>
              <w:t xml:space="preserve">, </w:t>
            </w:r>
          </w:p>
          <w:p w14:paraId="3A6831E5" w14:textId="77777777" w:rsidR="000C08CA" w:rsidRPr="00DD286A" w:rsidRDefault="000C08CA" w:rsidP="00FE328D">
            <w:pPr>
              <w:pStyle w:val="ListParagraph"/>
              <w:numPr>
                <w:ilvl w:val="1"/>
                <w:numId w:val="79"/>
              </w:numPr>
              <w:jc w:val="both"/>
              <w:rPr>
                <w:rFonts w:cs="Arial"/>
                <w:color w:val="000000" w:themeColor="text1"/>
                <w:szCs w:val="20"/>
              </w:rPr>
            </w:pPr>
            <w:r w:rsidRPr="00E91165">
              <w:rPr>
                <w:rFonts w:ascii="Arial" w:hAnsi="Arial" w:cs="Arial"/>
                <w:color w:val="000000" w:themeColor="text1"/>
                <w:sz w:val="20"/>
                <w:szCs w:val="20"/>
              </w:rPr>
              <w:t xml:space="preserve">majhnim in srednjim družbam, ki </w:t>
            </w:r>
            <w:r>
              <w:rPr>
                <w:rFonts w:ascii="Arial" w:hAnsi="Arial" w:cs="Arial"/>
                <w:color w:val="000000" w:themeColor="text1"/>
                <w:sz w:val="20"/>
                <w:szCs w:val="20"/>
              </w:rPr>
              <w:t>kotirajo</w:t>
            </w:r>
            <w:r w:rsidRPr="00E91165">
              <w:rPr>
                <w:rFonts w:ascii="Arial" w:hAnsi="Arial" w:cs="Arial"/>
                <w:color w:val="000000" w:themeColor="text1"/>
                <w:sz w:val="20"/>
                <w:szCs w:val="20"/>
              </w:rPr>
              <w:t xml:space="preserve"> na borzi, </w:t>
            </w:r>
            <w:r>
              <w:rPr>
                <w:rFonts w:ascii="Arial" w:hAnsi="Arial" w:cs="Arial"/>
                <w:color w:val="000000" w:themeColor="text1"/>
                <w:sz w:val="20"/>
                <w:szCs w:val="20"/>
              </w:rPr>
              <w:t xml:space="preserve">se dovoljuje, </w:t>
            </w:r>
            <w:r w:rsidRPr="00E91165">
              <w:rPr>
                <w:rFonts w:ascii="Arial" w:hAnsi="Arial" w:cs="Arial"/>
                <w:color w:val="000000" w:themeColor="text1"/>
                <w:sz w:val="20"/>
                <w:szCs w:val="20"/>
              </w:rPr>
              <w:t xml:space="preserve">da poročajo v skladu </w:t>
            </w:r>
            <w:r>
              <w:rPr>
                <w:rFonts w:ascii="Arial" w:hAnsi="Arial" w:cs="Arial"/>
                <w:color w:val="000000" w:themeColor="text1"/>
                <w:sz w:val="20"/>
                <w:szCs w:val="20"/>
              </w:rPr>
              <w:t xml:space="preserve">s </w:t>
            </w:r>
            <w:r w:rsidRPr="00E91165">
              <w:rPr>
                <w:rFonts w:ascii="Arial" w:hAnsi="Arial" w:cs="Arial"/>
                <w:color w:val="000000" w:themeColor="text1"/>
                <w:sz w:val="20"/>
                <w:szCs w:val="20"/>
              </w:rPr>
              <w:t xml:space="preserve">sorazmernimi standardi, saj jim je </w:t>
            </w:r>
            <w:r>
              <w:rPr>
                <w:rFonts w:ascii="Arial" w:hAnsi="Arial" w:cs="Arial"/>
                <w:color w:val="000000" w:themeColor="text1"/>
                <w:sz w:val="20"/>
                <w:szCs w:val="20"/>
              </w:rPr>
              <w:t>treba</w:t>
            </w:r>
            <w:r w:rsidRPr="00E91165">
              <w:rPr>
                <w:rFonts w:ascii="Arial" w:hAnsi="Arial" w:cs="Arial"/>
                <w:color w:val="000000" w:themeColor="text1"/>
                <w:sz w:val="20"/>
                <w:szCs w:val="20"/>
              </w:rPr>
              <w:t xml:space="preserve"> zaradi manjše velikosti in bolj omejenih virov omogočiti, da poročajo v skladu s standardi, ki so sorazmerni njihovim zmogljivos</w:t>
            </w:r>
            <w:r>
              <w:rPr>
                <w:rFonts w:ascii="Arial" w:hAnsi="Arial" w:cs="Arial"/>
                <w:color w:val="000000" w:themeColor="text1"/>
                <w:sz w:val="20"/>
                <w:szCs w:val="20"/>
              </w:rPr>
              <w:t>tim</w:t>
            </w:r>
            <w:r w:rsidRPr="00E91165">
              <w:rPr>
                <w:rFonts w:ascii="Arial" w:hAnsi="Arial" w:cs="Arial"/>
                <w:color w:val="000000" w:themeColor="text1"/>
                <w:sz w:val="20"/>
                <w:szCs w:val="20"/>
              </w:rPr>
              <w:t xml:space="preserve"> in vir</w:t>
            </w:r>
            <w:r>
              <w:rPr>
                <w:rFonts w:ascii="Arial" w:hAnsi="Arial" w:cs="Arial"/>
                <w:color w:val="000000" w:themeColor="text1"/>
                <w:sz w:val="20"/>
                <w:szCs w:val="20"/>
              </w:rPr>
              <w:t>om.</w:t>
            </w:r>
          </w:p>
          <w:p w14:paraId="4A4EE932" w14:textId="77777777" w:rsidR="000C08CA" w:rsidRPr="007168E8" w:rsidRDefault="000C08CA" w:rsidP="00FE328D">
            <w:pPr>
              <w:jc w:val="both"/>
              <w:rPr>
                <w:rFonts w:cs="Arial"/>
                <w:color w:val="000000" w:themeColor="text1"/>
                <w:szCs w:val="20"/>
              </w:rPr>
            </w:pPr>
            <w:r w:rsidRPr="007168E8">
              <w:rPr>
                <w:rFonts w:cs="Arial"/>
                <w:color w:val="000000" w:themeColor="text1"/>
                <w:szCs w:val="20"/>
              </w:rPr>
              <w:t xml:space="preserve">Komisija je </w:t>
            </w:r>
            <w:r>
              <w:rPr>
                <w:rFonts w:cs="Arial"/>
                <w:color w:val="000000" w:themeColor="text1"/>
                <w:szCs w:val="20"/>
              </w:rPr>
              <w:t>ESRS</w:t>
            </w:r>
            <w:r w:rsidRPr="007168E8">
              <w:rPr>
                <w:rFonts w:cs="Arial"/>
                <w:color w:val="000000" w:themeColor="text1"/>
                <w:szCs w:val="20"/>
              </w:rPr>
              <w:t xml:space="preserve"> za velike družbe že sprejela</w:t>
            </w:r>
            <w:r>
              <w:rPr>
                <w:rFonts w:cs="Arial"/>
                <w:color w:val="000000" w:themeColor="text1"/>
                <w:szCs w:val="20"/>
              </w:rPr>
              <w:t xml:space="preserve"> z </w:t>
            </w:r>
            <w:r w:rsidRPr="00D93D87">
              <w:rPr>
                <w:rFonts w:cs="Arial"/>
                <w:color w:val="000000" w:themeColor="text1"/>
                <w:szCs w:val="20"/>
              </w:rPr>
              <w:t>Delegirano uredbo Komisije (EU) 2023/2772 z dne 31. julija 2023</w:t>
            </w:r>
            <w:r>
              <w:rPr>
                <w:rFonts w:cs="Arial"/>
                <w:color w:val="000000" w:themeColor="text1"/>
                <w:szCs w:val="20"/>
              </w:rPr>
              <w:t xml:space="preserve"> </w:t>
            </w:r>
            <w:r w:rsidRPr="00D93D87">
              <w:rPr>
                <w:rFonts w:cs="Arial"/>
                <w:color w:val="000000" w:themeColor="text1"/>
                <w:szCs w:val="20"/>
              </w:rPr>
              <w:t xml:space="preserve">o dopolnitvi Direktive 2013/34/EU Evropskega parlamenta in Sveta glede standardov poročanja o trajnostnosti </w:t>
            </w:r>
            <w:r>
              <w:rPr>
                <w:rFonts w:cs="Arial"/>
                <w:color w:val="000000" w:themeColor="text1"/>
                <w:szCs w:val="20"/>
              </w:rPr>
              <w:t xml:space="preserve">(v </w:t>
            </w:r>
            <w:r w:rsidRPr="007767DF">
              <w:rPr>
                <w:rFonts w:cs="Arial"/>
                <w:color w:val="000000" w:themeColor="text1"/>
                <w:szCs w:val="20"/>
              </w:rPr>
              <w:t>nadaljnjem besedilu</w:t>
            </w:r>
            <w:r>
              <w:rPr>
                <w:rFonts w:cs="Arial"/>
                <w:color w:val="000000" w:themeColor="text1"/>
                <w:szCs w:val="20"/>
              </w:rPr>
              <w:t xml:space="preserve">: </w:t>
            </w:r>
            <w:r w:rsidRPr="00D93D87">
              <w:rPr>
                <w:rFonts w:cs="Arial"/>
                <w:color w:val="000000" w:themeColor="text1"/>
                <w:szCs w:val="20"/>
              </w:rPr>
              <w:t>Delegiran</w:t>
            </w:r>
            <w:r>
              <w:rPr>
                <w:rFonts w:cs="Arial"/>
                <w:color w:val="000000" w:themeColor="text1"/>
                <w:szCs w:val="20"/>
              </w:rPr>
              <w:t>a</w:t>
            </w:r>
            <w:r w:rsidRPr="00D93D87">
              <w:rPr>
                <w:rFonts w:cs="Arial"/>
                <w:color w:val="000000" w:themeColor="text1"/>
                <w:szCs w:val="20"/>
              </w:rPr>
              <w:t xml:space="preserve"> uredb</w:t>
            </w:r>
            <w:r>
              <w:rPr>
                <w:rFonts w:cs="Arial"/>
                <w:color w:val="000000" w:themeColor="text1"/>
                <w:szCs w:val="20"/>
              </w:rPr>
              <w:t>a</w:t>
            </w:r>
            <w:r w:rsidRPr="00D93D87">
              <w:rPr>
                <w:rFonts w:cs="Arial"/>
                <w:color w:val="000000" w:themeColor="text1"/>
                <w:szCs w:val="20"/>
              </w:rPr>
              <w:t xml:space="preserve"> </w:t>
            </w:r>
            <w:r>
              <w:rPr>
                <w:rFonts w:cs="Arial"/>
                <w:color w:val="000000" w:themeColor="text1"/>
                <w:szCs w:val="20"/>
              </w:rPr>
              <w:t>o</w:t>
            </w:r>
            <w:r w:rsidRPr="00D93D87">
              <w:rPr>
                <w:rFonts w:cs="Arial"/>
                <w:color w:val="000000" w:themeColor="text1"/>
                <w:szCs w:val="20"/>
              </w:rPr>
              <w:t xml:space="preserve"> standard</w:t>
            </w:r>
            <w:r>
              <w:rPr>
                <w:rFonts w:cs="Arial"/>
                <w:color w:val="000000" w:themeColor="text1"/>
                <w:szCs w:val="20"/>
              </w:rPr>
              <w:t>ih</w:t>
            </w:r>
            <w:r w:rsidRPr="00D93D87">
              <w:rPr>
                <w:rFonts w:cs="Arial"/>
                <w:color w:val="000000" w:themeColor="text1"/>
                <w:szCs w:val="20"/>
              </w:rPr>
              <w:t xml:space="preserve"> poročanja o trajnostnosti</w:t>
            </w:r>
            <w:r>
              <w:rPr>
                <w:rFonts w:cs="Arial"/>
                <w:color w:val="000000" w:themeColor="text1"/>
                <w:szCs w:val="20"/>
              </w:rPr>
              <w:t>)</w:t>
            </w:r>
            <w:r w:rsidRPr="007168E8">
              <w:rPr>
                <w:rFonts w:cs="Arial"/>
                <w:color w:val="000000" w:themeColor="text1"/>
                <w:szCs w:val="20"/>
              </w:rPr>
              <w:t xml:space="preserve">. Naknadno bodo sprejeti </w:t>
            </w:r>
            <w:r>
              <w:rPr>
                <w:rFonts w:cs="Arial"/>
                <w:color w:val="000000" w:themeColor="text1"/>
                <w:szCs w:val="20"/>
              </w:rPr>
              <w:t xml:space="preserve">še </w:t>
            </w:r>
            <w:r w:rsidRPr="007168E8">
              <w:rPr>
                <w:rFonts w:cs="Arial"/>
                <w:color w:val="000000" w:themeColor="text1"/>
                <w:szCs w:val="20"/>
              </w:rPr>
              <w:t xml:space="preserve">standardi, ki bodo veljali za srednje in majhne družbe, ki kotirajo na borzi, ter standardi za posebne sektorje. Standarde sprejme Komisija v sodelovanju z drugimi deležniki, </w:t>
            </w:r>
            <w:r>
              <w:rPr>
                <w:rFonts w:cs="Arial"/>
                <w:color w:val="000000" w:themeColor="text1"/>
                <w:szCs w:val="20"/>
              </w:rPr>
              <w:t>pripravi pa jih</w:t>
            </w:r>
            <w:r w:rsidRPr="007168E8">
              <w:rPr>
                <w:rFonts w:cs="Arial"/>
                <w:color w:val="000000" w:themeColor="text1"/>
                <w:szCs w:val="20"/>
              </w:rPr>
              <w:t xml:space="preserve"> Evropska svetovalna skupina za finančno poročanje (EFRAG)</w:t>
            </w:r>
            <w:r>
              <w:rPr>
                <w:rFonts w:cs="Arial"/>
                <w:color w:val="000000" w:themeColor="text1"/>
                <w:szCs w:val="20"/>
              </w:rPr>
              <w:t>;</w:t>
            </w:r>
          </w:p>
          <w:p w14:paraId="5054F62F" w14:textId="77777777" w:rsidR="000C08CA" w:rsidRPr="007168E8" w:rsidRDefault="000C08CA" w:rsidP="00FE328D">
            <w:pPr>
              <w:jc w:val="both"/>
              <w:rPr>
                <w:rFonts w:cs="Arial"/>
                <w:color w:val="000000" w:themeColor="text1"/>
                <w:szCs w:val="20"/>
              </w:rPr>
            </w:pPr>
          </w:p>
          <w:p w14:paraId="66754CCD" w14:textId="77777777" w:rsidR="000C08CA" w:rsidRPr="00E91165" w:rsidRDefault="000C08CA" w:rsidP="00FE328D">
            <w:pPr>
              <w:numPr>
                <w:ilvl w:val="0"/>
                <w:numId w:val="43"/>
              </w:numPr>
              <w:jc w:val="both"/>
              <w:rPr>
                <w:rFonts w:cs="Arial"/>
                <w:color w:val="000000" w:themeColor="text1"/>
                <w:szCs w:val="20"/>
                <w:u w:val="single"/>
              </w:rPr>
            </w:pPr>
            <w:r>
              <w:rPr>
                <w:rFonts w:cs="Arial"/>
                <w:color w:val="000000" w:themeColor="text1"/>
                <w:szCs w:val="20"/>
                <w:u w:val="single"/>
              </w:rPr>
              <w:t>o</w:t>
            </w:r>
            <w:r w:rsidRPr="00E91165">
              <w:rPr>
                <w:rFonts w:cs="Arial"/>
                <w:color w:val="000000" w:themeColor="text1"/>
                <w:szCs w:val="20"/>
                <w:u w:val="single"/>
              </w:rPr>
              <w:t xml:space="preserve">bjava v enotni elektronski obliki </w:t>
            </w:r>
            <w:r>
              <w:rPr>
                <w:rFonts w:cs="Arial"/>
                <w:color w:val="000000" w:themeColor="text1"/>
                <w:szCs w:val="20"/>
                <w:u w:val="single"/>
              </w:rPr>
              <w:t>v</w:t>
            </w:r>
            <w:r w:rsidRPr="00E91165">
              <w:rPr>
                <w:rFonts w:cs="Arial"/>
                <w:color w:val="000000" w:themeColor="text1"/>
                <w:szCs w:val="20"/>
                <w:u w:val="single"/>
              </w:rPr>
              <w:t xml:space="preserve"> poslovne</w:t>
            </w:r>
            <w:r>
              <w:rPr>
                <w:rFonts w:cs="Arial"/>
                <w:color w:val="000000" w:themeColor="text1"/>
                <w:szCs w:val="20"/>
                <w:u w:val="single"/>
              </w:rPr>
              <w:t>m</w:t>
            </w:r>
            <w:r w:rsidRPr="00E91165">
              <w:rPr>
                <w:rFonts w:cs="Arial"/>
                <w:color w:val="000000" w:themeColor="text1"/>
                <w:szCs w:val="20"/>
                <w:u w:val="single"/>
              </w:rPr>
              <w:t xml:space="preserve"> poročil</w:t>
            </w:r>
            <w:r>
              <w:rPr>
                <w:rFonts w:cs="Arial"/>
                <w:color w:val="000000" w:themeColor="text1"/>
                <w:szCs w:val="20"/>
                <w:u w:val="single"/>
              </w:rPr>
              <w:t>u:</w:t>
            </w:r>
          </w:p>
          <w:p w14:paraId="3D104B9C" w14:textId="77777777" w:rsidR="000C08CA" w:rsidRPr="00DD286A" w:rsidRDefault="000C08CA" w:rsidP="00FE328D">
            <w:pPr>
              <w:pStyle w:val="ListParagraph"/>
              <w:numPr>
                <w:ilvl w:val="0"/>
                <w:numId w:val="80"/>
              </w:numPr>
              <w:shd w:val="clear" w:color="auto" w:fill="FFFFFF" w:themeFill="background1"/>
              <w:ind w:left="360"/>
              <w:jc w:val="both"/>
              <w:rPr>
                <w:rFonts w:cs="Arial"/>
                <w:color w:val="000000" w:themeColor="text1"/>
                <w:szCs w:val="20"/>
              </w:rPr>
            </w:pPr>
            <w:r w:rsidRPr="00E91165">
              <w:rPr>
                <w:rFonts w:ascii="Arial" w:hAnsi="Arial" w:cs="Arial"/>
                <w:color w:val="000000" w:themeColor="text1"/>
                <w:sz w:val="20"/>
                <w:szCs w:val="20"/>
              </w:rPr>
              <w:t xml:space="preserve">družbam se odvzema možnost, da </w:t>
            </w:r>
            <w:r>
              <w:rPr>
                <w:rFonts w:ascii="Arial" w:hAnsi="Arial" w:cs="Arial"/>
                <w:color w:val="000000" w:themeColor="text1"/>
                <w:sz w:val="20"/>
                <w:szCs w:val="20"/>
              </w:rPr>
              <w:t xml:space="preserve">o </w:t>
            </w:r>
            <w:r w:rsidRPr="00E91165">
              <w:rPr>
                <w:rFonts w:ascii="Arial" w:hAnsi="Arial" w:cs="Arial"/>
                <w:color w:val="000000" w:themeColor="text1"/>
                <w:sz w:val="20"/>
                <w:szCs w:val="20"/>
              </w:rPr>
              <w:t>zahtevan</w:t>
            </w:r>
            <w:r>
              <w:rPr>
                <w:rFonts w:ascii="Arial" w:hAnsi="Arial" w:cs="Arial"/>
                <w:color w:val="000000" w:themeColor="text1"/>
                <w:sz w:val="20"/>
                <w:szCs w:val="20"/>
              </w:rPr>
              <w:t>ih</w:t>
            </w:r>
            <w:r w:rsidRPr="00E91165">
              <w:rPr>
                <w:rFonts w:ascii="Arial" w:hAnsi="Arial" w:cs="Arial"/>
                <w:color w:val="000000" w:themeColor="text1"/>
                <w:sz w:val="20"/>
                <w:szCs w:val="20"/>
              </w:rPr>
              <w:t xml:space="preserve"> informacij</w:t>
            </w:r>
            <w:r>
              <w:rPr>
                <w:rFonts w:ascii="Arial" w:hAnsi="Arial" w:cs="Arial"/>
                <w:color w:val="000000" w:themeColor="text1"/>
                <w:sz w:val="20"/>
                <w:szCs w:val="20"/>
              </w:rPr>
              <w:t>ah</w:t>
            </w:r>
            <w:r w:rsidRPr="00E91165">
              <w:rPr>
                <w:rFonts w:ascii="Arial" w:hAnsi="Arial" w:cs="Arial"/>
                <w:color w:val="000000" w:themeColor="text1"/>
                <w:sz w:val="20"/>
                <w:szCs w:val="20"/>
              </w:rPr>
              <w:t xml:space="preserve"> poročajo v ločenem poročilu, ki ni del poslovnega poročila, saj bodo morale biti informacije jasno prepoznavne v ločenem razdelku poslovnega poročila;</w:t>
            </w:r>
          </w:p>
          <w:p w14:paraId="44F5B4F0" w14:textId="7E9FF75C" w:rsidR="000C08CA" w:rsidRPr="00EF2095" w:rsidRDefault="000C08CA" w:rsidP="00FE328D">
            <w:pPr>
              <w:pStyle w:val="ListParagraph"/>
              <w:numPr>
                <w:ilvl w:val="0"/>
                <w:numId w:val="80"/>
              </w:numPr>
              <w:shd w:val="clear" w:color="auto" w:fill="FFFFFF" w:themeFill="background1"/>
              <w:ind w:left="360"/>
              <w:jc w:val="both"/>
              <w:rPr>
                <w:rFonts w:cs="Arial"/>
                <w:color w:val="000000" w:themeColor="text1"/>
                <w:szCs w:val="20"/>
              </w:rPr>
            </w:pPr>
            <w:r w:rsidRPr="00E91165">
              <w:rPr>
                <w:rFonts w:ascii="Arial" w:hAnsi="Arial" w:cs="Arial"/>
                <w:color w:val="000000" w:themeColor="text1"/>
                <w:sz w:val="20"/>
                <w:szCs w:val="20"/>
              </w:rPr>
              <w:t xml:space="preserve">uporabniki informacij o trajnostnosti vse pogosteje pričakujejo, da bo te informacije mogoče najti, jih primerjati in strojno brati v digitalnih oblikah. Digitalizacija omogoča </w:t>
            </w:r>
            <w:r>
              <w:rPr>
                <w:rFonts w:ascii="Arial" w:hAnsi="Arial" w:cs="Arial"/>
                <w:color w:val="000000" w:themeColor="text1"/>
                <w:sz w:val="20"/>
                <w:szCs w:val="20"/>
              </w:rPr>
              <w:t xml:space="preserve">tudi </w:t>
            </w:r>
            <w:r w:rsidRPr="00E91165">
              <w:rPr>
                <w:rFonts w:ascii="Arial" w:hAnsi="Arial" w:cs="Arial"/>
                <w:color w:val="000000" w:themeColor="text1"/>
                <w:sz w:val="20"/>
                <w:szCs w:val="20"/>
              </w:rPr>
              <w:t>centralizacijo podatkov na ravni</w:t>
            </w:r>
            <w:r>
              <w:rPr>
                <w:rFonts w:ascii="Arial" w:hAnsi="Arial" w:cs="Arial"/>
                <w:color w:val="000000" w:themeColor="text1"/>
                <w:sz w:val="20"/>
                <w:szCs w:val="20"/>
              </w:rPr>
              <w:t xml:space="preserve"> Evropske</w:t>
            </w:r>
            <w:r w:rsidRPr="00E91165">
              <w:rPr>
                <w:rFonts w:ascii="Arial" w:hAnsi="Arial" w:cs="Arial"/>
                <w:color w:val="000000" w:themeColor="text1"/>
                <w:sz w:val="20"/>
                <w:szCs w:val="20"/>
              </w:rPr>
              <w:t xml:space="preserve"> </w:t>
            </w:r>
            <w:r>
              <w:rPr>
                <w:rFonts w:ascii="Arial" w:hAnsi="Arial" w:cs="Arial"/>
                <w:color w:val="000000" w:themeColor="text1"/>
                <w:sz w:val="20"/>
                <w:szCs w:val="20"/>
              </w:rPr>
              <w:t>u</w:t>
            </w:r>
            <w:r w:rsidRPr="00E91165">
              <w:rPr>
                <w:rFonts w:ascii="Arial" w:hAnsi="Arial" w:cs="Arial"/>
                <w:color w:val="000000" w:themeColor="text1"/>
                <w:sz w:val="20"/>
                <w:szCs w:val="20"/>
              </w:rPr>
              <w:t>nije, in sicer v odprti in dostopni obliki, ki omogoča lažje branje in primerjavo podatkov. Zato se od družb, ki jih zavezuje obveznost poročanja o trajnostnosti, zahteva, da pripravijo poslovno poročilo v elektronski obliki poročanja, določeni v 3. členu Delegirane uredbe Komisije (EU) 2019/815 z dne 17. decembra 2018 o dopolnitvi Direktive 2004/109/ES Evropskega parlamenta in Sveta v zvezi z regulativnimi tehničnimi standardi za določitev enotne elektronske oblike poročanja (v nadaljevanju besedila: ESEF uredba</w:t>
            </w:r>
            <w:r>
              <w:rPr>
                <w:rFonts w:ascii="Arial" w:hAnsi="Arial" w:cs="Arial"/>
                <w:color w:val="000000" w:themeColor="text1"/>
                <w:sz w:val="20"/>
                <w:szCs w:val="20"/>
              </w:rPr>
              <w:t>). Ta</w:t>
            </w:r>
            <w:r w:rsidRPr="00E91165" w:rsidDel="00084808">
              <w:rPr>
                <w:rFonts w:ascii="Arial" w:hAnsi="Arial" w:cs="Arial"/>
                <w:color w:val="000000" w:themeColor="text1"/>
                <w:sz w:val="20"/>
                <w:szCs w:val="20"/>
              </w:rPr>
              <w:t xml:space="preserve"> že velja</w:t>
            </w:r>
            <w:r w:rsidRPr="00E91165">
              <w:rPr>
                <w:rFonts w:ascii="Arial" w:hAnsi="Arial" w:cs="Arial"/>
                <w:color w:val="000000" w:themeColor="text1"/>
                <w:sz w:val="20"/>
                <w:szCs w:val="20"/>
              </w:rPr>
              <w:t xml:space="preserve"> za družbe, ki kotirajo na borzi. </w:t>
            </w:r>
            <w:r>
              <w:rPr>
                <w:rFonts w:ascii="Arial" w:hAnsi="Arial" w:cs="Arial"/>
                <w:color w:val="000000" w:themeColor="text1"/>
                <w:sz w:val="20"/>
                <w:szCs w:val="20"/>
              </w:rPr>
              <w:t>N</w:t>
            </w:r>
            <w:r w:rsidRPr="00E91165">
              <w:rPr>
                <w:rFonts w:ascii="Arial" w:hAnsi="Arial" w:cs="Arial"/>
                <w:color w:val="000000" w:themeColor="text1"/>
                <w:sz w:val="20"/>
                <w:szCs w:val="20"/>
              </w:rPr>
              <w:t>alaga</w:t>
            </w:r>
            <w:r>
              <w:rPr>
                <w:rFonts w:ascii="Arial" w:hAnsi="Arial" w:cs="Arial"/>
                <w:color w:val="000000" w:themeColor="text1"/>
                <w:sz w:val="20"/>
                <w:szCs w:val="20"/>
              </w:rPr>
              <w:t xml:space="preserve"> s</w:t>
            </w:r>
            <w:r w:rsidRPr="00E91165">
              <w:rPr>
                <w:rFonts w:ascii="Arial" w:hAnsi="Arial" w:cs="Arial"/>
                <w:color w:val="000000" w:themeColor="text1"/>
                <w:sz w:val="20"/>
                <w:szCs w:val="20"/>
              </w:rPr>
              <w:t>e jim</w:t>
            </w:r>
            <w:r>
              <w:rPr>
                <w:rFonts w:ascii="Arial" w:hAnsi="Arial" w:cs="Arial"/>
                <w:color w:val="000000" w:themeColor="text1"/>
                <w:sz w:val="20"/>
                <w:szCs w:val="20"/>
              </w:rPr>
              <w:t xml:space="preserve"> še</w:t>
            </w:r>
            <w:r w:rsidRPr="00E91165">
              <w:rPr>
                <w:rFonts w:ascii="Arial" w:hAnsi="Arial" w:cs="Arial"/>
                <w:color w:val="000000" w:themeColor="text1"/>
                <w:sz w:val="20"/>
                <w:szCs w:val="20"/>
              </w:rPr>
              <w:t xml:space="preserve">, da poročilo o trajnostnosti, vključno z informacijami, ki jih je treba razkriti v skladu z 8. členom </w:t>
            </w:r>
            <w:r w:rsidRPr="002131B9">
              <w:rPr>
                <w:rFonts w:ascii="Arial" w:hAnsi="Arial" w:cs="Arial"/>
                <w:color w:val="000000" w:themeColor="text1"/>
                <w:sz w:val="20"/>
                <w:szCs w:val="20"/>
              </w:rPr>
              <w:t>Uredb</w:t>
            </w:r>
            <w:r>
              <w:rPr>
                <w:rFonts w:ascii="Arial" w:hAnsi="Arial" w:cs="Arial"/>
                <w:color w:val="000000" w:themeColor="text1"/>
                <w:sz w:val="20"/>
                <w:szCs w:val="20"/>
              </w:rPr>
              <w:t>e</w:t>
            </w:r>
            <w:r w:rsidRPr="002131B9">
              <w:rPr>
                <w:rFonts w:ascii="Arial" w:hAnsi="Arial" w:cs="Arial"/>
                <w:color w:val="000000" w:themeColor="text1"/>
                <w:sz w:val="20"/>
                <w:szCs w:val="20"/>
              </w:rPr>
              <w:t xml:space="preserve"> 2020/852</w:t>
            </w:r>
            <w:r w:rsidRPr="00092DD6">
              <w:rPr>
                <w:rFonts w:ascii="Arial" w:hAnsi="Arial" w:cs="Arial"/>
                <w:color w:val="000000" w:themeColor="text1"/>
                <w:sz w:val="20"/>
                <w:szCs w:val="20"/>
              </w:rPr>
              <w:t>/EU</w:t>
            </w:r>
            <w:r>
              <w:rPr>
                <w:rFonts w:ascii="Arial" w:hAnsi="Arial" w:cs="Arial"/>
                <w:color w:val="000000" w:themeColor="text1"/>
                <w:sz w:val="20"/>
                <w:szCs w:val="20"/>
              </w:rPr>
              <w:t>,</w:t>
            </w:r>
            <w:r w:rsidRPr="00092DD6">
              <w:rPr>
                <w:rFonts w:ascii="Arial" w:hAnsi="Arial" w:cs="Arial"/>
                <w:color w:val="000000" w:themeColor="text1"/>
                <w:sz w:val="20"/>
                <w:szCs w:val="20"/>
              </w:rPr>
              <w:t xml:space="preserve"> </w:t>
            </w:r>
            <w:r w:rsidRPr="00E91165">
              <w:rPr>
                <w:rFonts w:ascii="Arial" w:hAnsi="Arial" w:cs="Arial"/>
                <w:color w:val="000000" w:themeColor="text1"/>
                <w:sz w:val="20"/>
                <w:szCs w:val="20"/>
              </w:rPr>
              <w:t xml:space="preserve">opremijo z oznakami v skladu z elektronsko obliko </w:t>
            </w:r>
            <w:r w:rsidRPr="00E91165">
              <w:rPr>
                <w:rFonts w:ascii="Arial" w:hAnsi="Arial" w:cs="Arial"/>
                <w:color w:val="000000" w:themeColor="text1"/>
                <w:sz w:val="20"/>
                <w:szCs w:val="20"/>
              </w:rPr>
              <w:lastRenderedPageBreak/>
              <w:t xml:space="preserve">poročanja. </w:t>
            </w:r>
            <w:r>
              <w:rPr>
                <w:rFonts w:ascii="Arial" w:hAnsi="Arial" w:cs="Arial"/>
                <w:color w:val="000000" w:themeColor="text1"/>
                <w:sz w:val="20"/>
                <w:szCs w:val="20"/>
              </w:rPr>
              <w:t>Pomembno je poudariti, da bo o</w:t>
            </w:r>
            <w:r w:rsidRPr="00E91165">
              <w:rPr>
                <w:rFonts w:ascii="Arial" w:hAnsi="Arial" w:cs="Arial"/>
                <w:color w:val="000000" w:themeColor="text1"/>
                <w:sz w:val="20"/>
                <w:szCs w:val="20"/>
              </w:rPr>
              <w:t>bveznost oprem</w:t>
            </w:r>
            <w:r>
              <w:rPr>
                <w:rFonts w:ascii="Arial" w:hAnsi="Arial" w:cs="Arial"/>
                <w:color w:val="000000" w:themeColor="text1"/>
                <w:sz w:val="20"/>
                <w:szCs w:val="20"/>
              </w:rPr>
              <w:t>ljanja</w:t>
            </w:r>
            <w:r w:rsidRPr="00E91165">
              <w:rPr>
                <w:rFonts w:ascii="Arial" w:hAnsi="Arial" w:cs="Arial"/>
                <w:color w:val="000000" w:themeColor="text1"/>
                <w:sz w:val="20"/>
                <w:szCs w:val="20"/>
              </w:rPr>
              <w:t xml:space="preserve"> z oznakami mogoča šele, ko bo </w:t>
            </w:r>
            <w:r>
              <w:rPr>
                <w:rFonts w:ascii="Arial" w:hAnsi="Arial" w:cs="Arial"/>
                <w:color w:val="000000" w:themeColor="text1"/>
                <w:sz w:val="20"/>
                <w:szCs w:val="20"/>
              </w:rPr>
              <w:t>K</w:t>
            </w:r>
            <w:r w:rsidRPr="00E91165">
              <w:rPr>
                <w:rFonts w:ascii="Arial" w:hAnsi="Arial" w:cs="Arial"/>
                <w:color w:val="000000" w:themeColor="text1"/>
                <w:sz w:val="20"/>
                <w:szCs w:val="20"/>
              </w:rPr>
              <w:t>omisija sprejela delegiran</w:t>
            </w:r>
            <w:r>
              <w:rPr>
                <w:rFonts w:ascii="Arial" w:hAnsi="Arial" w:cs="Arial"/>
                <w:color w:val="000000" w:themeColor="text1"/>
                <w:sz w:val="20"/>
                <w:szCs w:val="20"/>
              </w:rPr>
              <w:t>i</w:t>
            </w:r>
            <w:r w:rsidRPr="00E91165">
              <w:rPr>
                <w:rFonts w:ascii="Arial" w:hAnsi="Arial" w:cs="Arial"/>
                <w:color w:val="000000" w:themeColor="text1"/>
                <w:sz w:val="20"/>
                <w:szCs w:val="20"/>
              </w:rPr>
              <w:t xml:space="preserve"> akt, s katerim bo določila digitalno taksonomijo za označevanje informacij o trajnostnosti</w:t>
            </w:r>
            <w:r>
              <w:rPr>
                <w:rFonts w:ascii="Arial" w:hAnsi="Arial" w:cs="Arial"/>
                <w:color w:val="000000" w:themeColor="text1"/>
                <w:sz w:val="20"/>
                <w:szCs w:val="20"/>
              </w:rPr>
              <w:t>, zato družbe tega dela obveznosti do takrat ne morejo izpolniti;</w:t>
            </w:r>
          </w:p>
          <w:p w14:paraId="212B2272" w14:textId="77777777" w:rsidR="000C08CA" w:rsidRPr="00E91165" w:rsidRDefault="000C08CA" w:rsidP="00FE328D">
            <w:pPr>
              <w:numPr>
                <w:ilvl w:val="0"/>
                <w:numId w:val="43"/>
              </w:numPr>
              <w:jc w:val="both"/>
              <w:rPr>
                <w:rFonts w:cs="Arial"/>
                <w:color w:val="000000" w:themeColor="text1"/>
                <w:szCs w:val="20"/>
                <w:u w:val="single"/>
              </w:rPr>
            </w:pPr>
            <w:r>
              <w:rPr>
                <w:rFonts w:cs="Arial"/>
                <w:color w:val="000000" w:themeColor="text1"/>
                <w:szCs w:val="20"/>
                <w:u w:val="single"/>
              </w:rPr>
              <w:t>p</w:t>
            </w:r>
            <w:r w:rsidRPr="00E91165">
              <w:rPr>
                <w:rFonts w:cs="Arial"/>
                <w:color w:val="000000" w:themeColor="text1"/>
                <w:szCs w:val="20"/>
                <w:u w:val="single"/>
              </w:rPr>
              <w:t>omembnejša vloga zakonitih revizorjev pri dajanju zagotovil v zvezi s trajnostnim poročanjem</w:t>
            </w:r>
            <w:r>
              <w:rPr>
                <w:rFonts w:cs="Arial"/>
                <w:color w:val="000000" w:themeColor="text1"/>
                <w:szCs w:val="20"/>
                <w:u w:val="single"/>
              </w:rPr>
              <w:t>:</w:t>
            </w:r>
            <w:r w:rsidRPr="00E91165">
              <w:rPr>
                <w:rFonts w:cs="Arial"/>
                <w:color w:val="000000" w:themeColor="text1"/>
                <w:szCs w:val="20"/>
                <w:u w:val="single"/>
              </w:rPr>
              <w:t xml:space="preserve"> </w:t>
            </w:r>
          </w:p>
          <w:p w14:paraId="0ED53F4A" w14:textId="77777777" w:rsidR="000C08CA" w:rsidRDefault="000C08CA" w:rsidP="00FE328D">
            <w:pPr>
              <w:numPr>
                <w:ilvl w:val="0"/>
                <w:numId w:val="45"/>
              </w:numPr>
              <w:jc w:val="both"/>
              <w:rPr>
                <w:rFonts w:cs="Arial"/>
                <w:color w:val="000000" w:themeColor="text1"/>
                <w:szCs w:val="20"/>
              </w:rPr>
            </w:pPr>
            <w:r>
              <w:rPr>
                <w:rFonts w:cs="Arial"/>
                <w:color w:val="000000" w:themeColor="text1"/>
                <w:szCs w:val="20"/>
              </w:rPr>
              <w:t>g</w:t>
            </w:r>
            <w:r w:rsidRPr="00CA6D12">
              <w:rPr>
                <w:rFonts w:cs="Arial"/>
                <w:color w:val="000000" w:themeColor="text1"/>
                <w:szCs w:val="20"/>
              </w:rPr>
              <w:t>lede na to, da bo poročilo o trajnostnosti del poslovnega poročila, ga bodo morali pregledati tudi revizorji ter podati mnenje na podlagi posla dajanja omejenega zagotovila glede skladnosti poročanja o trajnostnosti</w:t>
            </w:r>
            <w:r>
              <w:rPr>
                <w:rFonts w:cs="Arial"/>
                <w:color w:val="000000" w:themeColor="text1"/>
                <w:szCs w:val="20"/>
              </w:rPr>
              <w:t>,</w:t>
            </w:r>
          </w:p>
          <w:p w14:paraId="25E9C57D" w14:textId="77777777" w:rsidR="000C08CA" w:rsidRDefault="000C08CA" w:rsidP="00FE328D">
            <w:pPr>
              <w:numPr>
                <w:ilvl w:val="0"/>
                <w:numId w:val="45"/>
              </w:numPr>
              <w:jc w:val="both"/>
              <w:rPr>
                <w:rFonts w:cs="Arial"/>
                <w:color w:val="000000" w:themeColor="text1"/>
                <w:szCs w:val="20"/>
              </w:rPr>
            </w:pPr>
            <w:r>
              <w:rPr>
                <w:rFonts w:cs="Arial"/>
                <w:color w:val="000000" w:themeColor="text1"/>
                <w:szCs w:val="20"/>
              </w:rPr>
              <w:t xml:space="preserve">ko bodo primerni pogoji za to, se bo zagotovilo na poročilo o trajnostnosti spremenilo in bo treba podati mnenje na podlagi </w:t>
            </w:r>
            <w:r w:rsidRPr="007168E8">
              <w:rPr>
                <w:rFonts w:cs="Arial"/>
                <w:color w:val="000000" w:themeColor="text1"/>
                <w:szCs w:val="20"/>
              </w:rPr>
              <w:t>posl</w:t>
            </w:r>
            <w:r>
              <w:rPr>
                <w:rFonts w:cs="Arial"/>
                <w:color w:val="000000" w:themeColor="text1"/>
                <w:szCs w:val="20"/>
              </w:rPr>
              <w:t>a</w:t>
            </w:r>
            <w:r w:rsidRPr="007168E8">
              <w:rPr>
                <w:rFonts w:cs="Arial"/>
                <w:color w:val="000000" w:themeColor="text1"/>
                <w:szCs w:val="20"/>
              </w:rPr>
              <w:t xml:space="preserve"> dajanja razumnega zagotovila</w:t>
            </w:r>
            <w:r>
              <w:rPr>
                <w:rFonts w:cs="Arial"/>
                <w:color w:val="000000" w:themeColor="text1"/>
                <w:szCs w:val="20"/>
              </w:rPr>
              <w:t>,</w:t>
            </w:r>
          </w:p>
          <w:p w14:paraId="144A0A74" w14:textId="77777777" w:rsidR="000C08CA" w:rsidRPr="004A0056" w:rsidRDefault="000C08CA" w:rsidP="00FE328D">
            <w:pPr>
              <w:numPr>
                <w:ilvl w:val="0"/>
                <w:numId w:val="45"/>
              </w:numPr>
              <w:jc w:val="both"/>
              <w:rPr>
                <w:rFonts w:cs="Arial"/>
                <w:color w:val="000000" w:themeColor="text1"/>
                <w:szCs w:val="20"/>
              </w:rPr>
            </w:pPr>
            <w:r>
              <w:rPr>
                <w:rFonts w:cs="Arial"/>
                <w:color w:val="000000" w:themeColor="text1"/>
                <w:szCs w:val="20"/>
              </w:rPr>
              <w:t xml:space="preserve">države članice imajo možnost, da dovolijo, da </w:t>
            </w:r>
            <w:r w:rsidRPr="004A0056">
              <w:rPr>
                <w:rFonts w:cs="Arial"/>
                <w:color w:val="000000" w:themeColor="text1"/>
                <w:szCs w:val="20"/>
              </w:rPr>
              <w:t>lahko družba za revizijo poročila o trajnostnosti angažira drugega revizorja</w:t>
            </w:r>
            <w:r>
              <w:rPr>
                <w:rFonts w:cs="Arial"/>
                <w:color w:val="000000" w:themeColor="text1"/>
                <w:szCs w:val="20"/>
              </w:rPr>
              <w:t>, kot je tisti, ki opravi pregled preostalega dela letnega poročila,</w:t>
            </w:r>
          </w:p>
          <w:p w14:paraId="777FC6E6" w14:textId="77777777" w:rsidR="000C08CA" w:rsidRPr="003F0D28" w:rsidRDefault="000C08CA" w:rsidP="00FE328D">
            <w:pPr>
              <w:numPr>
                <w:ilvl w:val="0"/>
                <w:numId w:val="45"/>
              </w:numPr>
              <w:jc w:val="both"/>
              <w:rPr>
                <w:rFonts w:cs="Arial"/>
                <w:color w:val="000000" w:themeColor="text1"/>
                <w:szCs w:val="20"/>
              </w:rPr>
            </w:pPr>
            <w:r w:rsidRPr="003F0D28">
              <w:rPr>
                <w:rFonts w:cs="Arial"/>
                <w:color w:val="000000" w:themeColor="text1"/>
                <w:szCs w:val="20"/>
              </w:rPr>
              <w:t xml:space="preserve">države članice imajo možnost, da neodvisnim izvajalcem storitev dajanja zagotovil dovolijo, </w:t>
            </w:r>
            <w:r>
              <w:rPr>
                <w:rFonts w:cs="Arial"/>
                <w:color w:val="000000" w:themeColor="text1"/>
                <w:szCs w:val="20"/>
              </w:rPr>
              <w:t>da opravljajo pregled poročila o trajnostnosti in podajo zagotovilo</w:t>
            </w:r>
            <w:r w:rsidRPr="00F06E3E">
              <w:rPr>
                <w:rFonts w:cs="Arial"/>
                <w:color w:val="000000" w:themeColor="text1"/>
                <w:szCs w:val="20"/>
              </w:rPr>
              <w:t>.</w:t>
            </w:r>
          </w:p>
          <w:p w14:paraId="7BFE5FAF" w14:textId="77777777" w:rsidR="000C08CA" w:rsidRDefault="000C08CA" w:rsidP="00FE328D">
            <w:pPr>
              <w:jc w:val="both"/>
              <w:rPr>
                <w:rFonts w:cs="Arial"/>
                <w:color w:val="000000" w:themeColor="text1"/>
                <w:szCs w:val="20"/>
              </w:rPr>
            </w:pPr>
          </w:p>
          <w:p w14:paraId="68A9BFC6" w14:textId="77777777" w:rsidR="000C08CA" w:rsidRPr="007168E8" w:rsidRDefault="000C08CA" w:rsidP="00FE328D">
            <w:pPr>
              <w:jc w:val="both"/>
              <w:rPr>
                <w:rFonts w:cs="Arial"/>
                <w:color w:val="000000" w:themeColor="text1"/>
                <w:szCs w:val="20"/>
              </w:rPr>
            </w:pPr>
            <w:r w:rsidRPr="4885E88D">
              <w:rPr>
                <w:rFonts w:cs="Arial"/>
                <w:color w:val="000000" w:themeColor="text1"/>
              </w:rPr>
              <w:t>Posli dajanja zagotovil razlikujejo med posli dajanja omejenih in razumnih zagotovil. Sklepna ugotovitev posla dajanja omejenega zagotovila je običajno izražena v nikalni obliki z navedbo, da izvajalec ni ugotovil ničesar, na podlagi česar bi lahko sklepal, da vsebina vsebuje bistvene napake. Pri poslu dajanja omejenega zagotovila revizor opravi manj preskusov kot pri poslu dajanja razumnega zagotovila. Obseg dela pri poslu dajanja omejenega zagotovila je zato manjši kot pri poslu dajanja razumnega zagotovila. Obseg dela pri poslu dajanja razumnega zagotovila vključuje obsežne postopke, vključno z upoštevanjem notranjih kontrol družbe, ki poroča, in testiranjem vsebine, zato je mnogo obsežnejši kot pri poslu dajanja omejenega zagotovila</w:t>
            </w:r>
            <w:r>
              <w:rPr>
                <w:rFonts w:cs="Arial"/>
                <w:color w:val="000000" w:themeColor="text1"/>
              </w:rPr>
              <w:t>;</w:t>
            </w:r>
          </w:p>
          <w:p w14:paraId="532EEADE" w14:textId="77777777" w:rsidR="000C08CA" w:rsidRPr="007168E8" w:rsidRDefault="000C08CA" w:rsidP="00FE328D">
            <w:pPr>
              <w:jc w:val="both"/>
              <w:rPr>
                <w:rFonts w:cs="Arial"/>
                <w:color w:val="000000" w:themeColor="text1"/>
                <w:szCs w:val="20"/>
              </w:rPr>
            </w:pPr>
          </w:p>
          <w:p w14:paraId="49F51B9E" w14:textId="77777777" w:rsidR="000C08CA" w:rsidRPr="00E91165" w:rsidRDefault="000C08CA" w:rsidP="00FE328D">
            <w:pPr>
              <w:pStyle w:val="ListParagraph"/>
              <w:numPr>
                <w:ilvl w:val="0"/>
                <w:numId w:val="43"/>
              </w:numPr>
              <w:jc w:val="both"/>
              <w:rPr>
                <w:rFonts w:ascii="Arial" w:hAnsi="Arial" w:cs="Arial"/>
                <w:color w:val="000000" w:themeColor="text1"/>
                <w:sz w:val="20"/>
                <w:szCs w:val="20"/>
                <w:u w:val="single"/>
              </w:rPr>
            </w:pPr>
            <w:r>
              <w:rPr>
                <w:rFonts w:ascii="Arial" w:hAnsi="Arial" w:cs="Arial"/>
                <w:color w:val="000000" w:themeColor="text1"/>
                <w:sz w:val="20"/>
                <w:szCs w:val="20"/>
                <w:u w:val="single"/>
              </w:rPr>
              <w:t>u</w:t>
            </w:r>
            <w:r w:rsidRPr="00E91165">
              <w:rPr>
                <w:rFonts w:ascii="Arial" w:hAnsi="Arial" w:cs="Arial"/>
                <w:color w:val="000000" w:themeColor="text1"/>
                <w:sz w:val="20"/>
                <w:szCs w:val="20"/>
                <w:u w:val="single"/>
              </w:rPr>
              <w:t xml:space="preserve">vaja se obveznost za odvisne družbe, ki jih obvladuje </w:t>
            </w:r>
            <w:r>
              <w:rPr>
                <w:rFonts w:ascii="Arial" w:hAnsi="Arial" w:cs="Arial"/>
                <w:color w:val="000000" w:themeColor="text1"/>
                <w:sz w:val="20"/>
                <w:szCs w:val="20"/>
                <w:u w:val="single"/>
              </w:rPr>
              <w:t>tuje podjetje</w:t>
            </w:r>
            <w:r w:rsidRPr="00E91165">
              <w:rPr>
                <w:rFonts w:ascii="Arial" w:hAnsi="Arial" w:cs="Arial"/>
                <w:color w:val="000000" w:themeColor="text1"/>
                <w:sz w:val="20"/>
                <w:szCs w:val="20"/>
                <w:u w:val="single"/>
              </w:rPr>
              <w:t xml:space="preserve"> iz tretje države</w:t>
            </w:r>
            <w:r>
              <w:rPr>
                <w:rFonts w:ascii="Arial" w:hAnsi="Arial" w:cs="Arial"/>
                <w:color w:val="000000" w:themeColor="text1"/>
                <w:sz w:val="20"/>
                <w:szCs w:val="20"/>
                <w:u w:val="single"/>
              </w:rPr>
              <w:t>, da</w:t>
            </w:r>
            <w:r w:rsidRPr="00E91165">
              <w:rPr>
                <w:rFonts w:ascii="Arial" w:hAnsi="Arial" w:cs="Arial"/>
                <w:color w:val="000000" w:themeColor="text1"/>
                <w:sz w:val="20"/>
                <w:szCs w:val="20"/>
                <w:u w:val="single"/>
              </w:rPr>
              <w:t xml:space="preserve"> predloži</w:t>
            </w:r>
            <w:r>
              <w:rPr>
                <w:rFonts w:ascii="Arial" w:hAnsi="Arial" w:cs="Arial"/>
                <w:color w:val="000000" w:themeColor="text1"/>
                <w:sz w:val="20"/>
                <w:szCs w:val="20"/>
                <w:u w:val="single"/>
              </w:rPr>
              <w:t>jo</w:t>
            </w:r>
            <w:r w:rsidRPr="00E91165">
              <w:rPr>
                <w:rFonts w:ascii="Arial" w:hAnsi="Arial" w:cs="Arial"/>
                <w:color w:val="000000" w:themeColor="text1"/>
                <w:sz w:val="20"/>
                <w:szCs w:val="20"/>
                <w:u w:val="single"/>
              </w:rPr>
              <w:t xml:space="preserve"> informacij</w:t>
            </w:r>
            <w:r>
              <w:rPr>
                <w:rFonts w:ascii="Arial" w:hAnsi="Arial" w:cs="Arial"/>
                <w:color w:val="000000" w:themeColor="text1"/>
                <w:sz w:val="20"/>
                <w:szCs w:val="20"/>
                <w:u w:val="single"/>
              </w:rPr>
              <w:t>e</w:t>
            </w:r>
            <w:r w:rsidRPr="00E91165">
              <w:rPr>
                <w:rFonts w:ascii="Arial" w:hAnsi="Arial" w:cs="Arial"/>
                <w:color w:val="000000" w:themeColor="text1"/>
                <w:sz w:val="20"/>
                <w:szCs w:val="20"/>
                <w:u w:val="single"/>
              </w:rPr>
              <w:t xml:space="preserve"> na ravni skupine</w:t>
            </w:r>
            <w:r w:rsidRPr="00CA6051">
              <w:rPr>
                <w:rFonts w:ascii="Arial" w:hAnsi="Arial" w:cs="Arial"/>
                <w:color w:val="000000" w:themeColor="text1"/>
                <w:sz w:val="20"/>
                <w:szCs w:val="20"/>
                <w:u w:val="single"/>
              </w:rPr>
              <w:t xml:space="preserve"> </w:t>
            </w:r>
            <w:r>
              <w:rPr>
                <w:rFonts w:ascii="Arial" w:hAnsi="Arial" w:cs="Arial"/>
                <w:color w:val="000000" w:themeColor="text1"/>
                <w:sz w:val="20"/>
                <w:szCs w:val="20"/>
                <w:u w:val="single"/>
              </w:rPr>
              <w:t xml:space="preserve">v obliki </w:t>
            </w:r>
            <w:r w:rsidRPr="00CA6051">
              <w:rPr>
                <w:rFonts w:ascii="Arial" w:hAnsi="Arial" w:cs="Arial"/>
                <w:color w:val="000000" w:themeColor="text1"/>
                <w:sz w:val="20"/>
                <w:szCs w:val="20"/>
                <w:u w:val="single"/>
              </w:rPr>
              <w:t>posebn</w:t>
            </w:r>
            <w:r>
              <w:rPr>
                <w:rFonts w:ascii="Arial" w:hAnsi="Arial" w:cs="Arial"/>
                <w:color w:val="000000" w:themeColor="text1"/>
                <w:sz w:val="20"/>
                <w:szCs w:val="20"/>
                <w:u w:val="single"/>
              </w:rPr>
              <w:t>eg</w:t>
            </w:r>
            <w:r w:rsidRPr="00CA6051">
              <w:rPr>
                <w:rFonts w:ascii="Arial" w:hAnsi="Arial" w:cs="Arial"/>
                <w:color w:val="000000" w:themeColor="text1"/>
                <w:sz w:val="20"/>
                <w:szCs w:val="20"/>
                <w:u w:val="single"/>
              </w:rPr>
              <w:t xml:space="preserve">a </w:t>
            </w:r>
            <w:r w:rsidRPr="00E91165">
              <w:rPr>
                <w:rFonts w:ascii="Arial" w:hAnsi="Arial" w:cs="Arial"/>
                <w:color w:val="000000" w:themeColor="text1"/>
                <w:sz w:val="20"/>
                <w:szCs w:val="20"/>
                <w:u w:val="single"/>
              </w:rPr>
              <w:t>poročila o trajnostnosti</w:t>
            </w:r>
            <w:r>
              <w:rPr>
                <w:rFonts w:ascii="Arial" w:hAnsi="Arial" w:cs="Arial"/>
                <w:color w:val="000000" w:themeColor="text1"/>
                <w:sz w:val="20"/>
                <w:szCs w:val="20"/>
                <w:u w:val="single"/>
              </w:rPr>
              <w:t xml:space="preserve"> v zvezi s tujim podjetjim iz tretje države:</w:t>
            </w:r>
          </w:p>
          <w:p w14:paraId="5B31557D" w14:textId="77777777" w:rsidR="000C08CA" w:rsidRPr="00E91165" w:rsidRDefault="000C08CA" w:rsidP="00FE328D">
            <w:pPr>
              <w:pStyle w:val="ListParagraph"/>
              <w:numPr>
                <w:ilvl w:val="0"/>
                <w:numId w:val="81"/>
              </w:numPr>
              <w:jc w:val="both"/>
              <w:rPr>
                <w:rFonts w:ascii="Arial" w:hAnsi="Arial" w:cs="Arial"/>
                <w:color w:val="000000" w:themeColor="text1"/>
                <w:sz w:val="20"/>
                <w:szCs w:val="20"/>
                <w:u w:val="single"/>
              </w:rPr>
            </w:pPr>
            <w:r w:rsidRPr="00E91165">
              <w:rPr>
                <w:rFonts w:ascii="Arial" w:hAnsi="Arial" w:cs="Arial"/>
                <w:color w:val="000000" w:themeColor="text1"/>
                <w:sz w:val="20"/>
                <w:szCs w:val="20"/>
              </w:rPr>
              <w:t>zavezana je odvisna družba, ki mora</w:t>
            </w:r>
            <w:r w:rsidRPr="009A6C8E">
              <w:rPr>
                <w:rFonts w:ascii="Arial" w:hAnsi="Arial" w:cs="Arial"/>
                <w:color w:val="000000" w:themeColor="text1"/>
                <w:sz w:val="20"/>
                <w:szCs w:val="20"/>
              </w:rPr>
              <w:t xml:space="preserve"> </w:t>
            </w:r>
            <w:r w:rsidRPr="00E91165">
              <w:rPr>
                <w:rFonts w:ascii="Arial" w:hAnsi="Arial" w:cs="Arial"/>
                <w:color w:val="000000" w:themeColor="text1"/>
                <w:sz w:val="20"/>
                <w:szCs w:val="20"/>
              </w:rPr>
              <w:t>naj</w:t>
            </w:r>
            <w:r>
              <w:rPr>
                <w:rFonts w:ascii="Arial" w:hAnsi="Arial" w:cs="Arial"/>
                <w:color w:val="000000" w:themeColor="text1"/>
                <w:sz w:val="20"/>
                <w:szCs w:val="20"/>
              </w:rPr>
              <w:t>poz</w:t>
            </w:r>
            <w:r w:rsidRPr="00E91165">
              <w:rPr>
                <w:rFonts w:ascii="Arial" w:hAnsi="Arial" w:cs="Arial"/>
                <w:color w:val="000000" w:themeColor="text1"/>
                <w:sz w:val="20"/>
                <w:szCs w:val="20"/>
              </w:rPr>
              <w:t>neje v 12 mesecih po koncu poslovnega leta</w:t>
            </w:r>
            <w:r w:rsidRPr="009A6C8E">
              <w:rPr>
                <w:rFonts w:ascii="Arial" w:hAnsi="Arial" w:cs="Arial"/>
                <w:color w:val="000000" w:themeColor="text1"/>
                <w:sz w:val="20"/>
                <w:szCs w:val="20"/>
              </w:rPr>
              <w:t xml:space="preserve"> sama</w:t>
            </w:r>
            <w:r w:rsidRPr="00E91165">
              <w:rPr>
                <w:rFonts w:ascii="Arial" w:hAnsi="Arial" w:cs="Arial"/>
                <w:color w:val="000000" w:themeColor="text1"/>
                <w:sz w:val="20"/>
                <w:szCs w:val="20"/>
              </w:rPr>
              <w:t xml:space="preserve"> pripraviti poročilo o trajnostnosti in ki jo obvladuje družba iz tretje države (če je ta na ravni skupine v Evropski uniji ustvarila čist</w:t>
            </w:r>
            <w:r>
              <w:rPr>
                <w:rFonts w:ascii="Arial" w:hAnsi="Arial" w:cs="Arial"/>
                <w:color w:val="000000" w:themeColor="text1"/>
                <w:sz w:val="20"/>
                <w:szCs w:val="20"/>
              </w:rPr>
              <w:t>e</w:t>
            </w:r>
            <w:r w:rsidRPr="00E91165">
              <w:rPr>
                <w:rFonts w:ascii="Arial" w:hAnsi="Arial" w:cs="Arial"/>
                <w:color w:val="000000" w:themeColor="text1"/>
                <w:sz w:val="20"/>
                <w:szCs w:val="20"/>
              </w:rPr>
              <w:t xml:space="preserve"> prihod</w:t>
            </w:r>
            <w:r>
              <w:rPr>
                <w:rFonts w:ascii="Arial" w:hAnsi="Arial" w:cs="Arial"/>
                <w:color w:val="000000" w:themeColor="text1"/>
                <w:sz w:val="20"/>
                <w:szCs w:val="20"/>
              </w:rPr>
              <w:t>ke (od prodaje)</w:t>
            </w:r>
            <w:r w:rsidRPr="00E91165">
              <w:rPr>
                <w:rFonts w:ascii="Arial" w:hAnsi="Arial" w:cs="Arial"/>
                <w:color w:val="000000" w:themeColor="text1"/>
                <w:sz w:val="20"/>
                <w:szCs w:val="20"/>
              </w:rPr>
              <w:t xml:space="preserve"> v višini </w:t>
            </w:r>
            <w:r>
              <w:rPr>
                <w:rFonts w:ascii="Arial" w:hAnsi="Arial" w:cs="Arial"/>
                <w:color w:val="000000" w:themeColor="text1"/>
                <w:sz w:val="20"/>
                <w:szCs w:val="20"/>
              </w:rPr>
              <w:t xml:space="preserve">po </w:t>
            </w:r>
            <w:r w:rsidRPr="00E91165">
              <w:rPr>
                <w:rFonts w:ascii="Arial" w:hAnsi="Arial" w:cs="Arial"/>
                <w:color w:val="000000" w:themeColor="text1"/>
                <w:sz w:val="20"/>
                <w:szCs w:val="20"/>
              </w:rPr>
              <w:t>več kot 150 milijonov EUR v vsakem od zadnjih dveh zaporednih poslovnih let),</w:t>
            </w:r>
          </w:p>
          <w:p w14:paraId="0EA97521" w14:textId="77777777" w:rsidR="000C08CA" w:rsidRPr="00E91165" w:rsidRDefault="000C08CA" w:rsidP="00FE328D">
            <w:pPr>
              <w:pStyle w:val="ListParagraph"/>
              <w:numPr>
                <w:ilvl w:val="0"/>
                <w:numId w:val="81"/>
              </w:numPr>
              <w:jc w:val="both"/>
              <w:rPr>
                <w:rFonts w:ascii="Arial" w:hAnsi="Arial" w:cs="Arial"/>
                <w:color w:val="000000" w:themeColor="text1"/>
                <w:sz w:val="20"/>
                <w:szCs w:val="20"/>
              </w:rPr>
            </w:pPr>
            <w:r w:rsidRPr="00E91165">
              <w:rPr>
                <w:rFonts w:ascii="Arial" w:hAnsi="Arial" w:cs="Arial"/>
                <w:color w:val="000000" w:themeColor="text1"/>
                <w:sz w:val="20"/>
                <w:szCs w:val="20"/>
              </w:rPr>
              <w:t>to poročilo pripravi bodisi obvladujoča družba bodisi odvisna družba na podlagi informacij, ki jih ima in pridobi od obvladujoče družbe (če nima vseh informacij</w:t>
            </w:r>
            <w:r>
              <w:rPr>
                <w:rFonts w:ascii="Arial" w:hAnsi="Arial" w:cs="Arial"/>
                <w:color w:val="000000" w:themeColor="text1"/>
                <w:sz w:val="20"/>
                <w:szCs w:val="20"/>
              </w:rPr>
              <w:t>,</w:t>
            </w:r>
            <w:r w:rsidRPr="00E91165">
              <w:rPr>
                <w:rFonts w:ascii="Arial" w:hAnsi="Arial" w:cs="Arial"/>
                <w:color w:val="000000" w:themeColor="text1"/>
                <w:sz w:val="20"/>
                <w:szCs w:val="20"/>
              </w:rPr>
              <w:t xml:space="preserve"> to izjavi v poročilu),</w:t>
            </w:r>
          </w:p>
          <w:p w14:paraId="15FF28DD" w14:textId="77777777" w:rsidR="000C08CA" w:rsidRPr="00E91165" w:rsidRDefault="000C08CA" w:rsidP="00FE328D">
            <w:pPr>
              <w:pStyle w:val="ListParagraph"/>
              <w:numPr>
                <w:ilvl w:val="0"/>
                <w:numId w:val="81"/>
              </w:numPr>
              <w:jc w:val="both"/>
              <w:rPr>
                <w:rFonts w:ascii="Arial" w:hAnsi="Arial" w:cs="Arial"/>
                <w:color w:val="000000" w:themeColor="text1"/>
                <w:sz w:val="20"/>
                <w:szCs w:val="20"/>
              </w:rPr>
            </w:pPr>
            <w:r>
              <w:rPr>
                <w:rFonts w:ascii="Arial" w:hAnsi="Arial" w:cs="Arial"/>
                <w:color w:val="000000" w:themeColor="text1"/>
                <w:sz w:val="20"/>
                <w:szCs w:val="20"/>
              </w:rPr>
              <w:t xml:space="preserve">zahteva se </w:t>
            </w:r>
            <w:r w:rsidRPr="00E91165">
              <w:rPr>
                <w:rFonts w:ascii="Arial" w:hAnsi="Arial" w:cs="Arial"/>
                <w:color w:val="000000" w:themeColor="text1"/>
                <w:sz w:val="20"/>
                <w:szCs w:val="20"/>
              </w:rPr>
              <w:t xml:space="preserve">skladnost </w:t>
            </w:r>
            <w:r>
              <w:rPr>
                <w:rFonts w:ascii="Arial" w:hAnsi="Arial" w:cs="Arial"/>
                <w:color w:val="000000" w:themeColor="text1"/>
                <w:sz w:val="20"/>
                <w:szCs w:val="20"/>
              </w:rPr>
              <w:t xml:space="preserve">tega poročila </w:t>
            </w:r>
            <w:r w:rsidRPr="00E91165">
              <w:rPr>
                <w:rFonts w:ascii="Arial" w:hAnsi="Arial" w:cs="Arial"/>
                <w:color w:val="000000" w:themeColor="text1"/>
                <w:sz w:val="20"/>
                <w:szCs w:val="20"/>
              </w:rPr>
              <w:t>s standardi poročanja o trajnostnosti,</w:t>
            </w:r>
          </w:p>
          <w:p w14:paraId="78CF70C3" w14:textId="77777777" w:rsidR="000C08CA" w:rsidRPr="00E91165" w:rsidRDefault="000C08CA" w:rsidP="00FE328D">
            <w:pPr>
              <w:pStyle w:val="ListParagraph"/>
              <w:numPr>
                <w:ilvl w:val="0"/>
                <w:numId w:val="81"/>
              </w:numPr>
              <w:jc w:val="both"/>
              <w:rPr>
                <w:rFonts w:ascii="Arial" w:hAnsi="Arial" w:cs="Arial"/>
                <w:color w:val="000000" w:themeColor="text1"/>
                <w:sz w:val="20"/>
                <w:szCs w:val="20"/>
              </w:rPr>
            </w:pPr>
            <w:r>
              <w:rPr>
                <w:rFonts w:ascii="Arial" w:hAnsi="Arial" w:cs="Arial"/>
                <w:color w:val="000000" w:themeColor="text1"/>
                <w:sz w:val="20"/>
                <w:szCs w:val="20"/>
              </w:rPr>
              <w:t xml:space="preserve">zahteva se tudi </w:t>
            </w:r>
            <w:r w:rsidRPr="00E91165">
              <w:rPr>
                <w:rFonts w:ascii="Arial" w:hAnsi="Arial" w:cs="Arial"/>
                <w:color w:val="000000" w:themeColor="text1"/>
                <w:sz w:val="20"/>
                <w:szCs w:val="20"/>
              </w:rPr>
              <w:t xml:space="preserve">predložitev </w:t>
            </w:r>
            <w:r w:rsidRPr="00E306DC">
              <w:rPr>
                <w:rFonts w:ascii="Arial" w:hAnsi="Arial" w:cs="Arial"/>
                <w:color w:val="000000" w:themeColor="text1"/>
                <w:sz w:val="20"/>
                <w:szCs w:val="20"/>
              </w:rPr>
              <w:t>mnenj</w:t>
            </w:r>
            <w:r>
              <w:rPr>
                <w:rFonts w:ascii="Arial" w:hAnsi="Arial" w:cs="Arial"/>
                <w:color w:val="000000" w:themeColor="text1"/>
                <w:sz w:val="20"/>
                <w:szCs w:val="20"/>
              </w:rPr>
              <w:t>a</w:t>
            </w:r>
            <w:r w:rsidRPr="00E306DC">
              <w:rPr>
                <w:rFonts w:ascii="Arial" w:hAnsi="Arial" w:cs="Arial"/>
                <w:color w:val="000000" w:themeColor="text1"/>
                <w:sz w:val="20"/>
                <w:szCs w:val="20"/>
              </w:rPr>
              <w:t xml:space="preserve"> o skladnosti </w:t>
            </w:r>
            <w:r>
              <w:rPr>
                <w:rFonts w:ascii="Arial" w:hAnsi="Arial" w:cs="Arial"/>
                <w:color w:val="000000" w:themeColor="text1"/>
                <w:sz w:val="20"/>
                <w:szCs w:val="20"/>
              </w:rPr>
              <w:t xml:space="preserve">tega </w:t>
            </w:r>
            <w:r w:rsidRPr="00E306DC">
              <w:rPr>
                <w:rFonts w:ascii="Arial" w:hAnsi="Arial" w:cs="Arial"/>
                <w:color w:val="000000" w:themeColor="text1"/>
                <w:sz w:val="20"/>
                <w:szCs w:val="20"/>
              </w:rPr>
              <w:t>poročila s pravili trajnostnega poročanja</w:t>
            </w:r>
            <w:r w:rsidRPr="00FE4059">
              <w:rPr>
                <w:rFonts w:ascii="Arial" w:hAnsi="Arial" w:cs="Arial"/>
                <w:color w:val="000000" w:themeColor="text1"/>
                <w:sz w:val="20"/>
                <w:szCs w:val="20"/>
              </w:rPr>
              <w:t>, izdanega v skladu s tem zakonom ali nacionalnim pravom države obvladujoče družbe</w:t>
            </w:r>
            <w:r w:rsidRPr="009935B4">
              <w:rPr>
                <w:rFonts w:ascii="Arial" w:hAnsi="Arial" w:cs="Arial"/>
                <w:color w:val="000000" w:themeColor="text1"/>
                <w:sz w:val="20"/>
                <w:szCs w:val="20"/>
              </w:rPr>
              <w:t xml:space="preserve"> </w:t>
            </w:r>
            <w:r w:rsidRPr="00E91165">
              <w:rPr>
                <w:rFonts w:ascii="Arial" w:hAnsi="Arial" w:cs="Arial"/>
                <w:color w:val="000000" w:themeColor="text1"/>
                <w:sz w:val="20"/>
                <w:szCs w:val="20"/>
              </w:rPr>
              <w:t>(če tega obvladujoča družba ne predloži</w:t>
            </w:r>
            <w:r>
              <w:rPr>
                <w:rFonts w:ascii="Arial" w:hAnsi="Arial" w:cs="Arial"/>
                <w:color w:val="000000" w:themeColor="text1"/>
                <w:sz w:val="20"/>
                <w:szCs w:val="20"/>
              </w:rPr>
              <w:t>,</w:t>
            </w:r>
            <w:r w:rsidRPr="00E91165">
              <w:rPr>
                <w:rFonts w:ascii="Arial" w:hAnsi="Arial" w:cs="Arial"/>
                <w:color w:val="000000" w:themeColor="text1"/>
                <w:sz w:val="20"/>
                <w:szCs w:val="20"/>
              </w:rPr>
              <w:t xml:space="preserve"> odvisna družba to izjavi v poročilu),</w:t>
            </w:r>
          </w:p>
          <w:p w14:paraId="4925D7CF" w14:textId="48469887" w:rsidR="000C08CA" w:rsidRPr="00DD286A" w:rsidRDefault="000C08CA" w:rsidP="00FE328D">
            <w:pPr>
              <w:pStyle w:val="ListParagraph"/>
              <w:numPr>
                <w:ilvl w:val="0"/>
                <w:numId w:val="81"/>
              </w:numPr>
              <w:jc w:val="both"/>
              <w:rPr>
                <w:rFonts w:cs="Arial"/>
                <w:color w:val="000000" w:themeColor="text1"/>
                <w:szCs w:val="20"/>
              </w:rPr>
            </w:pPr>
            <w:r w:rsidRPr="00E91165">
              <w:rPr>
                <w:rFonts w:ascii="Arial" w:hAnsi="Arial" w:cs="Arial"/>
                <w:color w:val="000000" w:themeColor="text1"/>
                <w:sz w:val="20"/>
                <w:szCs w:val="20"/>
              </w:rPr>
              <w:t xml:space="preserve">podobna obveznost se določa tudi za </w:t>
            </w:r>
            <w:r w:rsidRPr="00C64564">
              <w:rPr>
                <w:rFonts w:ascii="Arial" w:hAnsi="Arial" w:cs="Arial"/>
                <w:color w:val="000000" w:themeColor="text1"/>
                <w:sz w:val="20"/>
                <w:szCs w:val="20"/>
              </w:rPr>
              <w:t>podružnico tujega podjetja iz tretje države, kadar ta</w:t>
            </w:r>
            <w:r w:rsidRPr="00E91165">
              <w:rPr>
                <w:rFonts w:ascii="Arial" w:hAnsi="Arial" w:cs="Arial"/>
                <w:color w:val="000000" w:themeColor="text1"/>
                <w:sz w:val="20"/>
                <w:szCs w:val="20"/>
              </w:rPr>
              <w:t xml:space="preserve"> v predhodnem poslovnem letu ustvari čist</w:t>
            </w:r>
            <w:r>
              <w:rPr>
                <w:rFonts w:ascii="Arial" w:hAnsi="Arial" w:cs="Arial"/>
                <w:color w:val="000000" w:themeColor="text1"/>
                <w:sz w:val="20"/>
                <w:szCs w:val="20"/>
              </w:rPr>
              <w:t>e</w:t>
            </w:r>
            <w:r w:rsidRPr="00E91165">
              <w:rPr>
                <w:rFonts w:ascii="Arial" w:hAnsi="Arial" w:cs="Arial"/>
                <w:color w:val="000000" w:themeColor="text1"/>
                <w:sz w:val="20"/>
                <w:szCs w:val="20"/>
              </w:rPr>
              <w:t xml:space="preserve"> prihodk</w:t>
            </w:r>
            <w:r>
              <w:rPr>
                <w:rFonts w:ascii="Arial" w:hAnsi="Arial" w:cs="Arial"/>
                <w:color w:val="000000" w:themeColor="text1"/>
                <w:sz w:val="20"/>
                <w:szCs w:val="20"/>
              </w:rPr>
              <w:t>e</w:t>
            </w:r>
            <w:r w:rsidRPr="00E91165">
              <w:rPr>
                <w:rFonts w:ascii="Arial" w:hAnsi="Arial" w:cs="Arial"/>
                <w:color w:val="000000" w:themeColor="text1"/>
                <w:sz w:val="20"/>
                <w:szCs w:val="20"/>
              </w:rPr>
              <w:t xml:space="preserve"> </w:t>
            </w:r>
            <w:r>
              <w:rPr>
                <w:rFonts w:ascii="Arial" w:hAnsi="Arial" w:cs="Arial"/>
                <w:color w:val="000000" w:themeColor="text1"/>
                <w:sz w:val="20"/>
                <w:szCs w:val="20"/>
              </w:rPr>
              <w:t>(od prodaje)</w:t>
            </w:r>
            <w:r w:rsidRPr="00E91165">
              <w:rPr>
                <w:rFonts w:ascii="Arial" w:hAnsi="Arial" w:cs="Arial"/>
                <w:color w:val="000000" w:themeColor="text1"/>
                <w:sz w:val="20"/>
                <w:szCs w:val="20"/>
              </w:rPr>
              <w:t xml:space="preserve"> v višini več kot 40</w:t>
            </w:r>
            <w:r w:rsidR="00BD61F7">
              <w:rPr>
                <w:rFonts w:ascii="Arial" w:hAnsi="Arial" w:cs="Arial"/>
                <w:color w:val="000000" w:themeColor="text1"/>
                <w:sz w:val="20"/>
                <w:szCs w:val="20"/>
              </w:rPr>
              <w:t>.000.000</w:t>
            </w:r>
            <w:r w:rsidRPr="00E91165">
              <w:rPr>
                <w:rFonts w:ascii="Arial" w:hAnsi="Arial" w:cs="Arial"/>
                <w:color w:val="000000" w:themeColor="text1"/>
                <w:sz w:val="20"/>
                <w:szCs w:val="20"/>
              </w:rPr>
              <w:t xml:space="preserve"> EUR. </w:t>
            </w:r>
          </w:p>
          <w:p w14:paraId="4BD4FA7D" w14:textId="77777777" w:rsidR="000C08CA" w:rsidRPr="00605612" w:rsidRDefault="000C08CA" w:rsidP="00FE328D">
            <w:pPr>
              <w:jc w:val="both"/>
              <w:rPr>
                <w:rFonts w:cs="Arial"/>
                <w:color w:val="000000" w:themeColor="text1"/>
                <w:szCs w:val="20"/>
              </w:rPr>
            </w:pPr>
          </w:p>
          <w:p w14:paraId="449A6287" w14:textId="77777777" w:rsidR="000C08CA" w:rsidRPr="00605612" w:rsidRDefault="000C08CA" w:rsidP="00FE328D">
            <w:pPr>
              <w:jc w:val="both"/>
              <w:rPr>
                <w:rFonts w:cs="Arial"/>
                <w:b/>
                <w:bCs/>
                <w:color w:val="000000" w:themeColor="text1"/>
                <w:szCs w:val="20"/>
              </w:rPr>
            </w:pPr>
            <w:r w:rsidRPr="00605612">
              <w:rPr>
                <w:rFonts w:cs="Arial"/>
                <w:b/>
                <w:bCs/>
                <w:color w:val="000000" w:themeColor="text1"/>
                <w:szCs w:val="20"/>
              </w:rPr>
              <w:t>Direktiva 2022/2381/EU</w:t>
            </w:r>
          </w:p>
          <w:p w14:paraId="71C2BC11" w14:textId="77777777" w:rsidR="000C08CA" w:rsidRPr="00605612" w:rsidRDefault="000C08CA" w:rsidP="00FE328D">
            <w:pPr>
              <w:jc w:val="both"/>
              <w:rPr>
                <w:rFonts w:cs="Arial"/>
                <w:color w:val="000000" w:themeColor="text1"/>
                <w:szCs w:val="20"/>
              </w:rPr>
            </w:pPr>
          </w:p>
          <w:p w14:paraId="56B5CF03" w14:textId="77777777" w:rsidR="000C08CA" w:rsidRPr="00605612" w:rsidRDefault="000C08CA" w:rsidP="00FE328D">
            <w:pPr>
              <w:spacing w:line="276" w:lineRule="auto"/>
              <w:jc w:val="both"/>
              <w:rPr>
                <w:rFonts w:cs="Arial"/>
                <w:color w:val="FF0000"/>
                <w:szCs w:val="20"/>
              </w:rPr>
            </w:pPr>
            <w:r w:rsidRPr="00605612">
              <w:rPr>
                <w:rFonts w:cs="Arial"/>
                <w:color w:val="000000"/>
                <w:szCs w:val="20"/>
                <w:shd w:val="clear" w:color="auto" w:fill="FFFFFF"/>
              </w:rPr>
              <w:t>Enakost med ženskami in moškimi je ena izmed temeljnih vrednot v Evropski uniji</w:t>
            </w:r>
            <w:r>
              <w:rPr>
                <w:rFonts w:cs="Arial"/>
                <w:color w:val="000000"/>
                <w:szCs w:val="20"/>
                <w:shd w:val="clear" w:color="auto" w:fill="FFFFFF"/>
              </w:rPr>
              <w:t xml:space="preserve"> in</w:t>
            </w:r>
            <w:r w:rsidRPr="00605612">
              <w:rPr>
                <w:rFonts w:cs="Arial"/>
                <w:color w:val="000000"/>
                <w:szCs w:val="20"/>
                <w:shd w:val="clear" w:color="auto" w:fill="FFFFFF"/>
              </w:rPr>
              <w:t xml:space="preserve"> </w:t>
            </w:r>
            <w:r>
              <w:rPr>
                <w:rFonts w:cs="Arial"/>
                <w:color w:val="000000"/>
                <w:szCs w:val="20"/>
                <w:shd w:val="clear" w:color="auto" w:fill="FFFFFF"/>
              </w:rPr>
              <w:t xml:space="preserve">je zapisana tudi v </w:t>
            </w:r>
            <w:r w:rsidRPr="00605612">
              <w:rPr>
                <w:rFonts w:cs="Arial"/>
                <w:color w:val="000000"/>
                <w:szCs w:val="20"/>
                <w:shd w:val="clear" w:color="auto" w:fill="FFFFFF"/>
              </w:rPr>
              <w:t>Pogodb</w:t>
            </w:r>
            <w:r>
              <w:rPr>
                <w:rFonts w:cs="Arial"/>
                <w:color w:val="000000"/>
                <w:szCs w:val="20"/>
                <w:shd w:val="clear" w:color="auto" w:fill="FFFFFF"/>
              </w:rPr>
              <w:t>i</w:t>
            </w:r>
            <w:r w:rsidRPr="00605612">
              <w:rPr>
                <w:rFonts w:cs="Arial"/>
                <w:color w:val="000000"/>
                <w:szCs w:val="20"/>
                <w:shd w:val="clear" w:color="auto" w:fill="FFFFFF"/>
              </w:rPr>
              <w:t xml:space="preserve"> o Evropski uniji. </w:t>
            </w:r>
            <w:r>
              <w:rPr>
                <w:rFonts w:cs="Arial"/>
                <w:color w:val="000000"/>
                <w:szCs w:val="20"/>
                <w:shd w:val="clear" w:color="auto" w:fill="FFFFFF"/>
              </w:rPr>
              <w:t>Poleg tega</w:t>
            </w:r>
            <w:r w:rsidRPr="00605612">
              <w:rPr>
                <w:rFonts w:cs="Arial"/>
                <w:color w:val="000000"/>
                <w:szCs w:val="20"/>
                <w:shd w:val="clear" w:color="auto" w:fill="FFFFFF"/>
              </w:rPr>
              <w:t xml:space="preserve"> je v 23. členu Listine Evropske unije o temeljnih pravicah</w:t>
            </w:r>
            <w:r w:rsidRPr="00605612">
              <w:rPr>
                <w:rStyle w:val="FootnoteReference"/>
                <w:rFonts w:cs="Arial"/>
                <w:color w:val="000000"/>
                <w:szCs w:val="20"/>
                <w:shd w:val="clear" w:color="auto" w:fill="FFFFFF"/>
              </w:rPr>
              <w:footnoteReference w:id="6"/>
            </w:r>
            <w:r w:rsidRPr="00605612">
              <w:rPr>
                <w:rFonts w:cs="Arial"/>
                <w:color w:val="000000"/>
                <w:szCs w:val="20"/>
                <w:shd w:val="clear" w:color="auto" w:fill="FFFFFF"/>
              </w:rPr>
              <w:t xml:space="preserve"> določeno, da je treba enakost žensk in moških zagotoviti na vseh področjih. Pobude in prizadevanja</w:t>
            </w:r>
            <w:r w:rsidRPr="00605612" w:rsidDel="00955175">
              <w:rPr>
                <w:rFonts w:cs="Arial"/>
                <w:color w:val="000000"/>
                <w:szCs w:val="20"/>
                <w:shd w:val="clear" w:color="auto" w:fill="FFFFFF"/>
              </w:rPr>
              <w:t xml:space="preserve"> </w:t>
            </w:r>
            <w:r w:rsidRPr="00605612">
              <w:rPr>
                <w:rFonts w:cs="Arial"/>
                <w:color w:val="000000"/>
                <w:szCs w:val="20"/>
                <w:shd w:val="clear" w:color="auto" w:fill="FFFFFF"/>
              </w:rPr>
              <w:t>institucij, povezan</w:t>
            </w:r>
            <w:r>
              <w:rPr>
                <w:rFonts w:cs="Arial"/>
                <w:color w:val="000000"/>
                <w:szCs w:val="20"/>
                <w:shd w:val="clear" w:color="auto" w:fill="FFFFFF"/>
              </w:rPr>
              <w:t>i</w:t>
            </w:r>
            <w:r w:rsidRPr="00605612">
              <w:rPr>
                <w:rFonts w:cs="Arial"/>
                <w:color w:val="000000"/>
                <w:szCs w:val="20"/>
                <w:shd w:val="clear" w:color="auto" w:fill="FFFFFF"/>
              </w:rPr>
              <w:t xml:space="preserve"> s spodbujanjem enakosti spolov na položajih odločanja v gospodarstvu, </w:t>
            </w:r>
            <w:r>
              <w:rPr>
                <w:rFonts w:cs="Arial"/>
                <w:color w:val="000000"/>
                <w:szCs w:val="20"/>
                <w:shd w:val="clear" w:color="auto" w:fill="FFFFFF"/>
              </w:rPr>
              <w:t xml:space="preserve">so se pojavljali </w:t>
            </w:r>
            <w:r w:rsidRPr="00605612">
              <w:rPr>
                <w:rFonts w:cs="Arial"/>
                <w:color w:val="000000"/>
                <w:szCs w:val="20"/>
                <w:shd w:val="clear" w:color="auto" w:fill="FFFFFF"/>
              </w:rPr>
              <w:t xml:space="preserve">že </w:t>
            </w:r>
            <w:r>
              <w:rPr>
                <w:rFonts w:cs="Arial"/>
                <w:color w:val="000000"/>
                <w:szCs w:val="20"/>
                <w:shd w:val="clear" w:color="auto" w:fill="FFFFFF"/>
              </w:rPr>
              <w:t xml:space="preserve">pred </w:t>
            </w:r>
            <w:r w:rsidRPr="00605612">
              <w:rPr>
                <w:rFonts w:cs="Arial"/>
                <w:color w:val="000000"/>
                <w:szCs w:val="20"/>
                <w:shd w:val="clear" w:color="auto" w:fill="FFFFFF"/>
              </w:rPr>
              <w:t>desetletj</w:t>
            </w:r>
            <w:r>
              <w:rPr>
                <w:rFonts w:cs="Arial"/>
                <w:color w:val="000000"/>
                <w:szCs w:val="20"/>
                <w:shd w:val="clear" w:color="auto" w:fill="FFFFFF"/>
              </w:rPr>
              <w:t>i</w:t>
            </w:r>
            <w:r w:rsidRPr="00605612">
              <w:rPr>
                <w:rFonts w:cs="Arial"/>
                <w:color w:val="000000"/>
                <w:szCs w:val="20"/>
                <w:shd w:val="clear" w:color="auto" w:fill="FFFFFF"/>
              </w:rPr>
              <w:t>. Svet EU je</w:t>
            </w:r>
            <w:r w:rsidRPr="00605612" w:rsidDel="00955175">
              <w:rPr>
                <w:rFonts w:cs="Arial"/>
                <w:color w:val="000000"/>
                <w:szCs w:val="20"/>
                <w:shd w:val="clear" w:color="auto" w:fill="FFFFFF"/>
              </w:rPr>
              <w:t xml:space="preserve"> </w:t>
            </w:r>
            <w:r w:rsidRPr="00605612">
              <w:rPr>
                <w:rFonts w:cs="Arial"/>
                <w:color w:val="000000"/>
                <w:szCs w:val="20"/>
                <w:shd w:val="clear" w:color="auto" w:fill="FFFFFF"/>
              </w:rPr>
              <w:t>že leta 1984</w:t>
            </w:r>
            <w:r w:rsidRPr="00605612">
              <w:rPr>
                <w:rStyle w:val="FootnoteReference"/>
                <w:rFonts w:cs="Arial"/>
                <w:color w:val="000000"/>
                <w:szCs w:val="20"/>
                <w:shd w:val="clear" w:color="auto" w:fill="FFFFFF"/>
              </w:rPr>
              <w:footnoteReference w:id="7"/>
            </w:r>
            <w:r w:rsidRPr="00605612">
              <w:rPr>
                <w:rFonts w:cs="Arial"/>
                <w:color w:val="000000"/>
                <w:szCs w:val="20"/>
                <w:shd w:val="clear" w:color="auto" w:fill="FFFFFF"/>
              </w:rPr>
              <w:t xml:space="preserve"> in 1996</w:t>
            </w:r>
            <w:r w:rsidRPr="00605612">
              <w:rPr>
                <w:rStyle w:val="FootnoteReference"/>
                <w:rFonts w:cs="Arial"/>
                <w:color w:val="000000"/>
                <w:szCs w:val="20"/>
                <w:shd w:val="clear" w:color="auto" w:fill="FFFFFF"/>
              </w:rPr>
              <w:footnoteReference w:id="8"/>
            </w:r>
            <w:r>
              <w:rPr>
                <w:rFonts w:cs="Arial"/>
                <w:color w:val="000000"/>
                <w:szCs w:val="20"/>
                <w:shd w:val="clear" w:color="auto" w:fill="FFFFFF"/>
              </w:rPr>
              <w:t xml:space="preserve"> </w:t>
            </w:r>
            <w:r w:rsidRPr="00605612">
              <w:rPr>
                <w:rFonts w:cs="Arial"/>
                <w:color w:val="000000"/>
                <w:szCs w:val="20"/>
                <w:shd w:val="clear" w:color="auto" w:fill="FFFFFF"/>
              </w:rPr>
              <w:t>izdal priporočila za bolj dejavno vlogo in večjo zastopanost žensk v organih odločanja na vseh ravneh</w:t>
            </w:r>
            <w:r>
              <w:rPr>
                <w:rFonts w:cs="Arial"/>
                <w:color w:val="000000"/>
                <w:szCs w:val="20"/>
                <w:shd w:val="clear" w:color="auto" w:fill="FFFFFF"/>
              </w:rPr>
              <w:t>,</w:t>
            </w:r>
            <w:r w:rsidRPr="00605612">
              <w:rPr>
                <w:rFonts w:cs="Arial"/>
                <w:color w:val="000000"/>
                <w:szCs w:val="20"/>
                <w:shd w:val="clear" w:color="auto" w:fill="FFFFFF"/>
              </w:rPr>
              <w:t xml:space="preserve"> marca 2011 </w:t>
            </w:r>
            <w:r>
              <w:rPr>
                <w:rFonts w:cs="Arial"/>
                <w:color w:val="000000"/>
                <w:szCs w:val="20"/>
                <w:shd w:val="clear" w:color="auto" w:fill="FFFFFF"/>
              </w:rPr>
              <w:t xml:space="preserve">pa je </w:t>
            </w:r>
            <w:r w:rsidRPr="00605612">
              <w:rPr>
                <w:rFonts w:cs="Arial"/>
                <w:color w:val="000000"/>
                <w:szCs w:val="20"/>
                <w:shd w:val="clear" w:color="auto" w:fill="FFFFFF"/>
              </w:rPr>
              <w:t xml:space="preserve">sprejel sklepe, v katerih je poudaril, da so politike enakosti spolov ključne za gospodarsko rast, blaginjo in </w:t>
            </w:r>
            <w:r w:rsidRPr="00605612">
              <w:rPr>
                <w:rFonts w:cs="Arial"/>
                <w:color w:val="000000"/>
                <w:szCs w:val="20"/>
                <w:shd w:val="clear" w:color="auto" w:fill="FFFFFF"/>
              </w:rPr>
              <w:lastRenderedPageBreak/>
              <w:t>konkurenčnost</w:t>
            </w:r>
            <w:r>
              <w:rPr>
                <w:rFonts w:cs="Arial"/>
                <w:color w:val="000000"/>
                <w:szCs w:val="20"/>
                <w:shd w:val="clear" w:color="auto" w:fill="FFFFFF"/>
              </w:rPr>
              <w:t>,</w:t>
            </w:r>
            <w:r w:rsidRPr="00605612">
              <w:rPr>
                <w:rFonts w:cs="Arial"/>
                <w:color w:val="000000"/>
                <w:szCs w:val="20"/>
                <w:shd w:val="clear" w:color="auto" w:fill="FFFFFF"/>
              </w:rPr>
              <w:t xml:space="preserve"> ter pozval k ukrepanju za spodbujanje uravnotežene zastopanosti žensk in moških pri odločanju na vseh ravneh in vseh področjih</w:t>
            </w:r>
            <w:r w:rsidRPr="00605612">
              <w:rPr>
                <w:rFonts w:cs="Arial"/>
                <w:color w:val="000000" w:themeColor="text1"/>
                <w:szCs w:val="20"/>
                <w:shd w:val="clear" w:color="auto" w:fill="FFFFFF"/>
              </w:rPr>
              <w:t>. Evropski parlament je</w:t>
            </w:r>
            <w:r w:rsidRPr="00605612" w:rsidDel="00955175">
              <w:rPr>
                <w:rFonts w:cs="Arial"/>
                <w:color w:val="000000" w:themeColor="text1"/>
                <w:szCs w:val="20"/>
                <w:shd w:val="clear" w:color="auto" w:fill="FFFFFF"/>
              </w:rPr>
              <w:t xml:space="preserve"> </w:t>
            </w:r>
            <w:r w:rsidRPr="00605612">
              <w:rPr>
                <w:rFonts w:cs="Arial"/>
                <w:color w:val="000000" w:themeColor="text1"/>
                <w:szCs w:val="20"/>
                <w:shd w:val="clear" w:color="auto" w:fill="FFFFFF"/>
              </w:rPr>
              <w:t>družbe in države članice</w:t>
            </w:r>
            <w:r>
              <w:rPr>
                <w:rFonts w:cs="Arial"/>
                <w:color w:val="000000" w:themeColor="text1"/>
                <w:szCs w:val="20"/>
                <w:shd w:val="clear" w:color="auto" w:fill="FFFFFF"/>
              </w:rPr>
              <w:t xml:space="preserve"> </w:t>
            </w:r>
            <w:r w:rsidRPr="00605612">
              <w:rPr>
                <w:rFonts w:cs="Arial"/>
                <w:color w:val="000000" w:themeColor="text1"/>
                <w:szCs w:val="20"/>
                <w:shd w:val="clear" w:color="auto" w:fill="FFFFFF"/>
              </w:rPr>
              <w:t>večkrat pozval, naj povečajo zastopanost žensk v organih odločanja, ter Komisijo spodbudil, naj predlaga zakonodajne kvote za dosego kritičnega praga 30</w:t>
            </w:r>
            <w:r>
              <w:rPr>
                <w:rFonts w:cs="Arial"/>
                <w:color w:val="000000" w:themeColor="text1"/>
                <w:szCs w:val="20"/>
                <w:shd w:val="clear" w:color="auto" w:fill="FFFFFF"/>
              </w:rPr>
              <w:t>-odstotne</w:t>
            </w:r>
            <w:r w:rsidRPr="00605612">
              <w:rPr>
                <w:rFonts w:cs="Arial"/>
                <w:color w:val="000000" w:themeColor="text1"/>
                <w:szCs w:val="20"/>
                <w:shd w:val="clear" w:color="auto" w:fill="FFFFFF"/>
              </w:rPr>
              <w:t xml:space="preserve"> zastopanosti žensk v vodstvenih organih do leta 2015 in 40</w:t>
            </w:r>
            <w:r w:rsidRPr="00605612">
              <w:rPr>
                <w:rFonts w:cs="Arial"/>
                <w:color w:val="000000" w:themeColor="text1"/>
                <w:szCs w:val="20"/>
              </w:rPr>
              <w:t xml:space="preserve"> </w:t>
            </w:r>
            <w:r w:rsidRPr="00605612">
              <w:rPr>
                <w:rFonts w:cs="Arial"/>
                <w:color w:val="000000" w:themeColor="text1"/>
                <w:szCs w:val="20"/>
                <w:shd w:val="clear" w:color="auto" w:fill="FFFFFF"/>
              </w:rPr>
              <w:t>% do leta 2020</w:t>
            </w:r>
            <w:r w:rsidRPr="00605612">
              <w:rPr>
                <w:rStyle w:val="FootnoteReference"/>
                <w:rFonts w:cs="Arial"/>
                <w:color w:val="000000" w:themeColor="text1"/>
                <w:szCs w:val="20"/>
                <w:shd w:val="clear" w:color="auto" w:fill="FFFFFF"/>
              </w:rPr>
              <w:footnoteReference w:id="9"/>
            </w:r>
            <w:r w:rsidRPr="00605612">
              <w:rPr>
                <w:rFonts w:cs="Arial"/>
                <w:color w:val="000000" w:themeColor="text1"/>
                <w:szCs w:val="20"/>
                <w:shd w:val="clear" w:color="auto" w:fill="FFFFFF"/>
              </w:rPr>
              <w:t>. Pred pripravo predloga Direktive  2022/2381/EU je Komisija objavila več sporočil</w:t>
            </w:r>
            <w:r w:rsidRPr="00605612">
              <w:rPr>
                <w:rStyle w:val="FootnoteReference"/>
                <w:rFonts w:cs="Arial"/>
                <w:color w:val="000000" w:themeColor="text1"/>
                <w:szCs w:val="20"/>
                <w:shd w:val="clear" w:color="auto" w:fill="FFFFFF"/>
              </w:rPr>
              <w:footnoteReference w:id="10"/>
            </w:r>
            <w:r w:rsidRPr="00605612">
              <w:rPr>
                <w:rFonts w:cs="Arial"/>
                <w:color w:val="000000" w:themeColor="text1"/>
                <w:szCs w:val="20"/>
                <w:shd w:val="clear" w:color="auto" w:fill="FFFFFF"/>
              </w:rPr>
              <w:t xml:space="preserve">, ki so obravnavala stanje </w:t>
            </w:r>
            <w:r w:rsidRPr="00605612">
              <w:rPr>
                <w:rFonts w:cs="Arial"/>
                <w:color w:val="000000"/>
                <w:szCs w:val="20"/>
                <w:shd w:val="clear" w:color="auto" w:fill="FFFFFF"/>
              </w:rPr>
              <w:t>na tem področju</w:t>
            </w:r>
            <w:r>
              <w:rPr>
                <w:rFonts w:cs="Arial"/>
                <w:color w:val="000000"/>
                <w:szCs w:val="20"/>
                <w:shd w:val="clear" w:color="auto" w:fill="FFFFFF"/>
              </w:rPr>
              <w:t xml:space="preserve"> in</w:t>
            </w:r>
            <w:r w:rsidRPr="00605612">
              <w:rPr>
                <w:rFonts w:cs="Arial"/>
                <w:color w:val="000000"/>
                <w:szCs w:val="20"/>
                <w:shd w:val="clear" w:color="auto" w:fill="FFFFFF"/>
              </w:rPr>
              <w:t xml:space="preserve"> v katerih je</w:t>
            </w:r>
            <w:r w:rsidRPr="00605612" w:rsidDel="00955175">
              <w:rPr>
                <w:rFonts w:cs="Arial"/>
                <w:color w:val="000000"/>
                <w:szCs w:val="20"/>
                <w:shd w:val="clear" w:color="auto" w:fill="FFFFFF"/>
              </w:rPr>
              <w:t xml:space="preserve"> </w:t>
            </w:r>
            <w:r w:rsidRPr="00605612">
              <w:rPr>
                <w:rFonts w:cs="Arial"/>
                <w:color w:val="000000"/>
                <w:szCs w:val="20"/>
                <w:shd w:val="clear" w:color="auto" w:fill="FFFFFF"/>
              </w:rPr>
              <w:t>družbe pozivala, da s samourejevalnimi ukrepi povečajo zastopanost manj zastopanega spola med osebami</w:t>
            </w:r>
            <w:r>
              <w:rPr>
                <w:rFonts w:cs="Arial"/>
                <w:color w:val="000000"/>
                <w:szCs w:val="20"/>
                <w:shd w:val="clear" w:color="auto" w:fill="FFFFFF"/>
              </w:rPr>
              <w:t>,</w:t>
            </w:r>
            <w:r w:rsidRPr="00605612">
              <w:rPr>
                <w:rFonts w:cs="Arial"/>
                <w:color w:val="000000"/>
                <w:szCs w:val="20"/>
                <w:shd w:val="clear" w:color="auto" w:fill="FFFFFF"/>
              </w:rPr>
              <w:t xml:space="preserve"> odgovornimi za vodenje in nadzor družb. Komisija se je zavezala</w:t>
            </w:r>
            <w:r>
              <w:rPr>
                <w:rFonts w:cs="Arial"/>
                <w:color w:val="000000"/>
                <w:szCs w:val="20"/>
                <w:shd w:val="clear" w:color="auto" w:fill="FFFFFF"/>
              </w:rPr>
              <w:t xml:space="preserve"> še</w:t>
            </w:r>
            <w:r w:rsidRPr="00605612">
              <w:rPr>
                <w:rFonts w:cs="Arial"/>
                <w:color w:val="000000"/>
                <w:szCs w:val="20"/>
                <w:shd w:val="clear" w:color="auto" w:fill="FFFFFF"/>
              </w:rPr>
              <w:t xml:space="preserve">, da si bo prizadevala za pravičnejše zastopanje žensk in moških na položajih odločanja v gospodarstvu in da bo po potrebi uporabila pristojnosti za uresničitev navedenih zavez. </w:t>
            </w:r>
          </w:p>
          <w:p w14:paraId="17D3833A" w14:textId="77777777" w:rsidR="000C08CA" w:rsidRPr="00605612" w:rsidRDefault="000C08CA" w:rsidP="00FE328D">
            <w:pPr>
              <w:spacing w:line="276" w:lineRule="auto"/>
              <w:jc w:val="both"/>
              <w:rPr>
                <w:rFonts w:cs="Arial"/>
                <w:color w:val="000000" w:themeColor="text1"/>
                <w:szCs w:val="20"/>
              </w:rPr>
            </w:pPr>
          </w:p>
          <w:p w14:paraId="285E1972" w14:textId="77777777" w:rsidR="000C08CA" w:rsidRPr="00605612" w:rsidRDefault="000C08CA" w:rsidP="00FE328D">
            <w:pPr>
              <w:spacing w:line="276" w:lineRule="auto"/>
              <w:jc w:val="both"/>
              <w:rPr>
                <w:rFonts w:cs="Arial"/>
                <w:color w:val="3F4A52"/>
                <w:szCs w:val="20"/>
                <w:lang w:eastAsia="sl-SI"/>
              </w:rPr>
            </w:pPr>
            <w:r w:rsidRPr="00605612">
              <w:rPr>
                <w:rFonts w:cs="Arial"/>
                <w:color w:val="000000"/>
                <w:szCs w:val="20"/>
                <w:shd w:val="clear" w:color="auto" w:fill="FFFFFF"/>
              </w:rPr>
              <w:t xml:space="preserve">Ker na podlagi nezavezujočih priporočil ni bilo napredka, je Komisija leta 2012 pripravila </w:t>
            </w:r>
            <w:r>
              <w:rPr>
                <w:rFonts w:cs="Arial"/>
                <w:color w:val="000000"/>
                <w:szCs w:val="20"/>
                <w:shd w:val="clear" w:color="auto" w:fill="FFFFFF"/>
              </w:rPr>
              <w:t>p</w:t>
            </w:r>
            <w:r w:rsidRPr="00605612">
              <w:rPr>
                <w:rFonts w:cs="Arial"/>
                <w:color w:val="000000"/>
                <w:szCs w:val="20"/>
                <w:shd w:val="clear" w:color="auto" w:fill="FFFFFF"/>
              </w:rPr>
              <w:t xml:space="preserve">redlog </w:t>
            </w:r>
            <w:r>
              <w:rPr>
                <w:rFonts w:cs="Arial"/>
                <w:color w:val="000000"/>
                <w:szCs w:val="20"/>
                <w:shd w:val="clear" w:color="auto" w:fill="FFFFFF"/>
              </w:rPr>
              <w:t>d</w:t>
            </w:r>
            <w:r w:rsidRPr="00605612">
              <w:rPr>
                <w:rFonts w:cs="Arial"/>
                <w:color w:val="000000"/>
                <w:szCs w:val="20"/>
                <w:shd w:val="clear" w:color="auto" w:fill="FFFFFF"/>
              </w:rPr>
              <w:t xml:space="preserve">irektive o zagotavljanju uravnotežene zastopanosti spolov med neizvršnimi direktorji družb, ki </w:t>
            </w:r>
            <w:r w:rsidRPr="00605612">
              <w:rPr>
                <w:rFonts w:cs="Arial"/>
                <w:szCs w:val="20"/>
                <w:shd w:val="clear" w:color="auto" w:fill="FFFFFF"/>
              </w:rPr>
              <w:t xml:space="preserve">kotirajo na borzi, in s tem povezanih ukrepih (COM(2012) 614 final). </w:t>
            </w:r>
            <w:r w:rsidRPr="00605612">
              <w:rPr>
                <w:rFonts w:cs="Arial"/>
                <w:szCs w:val="20"/>
                <w:lang w:eastAsia="sl-SI"/>
              </w:rPr>
              <w:t xml:space="preserve">Razprave v okviru delovne skupine </w:t>
            </w:r>
            <w:r>
              <w:rPr>
                <w:rFonts w:cs="Arial"/>
                <w:szCs w:val="20"/>
                <w:lang w:eastAsia="sl-SI"/>
              </w:rPr>
              <w:t>pri</w:t>
            </w:r>
            <w:r w:rsidRPr="00605612">
              <w:rPr>
                <w:rFonts w:cs="Arial"/>
                <w:szCs w:val="20"/>
                <w:lang w:eastAsia="sl-SI"/>
              </w:rPr>
              <w:t xml:space="preserve"> Svetu so potrdile, da cilj predlagane direktive uživa široko podporo, vendar so </w:t>
            </w:r>
            <w:r>
              <w:rPr>
                <w:rFonts w:cs="Arial"/>
                <w:szCs w:val="20"/>
                <w:lang w:eastAsia="sl-SI"/>
              </w:rPr>
              <w:t xml:space="preserve">nekatere </w:t>
            </w:r>
            <w:r w:rsidRPr="00605612">
              <w:rPr>
                <w:rFonts w:cs="Arial"/>
                <w:szCs w:val="20"/>
                <w:lang w:eastAsia="sl-SI"/>
              </w:rPr>
              <w:t>delegacije besedilu predloga direktive nasprotovale, predvsem temu, da predlog ni v skladu z načelom</w:t>
            </w:r>
            <w:r>
              <w:rPr>
                <w:rFonts w:cs="Arial"/>
                <w:szCs w:val="20"/>
                <w:lang w:eastAsia="sl-SI"/>
              </w:rPr>
              <w:t>a</w:t>
            </w:r>
            <w:r w:rsidRPr="00605612">
              <w:rPr>
                <w:rFonts w:cs="Arial"/>
                <w:szCs w:val="20"/>
                <w:lang w:eastAsia="sl-SI"/>
              </w:rPr>
              <w:t xml:space="preserve"> subsidiarnosti in sorazmernosti. Zato se Svet ni mogel dogovoriti o končnem besedilu. Šele med francoskim predsedovanjem</w:t>
            </w:r>
            <w:r>
              <w:rPr>
                <w:rFonts w:cs="Arial"/>
                <w:szCs w:val="20"/>
                <w:lang w:eastAsia="sl-SI"/>
              </w:rPr>
              <w:t xml:space="preserve"> </w:t>
            </w:r>
            <w:r w:rsidRPr="00955175">
              <w:rPr>
                <w:rFonts w:cs="Arial"/>
                <w:szCs w:val="20"/>
                <w:lang w:eastAsia="sl-SI"/>
              </w:rPr>
              <w:t xml:space="preserve">Svetu </w:t>
            </w:r>
            <w:r>
              <w:rPr>
                <w:rFonts w:cs="Arial"/>
                <w:szCs w:val="20"/>
                <w:lang w:eastAsia="sl-SI"/>
              </w:rPr>
              <w:t>EU</w:t>
            </w:r>
            <w:r w:rsidRPr="00605612">
              <w:rPr>
                <w:rFonts w:cs="Arial"/>
                <w:szCs w:val="20"/>
                <w:lang w:eastAsia="sl-SI"/>
              </w:rPr>
              <w:t xml:space="preserve"> februarja 2022 sta Svet in Evropski parlament dosegla politični dogovor o novem pravnem aktu EU, ki spodbuja bolj uravnoteženo zastopanost spolov v upravnih odborih družb, ki kotirajo na borzi. Svet je nato 17. oktobra 2022 sprejel končno besedilo direktive, ki je z objavo v Uradnem listu EU začela veljati 28. </w:t>
            </w:r>
            <w:r>
              <w:rPr>
                <w:rFonts w:cs="Arial"/>
                <w:szCs w:val="20"/>
                <w:lang w:eastAsia="sl-SI"/>
              </w:rPr>
              <w:t>decembra</w:t>
            </w:r>
            <w:r w:rsidRPr="00605612">
              <w:rPr>
                <w:rFonts w:cs="Arial"/>
                <w:szCs w:val="20"/>
                <w:lang w:eastAsia="sl-SI"/>
              </w:rPr>
              <w:t xml:space="preserve"> 2022. </w:t>
            </w:r>
          </w:p>
          <w:p w14:paraId="3D02E7EE" w14:textId="77777777" w:rsidR="000C08CA" w:rsidRPr="00605612" w:rsidRDefault="000C08CA" w:rsidP="00FE328D">
            <w:pPr>
              <w:spacing w:line="276" w:lineRule="auto"/>
              <w:jc w:val="both"/>
              <w:rPr>
                <w:rFonts w:cs="Arial"/>
                <w:color w:val="FF0000"/>
                <w:szCs w:val="20"/>
                <w:shd w:val="clear" w:color="auto" w:fill="FFFFFF"/>
              </w:rPr>
            </w:pPr>
          </w:p>
          <w:p w14:paraId="3388742C" w14:textId="77777777" w:rsidR="000C08CA" w:rsidRPr="00605612" w:rsidRDefault="000C08CA" w:rsidP="00FE328D">
            <w:pPr>
              <w:spacing w:line="276" w:lineRule="auto"/>
              <w:jc w:val="both"/>
              <w:rPr>
                <w:rStyle w:val="Bodytext1"/>
                <w:rFonts w:eastAsia="Times New Roman"/>
                <w:sz w:val="20"/>
                <w:szCs w:val="20"/>
              </w:rPr>
            </w:pPr>
            <w:r w:rsidRPr="00605612">
              <w:rPr>
                <w:rFonts w:cs="Arial"/>
                <w:szCs w:val="20"/>
                <w:shd w:val="clear" w:color="auto" w:fill="FFFFFF"/>
              </w:rPr>
              <w:t>Države članice si že več desetletij prizadevajo spodbujati enakost spolov v gospodarskem odločanju</w:t>
            </w:r>
            <w:r w:rsidRPr="00605612">
              <w:rPr>
                <w:rFonts w:cs="Arial"/>
                <w:noProof/>
                <w:szCs w:val="20"/>
              </w:rPr>
              <w:t>. To so poskusile z raznimi ukrepi, od sprejetja nacionalnih zakonodaj do spodbujanja samourejanja in sprejemanja priporočil (t.</w:t>
            </w:r>
            <w:r>
              <w:rPr>
                <w:rFonts w:cs="Arial"/>
                <w:noProof/>
                <w:szCs w:val="20"/>
              </w:rPr>
              <w:t xml:space="preserve"> </w:t>
            </w:r>
            <w:r w:rsidRPr="00605612">
              <w:rPr>
                <w:rFonts w:cs="Arial"/>
                <w:noProof/>
                <w:szCs w:val="20"/>
              </w:rPr>
              <w:t xml:space="preserve">i. mehki ukrepi). V nekaterih državah članicah </w:t>
            </w:r>
            <w:r>
              <w:rPr>
                <w:rFonts w:cs="Arial"/>
                <w:noProof/>
                <w:szCs w:val="20"/>
              </w:rPr>
              <w:t>EU</w:t>
            </w:r>
            <w:r w:rsidRPr="00605612">
              <w:rPr>
                <w:rFonts w:cs="Arial"/>
                <w:noProof/>
                <w:szCs w:val="20"/>
              </w:rPr>
              <w:t xml:space="preserve"> ni</w:t>
            </w:r>
            <w:r>
              <w:rPr>
                <w:rFonts w:cs="Arial"/>
                <w:noProof/>
                <w:szCs w:val="20"/>
              </w:rPr>
              <w:t>so</w:t>
            </w:r>
            <w:r w:rsidRPr="00605612">
              <w:rPr>
                <w:rFonts w:cs="Arial"/>
                <w:noProof/>
                <w:szCs w:val="20"/>
              </w:rPr>
              <w:t xml:space="preserve"> bil</w:t>
            </w:r>
            <w:r>
              <w:rPr>
                <w:rFonts w:cs="Arial"/>
                <w:noProof/>
                <w:szCs w:val="20"/>
              </w:rPr>
              <w:t>i</w:t>
            </w:r>
            <w:r w:rsidRPr="00605612">
              <w:rPr>
                <w:rFonts w:cs="Arial"/>
                <w:noProof/>
                <w:szCs w:val="20"/>
              </w:rPr>
              <w:t xml:space="preserve"> uvedeni nobeni ukrep</w:t>
            </w:r>
            <w:r>
              <w:rPr>
                <w:rFonts w:cs="Arial"/>
                <w:noProof/>
                <w:szCs w:val="20"/>
              </w:rPr>
              <w:t>i</w:t>
            </w:r>
            <w:r w:rsidRPr="00605612">
              <w:rPr>
                <w:rFonts w:cs="Arial"/>
                <w:noProof/>
                <w:szCs w:val="20"/>
              </w:rPr>
              <w:t xml:space="preserve">. Napredek </w:t>
            </w:r>
            <w:r>
              <w:rPr>
                <w:rFonts w:cs="Arial"/>
                <w:noProof/>
                <w:szCs w:val="20"/>
              </w:rPr>
              <w:t>glede</w:t>
            </w:r>
            <w:r w:rsidRPr="00605612">
              <w:rPr>
                <w:rFonts w:cs="Arial"/>
                <w:noProof/>
                <w:szCs w:val="20"/>
              </w:rPr>
              <w:t xml:space="preserve"> večje zastopanosti žensk med osebami, odgovornimi za vodenje in nadzor družb, je v državah članicah </w:t>
            </w:r>
            <w:r>
              <w:rPr>
                <w:rFonts w:cs="Arial"/>
                <w:noProof/>
                <w:szCs w:val="20"/>
              </w:rPr>
              <w:t xml:space="preserve">EU </w:t>
            </w:r>
            <w:r w:rsidRPr="00605612">
              <w:rPr>
                <w:rFonts w:cs="Arial"/>
                <w:noProof/>
                <w:szCs w:val="20"/>
              </w:rPr>
              <w:t>zelo počasen</w:t>
            </w:r>
            <w:r>
              <w:rPr>
                <w:rFonts w:cs="Arial"/>
                <w:noProof/>
                <w:szCs w:val="20"/>
              </w:rPr>
              <w:t>. M</w:t>
            </w:r>
            <w:r w:rsidRPr="00605612">
              <w:rPr>
                <w:rFonts w:cs="Arial"/>
                <w:noProof/>
                <w:szCs w:val="20"/>
              </w:rPr>
              <w:t>ed letoma 2003 in 2010 se je delež žensk na teh položajih v povprečju povečeval za 0,5 odstotne točke na leto, med letoma 2010 in 2015 se je povečal na 2,1 odstotne točke na leto, predvsem zaradi uvedbe zakonodajnih ukrepov v Nemčiji, Franciji in Italiji, nato pa se je napredek med letoma 2015 in 2022 upočasnil na 1,4</w:t>
            </w:r>
            <w:r>
              <w:rPr>
                <w:rFonts w:cs="Arial"/>
                <w:noProof/>
                <w:szCs w:val="20"/>
              </w:rPr>
              <w:t> </w:t>
            </w:r>
            <w:r w:rsidRPr="00605612">
              <w:rPr>
                <w:rFonts w:cs="Arial"/>
                <w:noProof/>
                <w:szCs w:val="20"/>
              </w:rPr>
              <w:t>odstotne točke na leto</w:t>
            </w:r>
            <w:r w:rsidRPr="00605612">
              <w:rPr>
                <w:rStyle w:val="FootnoteReference"/>
                <w:rFonts w:cs="Arial"/>
                <w:noProof/>
                <w:szCs w:val="20"/>
              </w:rPr>
              <w:footnoteReference w:id="11"/>
            </w:r>
            <w:r w:rsidRPr="00605612">
              <w:rPr>
                <w:rFonts w:cs="Arial"/>
                <w:noProof/>
                <w:szCs w:val="20"/>
              </w:rPr>
              <w:t>. H</w:t>
            </w:r>
            <w:r w:rsidRPr="00605612">
              <w:rPr>
                <w:rFonts w:cs="Arial"/>
                <w:noProof/>
                <w:color w:val="000000"/>
                <w:szCs w:val="20"/>
              </w:rPr>
              <w:t xml:space="preserve">itrost napredka se med posameznimi državami članicami razlikuje, posledica pa so tudi zelo različni rezultati. </w:t>
            </w:r>
            <w:r w:rsidRPr="00605612">
              <w:rPr>
                <w:rFonts w:cs="Arial"/>
                <w:szCs w:val="20"/>
                <w:bdr w:val="none" w:sz="0" w:space="0" w:color="auto" w:frame="1"/>
                <w:shd w:val="clear" w:color="auto" w:fill="FFFFFF"/>
              </w:rPr>
              <w:t xml:space="preserve">Leta 2022 je </w:t>
            </w:r>
            <w:r w:rsidRPr="00605612">
              <w:rPr>
                <w:rFonts w:cs="Arial"/>
                <w:szCs w:val="20"/>
              </w:rPr>
              <w:t>bilo</w:t>
            </w:r>
            <w:r w:rsidRPr="00605612">
              <w:rPr>
                <w:rFonts w:cs="Arial"/>
                <w:szCs w:val="20"/>
                <w:bdr w:val="none" w:sz="0" w:space="0" w:color="auto" w:frame="1"/>
                <w:shd w:val="clear" w:color="auto" w:fill="FFFFFF"/>
              </w:rPr>
              <w:t xml:space="preserve"> v povprečju 30,6 % žensk, ki so odgovorne za vodenje in nadziranje največjih podjetij v EU, ki kotirajo na borzi, s precejšnjimi razlikami med državami članicami (od 45,3 % v Franciji do 8,5 % na Cipru). </w:t>
            </w:r>
            <w:r w:rsidRPr="00605612">
              <w:rPr>
                <w:rFonts w:cs="Arial"/>
                <w:noProof/>
                <w:szCs w:val="20"/>
              </w:rPr>
              <w:t>Največji napredek</w:t>
            </w:r>
            <w:r w:rsidRPr="00605612" w:rsidDel="00955175">
              <w:rPr>
                <w:rFonts w:cs="Arial"/>
                <w:noProof/>
                <w:szCs w:val="20"/>
              </w:rPr>
              <w:t xml:space="preserve"> </w:t>
            </w:r>
            <w:r>
              <w:rPr>
                <w:rFonts w:cs="Arial"/>
                <w:noProof/>
                <w:szCs w:val="20"/>
              </w:rPr>
              <w:t>je v</w:t>
            </w:r>
            <w:r w:rsidRPr="00605612">
              <w:rPr>
                <w:rFonts w:cs="Arial"/>
                <w:noProof/>
                <w:szCs w:val="20"/>
              </w:rPr>
              <w:t xml:space="preserve"> tist</w:t>
            </w:r>
            <w:r>
              <w:rPr>
                <w:rFonts w:cs="Arial"/>
                <w:noProof/>
                <w:szCs w:val="20"/>
              </w:rPr>
              <w:t>ih</w:t>
            </w:r>
            <w:r w:rsidRPr="00605612">
              <w:rPr>
                <w:rFonts w:cs="Arial"/>
                <w:noProof/>
                <w:szCs w:val="20"/>
              </w:rPr>
              <w:t xml:space="preserve"> držav</w:t>
            </w:r>
            <w:r>
              <w:rPr>
                <w:rFonts w:cs="Arial"/>
                <w:noProof/>
                <w:szCs w:val="20"/>
              </w:rPr>
              <w:t>ah</w:t>
            </w:r>
            <w:r w:rsidRPr="00605612">
              <w:rPr>
                <w:rFonts w:cs="Arial"/>
                <w:noProof/>
                <w:szCs w:val="20"/>
              </w:rPr>
              <w:t xml:space="preserve"> članic</w:t>
            </w:r>
            <w:r>
              <w:rPr>
                <w:rFonts w:cs="Arial"/>
                <w:noProof/>
                <w:szCs w:val="20"/>
              </w:rPr>
              <w:t>ah EU</w:t>
            </w:r>
            <w:r w:rsidRPr="00605612">
              <w:rPr>
                <w:rFonts w:cs="Arial"/>
                <w:noProof/>
                <w:szCs w:val="20"/>
              </w:rPr>
              <w:t xml:space="preserve"> in drug</w:t>
            </w:r>
            <w:r>
              <w:rPr>
                <w:rFonts w:cs="Arial"/>
                <w:noProof/>
                <w:szCs w:val="20"/>
              </w:rPr>
              <w:t>ih</w:t>
            </w:r>
            <w:r w:rsidRPr="00605612">
              <w:rPr>
                <w:rFonts w:cs="Arial"/>
                <w:noProof/>
                <w:szCs w:val="20"/>
              </w:rPr>
              <w:t xml:space="preserve"> držav</w:t>
            </w:r>
            <w:r>
              <w:rPr>
                <w:rFonts w:cs="Arial"/>
                <w:noProof/>
                <w:szCs w:val="20"/>
              </w:rPr>
              <w:t>ah</w:t>
            </w:r>
            <w:r w:rsidRPr="00605612">
              <w:rPr>
                <w:rFonts w:cs="Arial"/>
                <w:noProof/>
                <w:szCs w:val="20"/>
              </w:rPr>
              <w:t>, v katerih so bili uvedeni zavezujoči ukrepi</w:t>
            </w:r>
            <w:r>
              <w:rPr>
                <w:rFonts w:cs="Arial"/>
                <w:noProof/>
                <w:szCs w:val="20"/>
              </w:rPr>
              <w:t>.</w:t>
            </w:r>
            <w:r w:rsidRPr="00605612">
              <w:rPr>
                <w:rStyle w:val="FootnoteReference"/>
                <w:rFonts w:cs="Arial"/>
                <w:noProof/>
                <w:szCs w:val="20"/>
              </w:rPr>
              <w:footnoteReference w:id="12"/>
            </w:r>
            <w:r w:rsidRPr="00605612">
              <w:rPr>
                <w:rFonts w:cs="Arial"/>
                <w:szCs w:val="20"/>
              </w:rPr>
              <w:t xml:space="preserve"> Učinek zavezujočih deležev glede zastopanosti spolov med osebami</w:t>
            </w:r>
            <w:r>
              <w:rPr>
                <w:rFonts w:cs="Arial"/>
                <w:szCs w:val="20"/>
              </w:rPr>
              <w:t>,</w:t>
            </w:r>
            <w:r w:rsidRPr="00605612">
              <w:rPr>
                <w:rFonts w:cs="Arial"/>
                <w:szCs w:val="20"/>
              </w:rPr>
              <w:t xml:space="preserve"> odgovornimi za vodenje in nadzor družb, je jasen: oktobra 2022 je bil v EU delež žensk na vodilnih mestih največjih družb, ki kotirajo na borzi, v osmih državah z zavezujočimi zakonodajnimi zahtevami</w:t>
            </w:r>
            <w:r>
              <w:rPr>
                <w:rFonts w:cs="Arial"/>
                <w:szCs w:val="20"/>
              </w:rPr>
              <w:t xml:space="preserve"> </w:t>
            </w:r>
            <w:r w:rsidRPr="00605612">
              <w:rPr>
                <w:rFonts w:cs="Arial"/>
                <w:szCs w:val="20"/>
              </w:rPr>
              <w:t>38,2 %</w:t>
            </w:r>
            <w:r>
              <w:rPr>
                <w:rFonts w:cs="Arial"/>
                <w:szCs w:val="20"/>
              </w:rPr>
              <w:t>,</w:t>
            </w:r>
            <w:r w:rsidRPr="00605612" w:rsidDel="00955175">
              <w:rPr>
                <w:rFonts w:cs="Arial"/>
                <w:szCs w:val="20"/>
              </w:rPr>
              <w:t xml:space="preserve"> v </w:t>
            </w:r>
            <w:r w:rsidRPr="00605612">
              <w:rPr>
                <w:rFonts w:cs="Arial"/>
                <w:szCs w:val="20"/>
              </w:rPr>
              <w:t>državah članicah</w:t>
            </w:r>
            <w:r>
              <w:rPr>
                <w:rFonts w:cs="Arial"/>
                <w:szCs w:val="20"/>
              </w:rPr>
              <w:t xml:space="preserve"> EU</w:t>
            </w:r>
            <w:r w:rsidRPr="00605612">
              <w:rPr>
                <w:rFonts w:cs="Arial"/>
                <w:szCs w:val="20"/>
              </w:rPr>
              <w:t>, v katerih spodbujajo in sprejemajo priporočila za samourejanje področja</w:t>
            </w:r>
            <w:r>
              <w:rPr>
                <w:rFonts w:cs="Arial"/>
                <w:szCs w:val="20"/>
              </w:rPr>
              <w:t xml:space="preserve">, je bil ta delež </w:t>
            </w:r>
            <w:r w:rsidRPr="00605612">
              <w:rPr>
                <w:rFonts w:cs="Arial"/>
                <w:szCs w:val="20"/>
              </w:rPr>
              <w:t>31,4 %, v</w:t>
            </w:r>
            <w:r w:rsidRPr="00605612" w:rsidDel="00955175">
              <w:rPr>
                <w:rFonts w:cs="Arial"/>
                <w:szCs w:val="20"/>
              </w:rPr>
              <w:t xml:space="preserve"> </w:t>
            </w:r>
            <w:r w:rsidRPr="00605612">
              <w:rPr>
                <w:rFonts w:cs="Arial"/>
                <w:szCs w:val="20"/>
              </w:rPr>
              <w:t>državah članicah</w:t>
            </w:r>
            <w:r>
              <w:rPr>
                <w:rFonts w:cs="Arial"/>
                <w:szCs w:val="20"/>
              </w:rPr>
              <w:t xml:space="preserve"> EU</w:t>
            </w:r>
            <w:r w:rsidRPr="00605612">
              <w:rPr>
                <w:rFonts w:cs="Arial"/>
                <w:szCs w:val="20"/>
              </w:rPr>
              <w:t>, ki niso sprejele nobenih ukrepov</w:t>
            </w:r>
            <w:r>
              <w:rPr>
                <w:rFonts w:cs="Arial"/>
                <w:szCs w:val="20"/>
              </w:rPr>
              <w:t xml:space="preserve">, pa je bil ta delež </w:t>
            </w:r>
            <w:r w:rsidRPr="00605612">
              <w:rPr>
                <w:rFonts w:cs="Arial"/>
                <w:szCs w:val="20"/>
              </w:rPr>
              <w:t>le 17,6 %</w:t>
            </w:r>
            <w:r>
              <w:rPr>
                <w:rFonts w:cs="Arial"/>
                <w:szCs w:val="20"/>
              </w:rPr>
              <w:t>.</w:t>
            </w:r>
            <w:r w:rsidRPr="00605612">
              <w:rPr>
                <w:rStyle w:val="FootnoteReference"/>
                <w:rFonts w:cs="Arial"/>
                <w:szCs w:val="20"/>
              </w:rPr>
              <w:footnoteReference w:id="13"/>
            </w:r>
            <w:r w:rsidRPr="00605612">
              <w:rPr>
                <w:rFonts w:cs="Arial"/>
                <w:szCs w:val="20"/>
              </w:rPr>
              <w:t xml:space="preserve"> </w:t>
            </w:r>
            <w:r w:rsidRPr="00605612">
              <w:rPr>
                <w:rStyle w:val="Bodytext1"/>
                <w:sz w:val="20"/>
                <w:szCs w:val="20"/>
              </w:rPr>
              <w:t>Podatki Evropskega inštituta za enakost spolov</w:t>
            </w:r>
            <w:r w:rsidRPr="00605612">
              <w:rPr>
                <w:rStyle w:val="FootnoteReference"/>
                <w:rFonts w:cs="Arial"/>
                <w:szCs w:val="20"/>
              </w:rPr>
              <w:footnoteReference w:id="14"/>
            </w:r>
            <w:r w:rsidRPr="00605612">
              <w:rPr>
                <w:rStyle w:val="Bodytext1"/>
                <w:sz w:val="20"/>
                <w:szCs w:val="20"/>
              </w:rPr>
              <w:t xml:space="preserve"> (EIGE) kažejo, da je v prvi polovici leta 2023 delež žensk med osebami, odgovornimi za vodenje in nadzor največjih družb, ki kotirajo na borzi in so registrirane v državah članicah</w:t>
            </w:r>
            <w:r>
              <w:rPr>
                <w:rStyle w:val="Bodytext1"/>
                <w:sz w:val="20"/>
                <w:szCs w:val="20"/>
              </w:rPr>
              <w:t xml:space="preserve"> EU</w:t>
            </w:r>
            <w:r w:rsidRPr="00605612">
              <w:rPr>
                <w:rStyle w:val="Bodytext1"/>
                <w:sz w:val="20"/>
                <w:szCs w:val="20"/>
              </w:rPr>
              <w:t xml:space="preserve">, dosegel 34 %, od tega je </w:t>
            </w:r>
            <w:r w:rsidRPr="00605612">
              <w:rPr>
                <w:rFonts w:cs="Arial"/>
                <w:szCs w:val="20"/>
              </w:rPr>
              <w:t>manj kot 8,4 % žensk na položaju izvršnih direktoric teh družb</w:t>
            </w:r>
            <w:r w:rsidRPr="00605612">
              <w:rPr>
                <w:rStyle w:val="Bodytext1"/>
                <w:sz w:val="20"/>
                <w:szCs w:val="20"/>
              </w:rPr>
              <w:t xml:space="preserve">. V štirih državah (Francija, </w:t>
            </w:r>
            <w:r w:rsidRPr="00605612">
              <w:rPr>
                <w:rStyle w:val="Bodytext1"/>
                <w:sz w:val="20"/>
                <w:szCs w:val="20"/>
              </w:rPr>
              <w:lastRenderedPageBreak/>
              <w:t xml:space="preserve">Italija, Nizozemska in Danska) je med osebami, odgovornimi za vodenje in nadzor največjih družb, ki kotirajo na borzi, vsaj 40 % obeh spolov: Belgija se temu cilju približuje (39,2 %). Nemčija, Finska, Španija, Švedska, Irska, Portugalska in Avstrija so dosegle cilj 33 %, ki ga je EU predlagala za vse osebe, odgovorne za vodenje in nadziranje poslov družb. Na Madžarskem, v Estoniji in na Cipru ženske </w:t>
            </w:r>
            <w:r>
              <w:rPr>
                <w:rStyle w:val="Bodytext1"/>
                <w:sz w:val="20"/>
                <w:szCs w:val="20"/>
              </w:rPr>
              <w:t>zajemajo</w:t>
            </w:r>
            <w:r w:rsidRPr="00605612">
              <w:rPr>
                <w:rStyle w:val="Bodytext1"/>
                <w:sz w:val="20"/>
                <w:szCs w:val="20"/>
              </w:rPr>
              <w:t xml:space="preserve"> le eno od desetih oseb, ki so odgovorne za vodenje in nadziranje poslov družbe</w:t>
            </w:r>
            <w:r>
              <w:rPr>
                <w:rStyle w:val="Bodytext1"/>
                <w:sz w:val="20"/>
                <w:szCs w:val="20"/>
              </w:rPr>
              <w:t>.</w:t>
            </w:r>
            <w:r w:rsidRPr="00605612">
              <w:rPr>
                <w:rStyle w:val="Bodytext1"/>
                <w:sz w:val="20"/>
                <w:szCs w:val="20"/>
                <w:vertAlign w:val="superscript"/>
              </w:rPr>
              <w:footnoteReference w:id="15"/>
            </w:r>
          </w:p>
          <w:p w14:paraId="14DD863E" w14:textId="77777777" w:rsidR="000C08CA" w:rsidRPr="00605612" w:rsidRDefault="000C08CA" w:rsidP="00FE328D">
            <w:pPr>
              <w:spacing w:line="276" w:lineRule="auto"/>
              <w:jc w:val="both"/>
              <w:rPr>
                <w:rFonts w:cs="Arial"/>
                <w:color w:val="000000"/>
                <w:szCs w:val="20"/>
              </w:rPr>
            </w:pPr>
          </w:p>
          <w:p w14:paraId="1173AC3A" w14:textId="77777777" w:rsidR="000C08CA" w:rsidRPr="00605612" w:rsidRDefault="000C08CA" w:rsidP="00FE328D">
            <w:pPr>
              <w:spacing w:line="276" w:lineRule="auto"/>
              <w:jc w:val="both"/>
              <w:rPr>
                <w:rFonts w:cs="Arial"/>
                <w:szCs w:val="20"/>
              </w:rPr>
            </w:pPr>
            <w:r w:rsidRPr="00605612">
              <w:rPr>
                <w:rFonts w:cs="Arial"/>
                <w:szCs w:val="20"/>
              </w:rPr>
              <w:t>Kljub vsem naporom institucij in držav članic</w:t>
            </w:r>
            <w:r>
              <w:rPr>
                <w:rFonts w:cs="Arial"/>
                <w:szCs w:val="20"/>
              </w:rPr>
              <w:t xml:space="preserve"> EU</w:t>
            </w:r>
            <w:r w:rsidRPr="00605612">
              <w:rPr>
                <w:rFonts w:cs="Arial"/>
                <w:szCs w:val="20"/>
              </w:rPr>
              <w:t xml:space="preserve"> </w:t>
            </w:r>
            <w:r w:rsidRPr="00605612">
              <w:rPr>
                <w:rStyle w:val="Bodytext1"/>
                <w:sz w:val="20"/>
                <w:szCs w:val="20"/>
              </w:rPr>
              <w:t xml:space="preserve">vztrajno neravnovesje med spoloma med ključnimi akterji odločanja v velikih družbah </w:t>
            </w:r>
            <w:r>
              <w:rPr>
                <w:rStyle w:val="Bodytext1"/>
                <w:sz w:val="20"/>
                <w:szCs w:val="20"/>
              </w:rPr>
              <w:t xml:space="preserve">vzbuja </w:t>
            </w:r>
            <w:r w:rsidRPr="00605612">
              <w:rPr>
                <w:rStyle w:val="Bodytext1"/>
                <w:sz w:val="20"/>
                <w:szCs w:val="20"/>
              </w:rPr>
              <w:t xml:space="preserve">skrb. </w:t>
            </w:r>
            <w:r w:rsidRPr="00605612">
              <w:rPr>
                <w:rFonts w:cs="Arial"/>
                <w:szCs w:val="20"/>
              </w:rPr>
              <w:t xml:space="preserve">Vprašanje večje zastopanosti žensk (tj. manj zastopanega spola) v gospodarskem odločanju zato postaja vedno bolj pomembno v nacionalnem, evropskem in mednarodnem </w:t>
            </w:r>
            <w:r>
              <w:rPr>
                <w:rFonts w:cs="Arial"/>
                <w:szCs w:val="20"/>
              </w:rPr>
              <w:t>okolju</w:t>
            </w:r>
            <w:r w:rsidRPr="00605612">
              <w:rPr>
                <w:rFonts w:cs="Arial"/>
                <w:szCs w:val="20"/>
              </w:rPr>
              <w:t>, pri čemer je treba posebej poudariti gospodarsko razsežnost uravnotežene zastopanosti spolov.</w:t>
            </w:r>
          </w:p>
          <w:p w14:paraId="1DA2ED49" w14:textId="77777777" w:rsidR="000C08CA" w:rsidRPr="00605612" w:rsidRDefault="000C08CA" w:rsidP="00FE328D">
            <w:pPr>
              <w:spacing w:line="276" w:lineRule="auto"/>
              <w:jc w:val="both"/>
              <w:rPr>
                <w:rFonts w:cs="Arial"/>
                <w:szCs w:val="20"/>
              </w:rPr>
            </w:pPr>
          </w:p>
          <w:p w14:paraId="0E75D68D" w14:textId="77777777" w:rsidR="000C08CA" w:rsidRPr="00605612" w:rsidRDefault="000C08CA" w:rsidP="00FE328D">
            <w:pPr>
              <w:spacing w:line="276" w:lineRule="auto"/>
              <w:jc w:val="both"/>
              <w:rPr>
                <w:rFonts w:cs="Arial"/>
                <w:color w:val="000000"/>
                <w:szCs w:val="20"/>
              </w:rPr>
            </w:pPr>
            <w:r w:rsidRPr="00605612">
              <w:rPr>
                <w:rFonts w:cs="Arial"/>
                <w:noProof/>
                <w:szCs w:val="20"/>
              </w:rPr>
              <w:t xml:space="preserve">Zaradi različnih predpisov </w:t>
            </w:r>
            <w:r w:rsidRPr="00605612">
              <w:rPr>
                <w:rFonts w:cs="Arial"/>
                <w:szCs w:val="20"/>
              </w:rPr>
              <w:t xml:space="preserve">in </w:t>
            </w:r>
            <w:r w:rsidRPr="00605612">
              <w:rPr>
                <w:rFonts w:cs="Arial"/>
                <w:noProof/>
                <w:szCs w:val="20"/>
              </w:rPr>
              <w:t>pristopov</w:t>
            </w:r>
            <w:r w:rsidRPr="00605612">
              <w:rPr>
                <w:rFonts w:cs="Arial"/>
                <w:szCs w:val="20"/>
              </w:rPr>
              <w:t xml:space="preserve"> ali </w:t>
            </w:r>
            <w:r w:rsidRPr="00605612">
              <w:rPr>
                <w:rFonts w:cs="Arial"/>
                <w:noProof/>
                <w:szCs w:val="20"/>
              </w:rPr>
              <w:t>pomanjkanja</w:t>
            </w:r>
            <w:r w:rsidRPr="00605612">
              <w:rPr>
                <w:rFonts w:cs="Arial"/>
                <w:szCs w:val="20"/>
              </w:rPr>
              <w:t xml:space="preserve"> predpisov na nacionalni ravni </w:t>
            </w:r>
            <w:r>
              <w:rPr>
                <w:rFonts w:cs="Arial"/>
                <w:szCs w:val="20"/>
                <w:shd w:val="clear" w:color="auto" w:fill="FFFFFF"/>
              </w:rPr>
              <w:t>so opazna</w:t>
            </w:r>
            <w:r w:rsidRPr="00605612">
              <w:rPr>
                <w:rFonts w:cs="Arial"/>
                <w:szCs w:val="20"/>
                <w:shd w:val="clear" w:color="auto" w:fill="FFFFFF"/>
              </w:rPr>
              <w:t xml:space="preserve"> velik</w:t>
            </w:r>
            <w:r>
              <w:rPr>
                <w:rFonts w:cs="Arial"/>
                <w:szCs w:val="20"/>
                <w:shd w:val="clear" w:color="auto" w:fill="FFFFFF"/>
              </w:rPr>
              <w:t>a</w:t>
            </w:r>
            <w:r w:rsidRPr="00605612">
              <w:rPr>
                <w:rFonts w:cs="Arial"/>
                <w:szCs w:val="20"/>
                <w:shd w:val="clear" w:color="auto" w:fill="FFFFFF"/>
              </w:rPr>
              <w:t xml:space="preserve"> nihanj</w:t>
            </w:r>
            <w:r>
              <w:rPr>
                <w:rFonts w:cs="Arial"/>
                <w:szCs w:val="20"/>
                <w:shd w:val="clear" w:color="auto" w:fill="FFFFFF"/>
              </w:rPr>
              <w:t>a</w:t>
            </w:r>
            <w:r w:rsidRPr="00605612">
              <w:rPr>
                <w:rFonts w:cs="Arial"/>
                <w:szCs w:val="20"/>
                <w:shd w:val="clear" w:color="auto" w:fill="FFFFFF"/>
              </w:rPr>
              <w:t xml:space="preserve"> v številu žensk med osebami, odgovornimi za vodenje in nadziranje poslov družb</w:t>
            </w:r>
            <w:r>
              <w:rPr>
                <w:rFonts w:cs="Arial"/>
                <w:szCs w:val="20"/>
                <w:shd w:val="clear" w:color="auto" w:fill="FFFFFF"/>
              </w:rPr>
              <w:t>,</w:t>
            </w:r>
            <w:r w:rsidRPr="00605612">
              <w:rPr>
                <w:rFonts w:cs="Arial"/>
                <w:szCs w:val="20"/>
                <w:shd w:val="clear" w:color="auto" w:fill="FFFFFF"/>
              </w:rPr>
              <w:t xml:space="preserve"> posledično </w:t>
            </w:r>
            <w:r>
              <w:rPr>
                <w:rFonts w:cs="Arial"/>
                <w:szCs w:val="20"/>
                <w:shd w:val="clear" w:color="auto" w:fill="FFFFFF"/>
              </w:rPr>
              <w:t>je</w:t>
            </w:r>
            <w:r w:rsidRPr="00605612">
              <w:rPr>
                <w:rFonts w:cs="Arial"/>
                <w:szCs w:val="20"/>
                <w:shd w:val="clear" w:color="auto" w:fill="FFFFFF"/>
              </w:rPr>
              <w:t xml:space="preserve"> napred</w:t>
            </w:r>
            <w:r>
              <w:rPr>
                <w:rFonts w:cs="Arial"/>
                <w:szCs w:val="20"/>
                <w:shd w:val="clear" w:color="auto" w:fill="FFFFFF"/>
              </w:rPr>
              <w:t>e</w:t>
            </w:r>
            <w:r w:rsidRPr="00605612">
              <w:rPr>
                <w:rFonts w:cs="Arial"/>
                <w:szCs w:val="20"/>
                <w:shd w:val="clear" w:color="auto" w:fill="FFFFFF"/>
              </w:rPr>
              <w:t>k na tem področju v državah članicah</w:t>
            </w:r>
            <w:r>
              <w:rPr>
                <w:rFonts w:cs="Arial"/>
                <w:szCs w:val="20"/>
                <w:shd w:val="clear" w:color="auto" w:fill="FFFFFF"/>
              </w:rPr>
              <w:t xml:space="preserve"> EU različno hiter</w:t>
            </w:r>
            <w:r w:rsidRPr="00605612">
              <w:rPr>
                <w:rFonts w:cs="Arial"/>
                <w:szCs w:val="20"/>
                <w:shd w:val="clear" w:color="auto" w:fill="FFFFFF"/>
              </w:rPr>
              <w:t>, hkrati pa uvajanje različnih zahtev glede upravljanja evropskih družb, ki kotirajo na borzi, ovira delovanje notranjega trga</w:t>
            </w:r>
            <w:r w:rsidRPr="00605612">
              <w:rPr>
                <w:rFonts w:cs="Arial"/>
                <w:color w:val="333333"/>
                <w:szCs w:val="20"/>
                <w:shd w:val="clear" w:color="auto" w:fill="FFFFFF"/>
              </w:rPr>
              <w:t>.</w:t>
            </w:r>
            <w:r w:rsidRPr="00605612">
              <w:rPr>
                <w:rFonts w:cs="Arial"/>
                <w:color w:val="000000"/>
                <w:szCs w:val="20"/>
              </w:rPr>
              <w:t xml:space="preserve"> </w:t>
            </w:r>
          </w:p>
          <w:p w14:paraId="59B48835" w14:textId="77777777" w:rsidR="000C08CA" w:rsidRPr="00605612" w:rsidRDefault="000C08CA" w:rsidP="00FE328D">
            <w:pPr>
              <w:spacing w:line="276" w:lineRule="auto"/>
              <w:jc w:val="both"/>
              <w:rPr>
                <w:rStyle w:val="Heading31"/>
                <w:b w:val="0"/>
                <w:color w:val="000000"/>
                <w:szCs w:val="20"/>
              </w:rPr>
            </w:pPr>
          </w:p>
          <w:p w14:paraId="7DDA40CD" w14:textId="77777777" w:rsidR="000C08CA" w:rsidRPr="00605612" w:rsidRDefault="000C08CA" w:rsidP="00FE328D">
            <w:pPr>
              <w:spacing w:line="276" w:lineRule="auto"/>
              <w:jc w:val="both"/>
              <w:rPr>
                <w:rStyle w:val="Heading31"/>
                <w:b w:val="0"/>
                <w:szCs w:val="20"/>
              </w:rPr>
            </w:pPr>
            <w:r w:rsidRPr="00605612">
              <w:rPr>
                <w:rFonts w:cs="Arial"/>
                <w:szCs w:val="20"/>
              </w:rPr>
              <w:t xml:space="preserve">V večini držav članic </w:t>
            </w:r>
            <w:r>
              <w:rPr>
                <w:rFonts w:cs="Arial"/>
                <w:szCs w:val="20"/>
              </w:rPr>
              <w:t xml:space="preserve">EU </w:t>
            </w:r>
            <w:r w:rsidRPr="00605612">
              <w:rPr>
                <w:rFonts w:cs="Arial"/>
                <w:szCs w:val="20"/>
              </w:rPr>
              <w:t>pomanjkanje preglednosti pri izbirnih postopkih in merilih glede kvalifikacij za osebe</w:t>
            </w:r>
            <w:r w:rsidRPr="00605612">
              <w:rPr>
                <w:rFonts w:cs="Arial"/>
                <w:noProof/>
                <w:szCs w:val="20"/>
              </w:rPr>
              <w:t>,</w:t>
            </w:r>
            <w:r w:rsidRPr="00605612">
              <w:rPr>
                <w:rFonts w:cs="Arial"/>
                <w:szCs w:val="20"/>
              </w:rPr>
              <w:t xml:space="preserve"> odgovorne za vodenje in nadzor družb</w:t>
            </w:r>
            <w:r>
              <w:rPr>
                <w:rFonts w:cs="Arial"/>
                <w:szCs w:val="20"/>
              </w:rPr>
              <w:t>,</w:t>
            </w:r>
            <w:r w:rsidRPr="00605612">
              <w:rPr>
                <w:rFonts w:cs="Arial"/>
                <w:szCs w:val="20"/>
              </w:rPr>
              <w:t xml:space="preserve"> </w:t>
            </w:r>
            <w:r>
              <w:rPr>
                <w:rFonts w:cs="Arial"/>
                <w:szCs w:val="20"/>
              </w:rPr>
              <w:t>močno</w:t>
            </w:r>
            <w:r w:rsidRPr="00605612">
              <w:rPr>
                <w:rFonts w:cs="Arial"/>
                <w:szCs w:val="20"/>
              </w:rPr>
              <w:t xml:space="preserve"> ovira doseganje uravnotežene zastopanosti spolov na vodilnih položajih v družbah ter negativno vpliva na poklicno pot in mobilnost kandidatov </w:t>
            </w:r>
            <w:r w:rsidRPr="00605612">
              <w:rPr>
                <w:rFonts w:cs="Arial"/>
                <w:noProof/>
                <w:szCs w:val="20"/>
              </w:rPr>
              <w:t xml:space="preserve">in kandidatk </w:t>
            </w:r>
            <w:r w:rsidRPr="00605612">
              <w:rPr>
                <w:rFonts w:cs="Arial"/>
                <w:szCs w:val="20"/>
              </w:rPr>
              <w:t xml:space="preserve">za navedena mesta </w:t>
            </w:r>
            <w:r>
              <w:rPr>
                <w:rFonts w:cs="Arial"/>
                <w:szCs w:val="20"/>
              </w:rPr>
              <w:t>ter</w:t>
            </w:r>
            <w:r w:rsidRPr="00605612">
              <w:rPr>
                <w:rFonts w:cs="Arial"/>
                <w:szCs w:val="20"/>
              </w:rPr>
              <w:t xml:space="preserve"> na odločitve vlagateljev. Razpoložljivost ustreznih informacij o zastopanosti spolov med osebami</w:t>
            </w:r>
            <w:r w:rsidRPr="00605612">
              <w:rPr>
                <w:rFonts w:cs="Arial"/>
                <w:noProof/>
                <w:szCs w:val="20"/>
              </w:rPr>
              <w:t>,</w:t>
            </w:r>
            <w:r w:rsidRPr="00605612">
              <w:rPr>
                <w:rFonts w:cs="Arial"/>
                <w:szCs w:val="20"/>
              </w:rPr>
              <w:t xml:space="preserve"> odgovornimi za vodenje in nadzor poslov družbe</w:t>
            </w:r>
            <w:r w:rsidRPr="00605612">
              <w:rPr>
                <w:rFonts w:cs="Arial"/>
                <w:noProof/>
                <w:szCs w:val="20"/>
              </w:rPr>
              <w:t>,</w:t>
            </w:r>
            <w:r w:rsidRPr="00605612">
              <w:rPr>
                <w:rFonts w:cs="Arial"/>
                <w:szCs w:val="20"/>
              </w:rPr>
              <w:t xml:space="preserve"> bi med drugim prispevala k večji odgovornosti družb, bolj ozaveščenemu in pametnejšemu odločanju, boljši razporeditvi kapitala ter nazadnje k večji in bolj trajnostni rasti in zaposlovanju v EU.</w:t>
            </w:r>
          </w:p>
          <w:p w14:paraId="38F4F9BA" w14:textId="77777777" w:rsidR="000C08CA" w:rsidRPr="00605612" w:rsidRDefault="000C08CA" w:rsidP="00FE328D">
            <w:pPr>
              <w:spacing w:line="276" w:lineRule="auto"/>
              <w:jc w:val="both"/>
              <w:rPr>
                <w:rFonts w:cs="Arial"/>
                <w:szCs w:val="20"/>
                <w:shd w:val="clear" w:color="auto" w:fill="FFFFFF"/>
              </w:rPr>
            </w:pPr>
          </w:p>
          <w:p w14:paraId="291D14C9" w14:textId="77777777" w:rsidR="000C08CA" w:rsidRPr="00605612" w:rsidRDefault="000C08CA" w:rsidP="00FE328D">
            <w:pPr>
              <w:spacing w:line="276" w:lineRule="auto"/>
              <w:jc w:val="both"/>
              <w:rPr>
                <w:rFonts w:cs="Arial"/>
                <w:szCs w:val="20"/>
                <w:shd w:val="clear" w:color="auto" w:fill="FFFFFF"/>
              </w:rPr>
            </w:pPr>
            <w:r w:rsidRPr="00605612">
              <w:rPr>
                <w:rFonts w:cs="Arial"/>
                <w:color w:val="000000"/>
                <w:szCs w:val="20"/>
                <w:shd w:val="clear" w:color="auto" w:fill="FFFFFF"/>
              </w:rPr>
              <w:t>V Evropski uniji je na voljo velik</w:t>
            </w:r>
            <w:r>
              <w:rPr>
                <w:rFonts w:cs="Arial"/>
                <w:color w:val="000000"/>
                <w:szCs w:val="20"/>
                <w:shd w:val="clear" w:color="auto" w:fill="FFFFFF"/>
              </w:rPr>
              <w:t>o</w:t>
            </w:r>
            <w:r w:rsidRPr="00605612" w:rsidDel="00955175">
              <w:rPr>
                <w:rFonts w:cs="Arial"/>
                <w:color w:val="000000"/>
                <w:szCs w:val="20"/>
                <w:shd w:val="clear" w:color="auto" w:fill="FFFFFF"/>
              </w:rPr>
              <w:t xml:space="preserve"> </w:t>
            </w:r>
            <w:r w:rsidRPr="00605612">
              <w:rPr>
                <w:rFonts w:cs="Arial"/>
                <w:color w:val="000000"/>
                <w:szCs w:val="20"/>
                <w:shd w:val="clear" w:color="auto" w:fill="FFFFFF"/>
              </w:rPr>
              <w:t xml:space="preserve">visokokvalificiranih žensk. Povečuje se delež visoko izobraženih žensk, </w:t>
            </w:r>
            <w:r>
              <w:rPr>
                <w:rFonts w:cs="Arial"/>
                <w:color w:val="000000"/>
                <w:szCs w:val="20"/>
                <w:shd w:val="clear" w:color="auto" w:fill="FFFFFF"/>
              </w:rPr>
              <w:t xml:space="preserve">saj </w:t>
            </w:r>
            <w:r w:rsidRPr="00605612">
              <w:rPr>
                <w:rFonts w:cs="Arial"/>
                <w:color w:val="000000"/>
                <w:szCs w:val="20"/>
                <w:shd w:val="clear" w:color="auto" w:fill="FFFFFF"/>
              </w:rPr>
              <w:t xml:space="preserve">je med univerzitetnimi diplomanti in diplomantkami kar 60 % žensk.  </w:t>
            </w:r>
            <w:r w:rsidRPr="00605612">
              <w:rPr>
                <w:rFonts w:cs="Arial"/>
                <w:noProof/>
                <w:szCs w:val="20"/>
              </w:rPr>
              <w:t xml:space="preserve">Premajhna uporaba spretnosti in znanj visokokvalificiranih žensk pomeni izgubo možnosti za gospodarsko rast. </w:t>
            </w:r>
            <w:r w:rsidRPr="00605612">
              <w:rPr>
                <w:rFonts w:cs="Arial"/>
                <w:color w:val="000000"/>
                <w:szCs w:val="20"/>
                <w:shd w:val="clear" w:color="auto" w:fill="FFFFFF"/>
              </w:rPr>
              <w:t xml:space="preserve">Doseganje uravnotežene zastopanosti spolov na vodilnih mestih v družbah je </w:t>
            </w:r>
            <w:r>
              <w:rPr>
                <w:rFonts w:cs="Arial"/>
                <w:color w:val="000000"/>
                <w:szCs w:val="20"/>
                <w:shd w:val="clear" w:color="auto" w:fill="FFFFFF"/>
              </w:rPr>
              <w:t>pomembno</w:t>
            </w:r>
            <w:r w:rsidRPr="00605612">
              <w:rPr>
                <w:rFonts w:cs="Arial"/>
                <w:color w:val="000000"/>
                <w:szCs w:val="20"/>
                <w:shd w:val="clear" w:color="auto" w:fill="FFFFFF"/>
              </w:rPr>
              <w:t xml:space="preserve"> tudi z vidika učinkovitega koriščenja razpoložljivega kadrovskega potenc</w:t>
            </w:r>
            <w:r w:rsidRPr="00605612">
              <w:rPr>
                <w:rFonts w:cs="Arial"/>
                <w:color w:val="000000" w:themeColor="text1"/>
                <w:szCs w:val="20"/>
              </w:rPr>
              <w:t>i</w:t>
            </w:r>
            <w:r w:rsidRPr="00605612">
              <w:rPr>
                <w:rFonts w:cs="Arial"/>
                <w:color w:val="000000"/>
                <w:szCs w:val="20"/>
                <w:shd w:val="clear" w:color="auto" w:fill="FFFFFF"/>
              </w:rPr>
              <w:t xml:space="preserve">ala, kar je ključno za obvladovanje demografskih in gospodarskih izzivov vseh držav </w:t>
            </w:r>
            <w:r>
              <w:rPr>
                <w:rFonts w:cs="Arial"/>
                <w:color w:val="000000"/>
                <w:szCs w:val="20"/>
                <w:shd w:val="clear" w:color="auto" w:fill="FFFFFF"/>
              </w:rPr>
              <w:t>članic</w:t>
            </w:r>
            <w:r w:rsidRPr="00605612">
              <w:rPr>
                <w:rFonts w:cs="Arial"/>
                <w:color w:val="000000"/>
                <w:szCs w:val="20"/>
                <w:shd w:val="clear" w:color="auto" w:fill="FFFFFF"/>
              </w:rPr>
              <w:t xml:space="preserve">. Nezadostna zastopanost žensk med vodilnimi osebami v družbah je zamujena priložnost za gospodarstva držav članic na splošno </w:t>
            </w:r>
            <w:r>
              <w:rPr>
                <w:rFonts w:cs="Arial"/>
                <w:color w:val="000000"/>
                <w:szCs w:val="20"/>
                <w:shd w:val="clear" w:color="auto" w:fill="FFFFFF"/>
              </w:rPr>
              <w:t>ter</w:t>
            </w:r>
            <w:r w:rsidRPr="00605612">
              <w:rPr>
                <w:rFonts w:cs="Arial"/>
                <w:color w:val="000000"/>
                <w:szCs w:val="20"/>
                <w:shd w:val="clear" w:color="auto" w:fill="FFFFFF"/>
              </w:rPr>
              <w:t xml:space="preserve"> za njihov</w:t>
            </w:r>
            <w:r>
              <w:rPr>
                <w:rFonts w:cs="Arial"/>
                <w:color w:val="000000"/>
                <w:szCs w:val="20"/>
                <w:shd w:val="clear" w:color="auto" w:fill="FFFFFF"/>
              </w:rPr>
              <w:t>a</w:t>
            </w:r>
            <w:r w:rsidRPr="00605612">
              <w:rPr>
                <w:rFonts w:cs="Arial"/>
                <w:color w:val="000000"/>
                <w:szCs w:val="20"/>
                <w:shd w:val="clear" w:color="auto" w:fill="FFFFFF"/>
              </w:rPr>
              <w:t xml:space="preserve"> razvoj in rast. Splošno priznano je, da prisotnost žensk v organih družb izboljšuje upravljanje družbe, saj se zaradi bolj raznolikega mišljenja, ki zajema širši razpon vidikov, izboljšata uspešnost skupin in kakovost odločanja. Številne študije so pokazale, da raznolikost vodi k proaktivnejšemu poslovnemu modelu, bolj uravnoteženim odločitvam in okrepljenim strokovnim standardom v organih družb, ki bolje </w:t>
            </w:r>
            <w:r>
              <w:rPr>
                <w:rFonts w:cs="Arial"/>
                <w:color w:val="000000"/>
                <w:szCs w:val="20"/>
                <w:shd w:val="clear" w:color="auto" w:fill="FFFFFF"/>
              </w:rPr>
              <w:t>iz</w:t>
            </w:r>
            <w:r w:rsidRPr="00605612">
              <w:rPr>
                <w:rFonts w:cs="Arial"/>
                <w:color w:val="000000"/>
                <w:szCs w:val="20"/>
                <w:shd w:val="clear" w:color="auto" w:fill="FFFFFF"/>
              </w:rPr>
              <w:t xml:space="preserve">ražajo družbeno stvarnost in potrebe potrošnikov, hkrati pa spodbuja inovacije. Pokazale so tudi, da obstaja pozitivna povezava med </w:t>
            </w:r>
            <w:r>
              <w:rPr>
                <w:rFonts w:cs="Arial"/>
                <w:color w:val="000000"/>
                <w:szCs w:val="20"/>
                <w:shd w:val="clear" w:color="auto" w:fill="FFFFFF"/>
              </w:rPr>
              <w:t>uravnoteženo zastopanostjo</w:t>
            </w:r>
            <w:r w:rsidRPr="00605612">
              <w:rPr>
                <w:rFonts w:cs="Arial"/>
                <w:color w:val="000000"/>
                <w:szCs w:val="20"/>
                <w:shd w:val="clear" w:color="auto" w:fill="FFFFFF"/>
              </w:rPr>
              <w:t xml:space="preserve"> spolov na najvišji vodstveni ravni ter finančno uspešnostjo in dobičkonosnostjo družbe, kar vodi do dolgoročne trajnostne rasti. Doseganje uravnotežene zastopanosti spolov med vodilnimi osebami v družbah je zato ključn</w:t>
            </w:r>
            <w:r>
              <w:rPr>
                <w:rFonts w:cs="Arial"/>
                <w:color w:val="000000"/>
                <w:szCs w:val="20"/>
                <w:shd w:val="clear" w:color="auto" w:fill="FFFFFF"/>
              </w:rPr>
              <w:t>o</w:t>
            </w:r>
            <w:r w:rsidRPr="00605612">
              <w:rPr>
                <w:rFonts w:cs="Arial"/>
                <w:color w:val="000000"/>
                <w:szCs w:val="20"/>
                <w:shd w:val="clear" w:color="auto" w:fill="FFFFFF"/>
              </w:rPr>
              <w:t xml:space="preserve"> za zagotavljanje njihove konkurenčnosti v globaliziranem gospodarstvu in bi pomenilo primerjalno prednost v razmerju do tretjih držav</w:t>
            </w:r>
            <w:r>
              <w:rPr>
                <w:rFonts w:cs="Arial"/>
                <w:color w:val="000000"/>
                <w:szCs w:val="20"/>
                <w:shd w:val="clear" w:color="auto" w:fill="FFFFFF"/>
              </w:rPr>
              <w:t>.</w:t>
            </w:r>
            <w:r w:rsidRPr="00605612">
              <w:rPr>
                <w:rFonts w:cs="Arial"/>
                <w:color w:val="000000" w:themeColor="text1"/>
                <w:szCs w:val="20"/>
                <w:vertAlign w:val="superscript"/>
              </w:rPr>
              <w:footnoteReference w:id="16"/>
            </w:r>
          </w:p>
          <w:p w14:paraId="5BB3300B" w14:textId="77777777" w:rsidR="000C08CA" w:rsidRPr="00605612" w:rsidRDefault="000C08CA" w:rsidP="00FE328D">
            <w:pPr>
              <w:spacing w:line="276" w:lineRule="auto"/>
              <w:jc w:val="both"/>
              <w:rPr>
                <w:rFonts w:cs="Arial"/>
                <w:color w:val="FF0000"/>
                <w:szCs w:val="20"/>
                <w:shd w:val="clear" w:color="auto" w:fill="FFFFFF"/>
              </w:rPr>
            </w:pPr>
          </w:p>
          <w:p w14:paraId="04470BB6" w14:textId="77777777" w:rsidR="000C08CA" w:rsidRPr="00605612" w:rsidRDefault="000C08CA" w:rsidP="00FE328D">
            <w:pPr>
              <w:spacing w:line="276" w:lineRule="auto"/>
              <w:jc w:val="both"/>
              <w:rPr>
                <w:rFonts w:cs="Arial"/>
                <w:noProof/>
                <w:szCs w:val="20"/>
              </w:rPr>
            </w:pPr>
            <w:r w:rsidRPr="00605612">
              <w:rPr>
                <w:rFonts w:cs="Arial"/>
                <w:noProof/>
                <w:szCs w:val="20"/>
              </w:rPr>
              <w:t>Težave v zvezi z neustrezno zastopanostjo spolov med osebami, odgovornimi za vodenje in nadzor, preglednostjo pri njihovem zaposlovanju oz. imenovanju in poročanjem o uravnoteženi zastopanosti</w:t>
            </w:r>
            <w:r>
              <w:rPr>
                <w:rFonts w:cs="Arial"/>
                <w:noProof/>
                <w:szCs w:val="20"/>
              </w:rPr>
              <w:t xml:space="preserve"> spolov</w:t>
            </w:r>
            <w:r w:rsidRPr="00605612">
              <w:rPr>
                <w:rFonts w:cs="Arial"/>
                <w:noProof/>
                <w:szCs w:val="20"/>
              </w:rPr>
              <w:t xml:space="preserve"> vplivajo na splošno uspešnost in odgovornost družb, sposobnost vlagateljev, da ustrezno in pravočasno </w:t>
            </w:r>
            <w:r>
              <w:rPr>
                <w:rFonts w:cs="Arial"/>
                <w:noProof/>
                <w:szCs w:val="20"/>
              </w:rPr>
              <w:t>proučijo</w:t>
            </w:r>
            <w:r w:rsidRPr="00605612">
              <w:rPr>
                <w:rFonts w:cs="Arial"/>
                <w:noProof/>
                <w:szCs w:val="20"/>
              </w:rPr>
              <w:t xml:space="preserve"> in upoštevajo vse pomembne informacije, ter učinkovitost finančnih trgov EU. Ker zaradi navedenih razlogov ni mogoče v celoti izkoristiti potenciala notranjega trga za trajnostno rast in zaposlovanje, so potrebne jasne zahteve v zvezi s cilji, ki jih morajo družbe doseči glede deleža zastopanosti spolov med osebami</w:t>
            </w:r>
            <w:r>
              <w:rPr>
                <w:rFonts w:cs="Arial"/>
                <w:noProof/>
                <w:szCs w:val="20"/>
              </w:rPr>
              <w:t>,</w:t>
            </w:r>
            <w:r w:rsidRPr="00605612">
              <w:rPr>
                <w:rFonts w:cs="Arial"/>
                <w:noProof/>
                <w:szCs w:val="20"/>
              </w:rPr>
              <w:t xml:space="preserve"> odgovornimi za vodenje in nadzor poslov družbe, preglednosti </w:t>
            </w:r>
            <w:r w:rsidRPr="00605612">
              <w:rPr>
                <w:rFonts w:cs="Arial"/>
                <w:noProof/>
                <w:szCs w:val="20"/>
              </w:rPr>
              <w:lastRenderedPageBreak/>
              <w:t xml:space="preserve">postopka zaposlovanja oz. imenovanja (merila glede kvalifikacij) in obveznosti poročanja. V ta namen je bila sprejeta </w:t>
            </w:r>
            <w:r w:rsidRPr="00605612">
              <w:rPr>
                <w:rFonts w:cs="Arial"/>
                <w:color w:val="000000" w:themeColor="text1"/>
                <w:szCs w:val="20"/>
              </w:rPr>
              <w:t>Direktiva 2022/2381/EU.</w:t>
            </w:r>
          </w:p>
          <w:p w14:paraId="3499064E" w14:textId="77777777" w:rsidR="000C08CA" w:rsidRPr="00605612" w:rsidRDefault="000C08CA" w:rsidP="00FE328D">
            <w:pPr>
              <w:spacing w:line="276" w:lineRule="auto"/>
              <w:jc w:val="both"/>
              <w:rPr>
                <w:rFonts w:cs="Arial"/>
                <w:szCs w:val="20"/>
                <w:shd w:val="clear" w:color="auto" w:fill="FFFFFF"/>
              </w:rPr>
            </w:pPr>
          </w:p>
          <w:p w14:paraId="6D93B939" w14:textId="77777777" w:rsidR="000C08CA" w:rsidRPr="00605612" w:rsidRDefault="000C08CA" w:rsidP="00FE328D">
            <w:pPr>
              <w:spacing w:line="276" w:lineRule="auto"/>
              <w:jc w:val="both"/>
              <w:rPr>
                <w:rFonts w:cs="Arial"/>
                <w:noProof/>
                <w:szCs w:val="20"/>
              </w:rPr>
            </w:pPr>
            <w:r w:rsidRPr="00605612">
              <w:rPr>
                <w:rFonts w:cs="Arial"/>
                <w:color w:val="000000"/>
                <w:szCs w:val="20"/>
                <w:shd w:val="clear" w:color="auto" w:fill="FFFFFF"/>
              </w:rPr>
              <w:t xml:space="preserve">Cilj </w:t>
            </w:r>
            <w:r w:rsidRPr="00605612">
              <w:rPr>
                <w:rFonts w:cs="Arial"/>
                <w:color w:val="000000" w:themeColor="text1"/>
                <w:szCs w:val="20"/>
              </w:rPr>
              <w:t>Direktive 2022/2381/EU</w:t>
            </w:r>
            <w:r w:rsidRPr="00605612">
              <w:rPr>
                <w:rFonts w:cs="Arial"/>
                <w:color w:val="000000"/>
                <w:szCs w:val="20"/>
                <w:shd w:val="clear" w:color="auto" w:fill="FFFFFF"/>
              </w:rPr>
              <w:t xml:space="preserve"> je doseči bolj uravnoteženo zastopanost žensk in moških med osebami, odgovornimi za vodenje poslov družb (izvršnimi direktorji)</w:t>
            </w:r>
            <w:r>
              <w:rPr>
                <w:rFonts w:cs="Arial"/>
                <w:color w:val="000000"/>
                <w:szCs w:val="20"/>
                <w:shd w:val="clear" w:color="auto" w:fill="FFFFFF"/>
              </w:rPr>
              <w:t>,</w:t>
            </w:r>
            <w:r w:rsidRPr="00605612">
              <w:rPr>
                <w:rFonts w:cs="Arial"/>
                <w:color w:val="000000"/>
                <w:szCs w:val="20"/>
                <w:shd w:val="clear" w:color="auto" w:fill="FFFFFF"/>
              </w:rPr>
              <w:t xml:space="preserve"> in med osebami, odgovornimi za nadzor nad vodenjem poslov družb (neizvršnimi direktorji), </w:t>
            </w:r>
            <w:r>
              <w:rPr>
                <w:rFonts w:cs="Arial"/>
                <w:color w:val="000000"/>
                <w:szCs w:val="20"/>
                <w:shd w:val="clear" w:color="auto" w:fill="FFFFFF"/>
              </w:rPr>
              <w:t>z</w:t>
            </w:r>
            <w:r w:rsidRPr="00605612">
              <w:rPr>
                <w:rFonts w:cs="Arial"/>
                <w:color w:val="000000"/>
                <w:szCs w:val="20"/>
                <w:shd w:val="clear" w:color="auto" w:fill="FFFFFF"/>
              </w:rPr>
              <w:t xml:space="preserve"> vrednostnimi papirji </w:t>
            </w:r>
            <w:r>
              <w:rPr>
                <w:rFonts w:cs="Arial"/>
                <w:color w:val="000000"/>
                <w:szCs w:val="20"/>
                <w:shd w:val="clear" w:color="auto" w:fill="FFFFFF"/>
              </w:rPr>
              <w:t xml:space="preserve">katerih </w:t>
            </w:r>
            <w:r w:rsidRPr="00605612">
              <w:rPr>
                <w:rFonts w:cs="Arial"/>
                <w:color w:val="000000"/>
                <w:szCs w:val="20"/>
                <w:shd w:val="clear" w:color="auto" w:fill="FFFFFF"/>
              </w:rPr>
              <w:t>se trguje na organiziranem trgu oziroma</w:t>
            </w:r>
            <w:r>
              <w:rPr>
                <w:rFonts w:cs="Arial"/>
                <w:color w:val="000000"/>
                <w:szCs w:val="20"/>
                <w:shd w:val="clear" w:color="auto" w:fill="FFFFFF"/>
              </w:rPr>
              <w:t xml:space="preserve"> družb</w:t>
            </w:r>
            <w:r w:rsidRPr="00605612">
              <w:rPr>
                <w:rFonts w:cs="Arial"/>
                <w:color w:val="000000"/>
                <w:szCs w:val="20"/>
                <w:shd w:val="clear" w:color="auto" w:fill="FFFFFF"/>
              </w:rPr>
              <w:t xml:space="preserve">, ki kotirajo na borzi (gl. 2. člen Direktive 2022/2381/EU). </w:t>
            </w:r>
            <w:r>
              <w:rPr>
                <w:rFonts w:cs="Arial"/>
                <w:color w:val="000000"/>
                <w:szCs w:val="20"/>
                <w:shd w:val="clear" w:color="auto" w:fill="FFFFFF"/>
              </w:rPr>
              <w:t>Cilj je tudi</w:t>
            </w:r>
            <w:r w:rsidRPr="00605612">
              <w:rPr>
                <w:rFonts w:cs="Arial"/>
                <w:color w:val="000000"/>
                <w:szCs w:val="20"/>
                <w:shd w:val="clear" w:color="auto" w:fill="FFFFFF"/>
              </w:rPr>
              <w:t xml:space="preserve"> pospešiti napredek pri uravnoteženi zastopanosti spolov med </w:t>
            </w:r>
            <w:r>
              <w:rPr>
                <w:rFonts w:cs="Arial"/>
                <w:color w:val="000000"/>
                <w:szCs w:val="20"/>
                <w:shd w:val="clear" w:color="auto" w:fill="FFFFFF"/>
              </w:rPr>
              <w:t xml:space="preserve">omenjenimi </w:t>
            </w:r>
            <w:r w:rsidRPr="00605612">
              <w:rPr>
                <w:rFonts w:cs="Arial"/>
                <w:noProof/>
                <w:szCs w:val="20"/>
              </w:rPr>
              <w:t>osebami</w:t>
            </w:r>
            <w:r w:rsidRPr="00605612" w:rsidDel="00955175">
              <w:rPr>
                <w:rFonts w:cs="Arial"/>
                <w:szCs w:val="20"/>
              </w:rPr>
              <w:t xml:space="preserve"> </w:t>
            </w:r>
            <w:r w:rsidRPr="00605612">
              <w:rPr>
                <w:rFonts w:cs="Arial"/>
                <w:color w:val="000000"/>
                <w:szCs w:val="20"/>
                <w:shd w:val="clear" w:color="auto" w:fill="FFFFFF"/>
              </w:rPr>
              <w:t xml:space="preserve">z določitvijo učinkovitih ukrepov in zahtev. Ukrepi zajemajo zahteve za družbe glede minimalnega deleža zastopanosti spolov med </w:t>
            </w:r>
            <w:r w:rsidRPr="00605612">
              <w:rPr>
                <w:rFonts w:cs="Arial"/>
                <w:noProof/>
                <w:szCs w:val="20"/>
              </w:rPr>
              <w:t>osebami, odgovornimi za vodenje in nadzor</w:t>
            </w:r>
            <w:r w:rsidRPr="00605612">
              <w:rPr>
                <w:rFonts w:cs="Arial"/>
                <w:color w:val="000000"/>
                <w:szCs w:val="20"/>
                <w:shd w:val="clear" w:color="auto" w:fill="FFFFFF"/>
              </w:rPr>
              <w:t xml:space="preserve"> poslov družbe</w:t>
            </w:r>
            <w:r>
              <w:rPr>
                <w:rFonts w:cs="Arial"/>
                <w:color w:val="000000"/>
                <w:szCs w:val="20"/>
                <w:shd w:val="clear" w:color="auto" w:fill="FFFFFF"/>
              </w:rPr>
              <w:t>,</w:t>
            </w:r>
            <w:r w:rsidRPr="00605612">
              <w:rPr>
                <w:rFonts w:cs="Arial"/>
                <w:color w:val="000000"/>
                <w:szCs w:val="20"/>
                <w:shd w:val="clear" w:color="auto" w:fill="FFFFFF"/>
              </w:rPr>
              <w:t xml:space="preserve"> preglednost izbirnega postopka kandidatk in kandidatov ter obveznost poročanja o deležu zastopanosti spolov</w:t>
            </w:r>
            <w:r w:rsidRPr="00605612">
              <w:rPr>
                <w:rFonts w:cs="Arial"/>
                <w:noProof/>
                <w:szCs w:val="20"/>
              </w:rPr>
              <w:t>.</w:t>
            </w:r>
          </w:p>
          <w:p w14:paraId="5735A635" w14:textId="77777777" w:rsidR="000C08CA" w:rsidRPr="00605612" w:rsidRDefault="000C08CA" w:rsidP="00FE328D">
            <w:pPr>
              <w:spacing w:line="276" w:lineRule="auto"/>
              <w:jc w:val="both"/>
              <w:rPr>
                <w:rFonts w:cs="Arial"/>
                <w:szCs w:val="20"/>
                <w:shd w:val="clear" w:color="auto" w:fill="FFFFFF"/>
              </w:rPr>
            </w:pPr>
          </w:p>
          <w:p w14:paraId="40362BAD" w14:textId="77777777" w:rsidR="000C08CA" w:rsidRPr="00605612" w:rsidRDefault="000C08CA" w:rsidP="00FE328D">
            <w:pPr>
              <w:spacing w:line="276" w:lineRule="auto"/>
              <w:jc w:val="both"/>
              <w:rPr>
                <w:rFonts w:cs="Arial"/>
                <w:color w:val="000000"/>
                <w:szCs w:val="20"/>
                <w:shd w:val="clear" w:color="auto" w:fill="FFFFFF"/>
              </w:rPr>
            </w:pPr>
            <w:r w:rsidRPr="00605612">
              <w:rPr>
                <w:rFonts w:cs="Arial"/>
                <w:szCs w:val="20"/>
                <w:shd w:val="clear" w:color="auto" w:fill="FFFFFF"/>
              </w:rPr>
              <w:t xml:space="preserve">Ukrepi iz </w:t>
            </w:r>
            <w:r>
              <w:rPr>
                <w:rFonts w:cs="Arial"/>
                <w:szCs w:val="20"/>
                <w:shd w:val="clear" w:color="auto" w:fill="FFFFFF"/>
              </w:rPr>
              <w:t>navedene d</w:t>
            </w:r>
            <w:r w:rsidRPr="00605612">
              <w:rPr>
                <w:rFonts w:cs="Arial"/>
                <w:color w:val="000000" w:themeColor="text1"/>
                <w:szCs w:val="20"/>
              </w:rPr>
              <w:t>irektive</w:t>
            </w:r>
            <w:r w:rsidRPr="00605612" w:rsidDel="00955175">
              <w:rPr>
                <w:rFonts w:cs="Arial"/>
                <w:color w:val="000000" w:themeColor="text1"/>
                <w:szCs w:val="20"/>
              </w:rPr>
              <w:t xml:space="preserve"> </w:t>
            </w:r>
            <w:r w:rsidRPr="00605612">
              <w:rPr>
                <w:rFonts w:cs="Arial"/>
                <w:szCs w:val="20"/>
                <w:shd w:val="clear" w:color="auto" w:fill="FFFFFF"/>
              </w:rPr>
              <w:t xml:space="preserve">zavezujejo velike družbe, </w:t>
            </w:r>
            <w:r>
              <w:rPr>
                <w:rFonts w:cs="Arial"/>
                <w:szCs w:val="20"/>
                <w:shd w:val="clear" w:color="auto" w:fill="FFFFFF"/>
              </w:rPr>
              <w:t>z</w:t>
            </w:r>
            <w:r w:rsidRPr="00605612">
              <w:rPr>
                <w:rFonts w:cs="Arial"/>
                <w:szCs w:val="20"/>
                <w:shd w:val="clear" w:color="auto" w:fill="FFFFFF"/>
              </w:rPr>
              <w:t xml:space="preserve"> </w:t>
            </w:r>
            <w:r w:rsidRPr="00605612">
              <w:rPr>
                <w:rFonts w:cs="Arial"/>
                <w:color w:val="000000"/>
                <w:szCs w:val="20"/>
                <w:shd w:val="clear" w:color="auto" w:fill="FFFFFF"/>
              </w:rPr>
              <w:t xml:space="preserve">vrednostnimi papirji </w:t>
            </w:r>
            <w:r>
              <w:rPr>
                <w:rFonts w:cs="Arial"/>
                <w:color w:val="000000"/>
                <w:szCs w:val="20"/>
                <w:shd w:val="clear" w:color="auto" w:fill="FFFFFF"/>
              </w:rPr>
              <w:t xml:space="preserve">katerih </w:t>
            </w:r>
            <w:r w:rsidRPr="00605612">
              <w:rPr>
                <w:rFonts w:cs="Arial"/>
                <w:color w:val="000000"/>
                <w:szCs w:val="20"/>
                <w:shd w:val="clear" w:color="auto" w:fill="FFFFFF"/>
              </w:rPr>
              <w:t>se trguje na organiziranem trgu (kotirajo na borzi)</w:t>
            </w:r>
            <w:r>
              <w:rPr>
                <w:rFonts w:cs="Arial"/>
                <w:color w:val="000000"/>
                <w:szCs w:val="20"/>
                <w:shd w:val="clear" w:color="auto" w:fill="FFFFFF"/>
              </w:rPr>
              <w:t>,</w:t>
            </w:r>
            <w:r w:rsidRPr="00605612">
              <w:rPr>
                <w:rFonts w:cs="Arial"/>
                <w:color w:val="000000"/>
                <w:szCs w:val="20"/>
                <w:shd w:val="clear" w:color="auto" w:fill="FFFFFF"/>
              </w:rPr>
              <w:t xml:space="preserve"> ne glede na izbran</w:t>
            </w:r>
            <w:r>
              <w:rPr>
                <w:rFonts w:cs="Arial"/>
                <w:color w:val="000000"/>
                <w:szCs w:val="20"/>
                <w:shd w:val="clear" w:color="auto" w:fill="FFFFFF"/>
              </w:rPr>
              <w:t>i</w:t>
            </w:r>
            <w:r w:rsidRPr="00605612">
              <w:rPr>
                <w:rFonts w:cs="Arial"/>
                <w:color w:val="000000"/>
                <w:szCs w:val="20"/>
                <w:shd w:val="clear" w:color="auto" w:fill="FFFFFF"/>
              </w:rPr>
              <w:t xml:space="preserve"> sistem upravljanja, tj. enotirni ali dvotirni. </w:t>
            </w:r>
            <w:r>
              <w:rPr>
                <w:rFonts w:cs="Arial"/>
                <w:color w:val="000000"/>
                <w:szCs w:val="20"/>
                <w:shd w:val="clear" w:color="auto" w:fill="FFFFFF"/>
              </w:rPr>
              <w:t xml:space="preserve">Te </w:t>
            </w:r>
            <w:r w:rsidRPr="00605612">
              <w:rPr>
                <w:rFonts w:cs="Arial"/>
                <w:color w:val="000000"/>
                <w:szCs w:val="20"/>
                <w:shd w:val="clear" w:color="auto" w:fill="FFFFFF"/>
              </w:rPr>
              <w:t>imajo poseben gospodarski pomen, prepoznavnost, vplivajo na celoten trg in določajo standarde za celotni zasebni sektor.</w:t>
            </w:r>
            <w:r w:rsidRPr="00605612" w:rsidDel="00955175">
              <w:rPr>
                <w:rFonts w:cs="Arial"/>
                <w:color w:val="000000"/>
                <w:szCs w:val="20"/>
                <w:shd w:val="clear" w:color="auto" w:fill="FFFFFF"/>
              </w:rPr>
              <w:t xml:space="preserve"> </w:t>
            </w:r>
            <w:r w:rsidRPr="00605612">
              <w:rPr>
                <w:rFonts w:cs="Arial"/>
                <w:color w:val="000000"/>
                <w:szCs w:val="20"/>
                <w:shd w:val="clear" w:color="auto" w:fill="FFFFFF"/>
              </w:rPr>
              <w:t>Direktiva</w:t>
            </w:r>
            <w:r w:rsidRPr="00605612">
              <w:rPr>
                <w:rFonts w:cs="Arial"/>
                <w:color w:val="000000" w:themeColor="text1"/>
                <w:szCs w:val="20"/>
              </w:rPr>
              <w:t xml:space="preserve"> </w:t>
            </w:r>
            <w:r w:rsidRPr="00605612">
              <w:rPr>
                <w:rFonts w:cs="Arial"/>
                <w:color w:val="000000"/>
                <w:szCs w:val="20"/>
                <w:shd w:val="clear" w:color="auto" w:fill="FFFFFF"/>
              </w:rPr>
              <w:t>tako določa cilja glede deleža zastopanosti spolov med navedenimi vodilnimi osebami v družbah. Osebe manj zastopanega spola morajo zasedati vsaj 40</w:t>
            </w:r>
            <w:r>
              <w:rPr>
                <w:rFonts w:cs="Arial"/>
                <w:color w:val="000000"/>
                <w:szCs w:val="20"/>
                <w:shd w:val="clear" w:color="auto" w:fill="FFFFFF"/>
              </w:rPr>
              <w:t> </w:t>
            </w:r>
            <w:r w:rsidRPr="00605612">
              <w:rPr>
                <w:rFonts w:cs="Arial"/>
                <w:color w:val="000000"/>
                <w:szCs w:val="20"/>
                <w:shd w:val="clear" w:color="auto" w:fill="FFFFFF"/>
              </w:rPr>
              <w:t>% med neizvršnimi direktorji ali vsaj 33</w:t>
            </w:r>
            <w:r>
              <w:rPr>
                <w:rFonts w:cs="Arial"/>
                <w:color w:val="000000"/>
                <w:szCs w:val="20"/>
                <w:shd w:val="clear" w:color="auto" w:fill="FFFFFF"/>
              </w:rPr>
              <w:t> </w:t>
            </w:r>
            <w:r w:rsidRPr="00605612">
              <w:rPr>
                <w:rFonts w:cs="Arial"/>
                <w:color w:val="000000"/>
                <w:szCs w:val="20"/>
                <w:shd w:val="clear" w:color="auto" w:fill="FFFFFF"/>
              </w:rPr>
              <w:t>% skupno med izvršnimi in neizvršnimi direktorji. Družbe, ki si bodo izbrale cilj, da bodo osebe manj zastopanega spola zasedale vsaj 40</w:t>
            </w:r>
            <w:r>
              <w:rPr>
                <w:rFonts w:cs="Arial"/>
                <w:color w:val="000000"/>
                <w:szCs w:val="20"/>
                <w:shd w:val="clear" w:color="auto" w:fill="FFFFFF"/>
              </w:rPr>
              <w:t> </w:t>
            </w:r>
            <w:r w:rsidRPr="00605612">
              <w:rPr>
                <w:rFonts w:cs="Arial"/>
                <w:color w:val="000000"/>
                <w:szCs w:val="20"/>
                <w:shd w:val="clear" w:color="auto" w:fill="FFFFFF"/>
              </w:rPr>
              <w:t xml:space="preserve">% med neizvršnimi direktorji, bodo morale določiti tudi cilje glede deleža za zasedanje manj zastopanega spola med izvršnimi direktorji. </w:t>
            </w:r>
            <w:r w:rsidRPr="00605612">
              <w:rPr>
                <w:rFonts w:cs="Arial"/>
                <w:szCs w:val="20"/>
                <w:shd w:val="clear" w:color="auto" w:fill="FFFFFF"/>
              </w:rPr>
              <w:t>Določen cilj 40</w:t>
            </w:r>
            <w:r>
              <w:rPr>
                <w:rFonts w:cs="Arial"/>
                <w:szCs w:val="20"/>
                <w:shd w:val="clear" w:color="auto" w:fill="FFFFFF"/>
              </w:rPr>
              <w:t>-odstotne</w:t>
            </w:r>
            <w:r w:rsidRPr="00605612" w:rsidDel="008979C8">
              <w:rPr>
                <w:rFonts w:cs="Arial"/>
                <w:szCs w:val="20"/>
                <w:shd w:val="clear" w:color="auto" w:fill="FFFFFF"/>
              </w:rPr>
              <w:t xml:space="preserve"> </w:t>
            </w:r>
            <w:r w:rsidRPr="00605612">
              <w:rPr>
                <w:rFonts w:cs="Arial"/>
                <w:szCs w:val="20"/>
                <w:shd w:val="clear" w:color="auto" w:fill="FFFFFF"/>
              </w:rPr>
              <w:t xml:space="preserve">zastopanosti v skladu z </w:t>
            </w:r>
            <w:r>
              <w:rPr>
                <w:rFonts w:cs="Arial"/>
                <w:szCs w:val="20"/>
                <w:shd w:val="clear" w:color="auto" w:fill="FFFFFF"/>
              </w:rPr>
              <w:t>navedeno d</w:t>
            </w:r>
            <w:r w:rsidRPr="00605612">
              <w:rPr>
                <w:rFonts w:cs="Arial"/>
                <w:color w:val="000000" w:themeColor="text1"/>
                <w:szCs w:val="20"/>
              </w:rPr>
              <w:t>irektivo</w:t>
            </w:r>
            <w:r w:rsidRPr="00605612" w:rsidDel="008979C8">
              <w:rPr>
                <w:rFonts w:cs="Arial"/>
                <w:color w:val="000000" w:themeColor="text1"/>
                <w:szCs w:val="20"/>
              </w:rPr>
              <w:t xml:space="preserve"> </w:t>
            </w:r>
            <w:r w:rsidRPr="00605612">
              <w:rPr>
                <w:rFonts w:cs="Arial"/>
                <w:szCs w:val="20"/>
                <w:shd w:val="clear" w:color="auto" w:fill="FFFFFF"/>
              </w:rPr>
              <w:t>se uporablja le za neizvršne direktorje, da bi se brez prevelikega poseganja v vsakodnevno vodenje podjetij</w:t>
            </w:r>
            <w:r w:rsidRPr="00605612">
              <w:rPr>
                <w:rFonts w:cs="Arial"/>
                <w:szCs w:val="20"/>
              </w:rPr>
              <w:t>, za kar so zelo pomembna posebna znanja in izkušnje,</w:t>
            </w:r>
            <w:r w:rsidRPr="00605612">
              <w:rPr>
                <w:rFonts w:cs="Arial"/>
                <w:szCs w:val="20"/>
                <w:shd w:val="clear" w:color="auto" w:fill="FFFFFF"/>
              </w:rPr>
              <w:t xml:space="preserve"> zagotovila bolj uravnotežena zastopanost žensk in moških. </w:t>
            </w:r>
            <w:r>
              <w:rPr>
                <w:rFonts w:cs="Arial"/>
                <w:szCs w:val="20"/>
                <w:shd w:val="clear" w:color="auto" w:fill="FFFFFF"/>
              </w:rPr>
              <w:t>Neizvršni direktorji</w:t>
            </w:r>
            <w:r w:rsidRPr="00605612">
              <w:rPr>
                <w:rFonts w:cs="Arial"/>
                <w:szCs w:val="20"/>
                <w:shd w:val="clear" w:color="auto" w:fill="FFFFFF"/>
              </w:rPr>
              <w:t xml:space="preserve"> imajo tudi pomembno vlogo pri imenovanju najvišjih vodstvenih delavcev in delavk ter oblikovanju kadrovske politike družbe. Več predstavnikov </w:t>
            </w:r>
            <w:r>
              <w:rPr>
                <w:rFonts w:cs="Arial"/>
                <w:szCs w:val="20"/>
                <w:shd w:val="clear" w:color="auto" w:fill="FFFFFF"/>
              </w:rPr>
              <w:t>ali</w:t>
            </w:r>
            <w:r w:rsidRPr="00605612">
              <w:rPr>
                <w:rFonts w:cs="Arial"/>
                <w:szCs w:val="20"/>
                <w:shd w:val="clear" w:color="auto" w:fill="FFFFFF"/>
              </w:rPr>
              <w:t xml:space="preserve"> predstavnic manj zastopanega spola med </w:t>
            </w:r>
            <w:r>
              <w:rPr>
                <w:rFonts w:cs="Arial"/>
                <w:szCs w:val="20"/>
                <w:shd w:val="clear" w:color="auto" w:fill="FFFFFF"/>
              </w:rPr>
              <w:t>neizvršnimi direktorji</w:t>
            </w:r>
            <w:r w:rsidRPr="00605612">
              <w:rPr>
                <w:rFonts w:cs="Arial"/>
                <w:szCs w:val="20"/>
                <w:shd w:val="clear" w:color="auto" w:fill="FFFFFF"/>
              </w:rPr>
              <w:t xml:space="preserve"> bo zato povzročilo pozitivno verižno reakcijo </w:t>
            </w:r>
            <w:r>
              <w:rPr>
                <w:rFonts w:cs="Arial"/>
                <w:szCs w:val="20"/>
                <w:shd w:val="clear" w:color="auto" w:fill="FFFFFF"/>
              </w:rPr>
              <w:t>glede</w:t>
            </w:r>
            <w:r w:rsidRPr="00605612">
              <w:rPr>
                <w:rFonts w:cs="Arial"/>
                <w:szCs w:val="20"/>
                <w:shd w:val="clear" w:color="auto" w:fill="FFFFFF"/>
              </w:rPr>
              <w:t xml:space="preserve"> bolj uravnotežene zastopanosti spolov na celotni poklicni lestvici. Razlog za določitev cilja minimalne 40</w:t>
            </w:r>
            <w:r>
              <w:rPr>
                <w:rFonts w:cs="Arial"/>
                <w:szCs w:val="20"/>
                <w:shd w:val="clear" w:color="auto" w:fill="FFFFFF"/>
              </w:rPr>
              <w:t>-odstotne</w:t>
            </w:r>
            <w:r w:rsidRPr="00605612" w:rsidDel="008979C8">
              <w:rPr>
                <w:rFonts w:cs="Arial"/>
                <w:szCs w:val="20"/>
                <w:shd w:val="clear" w:color="auto" w:fill="FFFFFF"/>
              </w:rPr>
              <w:t xml:space="preserve"> </w:t>
            </w:r>
            <w:r w:rsidRPr="00605612">
              <w:rPr>
                <w:rFonts w:cs="Arial"/>
                <w:szCs w:val="20"/>
                <w:shd w:val="clear" w:color="auto" w:fill="FFFFFF"/>
              </w:rPr>
              <w:t xml:space="preserve">zastopanosti obeh spolov je, </w:t>
            </w:r>
            <w:r>
              <w:rPr>
                <w:rFonts w:cs="Arial"/>
                <w:szCs w:val="20"/>
                <w:shd w:val="clear" w:color="auto" w:fill="FFFFFF"/>
              </w:rPr>
              <w:t>da</w:t>
            </w:r>
            <w:r w:rsidRPr="00605612">
              <w:rPr>
                <w:rFonts w:cs="Arial"/>
                <w:szCs w:val="20"/>
                <w:shd w:val="clear" w:color="auto" w:fill="FFFFFF"/>
              </w:rPr>
              <w:t xml:space="preserve"> </w:t>
            </w:r>
            <w:r>
              <w:rPr>
                <w:rFonts w:cs="Arial"/>
                <w:szCs w:val="20"/>
                <w:shd w:val="clear" w:color="auto" w:fill="FFFFFF"/>
              </w:rPr>
              <w:t>j</w:t>
            </w:r>
            <w:r w:rsidRPr="00605612">
              <w:rPr>
                <w:rFonts w:cs="Arial"/>
                <w:szCs w:val="20"/>
                <w:shd w:val="clear" w:color="auto" w:fill="FFFFFF"/>
              </w:rPr>
              <w:t>e ta delež med minimalno kritično maso, ki je potrebna za pozitiven učinek na organe vodenja in nadzora (30 %), in popolnoma izenačeno zastopanostjo spolov (50 %).</w:t>
            </w:r>
          </w:p>
          <w:p w14:paraId="79365F51" w14:textId="77777777" w:rsidR="000C08CA" w:rsidRPr="00605612" w:rsidRDefault="000C08CA" w:rsidP="00FE328D">
            <w:pPr>
              <w:spacing w:line="276" w:lineRule="auto"/>
              <w:jc w:val="both"/>
              <w:rPr>
                <w:rFonts w:cs="Arial"/>
                <w:color w:val="000000"/>
                <w:szCs w:val="20"/>
                <w:shd w:val="clear" w:color="auto" w:fill="FFFFFF"/>
              </w:rPr>
            </w:pPr>
          </w:p>
          <w:p w14:paraId="35F38D9A" w14:textId="77777777" w:rsidR="000C08CA" w:rsidRPr="00605612" w:rsidRDefault="000C08CA" w:rsidP="00FE328D">
            <w:pPr>
              <w:spacing w:line="276" w:lineRule="auto"/>
              <w:jc w:val="both"/>
              <w:rPr>
                <w:rFonts w:cs="Arial"/>
                <w:szCs w:val="20"/>
              </w:rPr>
            </w:pPr>
            <w:r w:rsidRPr="00605612">
              <w:rPr>
                <w:rFonts w:cs="Arial"/>
                <w:color w:val="000000"/>
                <w:szCs w:val="20"/>
                <w:shd w:val="clear" w:color="auto" w:fill="FFFFFF"/>
              </w:rPr>
              <w:t>Po</w:t>
            </w:r>
            <w:r w:rsidRPr="00605612" w:rsidDel="008979C8">
              <w:rPr>
                <w:rFonts w:cs="Arial"/>
                <w:color w:val="000000"/>
                <w:szCs w:val="20"/>
                <w:shd w:val="clear" w:color="auto" w:fill="FFFFFF"/>
              </w:rPr>
              <w:t xml:space="preserve"> </w:t>
            </w:r>
            <w:r>
              <w:rPr>
                <w:rFonts w:cs="Arial"/>
                <w:color w:val="000000"/>
                <w:szCs w:val="20"/>
                <w:shd w:val="clear" w:color="auto" w:fill="FFFFFF"/>
              </w:rPr>
              <w:t>mnenju</w:t>
            </w:r>
            <w:r w:rsidRPr="00605612">
              <w:rPr>
                <w:rFonts w:cs="Arial"/>
                <w:color w:val="000000"/>
                <w:szCs w:val="20"/>
                <w:shd w:val="clear" w:color="auto" w:fill="FFFFFF"/>
              </w:rPr>
              <w:t xml:space="preserve"> Komisije trenutno pomanjkanje preglednosti pri izbirnih postopkih in merilih glede kvalifikacij za vodilna mesta v družbah močno ovira doseganje bolj uravnotežene zastopanosti spolov med </w:t>
            </w:r>
            <w:r>
              <w:rPr>
                <w:rFonts w:cs="Arial"/>
                <w:color w:val="000000"/>
                <w:szCs w:val="20"/>
                <w:shd w:val="clear" w:color="auto" w:fill="FFFFFF"/>
              </w:rPr>
              <w:t>(ne)izvršnimi direktorji</w:t>
            </w:r>
            <w:r w:rsidRPr="00605612">
              <w:rPr>
                <w:rFonts w:cs="Arial"/>
                <w:color w:val="000000"/>
                <w:szCs w:val="20"/>
                <w:shd w:val="clear" w:color="auto" w:fill="FFFFFF"/>
              </w:rPr>
              <w:t xml:space="preserve">, zato </w:t>
            </w:r>
            <w:r w:rsidRPr="00605612">
              <w:rPr>
                <w:rFonts w:cs="Arial"/>
                <w:color w:val="000000" w:themeColor="text1"/>
                <w:szCs w:val="20"/>
              </w:rPr>
              <w:t>Direktiva 2022/2381/EU</w:t>
            </w:r>
            <w:r w:rsidRPr="00605612">
              <w:rPr>
                <w:rFonts w:cs="Arial"/>
                <w:color w:val="000000"/>
                <w:szCs w:val="20"/>
                <w:shd w:val="clear" w:color="auto" w:fill="FFFFFF"/>
              </w:rPr>
              <w:t xml:space="preserve"> </w:t>
            </w:r>
            <w:r>
              <w:rPr>
                <w:rFonts w:cs="Arial"/>
                <w:color w:val="000000"/>
                <w:szCs w:val="20"/>
                <w:shd w:val="clear" w:color="auto" w:fill="FFFFFF"/>
              </w:rPr>
              <w:t>določa</w:t>
            </w:r>
            <w:r w:rsidRPr="00605612">
              <w:rPr>
                <w:rFonts w:cs="Arial"/>
                <w:color w:val="000000"/>
                <w:szCs w:val="20"/>
                <w:shd w:val="clear" w:color="auto" w:fill="FFFFFF"/>
              </w:rPr>
              <w:t xml:space="preserve"> minimalne pogoje glede izbirnih postopkov kandidatov za imenovanje ali izvolitev na ta mesta. </w:t>
            </w:r>
            <w:r>
              <w:rPr>
                <w:rFonts w:cs="Arial"/>
                <w:color w:val="000000"/>
                <w:szCs w:val="20"/>
                <w:shd w:val="clear" w:color="auto" w:fill="FFFFFF"/>
              </w:rPr>
              <w:t>Kadar</w:t>
            </w:r>
            <w:r w:rsidRPr="00605612">
              <w:rPr>
                <w:rFonts w:cs="Arial"/>
                <w:color w:val="000000"/>
                <w:szCs w:val="20"/>
                <w:shd w:val="clear" w:color="auto" w:fill="FFFFFF"/>
              </w:rPr>
              <w:t xml:space="preserve"> družbe ne izpolnijo deleža glede uravnotežene zastopanosti spolov med vodilnimi osebami, morajo pred izbirnim postopkom določiti jasna, nevtralna in nedvoumna merila, jih upoštevati </w:t>
            </w:r>
            <w:r>
              <w:rPr>
                <w:rFonts w:cs="Arial"/>
                <w:color w:val="000000"/>
                <w:szCs w:val="20"/>
                <w:shd w:val="clear" w:color="auto" w:fill="FFFFFF"/>
              </w:rPr>
              <w:t>v</w:t>
            </w:r>
            <w:r w:rsidRPr="00605612">
              <w:rPr>
                <w:rFonts w:cs="Arial"/>
                <w:color w:val="000000"/>
                <w:szCs w:val="20"/>
                <w:shd w:val="clear" w:color="auto" w:fill="FFFFFF"/>
              </w:rPr>
              <w:t xml:space="preserve"> celotn</w:t>
            </w:r>
            <w:r>
              <w:rPr>
                <w:rFonts w:cs="Arial"/>
                <w:color w:val="000000"/>
                <w:szCs w:val="20"/>
                <w:shd w:val="clear" w:color="auto" w:fill="FFFFFF"/>
              </w:rPr>
              <w:t>em</w:t>
            </w:r>
            <w:r w:rsidRPr="00605612">
              <w:rPr>
                <w:rFonts w:cs="Arial"/>
                <w:color w:val="000000"/>
                <w:szCs w:val="20"/>
                <w:shd w:val="clear" w:color="auto" w:fill="FFFFFF"/>
              </w:rPr>
              <w:t xml:space="preserve"> postopk</w:t>
            </w:r>
            <w:r>
              <w:rPr>
                <w:rFonts w:cs="Arial"/>
                <w:color w:val="000000"/>
                <w:szCs w:val="20"/>
                <w:shd w:val="clear" w:color="auto" w:fill="FFFFFF"/>
              </w:rPr>
              <w:t>u</w:t>
            </w:r>
            <w:r w:rsidRPr="00605612">
              <w:rPr>
                <w:rFonts w:cs="Arial"/>
                <w:color w:val="000000"/>
                <w:szCs w:val="20"/>
                <w:shd w:val="clear" w:color="auto" w:fill="FFFFFF"/>
              </w:rPr>
              <w:t xml:space="preserve">, ter zagotoviti objektivno primerjalno </w:t>
            </w:r>
            <w:r>
              <w:rPr>
                <w:rFonts w:cs="Arial"/>
                <w:color w:val="000000"/>
                <w:szCs w:val="20"/>
                <w:shd w:val="clear" w:color="auto" w:fill="FFFFFF"/>
              </w:rPr>
              <w:t>presojo</w:t>
            </w:r>
            <w:r w:rsidRPr="00605612">
              <w:rPr>
                <w:rFonts w:cs="Arial"/>
                <w:color w:val="000000"/>
                <w:szCs w:val="20"/>
                <w:shd w:val="clear" w:color="auto" w:fill="FFFFFF"/>
              </w:rPr>
              <w:t xml:space="preserve"> kvalifikacij kandidatov </w:t>
            </w:r>
            <w:r>
              <w:rPr>
                <w:rFonts w:cs="Arial"/>
                <w:color w:val="000000"/>
                <w:szCs w:val="20"/>
                <w:shd w:val="clear" w:color="auto" w:fill="FFFFFF"/>
              </w:rPr>
              <w:t>in</w:t>
            </w:r>
            <w:r w:rsidRPr="00605612">
              <w:rPr>
                <w:rFonts w:cs="Arial"/>
                <w:color w:val="000000"/>
                <w:szCs w:val="20"/>
                <w:shd w:val="clear" w:color="auto" w:fill="FFFFFF"/>
              </w:rPr>
              <w:t xml:space="preserve"> kandidatk. V primeru dveh enako kvalificiranih oseb je treba dati prednost predstavniku </w:t>
            </w:r>
            <w:r>
              <w:rPr>
                <w:rFonts w:cs="Arial"/>
                <w:color w:val="000000"/>
                <w:szCs w:val="20"/>
                <w:shd w:val="clear" w:color="auto" w:fill="FFFFFF"/>
              </w:rPr>
              <w:t>ali</w:t>
            </w:r>
            <w:r w:rsidRPr="00605612">
              <w:rPr>
                <w:rFonts w:cs="Arial"/>
                <w:color w:val="000000"/>
                <w:szCs w:val="20"/>
                <w:shd w:val="clear" w:color="auto" w:fill="FFFFFF"/>
              </w:rPr>
              <w:t xml:space="preserve"> predstavnici manj zastopanega spola, razen </w:t>
            </w:r>
            <w:r>
              <w:rPr>
                <w:rFonts w:cs="Arial"/>
                <w:color w:val="000000"/>
                <w:szCs w:val="20"/>
                <w:shd w:val="clear" w:color="auto" w:fill="FFFFFF"/>
              </w:rPr>
              <w:t>kadar</w:t>
            </w:r>
            <w:r w:rsidRPr="00605612">
              <w:rPr>
                <w:rFonts w:cs="Arial"/>
                <w:szCs w:val="20"/>
              </w:rPr>
              <w:t xml:space="preserve"> je treba zaradi objektivno utemeljenih razlogov dati prednost kandidatu </w:t>
            </w:r>
            <w:r>
              <w:rPr>
                <w:rFonts w:cs="Arial"/>
                <w:szCs w:val="20"/>
              </w:rPr>
              <w:t>ali</w:t>
            </w:r>
            <w:r w:rsidRPr="00605612">
              <w:rPr>
                <w:rFonts w:cs="Arial"/>
                <w:szCs w:val="20"/>
              </w:rPr>
              <w:t xml:space="preserve"> kandidatki</w:t>
            </w:r>
            <w:r w:rsidRPr="00605612" w:rsidDel="008979C8">
              <w:rPr>
                <w:rFonts w:cs="Arial"/>
                <w:szCs w:val="20"/>
              </w:rPr>
              <w:t xml:space="preserve"> nasprotnega spola</w:t>
            </w:r>
            <w:r w:rsidRPr="00605612">
              <w:rPr>
                <w:rFonts w:cs="Arial"/>
                <w:szCs w:val="20"/>
              </w:rPr>
              <w:t>, na primer zaradi upoštevanja drugih politik raznolikosti.</w:t>
            </w:r>
          </w:p>
          <w:p w14:paraId="5B8C2B6E" w14:textId="77777777" w:rsidR="000C08CA" w:rsidRPr="00605612" w:rsidRDefault="000C08CA" w:rsidP="00FE328D">
            <w:pPr>
              <w:spacing w:line="276" w:lineRule="auto"/>
              <w:jc w:val="both"/>
              <w:rPr>
                <w:rFonts w:cs="Arial"/>
                <w:szCs w:val="20"/>
              </w:rPr>
            </w:pPr>
          </w:p>
          <w:p w14:paraId="2B6AF6AD" w14:textId="77777777" w:rsidR="000C08CA" w:rsidRPr="00605612" w:rsidRDefault="000C08CA" w:rsidP="00FE328D">
            <w:pPr>
              <w:spacing w:line="276" w:lineRule="auto"/>
              <w:jc w:val="both"/>
              <w:rPr>
                <w:rFonts w:cs="Arial"/>
                <w:szCs w:val="20"/>
              </w:rPr>
            </w:pPr>
            <w:r w:rsidRPr="00605612">
              <w:rPr>
                <w:rFonts w:cs="Arial"/>
                <w:szCs w:val="20"/>
              </w:rPr>
              <w:t xml:space="preserve">Direktiva 2022/2381/EU ureja tudi pravice neizbranih kandidatov. </w:t>
            </w:r>
            <w:r>
              <w:rPr>
                <w:rFonts w:cs="Arial"/>
                <w:szCs w:val="20"/>
              </w:rPr>
              <w:t xml:space="preserve">Ti </w:t>
            </w:r>
            <w:r w:rsidRPr="00605612">
              <w:rPr>
                <w:rFonts w:cs="Arial"/>
                <w:szCs w:val="20"/>
              </w:rPr>
              <w:t xml:space="preserve">lahko od družbe zahtevajo podatke </w:t>
            </w:r>
            <w:r w:rsidRPr="00605612">
              <w:rPr>
                <w:rFonts w:cs="Arial"/>
                <w:color w:val="000000"/>
                <w:szCs w:val="20"/>
                <w:shd w:val="clear" w:color="auto" w:fill="FFFFFF"/>
              </w:rPr>
              <w:t xml:space="preserve">o merilih glede kvalifikacij, na katerih je temeljil izbor, o objektivni primerjalni </w:t>
            </w:r>
            <w:r>
              <w:rPr>
                <w:rFonts w:cs="Arial"/>
                <w:color w:val="000000"/>
                <w:szCs w:val="20"/>
                <w:shd w:val="clear" w:color="auto" w:fill="FFFFFF"/>
              </w:rPr>
              <w:t>presoji</w:t>
            </w:r>
            <w:r w:rsidRPr="00605612">
              <w:rPr>
                <w:rFonts w:cs="Arial"/>
                <w:color w:val="000000"/>
                <w:szCs w:val="20"/>
                <w:shd w:val="clear" w:color="auto" w:fill="FFFFFF"/>
              </w:rPr>
              <w:t xml:space="preserve"> kandidatov na podlagi teh meril in po potrebi o posebnih vidikih, ki so izjemoma pretehtali v korist kandidata, ki ni oseba manj zastopanega spola. Neizbranim kandidatom manj zastopanega spola je treba zagotoviti sodno ali upravno varstvo, če menijo, da so družbe kršile navedena pravila glede izbirnega postopka. </w:t>
            </w:r>
            <w:r>
              <w:rPr>
                <w:rFonts w:cs="Arial"/>
                <w:color w:val="000000"/>
                <w:szCs w:val="20"/>
                <w:shd w:val="clear" w:color="auto" w:fill="FFFFFF"/>
              </w:rPr>
              <w:t>Če</w:t>
            </w:r>
            <w:r w:rsidRPr="00605612">
              <w:rPr>
                <w:rFonts w:cs="Arial"/>
                <w:color w:val="000000"/>
                <w:szCs w:val="20"/>
                <w:shd w:val="clear" w:color="auto" w:fill="FFFFFF"/>
              </w:rPr>
              <w:t xml:space="preserve"> neizbran</w:t>
            </w:r>
            <w:r>
              <w:rPr>
                <w:rFonts w:cs="Arial"/>
                <w:color w:val="000000"/>
                <w:szCs w:val="20"/>
                <w:shd w:val="clear" w:color="auto" w:fill="FFFFFF"/>
              </w:rPr>
              <w:t>i</w:t>
            </w:r>
            <w:r w:rsidRPr="00605612">
              <w:rPr>
                <w:rFonts w:cs="Arial"/>
                <w:color w:val="000000"/>
                <w:szCs w:val="20"/>
                <w:shd w:val="clear" w:color="auto" w:fill="FFFFFF"/>
              </w:rPr>
              <w:t xml:space="preserve"> kandidat pri pristojnem organu predloži dejstva,</w:t>
            </w:r>
            <w:r w:rsidRPr="00605612">
              <w:rPr>
                <w:rFonts w:cs="Arial"/>
                <w:szCs w:val="20"/>
              </w:rPr>
              <w:t xml:space="preserve"> ki upravičujejo domnevo, da je bil enako kvalificiran kot izbrani kandidat, mora družba dokazati, da ni </w:t>
            </w:r>
            <w:r>
              <w:rPr>
                <w:rFonts w:cs="Arial"/>
                <w:szCs w:val="20"/>
              </w:rPr>
              <w:t>bilo</w:t>
            </w:r>
            <w:r w:rsidRPr="00605612">
              <w:rPr>
                <w:rFonts w:cs="Arial"/>
                <w:szCs w:val="20"/>
              </w:rPr>
              <w:t xml:space="preserve"> kršitev pogojev glede izbirnega postopka. </w:t>
            </w:r>
          </w:p>
          <w:p w14:paraId="41860AE9" w14:textId="77777777" w:rsidR="000C08CA" w:rsidRPr="00605612" w:rsidRDefault="000C08CA" w:rsidP="00FE328D">
            <w:pPr>
              <w:spacing w:line="276" w:lineRule="auto"/>
              <w:jc w:val="both"/>
              <w:rPr>
                <w:rFonts w:cs="Arial"/>
                <w:szCs w:val="20"/>
              </w:rPr>
            </w:pPr>
          </w:p>
          <w:p w14:paraId="4E5D7219" w14:textId="77777777" w:rsidR="000C08CA" w:rsidRPr="00605612" w:rsidRDefault="000C08CA" w:rsidP="00FE328D">
            <w:pPr>
              <w:spacing w:line="276" w:lineRule="auto"/>
              <w:jc w:val="both"/>
              <w:rPr>
                <w:rFonts w:cs="Arial"/>
                <w:szCs w:val="20"/>
              </w:rPr>
            </w:pPr>
            <w:r w:rsidRPr="00605612">
              <w:rPr>
                <w:rFonts w:cs="Arial"/>
                <w:szCs w:val="20"/>
              </w:rPr>
              <w:lastRenderedPageBreak/>
              <w:t xml:space="preserve">V </w:t>
            </w:r>
            <w:r w:rsidRPr="00605612">
              <w:rPr>
                <w:rFonts w:cs="Arial"/>
                <w:color w:val="000000" w:themeColor="text1"/>
                <w:szCs w:val="20"/>
              </w:rPr>
              <w:t>Direktivi 2022/2381/EU</w:t>
            </w:r>
            <w:r w:rsidRPr="00605612">
              <w:rPr>
                <w:rFonts w:cs="Arial"/>
                <w:szCs w:val="20"/>
              </w:rPr>
              <w:t xml:space="preserve"> je za družbe določena obveznost poročanja o deležih zastopanosti spolov med </w:t>
            </w:r>
            <w:r>
              <w:rPr>
                <w:rFonts w:cs="Arial"/>
                <w:szCs w:val="20"/>
              </w:rPr>
              <w:t>(ne)izvršnimi direktorji, in sicer</w:t>
            </w:r>
            <w:r w:rsidRPr="00605612">
              <w:rPr>
                <w:rFonts w:cs="Arial"/>
                <w:szCs w:val="20"/>
              </w:rPr>
              <w:t xml:space="preserve"> morajo enkrat letno poročati o deležu zastopanosti spolov med </w:t>
            </w:r>
            <w:r>
              <w:rPr>
                <w:rFonts w:cs="Arial"/>
                <w:szCs w:val="20"/>
              </w:rPr>
              <w:t>temi</w:t>
            </w:r>
            <w:r w:rsidRPr="00605612">
              <w:rPr>
                <w:rFonts w:cs="Arial"/>
                <w:szCs w:val="20"/>
              </w:rPr>
              <w:t xml:space="preserve"> in o ukrepih, ki so jih sprejele za dosego ciljev, določenih z </w:t>
            </w:r>
            <w:r>
              <w:rPr>
                <w:rFonts w:cs="Arial"/>
                <w:szCs w:val="20"/>
              </w:rPr>
              <w:t>navedeno d</w:t>
            </w:r>
            <w:r w:rsidRPr="00605612">
              <w:rPr>
                <w:rFonts w:cs="Arial"/>
                <w:szCs w:val="20"/>
              </w:rPr>
              <w:t xml:space="preserve">irektivo. Te podatke morajo družbe objaviti na svojih spletnih straneh in jih po potrebi vključiti v letno poročilo. Kadar družba ne doseže </w:t>
            </w:r>
            <w:r>
              <w:rPr>
                <w:rFonts w:cs="Arial"/>
                <w:szCs w:val="20"/>
              </w:rPr>
              <w:t>navedenih</w:t>
            </w:r>
            <w:r w:rsidRPr="00605612">
              <w:rPr>
                <w:rFonts w:cs="Arial"/>
                <w:szCs w:val="20"/>
              </w:rPr>
              <w:t xml:space="preserve"> ciljev, mora navesti razloge in predlagati ukrepe, ki jih je sprejela ali jih bo sprejela za njihovo dosego. Da bi zmanjšali upravno obremenitev in podvajanje poročanja je v </w:t>
            </w:r>
            <w:r>
              <w:rPr>
                <w:rFonts w:cs="Arial"/>
                <w:szCs w:val="20"/>
              </w:rPr>
              <w:t>d</w:t>
            </w:r>
            <w:r w:rsidRPr="00605612">
              <w:rPr>
                <w:rFonts w:cs="Arial"/>
                <w:szCs w:val="20"/>
              </w:rPr>
              <w:t>irektivi</w:t>
            </w:r>
            <w:r w:rsidRPr="00605612" w:rsidDel="008979C8">
              <w:rPr>
                <w:rFonts w:cs="Arial"/>
                <w:szCs w:val="20"/>
              </w:rPr>
              <w:t xml:space="preserve"> </w:t>
            </w:r>
            <w:r w:rsidRPr="00605612">
              <w:rPr>
                <w:rFonts w:cs="Arial"/>
                <w:szCs w:val="20"/>
              </w:rPr>
              <w:t xml:space="preserve">napotilo, da so lahko podatki o deležih zastopanosti spolov med </w:t>
            </w:r>
            <w:r>
              <w:rPr>
                <w:rFonts w:cs="Arial"/>
                <w:szCs w:val="20"/>
              </w:rPr>
              <w:t>(ne)izvršnimi direktorji</w:t>
            </w:r>
            <w:r w:rsidRPr="00605612">
              <w:rPr>
                <w:rFonts w:cs="Arial"/>
                <w:szCs w:val="20"/>
              </w:rPr>
              <w:t xml:space="preserve"> vključeni v izjavo o upravljanju družb. </w:t>
            </w:r>
          </w:p>
          <w:p w14:paraId="71EF00AC" w14:textId="77777777" w:rsidR="000C08CA" w:rsidRPr="00605612" w:rsidRDefault="000C08CA" w:rsidP="00FE328D">
            <w:pPr>
              <w:spacing w:line="276" w:lineRule="auto"/>
              <w:jc w:val="both"/>
              <w:rPr>
                <w:rFonts w:cs="Arial"/>
                <w:szCs w:val="20"/>
              </w:rPr>
            </w:pPr>
          </w:p>
          <w:p w14:paraId="78F9AD48" w14:textId="77777777" w:rsidR="000C08CA" w:rsidRPr="00605612" w:rsidRDefault="000C08CA" w:rsidP="00FE328D">
            <w:pPr>
              <w:spacing w:line="276" w:lineRule="auto"/>
              <w:jc w:val="both"/>
              <w:rPr>
                <w:rFonts w:cs="Arial"/>
                <w:szCs w:val="20"/>
              </w:rPr>
            </w:pPr>
            <w:r>
              <w:rPr>
                <w:rFonts w:cs="Arial"/>
                <w:szCs w:val="20"/>
              </w:rPr>
              <w:t>Navedena d</w:t>
            </w:r>
            <w:r w:rsidRPr="00605612">
              <w:rPr>
                <w:rFonts w:cs="Arial"/>
                <w:szCs w:val="20"/>
              </w:rPr>
              <w:t>irektiva</w:t>
            </w:r>
            <w:r w:rsidRPr="00605612" w:rsidDel="008979C8">
              <w:rPr>
                <w:rFonts w:cs="Arial"/>
                <w:szCs w:val="20"/>
              </w:rPr>
              <w:t xml:space="preserve"> </w:t>
            </w:r>
            <w:r w:rsidRPr="00605612">
              <w:rPr>
                <w:rFonts w:cs="Arial"/>
                <w:szCs w:val="20"/>
              </w:rPr>
              <w:t>predvideva tudi sankcije, ki naj bi bile učinkovite, sorazmerne in odvračilne. Predvidene so za kršitve določil v zvezi z izbirnim postopkom kandidatov za vodilna mesta v družbi, obveznostjo določitve deleža uravnotežen</w:t>
            </w:r>
            <w:r>
              <w:rPr>
                <w:rFonts w:cs="Arial"/>
                <w:szCs w:val="20"/>
              </w:rPr>
              <w:t>e</w:t>
            </w:r>
            <w:r w:rsidRPr="00605612">
              <w:rPr>
                <w:rFonts w:cs="Arial"/>
                <w:szCs w:val="20"/>
              </w:rPr>
              <w:t xml:space="preserve"> zastopanosti in obveznostjo poročanja. Direktiva</w:t>
            </w:r>
            <w:r w:rsidRPr="00605612" w:rsidDel="008979C8">
              <w:rPr>
                <w:rFonts w:cs="Arial"/>
                <w:szCs w:val="20"/>
              </w:rPr>
              <w:t xml:space="preserve"> </w:t>
            </w:r>
            <w:r w:rsidRPr="00605612">
              <w:rPr>
                <w:rFonts w:cs="Arial"/>
                <w:szCs w:val="20"/>
              </w:rPr>
              <w:t xml:space="preserve">dopušča državam članicam </w:t>
            </w:r>
            <w:r>
              <w:rPr>
                <w:rFonts w:cs="Arial"/>
                <w:szCs w:val="20"/>
              </w:rPr>
              <w:t xml:space="preserve">EU </w:t>
            </w:r>
            <w:r w:rsidRPr="00605612">
              <w:rPr>
                <w:rFonts w:cs="Arial"/>
                <w:szCs w:val="20"/>
              </w:rPr>
              <w:t xml:space="preserve">določitev različnih vrst sankcij, in sicer lahko te vključujejo globe, možnost razveljavitve odločitve o izboru direktorja ali direktorice ter možnost, da </w:t>
            </w:r>
            <w:r>
              <w:rPr>
                <w:rFonts w:cs="Arial"/>
                <w:szCs w:val="20"/>
              </w:rPr>
              <w:t xml:space="preserve">se </w:t>
            </w:r>
            <w:r w:rsidRPr="00605612">
              <w:rPr>
                <w:rFonts w:cs="Arial"/>
                <w:szCs w:val="20"/>
              </w:rPr>
              <w:t xml:space="preserve">odločitev razglasi za nično. </w:t>
            </w:r>
          </w:p>
          <w:p w14:paraId="1D79AB74" w14:textId="77777777" w:rsidR="000C08CA" w:rsidRPr="00605612" w:rsidRDefault="000C08CA" w:rsidP="00FE328D">
            <w:pPr>
              <w:spacing w:line="276" w:lineRule="auto"/>
              <w:jc w:val="both"/>
              <w:rPr>
                <w:rFonts w:cs="Arial"/>
                <w:szCs w:val="20"/>
              </w:rPr>
            </w:pPr>
          </w:p>
          <w:p w14:paraId="5FB34433" w14:textId="77777777" w:rsidR="000C08CA" w:rsidRPr="00605612" w:rsidRDefault="000C08CA" w:rsidP="00FE328D">
            <w:pPr>
              <w:spacing w:line="276" w:lineRule="auto"/>
              <w:jc w:val="both"/>
              <w:rPr>
                <w:rFonts w:cs="Arial"/>
                <w:szCs w:val="20"/>
              </w:rPr>
            </w:pPr>
            <w:r w:rsidRPr="00605612">
              <w:rPr>
                <w:rFonts w:cs="Arial"/>
                <w:szCs w:val="20"/>
              </w:rPr>
              <w:t xml:space="preserve">Skladno z </w:t>
            </w:r>
            <w:r>
              <w:rPr>
                <w:rFonts w:cs="Arial"/>
                <w:szCs w:val="20"/>
              </w:rPr>
              <w:t>navedeno d</w:t>
            </w:r>
            <w:r w:rsidRPr="00605612">
              <w:rPr>
                <w:rFonts w:cs="Arial"/>
                <w:szCs w:val="20"/>
              </w:rPr>
              <w:t>irektivo</w:t>
            </w:r>
            <w:r w:rsidRPr="00605612" w:rsidDel="008979C8">
              <w:rPr>
                <w:rFonts w:cs="Arial"/>
                <w:szCs w:val="20"/>
              </w:rPr>
              <w:t xml:space="preserve"> </w:t>
            </w:r>
            <w:r w:rsidRPr="00605612">
              <w:rPr>
                <w:rFonts w:cs="Arial"/>
                <w:szCs w:val="20"/>
              </w:rPr>
              <w:t xml:space="preserve">morajo države članice </w:t>
            </w:r>
            <w:r>
              <w:rPr>
                <w:rFonts w:cs="Arial"/>
                <w:szCs w:val="20"/>
              </w:rPr>
              <w:t xml:space="preserve">EU </w:t>
            </w:r>
            <w:r w:rsidRPr="00605612">
              <w:rPr>
                <w:rFonts w:cs="Arial"/>
                <w:szCs w:val="20"/>
              </w:rPr>
              <w:t>imenovati enega ali več organov</w:t>
            </w:r>
            <w:r w:rsidRPr="00605612">
              <w:rPr>
                <w:rFonts w:cs="Arial"/>
                <w:color w:val="000000"/>
                <w:szCs w:val="20"/>
                <w:shd w:val="clear" w:color="auto" w:fill="FFFFFF"/>
              </w:rPr>
              <w:t xml:space="preserve"> za spodbujanje, analiziranje, spremljanje in podpiranje uravnotežene zastopanosti spolov </w:t>
            </w:r>
            <w:r w:rsidRPr="00605612">
              <w:rPr>
                <w:rFonts w:cs="Arial"/>
                <w:szCs w:val="20"/>
              </w:rPr>
              <w:t xml:space="preserve">med </w:t>
            </w:r>
            <w:r>
              <w:rPr>
                <w:rFonts w:cs="Arial"/>
                <w:szCs w:val="20"/>
              </w:rPr>
              <w:t>(ne)izvršnimi direktorji</w:t>
            </w:r>
            <w:r w:rsidRPr="00605612">
              <w:rPr>
                <w:rFonts w:cs="Arial"/>
                <w:color w:val="000000"/>
                <w:szCs w:val="20"/>
                <w:shd w:val="clear" w:color="auto" w:fill="FFFFFF"/>
              </w:rPr>
              <w:t>.  Za ta namen se lahko imenuje organ za enakost, imenovan na podlagi 20. člena Direktive 2006/54/ES</w:t>
            </w:r>
            <w:r w:rsidRPr="00605612">
              <w:rPr>
                <w:rStyle w:val="FootnoteReference"/>
                <w:rFonts w:cs="Arial"/>
                <w:color w:val="000000"/>
                <w:szCs w:val="20"/>
                <w:shd w:val="clear" w:color="auto" w:fill="FFFFFF"/>
              </w:rPr>
              <w:footnoteReference w:id="17"/>
            </w:r>
            <w:r w:rsidRPr="00605612">
              <w:rPr>
                <w:rFonts w:cs="Arial"/>
                <w:color w:val="000000"/>
                <w:szCs w:val="20"/>
                <w:shd w:val="clear" w:color="auto" w:fill="FFFFFF"/>
              </w:rPr>
              <w:t xml:space="preserve">. To je v Republiki Sloveniji </w:t>
            </w:r>
            <w:r>
              <w:rPr>
                <w:rFonts w:cs="Arial"/>
                <w:color w:val="000000"/>
                <w:szCs w:val="20"/>
                <w:shd w:val="clear" w:color="auto" w:fill="FFFFFF"/>
              </w:rPr>
              <w:t>z</w:t>
            </w:r>
            <w:r w:rsidRPr="00605612">
              <w:rPr>
                <w:rFonts w:cs="Arial"/>
                <w:color w:val="000000"/>
                <w:szCs w:val="20"/>
                <w:shd w:val="clear" w:color="auto" w:fill="FFFFFF"/>
              </w:rPr>
              <w:t>agovornik načela enakosti.</w:t>
            </w:r>
          </w:p>
          <w:p w14:paraId="7B4C482B" w14:textId="77777777" w:rsidR="000C08CA" w:rsidRPr="00605612" w:rsidRDefault="000C08CA" w:rsidP="00FE328D">
            <w:pPr>
              <w:spacing w:line="276" w:lineRule="auto"/>
              <w:jc w:val="both"/>
              <w:rPr>
                <w:rFonts w:cs="Arial"/>
                <w:color w:val="000000" w:themeColor="text1"/>
                <w:szCs w:val="20"/>
              </w:rPr>
            </w:pPr>
          </w:p>
          <w:p w14:paraId="38798C30" w14:textId="77777777" w:rsidR="000C08CA" w:rsidRPr="00605612" w:rsidRDefault="000C08CA" w:rsidP="00FE328D">
            <w:pPr>
              <w:spacing w:line="276" w:lineRule="auto"/>
              <w:jc w:val="both"/>
              <w:rPr>
                <w:rFonts w:cs="Arial"/>
                <w:b/>
                <w:color w:val="000000" w:themeColor="text1"/>
                <w:szCs w:val="20"/>
              </w:rPr>
            </w:pPr>
            <w:r w:rsidRPr="00605612">
              <w:rPr>
                <w:rFonts w:cs="Arial"/>
                <w:b/>
                <w:color w:val="000000" w:themeColor="text1"/>
                <w:szCs w:val="20"/>
              </w:rPr>
              <w:t>Stanje v Sloveniji</w:t>
            </w:r>
          </w:p>
          <w:p w14:paraId="2A03DCF0" w14:textId="77777777" w:rsidR="000C08CA" w:rsidRPr="00605612" w:rsidRDefault="000C08CA" w:rsidP="00FE328D">
            <w:pPr>
              <w:spacing w:line="276" w:lineRule="auto"/>
              <w:jc w:val="both"/>
              <w:rPr>
                <w:rFonts w:cs="Arial"/>
                <w:szCs w:val="20"/>
              </w:rPr>
            </w:pPr>
          </w:p>
          <w:p w14:paraId="713FB24F" w14:textId="77777777" w:rsidR="000C08CA" w:rsidRPr="00605612" w:rsidRDefault="000C08CA" w:rsidP="00FE328D">
            <w:pPr>
              <w:spacing w:line="276" w:lineRule="auto"/>
              <w:jc w:val="both"/>
              <w:rPr>
                <w:rFonts w:cs="Arial"/>
                <w:szCs w:val="20"/>
              </w:rPr>
            </w:pPr>
            <w:r w:rsidRPr="00605612">
              <w:rPr>
                <w:rFonts w:cs="Arial"/>
                <w:szCs w:val="20"/>
              </w:rPr>
              <w:t xml:space="preserve">V Sloveniji se je v preteklosti družbe z nezavezujočimi </w:t>
            </w:r>
            <w:r>
              <w:rPr>
                <w:rFonts w:cs="Arial"/>
                <w:szCs w:val="20"/>
              </w:rPr>
              <w:t>ali</w:t>
            </w:r>
            <w:r w:rsidRPr="00605612">
              <w:rPr>
                <w:rFonts w:cs="Arial"/>
                <w:szCs w:val="20"/>
              </w:rPr>
              <w:t xml:space="preserve"> mehkimi ukrepi spodbujalo,</w:t>
            </w:r>
            <w:r w:rsidRPr="00605612" w:rsidDel="008979C8">
              <w:rPr>
                <w:rFonts w:cs="Arial"/>
                <w:szCs w:val="20"/>
              </w:rPr>
              <w:t xml:space="preserve"> </w:t>
            </w:r>
            <w:r>
              <w:rPr>
                <w:rFonts w:cs="Arial"/>
                <w:szCs w:val="20"/>
              </w:rPr>
              <w:t>naj</w:t>
            </w:r>
            <w:r w:rsidRPr="00605612">
              <w:rPr>
                <w:rFonts w:cs="Arial"/>
                <w:szCs w:val="20"/>
              </w:rPr>
              <w:t xml:space="preserve"> zagotovijo večjo </w:t>
            </w:r>
            <w:r>
              <w:rPr>
                <w:rFonts w:cs="Arial"/>
                <w:szCs w:val="20"/>
              </w:rPr>
              <w:t>uravnoteženo zastopanost spolov</w:t>
            </w:r>
            <w:r w:rsidRPr="00605612">
              <w:rPr>
                <w:rFonts w:cs="Arial"/>
                <w:szCs w:val="20"/>
              </w:rPr>
              <w:t xml:space="preserve"> med vodilnimi osebami v družbah. V letu 2013 je Ministrstvo za delo, družino, socialne zadeve in enake možnosti v sodelovanju z Združenjem Manager – sekcija managerk in Komisijo za preprečevanje korupcije začelo izvajati projekt Vključi.Vse</w:t>
            </w:r>
            <w:r w:rsidRPr="00605612">
              <w:rPr>
                <w:rFonts w:cs="Arial"/>
                <w:szCs w:val="20"/>
                <w:vertAlign w:val="superscript"/>
              </w:rPr>
              <w:footnoteReference w:id="18"/>
            </w:r>
            <w:r w:rsidRPr="00605612">
              <w:rPr>
                <w:rFonts w:cs="Arial"/>
                <w:szCs w:val="20"/>
              </w:rPr>
              <w:t>. V sklopu tega projekta je poleg raziskovalnih, informativnih in promocijskih dejavnosti nastal dokument, ki obsega natančne smernice za spodbujanje enakosti spolov na vodilnih mestih v gospodarskih družbah. Že leta 2011 je Združenje manager pripravilo dokument Zaveza za uspešno prihodnost 15/2020</w:t>
            </w:r>
            <w:r w:rsidRPr="00605612">
              <w:rPr>
                <w:rFonts w:cs="Arial"/>
                <w:szCs w:val="20"/>
                <w:vertAlign w:val="superscript"/>
              </w:rPr>
              <w:footnoteReference w:id="19"/>
            </w:r>
            <w:r w:rsidRPr="00605612">
              <w:rPr>
                <w:rFonts w:cs="Arial"/>
                <w:szCs w:val="20"/>
              </w:rPr>
              <w:t xml:space="preserve">, </w:t>
            </w:r>
            <w:r w:rsidDel="006F3F43">
              <w:rPr>
                <w:rFonts w:cs="Arial"/>
                <w:szCs w:val="20"/>
              </w:rPr>
              <w:t>ta dokument</w:t>
            </w:r>
            <w:r w:rsidRPr="00605612">
              <w:rPr>
                <w:rFonts w:cs="Arial"/>
                <w:szCs w:val="20"/>
              </w:rPr>
              <w:t xml:space="preserve"> obsega korake</w:t>
            </w:r>
            <w:r>
              <w:rPr>
                <w:rFonts w:cs="Arial"/>
                <w:szCs w:val="20"/>
              </w:rPr>
              <w:t>,</w:t>
            </w:r>
            <w:r w:rsidRPr="00605612">
              <w:rPr>
                <w:rFonts w:cs="Arial"/>
                <w:szCs w:val="20"/>
              </w:rPr>
              <w:t xml:space="preserve"> </w:t>
            </w:r>
            <w:r>
              <w:rPr>
                <w:rFonts w:cs="Arial"/>
                <w:szCs w:val="20"/>
              </w:rPr>
              <w:t xml:space="preserve">ki so jih menedžerji in </w:t>
            </w:r>
            <w:r w:rsidRPr="00605612">
              <w:rPr>
                <w:rFonts w:cs="Arial"/>
                <w:szCs w:val="20"/>
              </w:rPr>
              <w:t>m</w:t>
            </w:r>
            <w:r>
              <w:rPr>
                <w:rFonts w:cs="Arial"/>
                <w:szCs w:val="20"/>
              </w:rPr>
              <w:t>e</w:t>
            </w:r>
            <w:r w:rsidRPr="00605612">
              <w:rPr>
                <w:rFonts w:cs="Arial"/>
                <w:szCs w:val="20"/>
              </w:rPr>
              <w:t>n</w:t>
            </w:r>
            <w:r>
              <w:rPr>
                <w:rFonts w:cs="Arial"/>
                <w:szCs w:val="20"/>
              </w:rPr>
              <w:t>edž</w:t>
            </w:r>
            <w:r w:rsidRPr="00605612">
              <w:rPr>
                <w:rFonts w:cs="Arial"/>
                <w:szCs w:val="20"/>
              </w:rPr>
              <w:t>erk</w:t>
            </w:r>
            <w:r>
              <w:rPr>
                <w:rFonts w:cs="Arial"/>
                <w:szCs w:val="20"/>
              </w:rPr>
              <w:t>e</w:t>
            </w:r>
            <w:r w:rsidRPr="00605612">
              <w:rPr>
                <w:rFonts w:cs="Arial"/>
                <w:szCs w:val="20"/>
              </w:rPr>
              <w:t xml:space="preserve"> predlaga</w:t>
            </w:r>
            <w:r>
              <w:rPr>
                <w:rFonts w:cs="Arial"/>
                <w:szCs w:val="20"/>
              </w:rPr>
              <w:t xml:space="preserve">li </w:t>
            </w:r>
            <w:r w:rsidRPr="00605612">
              <w:rPr>
                <w:rFonts w:cs="Arial"/>
                <w:szCs w:val="20"/>
              </w:rPr>
              <w:t xml:space="preserve">za </w:t>
            </w:r>
            <w:r>
              <w:rPr>
                <w:rFonts w:cs="Arial"/>
                <w:szCs w:val="20"/>
              </w:rPr>
              <w:t>večjo</w:t>
            </w:r>
            <w:r w:rsidRPr="00605612">
              <w:rPr>
                <w:rFonts w:cs="Arial"/>
                <w:szCs w:val="20"/>
              </w:rPr>
              <w:t xml:space="preserve"> konkurenčnost slovenskega gospodarstva, tako da bi Slovenija do leta 2020 prišla med 15 najrazvitejših evropskih držav. Kot enega nujnih pogojev so navedli povečanje deleža m</w:t>
            </w:r>
            <w:r>
              <w:rPr>
                <w:rFonts w:cs="Arial"/>
                <w:szCs w:val="20"/>
              </w:rPr>
              <w:t>e</w:t>
            </w:r>
            <w:r w:rsidRPr="00605612">
              <w:rPr>
                <w:rFonts w:cs="Arial"/>
                <w:szCs w:val="20"/>
              </w:rPr>
              <w:t>n</w:t>
            </w:r>
            <w:r>
              <w:rPr>
                <w:rFonts w:cs="Arial"/>
                <w:szCs w:val="20"/>
              </w:rPr>
              <w:t>edž</w:t>
            </w:r>
            <w:r w:rsidRPr="00605612">
              <w:rPr>
                <w:rFonts w:cs="Arial"/>
                <w:szCs w:val="20"/>
              </w:rPr>
              <w:t>erk</w:t>
            </w:r>
            <w:r>
              <w:rPr>
                <w:rFonts w:cs="Arial"/>
                <w:szCs w:val="20"/>
              </w:rPr>
              <w:t xml:space="preserve"> </w:t>
            </w:r>
            <w:r w:rsidRPr="00605612">
              <w:rPr>
                <w:rFonts w:cs="Arial"/>
                <w:szCs w:val="20"/>
              </w:rPr>
              <w:t xml:space="preserve">v vodstvih podjetij na vsaj 30 % do leta 2015 in 40 % do leta 2017, kar </w:t>
            </w:r>
            <w:r>
              <w:rPr>
                <w:rFonts w:cs="Arial"/>
                <w:szCs w:val="20"/>
              </w:rPr>
              <w:t>iz</w:t>
            </w:r>
            <w:r w:rsidRPr="00605612">
              <w:rPr>
                <w:rFonts w:cs="Arial"/>
                <w:szCs w:val="20"/>
              </w:rPr>
              <w:t xml:space="preserve">raža tudi spolno strukturo prebivalstva, zaposlenih, delež izobraženih in enakomerno razporeditev talenta (ibid.). </w:t>
            </w:r>
          </w:p>
          <w:p w14:paraId="33A879B6" w14:textId="77777777" w:rsidR="000C08CA" w:rsidRPr="00605612" w:rsidRDefault="000C08CA" w:rsidP="00FE328D">
            <w:pPr>
              <w:spacing w:line="276" w:lineRule="auto"/>
              <w:jc w:val="both"/>
              <w:rPr>
                <w:rFonts w:cs="Arial"/>
                <w:szCs w:val="20"/>
              </w:rPr>
            </w:pPr>
          </w:p>
          <w:p w14:paraId="6151FC14" w14:textId="77777777" w:rsidR="000C08CA" w:rsidRPr="00605612" w:rsidRDefault="000C08CA" w:rsidP="00FE328D">
            <w:pPr>
              <w:spacing w:line="276" w:lineRule="auto"/>
              <w:jc w:val="both"/>
              <w:rPr>
                <w:rFonts w:cs="Arial"/>
                <w:szCs w:val="20"/>
              </w:rPr>
            </w:pPr>
            <w:r w:rsidRPr="00605612">
              <w:rPr>
                <w:rFonts w:cs="Arial"/>
                <w:szCs w:val="20"/>
              </w:rPr>
              <w:t xml:space="preserve">V Sloveniji so pri spodbujanju bolj uravnotežene zastopanosti spolov med vodilnimi osebami v družbah sprejeti zelo pomembni (referenčni) kodeksi upravljanja. Leta 2004 je bil najprej sprejet </w:t>
            </w:r>
            <w:r w:rsidRPr="00605612">
              <w:rPr>
                <w:rFonts w:cs="Arial"/>
                <w:color w:val="202220"/>
                <w:szCs w:val="20"/>
                <w:shd w:val="clear" w:color="auto" w:fill="FFFFFF"/>
              </w:rPr>
              <w:t>Slovenski kodeks upravljanja javnih delniških družb</w:t>
            </w:r>
            <w:r w:rsidRPr="00605612">
              <w:rPr>
                <w:rFonts w:cs="Arial"/>
                <w:color w:val="202220"/>
                <w:szCs w:val="20"/>
                <w:vertAlign w:val="superscript"/>
              </w:rPr>
              <w:footnoteReference w:id="20"/>
            </w:r>
            <w:r w:rsidRPr="00605612">
              <w:rPr>
                <w:rFonts w:cs="Arial"/>
                <w:color w:val="202220"/>
                <w:szCs w:val="20"/>
                <w:shd w:val="clear" w:color="auto" w:fill="FFFFFF"/>
              </w:rPr>
              <w:t>, leta 2016 Kodeks upravljanja za nejavne družbe</w:t>
            </w:r>
            <w:r w:rsidRPr="00605612">
              <w:rPr>
                <w:rFonts w:cs="Arial"/>
                <w:color w:val="202220"/>
                <w:szCs w:val="20"/>
                <w:vertAlign w:val="superscript"/>
              </w:rPr>
              <w:footnoteReference w:id="21"/>
            </w:r>
            <w:r w:rsidRPr="00605612">
              <w:rPr>
                <w:rFonts w:cs="Arial"/>
                <w:color w:val="202220"/>
                <w:szCs w:val="20"/>
                <w:shd w:val="clear" w:color="auto" w:fill="FFFFFF"/>
              </w:rPr>
              <w:t xml:space="preserve"> </w:t>
            </w:r>
            <w:r>
              <w:rPr>
                <w:rFonts w:cs="Arial"/>
                <w:color w:val="202220"/>
                <w:szCs w:val="20"/>
                <w:shd w:val="clear" w:color="auto" w:fill="FFFFFF"/>
              </w:rPr>
              <w:t>ter</w:t>
            </w:r>
            <w:r w:rsidRPr="00605612">
              <w:rPr>
                <w:rFonts w:cs="Arial"/>
                <w:color w:val="202220"/>
                <w:szCs w:val="20"/>
                <w:shd w:val="clear" w:color="auto" w:fill="FFFFFF"/>
              </w:rPr>
              <w:t xml:space="preserve"> leta 2022 Kodeks korporativnega upravljanja družb s kapitalsko naložbo države</w:t>
            </w:r>
            <w:r w:rsidRPr="00605612">
              <w:rPr>
                <w:rFonts w:cs="Arial"/>
                <w:color w:val="202220"/>
                <w:szCs w:val="20"/>
                <w:vertAlign w:val="superscript"/>
              </w:rPr>
              <w:footnoteReference w:id="22"/>
            </w:r>
            <w:r w:rsidRPr="00605612">
              <w:rPr>
                <w:rFonts w:cs="Arial"/>
                <w:color w:val="202220"/>
                <w:szCs w:val="20"/>
                <w:shd w:val="clear" w:color="auto" w:fill="FFFFFF"/>
              </w:rPr>
              <w:t xml:space="preserve"> </w:t>
            </w:r>
            <w:r>
              <w:rPr>
                <w:rFonts w:cs="Arial"/>
                <w:color w:val="202220"/>
                <w:szCs w:val="20"/>
                <w:shd w:val="clear" w:color="auto" w:fill="FFFFFF"/>
              </w:rPr>
              <w:t>in</w:t>
            </w:r>
            <w:r w:rsidRPr="00605612">
              <w:rPr>
                <w:rFonts w:cs="Arial"/>
                <w:color w:val="202220"/>
                <w:szCs w:val="20"/>
                <w:shd w:val="clear" w:color="auto" w:fill="FFFFFF"/>
              </w:rPr>
              <w:t xml:space="preserve"> Kodeks upravljanja za družbe s kapitalsko udeležbo lokalnih skupnosti</w:t>
            </w:r>
            <w:r w:rsidRPr="00605612">
              <w:rPr>
                <w:rFonts w:cs="Arial"/>
                <w:color w:val="202220"/>
                <w:szCs w:val="20"/>
                <w:vertAlign w:val="superscript"/>
              </w:rPr>
              <w:footnoteReference w:id="23"/>
            </w:r>
            <w:r w:rsidRPr="00605612">
              <w:rPr>
                <w:rFonts w:cs="Arial"/>
                <w:color w:val="202220"/>
                <w:szCs w:val="20"/>
                <w:shd w:val="clear" w:color="auto" w:fill="FFFFFF"/>
              </w:rPr>
              <w:t>.</w:t>
            </w:r>
            <w:r w:rsidRPr="00605612">
              <w:rPr>
                <w:rFonts w:cs="Arial"/>
                <w:szCs w:val="20"/>
              </w:rPr>
              <w:t xml:space="preserve"> </w:t>
            </w:r>
            <w:r w:rsidRPr="00605612">
              <w:rPr>
                <w:rFonts w:cs="Arial"/>
                <w:color w:val="202220"/>
                <w:szCs w:val="20"/>
                <w:shd w:val="clear" w:color="auto" w:fill="FFFFFF"/>
              </w:rPr>
              <w:t xml:space="preserve">Kodeksi so priporočilne narave in niso dodatni predpisi, predvsem je njihov </w:t>
            </w:r>
            <w:r>
              <w:rPr>
                <w:rFonts w:cs="Arial"/>
                <w:color w:val="202220"/>
                <w:szCs w:val="20"/>
                <w:shd w:val="clear" w:color="auto" w:fill="FFFFFF"/>
              </w:rPr>
              <w:t>cilj</w:t>
            </w:r>
            <w:r w:rsidRPr="00605612">
              <w:rPr>
                <w:rFonts w:cs="Arial"/>
                <w:color w:val="202220"/>
                <w:szCs w:val="20"/>
                <w:shd w:val="clear" w:color="auto" w:fill="FFFFFF"/>
              </w:rPr>
              <w:t xml:space="preserve"> narediti sistem upravljanja družbe primerljiv in pregleden glede na prakso</w:t>
            </w:r>
            <w:r>
              <w:rPr>
                <w:rFonts w:cs="Arial"/>
                <w:color w:val="202220"/>
                <w:szCs w:val="20"/>
                <w:shd w:val="clear" w:color="auto" w:fill="FFFFFF"/>
              </w:rPr>
              <w:t>, ki je</w:t>
            </w:r>
            <w:r w:rsidRPr="00605612">
              <w:rPr>
                <w:rFonts w:cs="Arial"/>
                <w:color w:val="202220"/>
                <w:szCs w:val="20"/>
                <w:shd w:val="clear" w:color="auto" w:fill="FFFFFF"/>
              </w:rPr>
              <w:t xml:space="preserve"> priporočen</w:t>
            </w:r>
            <w:r>
              <w:rPr>
                <w:rFonts w:cs="Arial"/>
                <w:color w:val="202220"/>
                <w:szCs w:val="20"/>
                <w:shd w:val="clear" w:color="auto" w:fill="FFFFFF"/>
              </w:rPr>
              <w:t>a</w:t>
            </w:r>
            <w:r w:rsidRPr="00605612">
              <w:rPr>
                <w:rFonts w:cs="Arial"/>
                <w:color w:val="202220"/>
                <w:szCs w:val="20"/>
                <w:shd w:val="clear" w:color="auto" w:fill="FFFFFF"/>
              </w:rPr>
              <w:t xml:space="preserve"> v </w:t>
            </w:r>
            <w:r>
              <w:rPr>
                <w:rFonts w:cs="Arial"/>
                <w:color w:val="202220"/>
                <w:szCs w:val="20"/>
                <w:shd w:val="clear" w:color="auto" w:fill="FFFFFF"/>
              </w:rPr>
              <w:t>zadevnem k</w:t>
            </w:r>
            <w:r w:rsidRPr="00605612">
              <w:rPr>
                <w:rFonts w:cs="Arial"/>
                <w:color w:val="202220"/>
                <w:szCs w:val="20"/>
                <w:shd w:val="clear" w:color="auto" w:fill="FFFFFF"/>
              </w:rPr>
              <w:t>odeksu. P</w:t>
            </w:r>
            <w:r>
              <w:rPr>
                <w:rFonts w:cs="Arial"/>
                <w:color w:val="202220"/>
                <w:szCs w:val="20"/>
                <w:shd w:val="clear" w:color="auto" w:fill="FFFFFF"/>
              </w:rPr>
              <w:t>oleg tega</w:t>
            </w:r>
            <w:r w:rsidRPr="00605612">
              <w:rPr>
                <w:rFonts w:cs="Arial"/>
                <w:color w:val="202220"/>
                <w:szCs w:val="20"/>
                <w:shd w:val="clear" w:color="auto" w:fill="FFFFFF"/>
              </w:rPr>
              <w:t xml:space="preserve"> za nobeno družbo niso zavezujoči; toda družbe, ki so zavezane reviziji in so </w:t>
            </w:r>
            <w:r>
              <w:rPr>
                <w:rFonts w:cs="Arial"/>
                <w:color w:val="202220"/>
                <w:szCs w:val="20"/>
                <w:shd w:val="clear" w:color="auto" w:fill="FFFFFF"/>
              </w:rPr>
              <w:t>zadevni k</w:t>
            </w:r>
            <w:r w:rsidRPr="00605612">
              <w:rPr>
                <w:rFonts w:cs="Arial"/>
                <w:color w:val="202220"/>
                <w:szCs w:val="20"/>
                <w:shd w:val="clear" w:color="auto" w:fill="FFFFFF"/>
              </w:rPr>
              <w:t>odeks izbrale za svoj referenčni kodeks, morajo po </w:t>
            </w:r>
            <w:r w:rsidRPr="00605612">
              <w:rPr>
                <w:rStyle w:val="Strong"/>
                <w:rFonts w:cs="Arial"/>
                <w:b w:val="0"/>
                <w:color w:val="202220"/>
                <w:szCs w:val="20"/>
                <w:shd w:val="clear" w:color="auto" w:fill="FFFFFF"/>
              </w:rPr>
              <w:t xml:space="preserve">načelu </w:t>
            </w:r>
            <w:r w:rsidRPr="00605612">
              <w:rPr>
                <w:rStyle w:val="Strong"/>
                <w:rFonts w:cs="Arial"/>
                <w:b w:val="0"/>
                <w:i/>
                <w:color w:val="202220"/>
                <w:szCs w:val="20"/>
                <w:shd w:val="clear" w:color="auto" w:fill="FFFFFF"/>
              </w:rPr>
              <w:t>spoštuj ali pojasni</w:t>
            </w:r>
            <w:r w:rsidRPr="00605612">
              <w:rPr>
                <w:rFonts w:cs="Arial"/>
                <w:color w:val="202220"/>
                <w:szCs w:val="20"/>
                <w:shd w:val="clear" w:color="auto" w:fill="FFFFFF"/>
              </w:rPr>
              <w:t xml:space="preserve"> v izjavi o upravljanju razkriti odstopanja od posameznih priporočil </w:t>
            </w:r>
            <w:r>
              <w:rPr>
                <w:rFonts w:cs="Arial"/>
                <w:color w:val="202220"/>
                <w:szCs w:val="20"/>
                <w:shd w:val="clear" w:color="auto" w:fill="FFFFFF"/>
              </w:rPr>
              <w:t>k</w:t>
            </w:r>
            <w:r w:rsidRPr="00605612">
              <w:rPr>
                <w:rFonts w:cs="Arial"/>
                <w:color w:val="202220"/>
                <w:szCs w:val="20"/>
                <w:shd w:val="clear" w:color="auto" w:fill="FFFFFF"/>
              </w:rPr>
              <w:t xml:space="preserve">odeksa in pojasniti lastno alternativno prakso, za katero so se odločile. </w:t>
            </w:r>
          </w:p>
          <w:p w14:paraId="2140779D" w14:textId="77777777" w:rsidR="000C08CA" w:rsidRPr="00605612" w:rsidRDefault="000C08CA" w:rsidP="00FE328D">
            <w:pPr>
              <w:spacing w:line="276" w:lineRule="auto"/>
              <w:jc w:val="both"/>
              <w:rPr>
                <w:rFonts w:cs="Arial"/>
                <w:szCs w:val="20"/>
              </w:rPr>
            </w:pPr>
          </w:p>
          <w:p w14:paraId="41398E8A" w14:textId="77777777" w:rsidR="000C08CA" w:rsidRPr="00605612" w:rsidRDefault="000C08CA" w:rsidP="00FE328D">
            <w:pPr>
              <w:spacing w:line="276" w:lineRule="auto"/>
              <w:jc w:val="both"/>
              <w:rPr>
                <w:rFonts w:cs="Arial"/>
                <w:color w:val="202220"/>
                <w:szCs w:val="20"/>
                <w:shd w:val="clear" w:color="auto" w:fill="FFFFFF"/>
              </w:rPr>
            </w:pPr>
            <w:r w:rsidRPr="00605612">
              <w:rPr>
                <w:rFonts w:cs="Arial"/>
                <w:color w:val="202220"/>
                <w:szCs w:val="20"/>
                <w:shd w:val="clear" w:color="auto" w:fill="FFFFFF"/>
              </w:rPr>
              <w:t xml:space="preserve">Združenje nadzornikov Slovenije (v nadaljnjem besedilu: ZNS) je leta 2019 predstavilo pobudo za prostovoljno doseganje cilja </w:t>
            </w:r>
            <w:r w:rsidRPr="001E0A6D">
              <w:rPr>
                <w:rFonts w:cs="Arial"/>
                <w:color w:val="202220"/>
                <w:szCs w:val="20"/>
                <w:shd w:val="clear" w:color="auto" w:fill="FFFFFF"/>
              </w:rPr>
              <w:t>uravnotežene zastopanosti spolov</w:t>
            </w:r>
            <w:r>
              <w:rPr>
                <w:rFonts w:cs="Arial"/>
                <w:color w:val="202220"/>
                <w:szCs w:val="20"/>
                <w:shd w:val="clear" w:color="auto" w:fill="FFFFFF"/>
              </w:rPr>
              <w:t xml:space="preserve"> </w:t>
            </w:r>
            <w:r w:rsidRPr="00605612">
              <w:rPr>
                <w:rFonts w:cs="Arial"/>
                <w:color w:val="202220"/>
                <w:szCs w:val="20"/>
                <w:shd w:val="clear" w:color="auto" w:fill="FFFFFF"/>
              </w:rPr>
              <w:t>do konca leta 2026, in sicer 40 % za člane nadzornih svetov in skupaj 33 % za člane nadzornih svetov in uprav manj zastopanega spola v javnih delniških družbah in družbah v državni lasti</w:t>
            </w:r>
            <w:r>
              <w:rPr>
                <w:rFonts w:cs="Arial"/>
                <w:color w:val="202220"/>
                <w:szCs w:val="20"/>
                <w:shd w:val="clear" w:color="auto" w:fill="FFFFFF"/>
              </w:rPr>
              <w:t>.</w:t>
            </w:r>
            <w:r w:rsidRPr="00605612">
              <w:rPr>
                <w:rFonts w:cs="Arial"/>
                <w:color w:val="202220"/>
                <w:szCs w:val="20"/>
                <w:vertAlign w:val="superscript"/>
              </w:rPr>
              <w:footnoteReference w:id="24"/>
            </w:r>
            <w:r w:rsidRPr="00605612">
              <w:rPr>
                <w:rFonts w:cs="Arial"/>
                <w:color w:val="202220"/>
                <w:szCs w:val="20"/>
                <w:shd w:val="clear" w:color="auto" w:fill="FFFFFF"/>
              </w:rPr>
              <w:t xml:space="preserve"> ZNS v sodelovanju s partnerjem Deloitte Slovenija redno spremlja stanje na tem področju po posameznih družbah in vsaj enkrat letno poroča o spremembah in sledenju ciljni </w:t>
            </w:r>
            <w:r w:rsidRPr="001E0A6D">
              <w:rPr>
                <w:rFonts w:cs="Arial"/>
                <w:color w:val="202220"/>
                <w:szCs w:val="20"/>
                <w:shd w:val="clear" w:color="auto" w:fill="FFFFFF"/>
              </w:rPr>
              <w:t>uravnotežen</w:t>
            </w:r>
            <w:r>
              <w:rPr>
                <w:rFonts w:cs="Arial"/>
                <w:color w:val="202220"/>
                <w:szCs w:val="20"/>
                <w:shd w:val="clear" w:color="auto" w:fill="FFFFFF"/>
              </w:rPr>
              <w:t>i</w:t>
            </w:r>
            <w:r w:rsidRPr="001E0A6D">
              <w:rPr>
                <w:rFonts w:cs="Arial"/>
                <w:color w:val="202220"/>
                <w:szCs w:val="20"/>
                <w:shd w:val="clear" w:color="auto" w:fill="FFFFFF"/>
              </w:rPr>
              <w:t xml:space="preserve"> zastopanosti spolov</w:t>
            </w:r>
            <w:r>
              <w:rPr>
                <w:rFonts w:cs="Arial"/>
                <w:color w:val="202220"/>
                <w:szCs w:val="20"/>
                <w:shd w:val="clear" w:color="auto" w:fill="FFFFFF"/>
              </w:rPr>
              <w:t xml:space="preserve"> v </w:t>
            </w:r>
            <w:r w:rsidRPr="00605612">
              <w:rPr>
                <w:rFonts w:cs="Arial"/>
                <w:color w:val="202220"/>
                <w:szCs w:val="20"/>
                <w:shd w:val="clear" w:color="auto" w:fill="FFFFFF"/>
              </w:rPr>
              <w:t>organ</w:t>
            </w:r>
            <w:r>
              <w:rPr>
                <w:rFonts w:cs="Arial"/>
                <w:color w:val="202220"/>
                <w:szCs w:val="20"/>
                <w:shd w:val="clear" w:color="auto" w:fill="FFFFFF"/>
              </w:rPr>
              <w:t>ih</w:t>
            </w:r>
            <w:r w:rsidRPr="00605612">
              <w:rPr>
                <w:rFonts w:cs="Arial"/>
                <w:color w:val="202220"/>
                <w:szCs w:val="20"/>
                <w:shd w:val="clear" w:color="auto" w:fill="FFFFFF"/>
              </w:rPr>
              <w:t xml:space="preserve"> vodenja in nadzora po posameznih družbah. Poročilo iz leta 2023 kaže, da je na dan 30. 4. 2023 16 od 54 vključenih </w:t>
            </w:r>
            <w:r>
              <w:rPr>
                <w:rFonts w:cs="Arial"/>
                <w:color w:val="202220"/>
                <w:szCs w:val="20"/>
                <w:shd w:val="clear" w:color="auto" w:fill="FFFFFF"/>
              </w:rPr>
              <w:t>družb</w:t>
            </w:r>
            <w:r w:rsidRPr="00605612">
              <w:rPr>
                <w:rFonts w:cs="Arial"/>
                <w:color w:val="202220"/>
                <w:szCs w:val="20"/>
                <w:shd w:val="clear" w:color="auto" w:fill="FFFFFF"/>
              </w:rPr>
              <w:t xml:space="preserve"> doseg</w:t>
            </w:r>
            <w:r>
              <w:rPr>
                <w:rFonts w:cs="Arial"/>
                <w:color w:val="202220"/>
                <w:szCs w:val="20"/>
                <w:shd w:val="clear" w:color="auto" w:fill="FFFFFF"/>
              </w:rPr>
              <w:t>lo</w:t>
            </w:r>
            <w:r w:rsidRPr="00605612">
              <w:rPr>
                <w:rFonts w:cs="Arial"/>
                <w:color w:val="202220"/>
                <w:szCs w:val="20"/>
                <w:shd w:val="clear" w:color="auto" w:fill="FFFFFF"/>
              </w:rPr>
              <w:t xml:space="preserve"> 40</w:t>
            </w:r>
            <w:r w:rsidRPr="00605612" w:rsidDel="008979C8">
              <w:rPr>
                <w:rFonts w:cs="Arial"/>
                <w:color w:val="202220"/>
                <w:szCs w:val="20"/>
                <w:shd w:val="clear" w:color="auto" w:fill="FFFFFF"/>
              </w:rPr>
              <w:t xml:space="preserve"> </w:t>
            </w:r>
            <w:r w:rsidRPr="00605612">
              <w:rPr>
                <w:rFonts w:cs="Arial"/>
                <w:color w:val="202220"/>
                <w:szCs w:val="20"/>
                <w:shd w:val="clear" w:color="auto" w:fill="FFFFFF"/>
              </w:rPr>
              <w:t xml:space="preserve">zastopanost žensk v nadzornih svetih oziroma 22 </w:t>
            </w:r>
            <w:r w:rsidRPr="001E0A6D">
              <w:rPr>
                <w:rFonts w:cs="Arial"/>
                <w:color w:val="202220"/>
                <w:szCs w:val="20"/>
                <w:shd w:val="clear" w:color="auto" w:fill="FFFFFF"/>
              </w:rPr>
              <w:t>družb</w:t>
            </w:r>
            <w:r w:rsidRPr="00605612">
              <w:rPr>
                <w:rFonts w:cs="Arial"/>
                <w:color w:val="202220"/>
                <w:szCs w:val="20"/>
                <w:shd w:val="clear" w:color="auto" w:fill="FFFFFF"/>
              </w:rPr>
              <w:t xml:space="preserve"> 33</w:t>
            </w:r>
            <w:r w:rsidRPr="00605612" w:rsidDel="008979C8">
              <w:rPr>
                <w:rFonts w:cs="Arial"/>
                <w:color w:val="202220"/>
                <w:szCs w:val="20"/>
                <w:shd w:val="clear" w:color="auto" w:fill="FFFFFF"/>
              </w:rPr>
              <w:t xml:space="preserve"> </w:t>
            </w:r>
            <w:r w:rsidRPr="00605612">
              <w:rPr>
                <w:rFonts w:cs="Arial"/>
                <w:color w:val="202220"/>
                <w:szCs w:val="20"/>
                <w:shd w:val="clear" w:color="auto" w:fill="FFFFFF"/>
              </w:rPr>
              <w:t>zastopanost žensk v upravnih in nadzornih organih skupaj. 16 družb je ciljn</w:t>
            </w:r>
            <w:r>
              <w:rPr>
                <w:rFonts w:cs="Arial"/>
                <w:color w:val="202220"/>
                <w:szCs w:val="20"/>
                <w:shd w:val="clear" w:color="auto" w:fill="FFFFFF"/>
              </w:rPr>
              <w:t>a</w:t>
            </w:r>
            <w:r w:rsidRPr="00605612">
              <w:rPr>
                <w:rFonts w:cs="Arial"/>
                <w:color w:val="202220"/>
                <w:szCs w:val="20"/>
                <w:shd w:val="clear" w:color="auto" w:fill="FFFFFF"/>
              </w:rPr>
              <w:t xml:space="preserve"> delež</w:t>
            </w:r>
            <w:r>
              <w:rPr>
                <w:rFonts w:cs="Arial"/>
                <w:color w:val="202220"/>
                <w:szCs w:val="20"/>
                <w:shd w:val="clear" w:color="auto" w:fill="FFFFFF"/>
              </w:rPr>
              <w:t>a</w:t>
            </w:r>
            <w:r w:rsidRPr="00605612">
              <w:rPr>
                <w:rFonts w:cs="Arial"/>
                <w:color w:val="202220"/>
                <w:szCs w:val="20"/>
                <w:shd w:val="clear" w:color="auto" w:fill="FFFFFF"/>
              </w:rPr>
              <w:t xml:space="preserve"> doseg</w:t>
            </w:r>
            <w:r>
              <w:rPr>
                <w:rFonts w:cs="Arial"/>
                <w:color w:val="202220"/>
                <w:szCs w:val="20"/>
                <w:shd w:val="clear" w:color="auto" w:fill="FFFFFF"/>
              </w:rPr>
              <w:t>lo</w:t>
            </w:r>
            <w:r w:rsidRPr="00605612">
              <w:rPr>
                <w:rFonts w:cs="Arial"/>
                <w:color w:val="202220"/>
                <w:szCs w:val="20"/>
                <w:shd w:val="clear" w:color="auto" w:fill="FFFFFF"/>
              </w:rPr>
              <w:t xml:space="preserve"> tako v upravnih kot nadzornih organih</w:t>
            </w:r>
            <w:r>
              <w:rPr>
                <w:rFonts w:cs="Arial"/>
                <w:color w:val="202220"/>
                <w:szCs w:val="20"/>
                <w:shd w:val="clear" w:color="auto" w:fill="FFFFFF"/>
              </w:rPr>
              <w:t>,</w:t>
            </w:r>
            <w:r w:rsidRPr="00605612">
              <w:rPr>
                <w:rFonts w:cs="Arial"/>
                <w:color w:val="202220"/>
                <w:szCs w:val="20"/>
                <w:shd w:val="clear" w:color="auto" w:fill="FFFFFF"/>
              </w:rPr>
              <w:t xml:space="preserve"> </w:t>
            </w:r>
            <w:r>
              <w:rPr>
                <w:rFonts w:cs="Arial"/>
                <w:color w:val="202220"/>
                <w:szCs w:val="20"/>
                <w:shd w:val="clear" w:color="auto" w:fill="FFFFFF"/>
              </w:rPr>
              <w:t>poleg tega v 7</w:t>
            </w:r>
            <w:r w:rsidRPr="00605612">
              <w:rPr>
                <w:rFonts w:cs="Arial"/>
                <w:color w:val="202220"/>
                <w:szCs w:val="20"/>
                <w:shd w:val="clear" w:color="auto" w:fill="FFFFFF"/>
              </w:rPr>
              <w:t xml:space="preserve"> družb</w:t>
            </w:r>
            <w:r>
              <w:rPr>
                <w:rFonts w:cs="Arial"/>
                <w:color w:val="202220"/>
                <w:szCs w:val="20"/>
                <w:shd w:val="clear" w:color="auto" w:fill="FFFFFF"/>
              </w:rPr>
              <w:t xml:space="preserve">ah </w:t>
            </w:r>
            <w:r w:rsidRPr="00605612">
              <w:rPr>
                <w:rFonts w:cs="Arial"/>
                <w:color w:val="202220"/>
                <w:szCs w:val="20"/>
                <w:shd w:val="clear" w:color="auto" w:fill="FFFFFF"/>
              </w:rPr>
              <w:t xml:space="preserve">v organih vodenja in nadzora ni nobene ženske, </w:t>
            </w:r>
            <w:r>
              <w:rPr>
                <w:rFonts w:cs="Arial"/>
                <w:color w:val="202220"/>
                <w:szCs w:val="20"/>
                <w:shd w:val="clear" w:color="auto" w:fill="FFFFFF"/>
              </w:rPr>
              <w:t>v 1</w:t>
            </w:r>
            <w:r w:rsidRPr="00605612">
              <w:rPr>
                <w:rFonts w:cs="Arial"/>
                <w:color w:val="202220"/>
                <w:szCs w:val="20"/>
                <w:shd w:val="clear" w:color="auto" w:fill="FFFFFF"/>
              </w:rPr>
              <w:t xml:space="preserve"> družb</w:t>
            </w:r>
            <w:r>
              <w:rPr>
                <w:rFonts w:cs="Arial"/>
                <w:color w:val="202220"/>
                <w:szCs w:val="20"/>
                <w:shd w:val="clear" w:color="auto" w:fill="FFFFFF"/>
              </w:rPr>
              <w:t>i</w:t>
            </w:r>
            <w:r w:rsidRPr="00605612">
              <w:rPr>
                <w:rFonts w:cs="Arial"/>
                <w:color w:val="202220"/>
                <w:szCs w:val="20"/>
                <w:shd w:val="clear" w:color="auto" w:fill="FFFFFF"/>
              </w:rPr>
              <w:t xml:space="preserve"> pa v teh organih ni nobenega moškega</w:t>
            </w:r>
            <w:r>
              <w:rPr>
                <w:rFonts w:cs="Arial"/>
                <w:color w:val="202220"/>
                <w:szCs w:val="20"/>
                <w:shd w:val="clear" w:color="auto" w:fill="FFFFFF"/>
              </w:rPr>
              <w:t>.</w:t>
            </w:r>
            <w:r w:rsidRPr="00605612">
              <w:rPr>
                <w:rFonts w:cs="Arial"/>
                <w:color w:val="202220"/>
                <w:szCs w:val="20"/>
                <w:vertAlign w:val="superscript"/>
              </w:rPr>
              <w:footnoteReference w:id="25"/>
            </w:r>
          </w:p>
          <w:p w14:paraId="581E0911" w14:textId="77777777" w:rsidR="000C08CA" w:rsidRPr="00605612" w:rsidRDefault="000C08CA" w:rsidP="00FE328D">
            <w:pPr>
              <w:spacing w:line="276" w:lineRule="auto"/>
              <w:jc w:val="both"/>
              <w:rPr>
                <w:rFonts w:cs="Arial"/>
                <w:color w:val="202220"/>
                <w:szCs w:val="20"/>
                <w:shd w:val="clear" w:color="auto" w:fill="FFFFFF"/>
              </w:rPr>
            </w:pPr>
          </w:p>
          <w:p w14:paraId="134EAF37" w14:textId="77777777" w:rsidR="000C08CA" w:rsidRPr="00605612" w:rsidRDefault="000C08CA" w:rsidP="00FE328D">
            <w:pPr>
              <w:spacing w:line="276" w:lineRule="auto"/>
              <w:jc w:val="both"/>
              <w:rPr>
                <w:rFonts w:cs="Arial"/>
                <w:color w:val="202220"/>
                <w:szCs w:val="20"/>
                <w:shd w:val="clear" w:color="auto" w:fill="FFFFFF"/>
              </w:rPr>
            </w:pPr>
            <w:r w:rsidRPr="00605612">
              <w:rPr>
                <w:rFonts w:cs="Arial"/>
                <w:color w:val="202220"/>
                <w:szCs w:val="20"/>
                <w:shd w:val="clear" w:color="auto" w:fill="FFFFFF"/>
              </w:rPr>
              <w:t xml:space="preserve">V okviru nacionalnih zakonodajnih ukrepov se je z </w:t>
            </w:r>
            <w:r>
              <w:rPr>
                <w:rFonts w:cs="Arial"/>
                <w:color w:val="202220"/>
                <w:szCs w:val="20"/>
                <w:shd w:val="clear" w:color="auto" w:fill="FFFFFF"/>
              </w:rPr>
              <w:t>Zakonom o spremembah in dopolnitvah Zakona o gospodarskih družbah (Uradni list RS, št. 18/21; v nadaljevanju</w:t>
            </w:r>
            <w:r w:rsidRPr="00605612">
              <w:rPr>
                <w:rFonts w:cs="Arial"/>
                <w:color w:val="202220"/>
                <w:szCs w:val="20"/>
                <w:shd w:val="clear" w:color="auto" w:fill="FFFFFF"/>
              </w:rPr>
              <w:t xml:space="preserve"> ZGD-1K</w:t>
            </w:r>
            <w:r>
              <w:rPr>
                <w:rFonts w:cs="Arial"/>
                <w:color w:val="202220"/>
                <w:szCs w:val="20"/>
                <w:shd w:val="clear" w:color="auto" w:fill="FFFFFF"/>
              </w:rPr>
              <w:t>)</w:t>
            </w:r>
            <w:r w:rsidRPr="00605612">
              <w:rPr>
                <w:rFonts w:cs="Arial"/>
                <w:color w:val="202220"/>
                <w:szCs w:val="20"/>
                <w:shd w:val="clear" w:color="auto" w:fill="FFFFFF"/>
              </w:rPr>
              <w:t>, sprejet</w:t>
            </w:r>
            <w:r>
              <w:rPr>
                <w:rFonts w:cs="Arial"/>
                <w:color w:val="202220"/>
                <w:szCs w:val="20"/>
                <w:shd w:val="clear" w:color="auto" w:fill="FFFFFF"/>
              </w:rPr>
              <w:t>im</w:t>
            </w:r>
            <w:r w:rsidRPr="00605612">
              <w:rPr>
                <w:rFonts w:cs="Arial"/>
                <w:color w:val="202220"/>
                <w:szCs w:val="20"/>
                <w:shd w:val="clear" w:color="auto" w:fill="FFFFFF"/>
              </w:rPr>
              <w:t xml:space="preserve"> leta 2021, okrepil institut politike raznolikosti </w:t>
            </w:r>
            <w:r>
              <w:rPr>
                <w:rFonts w:cs="Arial"/>
                <w:color w:val="202220"/>
                <w:szCs w:val="20"/>
                <w:shd w:val="clear" w:color="auto" w:fill="FFFFFF"/>
              </w:rPr>
              <w:t xml:space="preserve">v </w:t>
            </w:r>
            <w:r w:rsidRPr="00605612">
              <w:rPr>
                <w:rFonts w:cs="Arial"/>
                <w:color w:val="202220"/>
                <w:szCs w:val="20"/>
                <w:shd w:val="clear" w:color="auto" w:fill="FFFFFF"/>
              </w:rPr>
              <w:t>organ</w:t>
            </w:r>
            <w:r>
              <w:rPr>
                <w:rFonts w:cs="Arial"/>
                <w:color w:val="202220"/>
                <w:szCs w:val="20"/>
                <w:shd w:val="clear" w:color="auto" w:fill="FFFFFF"/>
              </w:rPr>
              <w:t>ih</w:t>
            </w:r>
            <w:r w:rsidRPr="00605612">
              <w:rPr>
                <w:rFonts w:cs="Arial"/>
                <w:color w:val="202220"/>
                <w:szCs w:val="20"/>
                <w:shd w:val="clear" w:color="auto" w:fill="FFFFFF"/>
              </w:rPr>
              <w:t xml:space="preserve"> vodenja in nadzora, ki določa, </w:t>
            </w:r>
            <w:r w:rsidRPr="00605612">
              <w:rPr>
                <w:rFonts w:cs="Arial"/>
                <w:szCs w:val="20"/>
              </w:rPr>
              <w:t>da velike in srednje družbe, ki revidirajo letna poročila, v opisu politike raznolikosti razkrijejo razmerje obeh spolov v organih vodenja in nadzora, ki je primerno za družbo njene velikosti, cilje, ki jih družba zasleduje</w:t>
            </w:r>
            <w:r>
              <w:rPr>
                <w:rFonts w:cs="Arial"/>
                <w:szCs w:val="20"/>
              </w:rPr>
              <w:t>,</w:t>
            </w:r>
            <w:r w:rsidRPr="00605612">
              <w:rPr>
                <w:rFonts w:cs="Arial"/>
                <w:szCs w:val="20"/>
              </w:rPr>
              <w:t xml:space="preserve"> </w:t>
            </w:r>
            <w:r>
              <w:rPr>
                <w:rFonts w:cs="Arial"/>
                <w:szCs w:val="20"/>
              </w:rPr>
              <w:t>ter</w:t>
            </w:r>
            <w:r w:rsidRPr="00605612">
              <w:rPr>
                <w:rFonts w:cs="Arial"/>
                <w:szCs w:val="20"/>
              </w:rPr>
              <w:t xml:space="preserve"> vpliv na postopke izbire članov in članic organov vodenja in nadzora.</w:t>
            </w:r>
            <w:r w:rsidRPr="00605612">
              <w:rPr>
                <w:rFonts w:cs="Arial"/>
                <w:color w:val="202220"/>
                <w:szCs w:val="20"/>
                <w:shd w:val="clear" w:color="auto" w:fill="FFFFFF"/>
              </w:rPr>
              <w:t xml:space="preserve"> Z</w:t>
            </w:r>
            <w:r>
              <w:rPr>
                <w:rFonts w:cs="Arial"/>
                <w:color w:val="202220"/>
                <w:szCs w:val="20"/>
                <w:shd w:val="clear" w:color="auto" w:fill="FFFFFF"/>
              </w:rPr>
              <w:t>a</w:t>
            </w:r>
            <w:r w:rsidRPr="00605612">
              <w:rPr>
                <w:rFonts w:cs="Arial"/>
                <w:color w:val="202220"/>
                <w:szCs w:val="20"/>
                <w:shd w:val="clear" w:color="auto" w:fill="FFFFFF"/>
              </w:rPr>
              <w:t xml:space="preserve"> večj</w:t>
            </w:r>
            <w:r>
              <w:rPr>
                <w:rFonts w:cs="Arial"/>
                <w:color w:val="202220"/>
                <w:szCs w:val="20"/>
                <w:shd w:val="clear" w:color="auto" w:fill="FFFFFF"/>
              </w:rPr>
              <w:t>o preglednost za</w:t>
            </w:r>
            <w:r w:rsidRPr="00605612" w:rsidDel="008979C8">
              <w:rPr>
                <w:rFonts w:cs="Arial"/>
                <w:color w:val="202220"/>
                <w:szCs w:val="20"/>
                <w:shd w:val="clear" w:color="auto" w:fill="FFFFFF"/>
              </w:rPr>
              <w:t xml:space="preserve"> </w:t>
            </w:r>
            <w:r w:rsidRPr="00605612">
              <w:rPr>
                <w:rFonts w:cs="Arial"/>
                <w:color w:val="202220"/>
                <w:szCs w:val="20"/>
                <w:shd w:val="clear" w:color="auto" w:fill="FFFFFF"/>
              </w:rPr>
              <w:t>delničarje in deležnik</w:t>
            </w:r>
            <w:r>
              <w:rPr>
                <w:rFonts w:cs="Arial"/>
                <w:color w:val="202220"/>
                <w:szCs w:val="20"/>
                <w:shd w:val="clear" w:color="auto" w:fill="FFFFFF"/>
              </w:rPr>
              <w:t>e</w:t>
            </w:r>
            <w:r w:rsidRPr="00605612">
              <w:rPr>
                <w:rFonts w:cs="Arial"/>
                <w:color w:val="202220"/>
                <w:szCs w:val="20"/>
                <w:shd w:val="clear" w:color="auto" w:fill="FFFFFF"/>
              </w:rPr>
              <w:t xml:space="preserve"> družbe se to objavi v izjavi o upravljanju, ki je del letnega poročila družbe. </w:t>
            </w:r>
          </w:p>
          <w:p w14:paraId="4CA482E2" w14:textId="77777777" w:rsidR="000C08CA" w:rsidRPr="00605612" w:rsidRDefault="000C08CA" w:rsidP="00FE328D">
            <w:pPr>
              <w:spacing w:line="276" w:lineRule="auto"/>
              <w:jc w:val="both"/>
              <w:rPr>
                <w:rFonts w:cs="Arial"/>
                <w:color w:val="202220"/>
                <w:szCs w:val="20"/>
                <w:shd w:val="clear" w:color="auto" w:fill="FFFFFF"/>
              </w:rPr>
            </w:pPr>
          </w:p>
          <w:p w14:paraId="5E3DF0E4" w14:textId="77777777" w:rsidR="000C08CA" w:rsidRDefault="000C08CA" w:rsidP="00FE328D">
            <w:pPr>
              <w:spacing w:line="276" w:lineRule="auto"/>
              <w:jc w:val="both"/>
              <w:rPr>
                <w:rFonts w:cs="Arial"/>
                <w:szCs w:val="20"/>
              </w:rPr>
            </w:pPr>
            <w:r w:rsidRPr="00605612">
              <w:rPr>
                <w:rFonts w:cs="Arial"/>
                <w:color w:val="202220"/>
                <w:szCs w:val="20"/>
                <w:shd w:val="clear" w:color="auto" w:fill="FFFFFF"/>
              </w:rPr>
              <w:t xml:space="preserve">Na podlagi navedenih ukrepov napredka na področju uravnotežene zastopanosti manj zastopanega spola med vodilnimi osebami v gospodarskih družbah ni bilo </w:t>
            </w:r>
            <w:r>
              <w:rPr>
                <w:rFonts w:cs="Arial"/>
                <w:color w:val="202220"/>
                <w:szCs w:val="20"/>
                <w:shd w:val="clear" w:color="auto" w:fill="FFFFFF"/>
              </w:rPr>
              <w:t>ali</w:t>
            </w:r>
            <w:r w:rsidRPr="00605612">
              <w:rPr>
                <w:rFonts w:cs="Arial"/>
                <w:color w:val="202220"/>
                <w:szCs w:val="20"/>
                <w:shd w:val="clear" w:color="auto" w:fill="FFFFFF"/>
              </w:rPr>
              <w:t xml:space="preserve"> je zelo počasen. </w:t>
            </w:r>
            <w:r w:rsidRPr="00605612">
              <w:rPr>
                <w:rFonts w:cs="Arial"/>
                <w:szCs w:val="20"/>
              </w:rPr>
              <w:t xml:space="preserve">V Sloveniji je bil delež žensk na mestih odločanja </w:t>
            </w:r>
            <w:r>
              <w:rPr>
                <w:rFonts w:cs="Arial"/>
                <w:szCs w:val="20"/>
              </w:rPr>
              <w:t xml:space="preserve">v </w:t>
            </w:r>
            <w:r w:rsidRPr="00605612">
              <w:rPr>
                <w:rFonts w:cs="Arial"/>
                <w:szCs w:val="20"/>
              </w:rPr>
              <w:t>največjih delniških družb</w:t>
            </w:r>
            <w:r>
              <w:rPr>
                <w:rFonts w:cs="Arial"/>
                <w:szCs w:val="20"/>
              </w:rPr>
              <w:t>ah</w:t>
            </w:r>
            <w:r w:rsidRPr="00605612">
              <w:rPr>
                <w:rFonts w:cs="Arial"/>
                <w:szCs w:val="20"/>
              </w:rPr>
              <w:t xml:space="preserve">, ki kotirajo na borzi, v prvi polovici </w:t>
            </w:r>
            <w:r>
              <w:rPr>
                <w:rFonts w:cs="Arial"/>
                <w:szCs w:val="20"/>
              </w:rPr>
              <w:t xml:space="preserve">leta </w:t>
            </w:r>
            <w:r w:rsidRPr="00605612">
              <w:rPr>
                <w:rFonts w:cs="Arial"/>
                <w:szCs w:val="20"/>
              </w:rPr>
              <w:t xml:space="preserve">2023 </w:t>
            </w:r>
            <w:r>
              <w:rPr>
                <w:rFonts w:cs="Arial"/>
                <w:szCs w:val="20"/>
              </w:rPr>
              <w:t>manjši</w:t>
            </w:r>
            <w:r w:rsidRPr="00605612">
              <w:rPr>
                <w:rFonts w:cs="Arial"/>
                <w:szCs w:val="20"/>
              </w:rPr>
              <w:t xml:space="preserve"> od evropskega povprečja (22 % septembra 2023), kar </w:t>
            </w:r>
            <w:r>
              <w:rPr>
                <w:rFonts w:cs="Arial"/>
                <w:szCs w:val="20"/>
              </w:rPr>
              <w:t>vzbuja</w:t>
            </w:r>
            <w:r w:rsidRPr="00605612">
              <w:rPr>
                <w:rFonts w:cs="Arial"/>
                <w:szCs w:val="20"/>
              </w:rPr>
              <w:t xml:space="preserve"> skrb in </w:t>
            </w:r>
            <w:r>
              <w:rPr>
                <w:rFonts w:cs="Arial"/>
                <w:szCs w:val="20"/>
              </w:rPr>
              <w:t xml:space="preserve">je </w:t>
            </w:r>
            <w:r w:rsidRPr="00605612">
              <w:rPr>
                <w:rFonts w:cs="Arial"/>
                <w:szCs w:val="20"/>
              </w:rPr>
              <w:t xml:space="preserve">izrazito nesorazmerno, </w:t>
            </w:r>
            <w:r>
              <w:rPr>
                <w:rFonts w:cs="Arial"/>
                <w:szCs w:val="20"/>
              </w:rPr>
              <w:t>ob upoštevanju</w:t>
            </w:r>
            <w:r w:rsidRPr="00605612">
              <w:rPr>
                <w:rFonts w:cs="Arial"/>
                <w:szCs w:val="20"/>
              </w:rPr>
              <w:t xml:space="preserve">, da je večina žensk v Sloveniji visoko izobraženih (60 % vseh novih univerzitetnih diplomantk) in delovno aktivnih (stopnja zaposlenosti žensk leta 2021 je bila 71 %). Še bolj </w:t>
            </w:r>
            <w:r>
              <w:rPr>
                <w:rFonts w:cs="Arial"/>
                <w:szCs w:val="20"/>
              </w:rPr>
              <w:t xml:space="preserve">vzbuja </w:t>
            </w:r>
            <w:r w:rsidRPr="00605612">
              <w:rPr>
                <w:rFonts w:cs="Arial"/>
                <w:szCs w:val="20"/>
              </w:rPr>
              <w:t>skrb podatek, da je predsednic organov vodenja in nadzora v velikih borznih družbah le 5,6 %</w:t>
            </w:r>
            <w:r>
              <w:rPr>
                <w:rFonts w:cs="Arial"/>
                <w:szCs w:val="20"/>
              </w:rPr>
              <w:t>.</w:t>
            </w:r>
            <w:r w:rsidRPr="00605612">
              <w:rPr>
                <w:rStyle w:val="FootnoteReference"/>
                <w:rFonts w:cs="Arial"/>
                <w:szCs w:val="20"/>
              </w:rPr>
              <w:footnoteReference w:id="26"/>
            </w:r>
          </w:p>
          <w:p w14:paraId="094F3E09" w14:textId="77777777" w:rsidR="000C08CA" w:rsidRDefault="000C08CA" w:rsidP="00FE328D">
            <w:pPr>
              <w:spacing w:line="276" w:lineRule="auto"/>
              <w:jc w:val="both"/>
              <w:rPr>
                <w:rFonts w:cs="Arial"/>
                <w:szCs w:val="20"/>
              </w:rPr>
            </w:pPr>
          </w:p>
          <w:p w14:paraId="400BA5A1" w14:textId="77777777" w:rsidR="000C08CA" w:rsidRPr="00847FE3" w:rsidRDefault="000C08CA" w:rsidP="00FE328D">
            <w:pPr>
              <w:spacing w:line="276" w:lineRule="auto"/>
              <w:jc w:val="both"/>
              <w:rPr>
                <w:rFonts w:cs="Arial"/>
                <w:b/>
                <w:bCs/>
                <w:color w:val="000000" w:themeColor="text1"/>
                <w:szCs w:val="20"/>
              </w:rPr>
            </w:pPr>
            <w:r w:rsidRPr="00847FE3">
              <w:rPr>
                <w:rFonts w:cs="Arial"/>
                <w:b/>
                <w:bCs/>
                <w:color w:val="000000" w:themeColor="text1"/>
                <w:szCs w:val="20"/>
              </w:rPr>
              <w:t>Direktiva 2023/2775/EU</w:t>
            </w:r>
          </w:p>
          <w:p w14:paraId="19DDDA79" w14:textId="77777777" w:rsidR="000C08CA" w:rsidRPr="00605612" w:rsidRDefault="000C08CA" w:rsidP="00FE328D">
            <w:pPr>
              <w:jc w:val="both"/>
              <w:rPr>
                <w:rFonts w:cs="Arial"/>
                <w:color w:val="000000" w:themeColor="text1"/>
                <w:szCs w:val="20"/>
              </w:rPr>
            </w:pPr>
          </w:p>
          <w:p w14:paraId="6F130449" w14:textId="77777777" w:rsidR="000C08CA" w:rsidRPr="007A65A9" w:rsidRDefault="000C08CA" w:rsidP="00FE328D">
            <w:pPr>
              <w:spacing w:line="276" w:lineRule="auto"/>
              <w:jc w:val="both"/>
              <w:rPr>
                <w:rFonts w:cs="Arial"/>
                <w:szCs w:val="20"/>
              </w:rPr>
            </w:pPr>
            <w:r w:rsidRPr="004421BA">
              <w:t xml:space="preserve">Z </w:t>
            </w:r>
            <w:r w:rsidRPr="00847FE3">
              <w:rPr>
                <w:rFonts w:cs="Arial"/>
                <w:szCs w:val="20"/>
              </w:rPr>
              <w:t>Direktiv</w:t>
            </w:r>
            <w:r>
              <w:rPr>
                <w:rFonts w:cs="Arial"/>
                <w:szCs w:val="20"/>
              </w:rPr>
              <w:t>o</w:t>
            </w:r>
            <w:r w:rsidRPr="00847FE3">
              <w:rPr>
                <w:rFonts w:cs="Arial"/>
                <w:szCs w:val="20"/>
              </w:rPr>
              <w:t xml:space="preserve"> 2023/2775/EU</w:t>
            </w:r>
            <w:r>
              <w:rPr>
                <w:rFonts w:cs="Arial"/>
                <w:szCs w:val="20"/>
              </w:rPr>
              <w:t xml:space="preserve">, ki </w:t>
            </w:r>
            <w:r>
              <w:rPr>
                <w:rFonts w:eastAsia="Arial" w:cs="Arial"/>
                <w:szCs w:val="20"/>
                <w:lang w:eastAsia="sl-SI"/>
              </w:rPr>
              <w:t xml:space="preserve">je bila sprejeta 26. junija 2013 ter </w:t>
            </w:r>
            <w:r>
              <w:rPr>
                <w:rFonts w:cs="Arial"/>
                <w:szCs w:val="20"/>
              </w:rPr>
              <w:t xml:space="preserve">spreminja in dopolnjuje </w:t>
            </w:r>
            <w:r w:rsidRPr="00DD164E">
              <w:rPr>
                <w:rFonts w:eastAsia="Arial" w:cs="Arial"/>
                <w:szCs w:val="20"/>
                <w:lang w:eastAsia="sl-SI"/>
              </w:rPr>
              <w:t>Direktivo 2013/34/EU</w:t>
            </w:r>
            <w:r>
              <w:rPr>
                <w:rFonts w:eastAsia="Arial" w:cs="Arial"/>
                <w:szCs w:val="20"/>
                <w:lang w:eastAsia="sl-SI"/>
              </w:rPr>
              <w:t xml:space="preserve"> </w:t>
            </w:r>
            <w:r w:rsidRPr="00D379CA">
              <w:rPr>
                <w:rFonts w:cs="Arial"/>
                <w:szCs w:val="20"/>
              </w:rPr>
              <w:t>(računovodska direktiva)</w:t>
            </w:r>
            <w:r>
              <w:rPr>
                <w:rFonts w:cs="Arial"/>
                <w:szCs w:val="20"/>
              </w:rPr>
              <w:t>,</w:t>
            </w:r>
            <w:r w:rsidRPr="00847FE3">
              <w:rPr>
                <w:rFonts w:cs="Arial"/>
                <w:szCs w:val="20"/>
              </w:rPr>
              <w:t xml:space="preserve"> </w:t>
            </w:r>
            <w:r w:rsidRPr="004421BA">
              <w:rPr>
                <w:rFonts w:cs="Arial"/>
                <w:szCs w:val="20"/>
              </w:rPr>
              <w:t>se predlaga prilagoditev meril za določanje velikosti družb zaradi inflacije v zadnjih letih.</w:t>
            </w:r>
            <w:r>
              <w:rPr>
                <w:rFonts w:cs="Arial"/>
                <w:szCs w:val="20"/>
              </w:rPr>
              <w:t xml:space="preserve"> </w:t>
            </w:r>
          </w:p>
          <w:p w14:paraId="4798446D" w14:textId="77777777" w:rsidR="000C08CA" w:rsidRPr="007A65A9" w:rsidRDefault="000C08CA" w:rsidP="00FE328D">
            <w:pPr>
              <w:spacing w:line="276" w:lineRule="auto"/>
              <w:jc w:val="both"/>
              <w:rPr>
                <w:rFonts w:cs="Arial"/>
                <w:szCs w:val="20"/>
              </w:rPr>
            </w:pPr>
          </w:p>
          <w:p w14:paraId="3785F69F" w14:textId="77777777" w:rsidR="000C08CA" w:rsidRDefault="000C08CA" w:rsidP="00FE328D">
            <w:pPr>
              <w:spacing w:line="276" w:lineRule="auto"/>
              <w:jc w:val="both"/>
              <w:rPr>
                <w:rFonts w:eastAsia="Arial" w:cs="Arial"/>
                <w:szCs w:val="20"/>
                <w:lang w:eastAsia="sl-SI"/>
              </w:rPr>
            </w:pPr>
            <w:r w:rsidRPr="00E5634D">
              <w:rPr>
                <w:rFonts w:eastAsia="Arial" w:cs="Arial"/>
                <w:szCs w:val="20"/>
                <w:lang w:eastAsia="sl-SI"/>
              </w:rPr>
              <w:t>Direktiva 2013/34</w:t>
            </w:r>
            <w:r>
              <w:rPr>
                <w:rFonts w:eastAsia="Arial" w:cs="Arial"/>
                <w:szCs w:val="20"/>
                <w:lang w:eastAsia="sl-SI"/>
              </w:rPr>
              <w:t>/</w:t>
            </w:r>
            <w:r w:rsidRPr="00E5634D">
              <w:rPr>
                <w:rFonts w:eastAsia="Arial" w:cs="Arial"/>
                <w:szCs w:val="20"/>
                <w:lang w:eastAsia="sl-SI"/>
              </w:rPr>
              <w:t>EU</w:t>
            </w:r>
            <w:r>
              <w:rPr>
                <w:rFonts w:eastAsia="Arial" w:cs="Arial"/>
                <w:szCs w:val="20"/>
                <w:lang w:eastAsia="sl-SI"/>
              </w:rPr>
              <w:t>, ki je bila sprejeta 26. junija 2013,</w:t>
            </w:r>
            <w:r w:rsidRPr="00E5634D">
              <w:rPr>
                <w:rFonts w:eastAsia="Arial" w:cs="Arial"/>
                <w:szCs w:val="20"/>
                <w:lang w:eastAsia="sl-SI"/>
              </w:rPr>
              <w:t xml:space="preserve"> je razveljavila četrto</w:t>
            </w:r>
            <w:r>
              <w:rPr>
                <w:rFonts w:eastAsia="Arial" w:cs="Arial"/>
                <w:szCs w:val="20"/>
                <w:lang w:eastAsia="sl-SI"/>
              </w:rPr>
              <w:t xml:space="preserve"> </w:t>
            </w:r>
            <w:r w:rsidRPr="007800D3">
              <w:rPr>
                <w:rFonts w:eastAsia="Arial" w:cs="Arial"/>
                <w:szCs w:val="20"/>
                <w:lang w:eastAsia="sl-SI"/>
              </w:rPr>
              <w:t>bilančno direktivo</w:t>
            </w:r>
            <w:r w:rsidRPr="00E5634D">
              <w:rPr>
                <w:rFonts w:eastAsia="Arial" w:cs="Arial"/>
                <w:szCs w:val="20"/>
                <w:lang w:eastAsia="sl-SI"/>
              </w:rPr>
              <w:t xml:space="preserve"> in sedmo direktivo </w:t>
            </w:r>
            <w:r>
              <w:t xml:space="preserve"> </w:t>
            </w:r>
            <w:r w:rsidRPr="00417516">
              <w:rPr>
                <w:rFonts w:eastAsia="Arial" w:cs="Arial"/>
                <w:szCs w:val="20"/>
                <w:lang w:eastAsia="sl-SI"/>
              </w:rPr>
              <w:t>o konsolidiranih letnih poročilih</w:t>
            </w:r>
            <w:r>
              <w:rPr>
                <w:rFonts w:eastAsia="Arial" w:cs="Arial"/>
                <w:szCs w:val="20"/>
                <w:lang w:eastAsia="sl-SI"/>
              </w:rPr>
              <w:t xml:space="preserve"> </w:t>
            </w:r>
            <w:r w:rsidRPr="00E5634D">
              <w:rPr>
                <w:rFonts w:eastAsia="Arial" w:cs="Arial"/>
                <w:szCs w:val="20"/>
                <w:lang w:eastAsia="sl-SI"/>
              </w:rPr>
              <w:t>ter tako postala tem</w:t>
            </w:r>
            <w:r>
              <w:rPr>
                <w:rFonts w:eastAsia="Arial" w:cs="Arial"/>
                <w:szCs w:val="20"/>
                <w:lang w:eastAsia="sl-SI"/>
              </w:rPr>
              <w:t>e</w:t>
            </w:r>
            <w:r w:rsidRPr="00E5634D">
              <w:rPr>
                <w:rFonts w:eastAsia="Arial" w:cs="Arial"/>
                <w:szCs w:val="20"/>
                <w:lang w:eastAsia="sl-SI"/>
              </w:rPr>
              <w:t>ljn</w:t>
            </w:r>
            <w:r>
              <w:rPr>
                <w:rFonts w:eastAsia="Arial" w:cs="Arial"/>
                <w:szCs w:val="20"/>
                <w:lang w:eastAsia="sl-SI"/>
              </w:rPr>
              <w:t>i pravni okvir</w:t>
            </w:r>
            <w:r w:rsidRPr="00E5634D">
              <w:rPr>
                <w:rFonts w:eastAsia="Arial" w:cs="Arial"/>
                <w:szCs w:val="20"/>
                <w:lang w:eastAsia="sl-SI"/>
              </w:rPr>
              <w:t>, ki ureja računovodenj</w:t>
            </w:r>
            <w:r>
              <w:rPr>
                <w:rFonts w:eastAsia="Arial" w:cs="Arial"/>
                <w:szCs w:val="20"/>
                <w:lang w:eastAsia="sl-SI"/>
              </w:rPr>
              <w:t>e</w:t>
            </w:r>
            <w:r w:rsidRPr="00E5634D">
              <w:rPr>
                <w:rFonts w:eastAsia="Arial" w:cs="Arial"/>
                <w:szCs w:val="20"/>
                <w:lang w:eastAsia="sl-SI"/>
              </w:rPr>
              <w:t xml:space="preserve"> v EU</w:t>
            </w:r>
            <w:r>
              <w:rPr>
                <w:rFonts w:eastAsia="Arial" w:cs="Arial"/>
                <w:szCs w:val="20"/>
                <w:lang w:eastAsia="sl-SI"/>
              </w:rPr>
              <w:t>, ob tem</w:t>
            </w:r>
            <w:r w:rsidRPr="00046032">
              <w:rPr>
                <w:rFonts w:eastAsia="Arial" w:cs="Arial"/>
                <w:szCs w:val="20"/>
                <w:lang w:eastAsia="sl-SI"/>
              </w:rPr>
              <w:t xml:space="preserve"> </w:t>
            </w:r>
            <w:r>
              <w:rPr>
                <w:rFonts w:eastAsia="Arial" w:cs="Arial"/>
                <w:szCs w:val="20"/>
                <w:lang w:eastAsia="sl-SI"/>
              </w:rPr>
              <w:t>je</w:t>
            </w:r>
            <w:r w:rsidRPr="00046032">
              <w:rPr>
                <w:rFonts w:eastAsia="Arial" w:cs="Arial"/>
                <w:szCs w:val="20"/>
                <w:lang w:eastAsia="sl-SI"/>
              </w:rPr>
              <w:t xml:space="preserve"> pripomogla k poenotenju pravil sestavljanja računovodskih izkazov v EU</w:t>
            </w:r>
            <w:r>
              <w:rPr>
                <w:rFonts w:eastAsia="Arial" w:cs="Arial"/>
                <w:szCs w:val="20"/>
                <w:lang w:eastAsia="sl-SI"/>
              </w:rPr>
              <w:t xml:space="preserve"> in </w:t>
            </w:r>
            <w:r w:rsidRPr="00046032">
              <w:rPr>
                <w:rFonts w:eastAsia="Arial" w:cs="Arial"/>
                <w:szCs w:val="20"/>
                <w:lang w:eastAsia="sl-SI"/>
              </w:rPr>
              <w:t>izboljš</w:t>
            </w:r>
            <w:r>
              <w:rPr>
                <w:rFonts w:eastAsia="Arial" w:cs="Arial"/>
                <w:szCs w:val="20"/>
                <w:lang w:eastAsia="sl-SI"/>
              </w:rPr>
              <w:t>ala</w:t>
            </w:r>
            <w:r w:rsidRPr="00046032">
              <w:rPr>
                <w:rFonts w:eastAsia="Arial" w:cs="Arial"/>
                <w:szCs w:val="20"/>
                <w:lang w:eastAsia="sl-SI"/>
              </w:rPr>
              <w:t xml:space="preserve"> primerljivost računovodskih izkazov,</w:t>
            </w:r>
            <w:r>
              <w:rPr>
                <w:rFonts w:eastAsia="Arial" w:cs="Arial"/>
                <w:szCs w:val="20"/>
                <w:lang w:eastAsia="sl-SI"/>
              </w:rPr>
              <w:t xml:space="preserve"> </w:t>
            </w:r>
            <w:r w:rsidRPr="00046032">
              <w:rPr>
                <w:rFonts w:eastAsia="Arial" w:cs="Arial"/>
                <w:szCs w:val="20"/>
                <w:lang w:eastAsia="sl-SI"/>
              </w:rPr>
              <w:t xml:space="preserve">hkrati pa </w:t>
            </w:r>
            <w:r>
              <w:rPr>
                <w:rFonts w:eastAsia="Arial" w:cs="Arial"/>
                <w:szCs w:val="20"/>
                <w:lang w:eastAsia="sl-SI"/>
              </w:rPr>
              <w:t>je omogočila krepitev</w:t>
            </w:r>
            <w:r w:rsidRPr="00046032">
              <w:rPr>
                <w:rFonts w:eastAsia="Arial" w:cs="Arial"/>
                <w:szCs w:val="20"/>
                <w:lang w:eastAsia="sl-SI"/>
              </w:rPr>
              <w:t xml:space="preserve"> zaupanja javnosti v izkaze in poročila. Zlasti je pomemb</w:t>
            </w:r>
            <w:r>
              <w:rPr>
                <w:rFonts w:eastAsia="Arial" w:cs="Arial"/>
                <w:szCs w:val="20"/>
                <w:lang w:eastAsia="sl-SI"/>
              </w:rPr>
              <w:t>n</w:t>
            </w:r>
            <w:r w:rsidRPr="00046032">
              <w:rPr>
                <w:rFonts w:eastAsia="Arial" w:cs="Arial"/>
                <w:szCs w:val="20"/>
                <w:lang w:eastAsia="sl-SI"/>
              </w:rPr>
              <w:t>a za mikro,</w:t>
            </w:r>
            <w:r>
              <w:rPr>
                <w:rFonts w:eastAsia="Arial" w:cs="Arial"/>
                <w:szCs w:val="20"/>
                <w:lang w:eastAsia="sl-SI"/>
              </w:rPr>
              <w:t xml:space="preserve"> </w:t>
            </w:r>
            <w:r w:rsidRPr="00046032">
              <w:rPr>
                <w:rFonts w:eastAsia="Arial" w:cs="Arial"/>
                <w:szCs w:val="20"/>
                <w:lang w:eastAsia="sl-SI"/>
              </w:rPr>
              <w:t>ma</w:t>
            </w:r>
            <w:r>
              <w:rPr>
                <w:rFonts w:eastAsia="Arial" w:cs="Arial"/>
                <w:szCs w:val="20"/>
                <w:lang w:eastAsia="sl-SI"/>
              </w:rPr>
              <w:t>jhne</w:t>
            </w:r>
            <w:r w:rsidRPr="00046032">
              <w:rPr>
                <w:rFonts w:eastAsia="Arial" w:cs="Arial"/>
                <w:szCs w:val="20"/>
                <w:lang w:eastAsia="sl-SI"/>
              </w:rPr>
              <w:t xml:space="preserve"> in srednje družbe, saj je njen temeljni </w:t>
            </w:r>
            <w:r>
              <w:rPr>
                <w:rFonts w:eastAsia="Arial" w:cs="Arial"/>
                <w:szCs w:val="20"/>
                <w:lang w:eastAsia="sl-SI"/>
              </w:rPr>
              <w:t>cilj</w:t>
            </w:r>
            <w:r w:rsidRPr="00046032">
              <w:rPr>
                <w:rFonts w:eastAsia="Arial" w:cs="Arial"/>
                <w:szCs w:val="20"/>
                <w:lang w:eastAsia="sl-SI"/>
              </w:rPr>
              <w:t xml:space="preserve"> zmanjšanje njihovega upravnega</w:t>
            </w:r>
            <w:r>
              <w:rPr>
                <w:rFonts w:eastAsia="Arial" w:cs="Arial"/>
                <w:szCs w:val="20"/>
                <w:lang w:eastAsia="sl-SI"/>
              </w:rPr>
              <w:t xml:space="preserve"> </w:t>
            </w:r>
            <w:r w:rsidRPr="00046032">
              <w:rPr>
                <w:rFonts w:eastAsia="Arial" w:cs="Arial"/>
                <w:szCs w:val="20"/>
                <w:lang w:eastAsia="sl-SI"/>
              </w:rPr>
              <w:t xml:space="preserve">bremena </w:t>
            </w:r>
            <w:r>
              <w:rPr>
                <w:rFonts w:eastAsia="Arial" w:cs="Arial"/>
                <w:szCs w:val="20"/>
                <w:lang w:eastAsia="sl-SI"/>
              </w:rPr>
              <w:t>in</w:t>
            </w:r>
            <w:r w:rsidRPr="00046032">
              <w:rPr>
                <w:rFonts w:eastAsia="Arial" w:cs="Arial"/>
                <w:szCs w:val="20"/>
                <w:lang w:eastAsia="sl-SI"/>
              </w:rPr>
              <w:t xml:space="preserve"> izboljšanje poslovnega okolja</w:t>
            </w:r>
            <w:r>
              <w:rPr>
                <w:rFonts w:eastAsia="Arial" w:cs="Arial"/>
                <w:szCs w:val="20"/>
                <w:lang w:eastAsia="sl-SI"/>
              </w:rPr>
              <w:t xml:space="preserve">, zato </w:t>
            </w:r>
            <w:r w:rsidRPr="00046032">
              <w:rPr>
                <w:rFonts w:eastAsia="Arial" w:cs="Arial"/>
                <w:szCs w:val="20"/>
                <w:lang w:eastAsia="sl-SI"/>
              </w:rPr>
              <w:t>vzpostav</w:t>
            </w:r>
            <w:r>
              <w:rPr>
                <w:rFonts w:eastAsia="Arial" w:cs="Arial"/>
                <w:szCs w:val="20"/>
                <w:lang w:eastAsia="sl-SI"/>
              </w:rPr>
              <w:t>lja</w:t>
            </w:r>
            <w:r w:rsidRPr="00046032">
              <w:rPr>
                <w:rFonts w:eastAsia="Arial" w:cs="Arial"/>
                <w:szCs w:val="20"/>
                <w:lang w:eastAsia="sl-SI"/>
              </w:rPr>
              <w:t xml:space="preserve"> ravnovesj</w:t>
            </w:r>
            <w:r>
              <w:rPr>
                <w:rFonts w:eastAsia="Arial" w:cs="Arial"/>
                <w:szCs w:val="20"/>
                <w:lang w:eastAsia="sl-SI"/>
              </w:rPr>
              <w:t>e</w:t>
            </w:r>
            <w:r w:rsidRPr="00046032">
              <w:rPr>
                <w:rFonts w:eastAsia="Arial" w:cs="Arial"/>
                <w:szCs w:val="20"/>
                <w:lang w:eastAsia="sl-SI"/>
              </w:rPr>
              <w:t xml:space="preserve"> med interesi uporabnikov računovodskih izkazov in</w:t>
            </w:r>
            <w:r>
              <w:rPr>
                <w:rFonts w:eastAsia="Arial" w:cs="Arial"/>
                <w:szCs w:val="20"/>
                <w:lang w:eastAsia="sl-SI"/>
              </w:rPr>
              <w:t xml:space="preserve"> </w:t>
            </w:r>
            <w:r w:rsidRPr="00046032">
              <w:rPr>
                <w:rFonts w:eastAsia="Arial" w:cs="Arial"/>
                <w:szCs w:val="20"/>
                <w:lang w:eastAsia="sl-SI"/>
              </w:rPr>
              <w:t xml:space="preserve">interesi družbe, </w:t>
            </w:r>
            <w:r>
              <w:rPr>
                <w:rFonts w:eastAsia="Arial" w:cs="Arial"/>
                <w:szCs w:val="20"/>
                <w:lang w:eastAsia="sl-SI"/>
              </w:rPr>
              <w:t>da ni po</w:t>
            </w:r>
            <w:r w:rsidRPr="00046032">
              <w:rPr>
                <w:rFonts w:eastAsia="Arial" w:cs="Arial"/>
                <w:szCs w:val="20"/>
                <w:lang w:eastAsia="sl-SI"/>
              </w:rPr>
              <w:t xml:space="preserve"> nepotrebnem obremenjena z zahtevami glede poročanja.</w:t>
            </w:r>
            <w:r>
              <w:rPr>
                <w:rStyle w:val="FootnoteReference"/>
                <w:rFonts w:eastAsia="Arial" w:cs="Arial"/>
                <w:szCs w:val="20"/>
                <w:lang w:eastAsia="sl-SI"/>
              </w:rPr>
              <w:footnoteReference w:id="27"/>
            </w:r>
          </w:p>
          <w:p w14:paraId="2952F041" w14:textId="77777777" w:rsidR="000C08CA" w:rsidRDefault="000C08CA" w:rsidP="00FE328D">
            <w:pPr>
              <w:spacing w:line="276" w:lineRule="auto"/>
              <w:jc w:val="both"/>
              <w:rPr>
                <w:rFonts w:eastAsia="Arial" w:cs="Arial"/>
                <w:szCs w:val="20"/>
                <w:lang w:eastAsia="sl-SI"/>
              </w:rPr>
            </w:pPr>
          </w:p>
          <w:p w14:paraId="6DD7B3D2" w14:textId="77777777" w:rsidR="000C08CA" w:rsidRDefault="000C08CA" w:rsidP="00FE328D">
            <w:pPr>
              <w:spacing w:line="276" w:lineRule="auto"/>
              <w:jc w:val="both"/>
              <w:rPr>
                <w:rFonts w:eastAsia="Arial" w:cs="Arial"/>
                <w:szCs w:val="20"/>
                <w:lang w:eastAsia="sl-SI"/>
              </w:rPr>
            </w:pPr>
            <w:r w:rsidRPr="00DD164E">
              <w:rPr>
                <w:rFonts w:eastAsia="Arial" w:cs="Arial"/>
                <w:szCs w:val="20"/>
                <w:lang w:eastAsia="sl-SI"/>
              </w:rPr>
              <w:t>Direktiv</w:t>
            </w:r>
            <w:r>
              <w:rPr>
                <w:rFonts w:eastAsia="Arial" w:cs="Arial"/>
                <w:szCs w:val="20"/>
                <w:lang w:eastAsia="sl-SI"/>
              </w:rPr>
              <w:t>a</w:t>
            </w:r>
            <w:r w:rsidRPr="00DD164E">
              <w:rPr>
                <w:rFonts w:eastAsia="Arial" w:cs="Arial"/>
                <w:szCs w:val="20"/>
                <w:lang w:eastAsia="sl-SI"/>
              </w:rPr>
              <w:t xml:space="preserve"> 2013/34/EU </w:t>
            </w:r>
            <w:r>
              <w:rPr>
                <w:rFonts w:eastAsia="Arial" w:cs="Arial"/>
                <w:szCs w:val="20"/>
                <w:lang w:eastAsia="sl-SI"/>
              </w:rPr>
              <w:t xml:space="preserve">v 3. členu </w:t>
            </w:r>
            <w:r w:rsidRPr="001904F7">
              <w:rPr>
                <w:rFonts w:eastAsia="Arial" w:cs="Arial"/>
                <w:szCs w:val="20"/>
                <w:lang w:eastAsia="sl-SI"/>
              </w:rPr>
              <w:t xml:space="preserve">podaja pravno podlago za pojme </w:t>
            </w:r>
            <w:r w:rsidRPr="00F85898">
              <w:rPr>
                <w:rFonts w:eastAsia="Arial" w:cs="Arial"/>
                <w:szCs w:val="20"/>
                <w:lang w:eastAsia="sl-SI"/>
              </w:rPr>
              <w:t>mikro, majhno, srednje in veliko podjetje</w:t>
            </w:r>
            <w:r w:rsidRPr="001904F7">
              <w:rPr>
                <w:rFonts w:eastAsia="Arial" w:cs="Arial"/>
                <w:szCs w:val="20"/>
                <w:lang w:eastAsia="sl-SI"/>
              </w:rPr>
              <w:t xml:space="preserve"> ter </w:t>
            </w:r>
            <w:r>
              <w:rPr>
                <w:rFonts w:eastAsia="Arial" w:cs="Arial"/>
                <w:szCs w:val="20"/>
                <w:lang w:eastAsia="sl-SI"/>
              </w:rPr>
              <w:t xml:space="preserve">določa in </w:t>
            </w:r>
            <w:r w:rsidRPr="001904F7">
              <w:rPr>
                <w:rFonts w:eastAsia="Arial" w:cs="Arial"/>
                <w:szCs w:val="20"/>
                <w:lang w:eastAsia="sl-SI"/>
              </w:rPr>
              <w:t>ohranja prakso določanja velikosti podjetja glede na čisti prihodek, bilančno vsoto in število zaposlenih. Cilj</w:t>
            </w:r>
            <w:r>
              <w:rPr>
                <w:rFonts w:eastAsia="Arial" w:cs="Arial"/>
                <w:szCs w:val="20"/>
                <w:lang w:eastAsia="sl-SI"/>
              </w:rPr>
              <w:t xml:space="preserve"> d</w:t>
            </w:r>
            <w:r w:rsidRPr="00DD164E">
              <w:rPr>
                <w:rFonts w:eastAsia="Arial" w:cs="Arial"/>
                <w:szCs w:val="20"/>
                <w:lang w:eastAsia="sl-SI"/>
              </w:rPr>
              <w:t>irektiv</w:t>
            </w:r>
            <w:r>
              <w:rPr>
                <w:rFonts w:eastAsia="Arial" w:cs="Arial"/>
                <w:szCs w:val="20"/>
                <w:lang w:eastAsia="sl-SI"/>
              </w:rPr>
              <w:t>e</w:t>
            </w:r>
            <w:r w:rsidRPr="00DD164E">
              <w:rPr>
                <w:rFonts w:eastAsia="Arial" w:cs="Arial"/>
                <w:szCs w:val="20"/>
                <w:lang w:eastAsia="sl-SI"/>
              </w:rPr>
              <w:t xml:space="preserve"> </w:t>
            </w:r>
            <w:r w:rsidRPr="001904F7">
              <w:rPr>
                <w:rFonts w:eastAsia="Arial" w:cs="Arial"/>
                <w:szCs w:val="20"/>
                <w:lang w:eastAsia="sl-SI"/>
              </w:rPr>
              <w:t xml:space="preserve">je </w:t>
            </w:r>
            <w:r>
              <w:rPr>
                <w:rFonts w:eastAsia="Arial" w:cs="Arial"/>
                <w:szCs w:val="20"/>
                <w:lang w:eastAsia="sl-SI"/>
              </w:rPr>
              <w:t>bil</w:t>
            </w:r>
            <w:r w:rsidRPr="001904F7">
              <w:rPr>
                <w:rFonts w:eastAsia="Arial" w:cs="Arial"/>
                <w:szCs w:val="20"/>
                <w:lang w:eastAsia="sl-SI"/>
              </w:rPr>
              <w:t xml:space="preserve"> uskladiti merila za določanje velikosti, </w:t>
            </w:r>
            <w:r>
              <w:rPr>
                <w:rFonts w:eastAsia="Arial" w:cs="Arial"/>
                <w:szCs w:val="20"/>
                <w:lang w:eastAsia="sl-SI"/>
              </w:rPr>
              <w:t xml:space="preserve">saj </w:t>
            </w:r>
            <w:r w:rsidRPr="001904F7">
              <w:rPr>
                <w:rFonts w:eastAsia="Arial" w:cs="Arial"/>
                <w:szCs w:val="20"/>
                <w:lang w:eastAsia="sl-SI"/>
              </w:rPr>
              <w:t xml:space="preserve">pred </w:t>
            </w:r>
            <w:r>
              <w:rPr>
                <w:rFonts w:eastAsia="Arial" w:cs="Arial"/>
                <w:szCs w:val="20"/>
                <w:lang w:eastAsia="sl-SI"/>
              </w:rPr>
              <w:t xml:space="preserve">njenim </w:t>
            </w:r>
            <w:r>
              <w:rPr>
                <w:rFonts w:eastAsia="Arial" w:cs="Arial"/>
                <w:szCs w:val="20"/>
                <w:lang w:eastAsia="sl-SI"/>
              </w:rPr>
              <w:lastRenderedPageBreak/>
              <w:t>sprejetjem</w:t>
            </w:r>
            <w:r w:rsidRPr="001904F7">
              <w:rPr>
                <w:rFonts w:eastAsia="Arial" w:cs="Arial"/>
                <w:szCs w:val="20"/>
                <w:lang w:eastAsia="sl-SI"/>
              </w:rPr>
              <w:t xml:space="preserve"> merila za določanje velikosti</w:t>
            </w:r>
            <w:r>
              <w:rPr>
                <w:rFonts w:eastAsia="Arial" w:cs="Arial"/>
                <w:szCs w:val="20"/>
                <w:lang w:eastAsia="sl-SI"/>
              </w:rPr>
              <w:t xml:space="preserve"> niso bila povsem primerljiva</w:t>
            </w:r>
            <w:r w:rsidRPr="001904F7">
              <w:rPr>
                <w:rFonts w:eastAsia="Arial" w:cs="Arial"/>
                <w:szCs w:val="20"/>
                <w:lang w:eastAsia="sl-SI"/>
              </w:rPr>
              <w:t>.</w:t>
            </w:r>
            <w:r>
              <w:rPr>
                <w:rFonts w:eastAsia="Arial" w:cs="Arial"/>
                <w:szCs w:val="20"/>
                <w:lang w:eastAsia="sl-SI"/>
              </w:rPr>
              <w:t xml:space="preserve"> Eden izmed temeljev, ki </w:t>
            </w:r>
            <w:r>
              <w:t>omogoča precej manjše upravno breme, s katerim so se pred sprejetjem d</w:t>
            </w:r>
            <w:r w:rsidRPr="00DD164E">
              <w:rPr>
                <w:rFonts w:eastAsia="Arial" w:cs="Arial"/>
                <w:szCs w:val="20"/>
                <w:lang w:eastAsia="sl-SI"/>
              </w:rPr>
              <w:t>irektiv</w:t>
            </w:r>
            <w:r>
              <w:rPr>
                <w:rFonts w:eastAsia="Arial" w:cs="Arial"/>
                <w:szCs w:val="20"/>
                <w:lang w:eastAsia="sl-SI"/>
              </w:rPr>
              <w:t>e</w:t>
            </w:r>
            <w:r w:rsidRPr="00DD164E">
              <w:rPr>
                <w:rFonts w:eastAsia="Arial" w:cs="Arial"/>
                <w:szCs w:val="20"/>
                <w:lang w:eastAsia="sl-SI"/>
              </w:rPr>
              <w:t xml:space="preserve"> </w:t>
            </w:r>
            <w:r>
              <w:rPr>
                <w:rFonts w:eastAsia="Arial" w:cs="Arial"/>
                <w:szCs w:val="20"/>
                <w:lang w:eastAsia="sl-SI"/>
              </w:rPr>
              <w:t xml:space="preserve">spoprijemala </w:t>
            </w:r>
            <w:r>
              <w:t xml:space="preserve">majhna podjetja v EU pri pripravi računovodskih izkazov, je </w:t>
            </w:r>
            <w:r>
              <w:rPr>
                <w:rFonts w:eastAsia="Arial" w:cs="Arial"/>
                <w:szCs w:val="20"/>
                <w:lang w:eastAsia="sl-SI"/>
              </w:rPr>
              <w:t>uskladitev</w:t>
            </w:r>
            <w:r w:rsidRPr="005B7B13">
              <w:rPr>
                <w:rFonts w:eastAsia="Arial" w:cs="Arial"/>
                <w:szCs w:val="20"/>
                <w:lang w:eastAsia="sl-SI"/>
              </w:rPr>
              <w:t xml:space="preserve"> pragov.</w:t>
            </w:r>
          </w:p>
          <w:p w14:paraId="071A60B3" w14:textId="77777777" w:rsidR="000C08CA" w:rsidRDefault="000C08CA" w:rsidP="00FE328D">
            <w:pPr>
              <w:spacing w:line="276" w:lineRule="auto"/>
              <w:jc w:val="both"/>
              <w:rPr>
                <w:rFonts w:eastAsia="Arial" w:cs="Arial"/>
                <w:szCs w:val="20"/>
                <w:lang w:eastAsia="sl-SI"/>
              </w:rPr>
            </w:pPr>
          </w:p>
          <w:p w14:paraId="19FC6B9A" w14:textId="77777777" w:rsidR="000C08CA" w:rsidRDefault="000C08CA" w:rsidP="00FE328D">
            <w:pPr>
              <w:spacing w:line="276" w:lineRule="auto"/>
              <w:jc w:val="both"/>
              <w:rPr>
                <w:rFonts w:eastAsia="Arial" w:cs="Arial"/>
                <w:szCs w:val="20"/>
                <w:lang w:eastAsia="sl-SI"/>
              </w:rPr>
            </w:pPr>
            <w:r>
              <w:rPr>
                <w:rFonts w:eastAsia="Arial" w:cs="Arial"/>
                <w:szCs w:val="20"/>
                <w:lang w:eastAsia="sl-SI"/>
              </w:rPr>
              <w:t>Podjetje</w:t>
            </w:r>
            <w:r w:rsidRPr="00E94A93">
              <w:rPr>
                <w:rFonts w:eastAsia="Arial" w:cs="Arial"/>
                <w:szCs w:val="20"/>
                <w:lang w:eastAsia="sl-SI"/>
              </w:rPr>
              <w:t xml:space="preserve"> se prerazvrsti v drug razred, če dve leti zapored preseže dv</w:t>
            </w:r>
            <w:r>
              <w:rPr>
                <w:rFonts w:eastAsia="Arial" w:cs="Arial"/>
                <w:szCs w:val="20"/>
                <w:lang w:eastAsia="sl-SI"/>
              </w:rPr>
              <w:t>e</w:t>
            </w:r>
            <w:r w:rsidRPr="00E94A93">
              <w:rPr>
                <w:rFonts w:eastAsia="Arial" w:cs="Arial"/>
                <w:szCs w:val="20"/>
                <w:lang w:eastAsia="sl-SI"/>
              </w:rPr>
              <w:t xml:space="preserve"> od treh predpisanih</w:t>
            </w:r>
            <w:r>
              <w:rPr>
                <w:rFonts w:eastAsia="Arial" w:cs="Arial"/>
                <w:szCs w:val="20"/>
                <w:lang w:eastAsia="sl-SI"/>
              </w:rPr>
              <w:t xml:space="preserve"> meril glede števila zaposlenih, vrednosti aktive ali bilančne vsote in čistih prihodkov od prodaje oziroma čistih prihodkov</w:t>
            </w:r>
            <w:r w:rsidRPr="00E94A93">
              <w:rPr>
                <w:rFonts w:eastAsia="Arial" w:cs="Arial"/>
                <w:szCs w:val="20"/>
                <w:lang w:eastAsia="sl-SI"/>
              </w:rPr>
              <w:t>. Države članice se pri ma</w:t>
            </w:r>
            <w:r>
              <w:rPr>
                <w:rFonts w:eastAsia="Arial" w:cs="Arial"/>
                <w:szCs w:val="20"/>
                <w:lang w:eastAsia="sl-SI"/>
              </w:rPr>
              <w:t>jhni</w:t>
            </w:r>
            <w:r w:rsidRPr="00E94A93">
              <w:rPr>
                <w:rFonts w:eastAsia="Arial" w:cs="Arial"/>
                <w:szCs w:val="20"/>
                <w:lang w:eastAsia="sl-SI"/>
              </w:rPr>
              <w:t>h družbah lahko odločijo, kater</w:t>
            </w:r>
            <w:r>
              <w:rPr>
                <w:rFonts w:eastAsia="Arial" w:cs="Arial"/>
                <w:szCs w:val="20"/>
                <w:lang w:eastAsia="sl-SI"/>
              </w:rPr>
              <w:t xml:space="preserve">o merilo v </w:t>
            </w:r>
            <w:r w:rsidRPr="00E94A93">
              <w:rPr>
                <w:rFonts w:eastAsia="Arial" w:cs="Arial"/>
                <w:szCs w:val="20"/>
                <w:lang w:eastAsia="sl-SI"/>
              </w:rPr>
              <w:t>dovoljene</w:t>
            </w:r>
            <w:r>
              <w:rPr>
                <w:rFonts w:eastAsia="Arial" w:cs="Arial"/>
                <w:szCs w:val="20"/>
                <w:lang w:eastAsia="sl-SI"/>
              </w:rPr>
              <w:t>m</w:t>
            </w:r>
            <w:r w:rsidRPr="00E94A93">
              <w:rPr>
                <w:rFonts w:eastAsia="Arial" w:cs="Arial"/>
                <w:szCs w:val="20"/>
                <w:lang w:eastAsia="sl-SI"/>
              </w:rPr>
              <w:t xml:space="preserve"> razpon</w:t>
            </w:r>
            <w:r>
              <w:rPr>
                <w:rFonts w:eastAsia="Arial" w:cs="Arial"/>
                <w:szCs w:val="20"/>
                <w:lang w:eastAsia="sl-SI"/>
              </w:rPr>
              <w:t>u</w:t>
            </w:r>
            <w:r w:rsidRPr="00E94A93">
              <w:rPr>
                <w:rFonts w:eastAsia="Arial" w:cs="Arial"/>
                <w:szCs w:val="20"/>
                <w:lang w:eastAsia="sl-SI"/>
              </w:rPr>
              <w:t xml:space="preserve"> bodo izbrale. Meril</w:t>
            </w:r>
            <w:r>
              <w:rPr>
                <w:rFonts w:eastAsia="Arial" w:cs="Arial"/>
                <w:szCs w:val="20"/>
                <w:lang w:eastAsia="sl-SI"/>
              </w:rPr>
              <w:t>i</w:t>
            </w:r>
            <w:r w:rsidRPr="00E94A93">
              <w:rPr>
                <w:rFonts w:eastAsia="Arial" w:cs="Arial"/>
                <w:szCs w:val="20"/>
                <w:lang w:eastAsia="sl-SI"/>
              </w:rPr>
              <w:t xml:space="preserve"> za </w:t>
            </w:r>
            <w:r>
              <w:rPr>
                <w:rFonts w:eastAsia="Arial" w:cs="Arial"/>
                <w:szCs w:val="20"/>
                <w:lang w:eastAsia="sl-SI"/>
              </w:rPr>
              <w:t xml:space="preserve">vrednosti aktive ali bilančne vsote in čistih prihodkov od prodaje </w:t>
            </w:r>
            <w:r w:rsidRPr="00F85898">
              <w:rPr>
                <w:rFonts w:eastAsia="Arial" w:cs="Arial"/>
                <w:szCs w:val="20"/>
                <w:lang w:eastAsia="sl-SI"/>
              </w:rPr>
              <w:t>oziroma čistih prihodkov</w:t>
            </w:r>
            <w:r w:rsidRPr="00E94A93">
              <w:rPr>
                <w:rFonts w:eastAsia="Arial" w:cs="Arial"/>
                <w:szCs w:val="20"/>
                <w:lang w:eastAsia="sl-SI"/>
              </w:rPr>
              <w:t xml:space="preserve"> lahko povečajo </w:t>
            </w:r>
            <w:r>
              <w:rPr>
                <w:rFonts w:eastAsia="Arial" w:cs="Arial"/>
                <w:szCs w:val="20"/>
                <w:lang w:eastAsia="sl-SI"/>
              </w:rPr>
              <w:t>znotraj okvira, določenega v direktivi</w:t>
            </w:r>
            <w:r w:rsidRPr="00E94A93">
              <w:rPr>
                <w:rFonts w:eastAsia="Arial" w:cs="Arial"/>
                <w:szCs w:val="20"/>
                <w:lang w:eastAsia="sl-SI"/>
              </w:rPr>
              <w:t xml:space="preserve">. </w:t>
            </w:r>
            <w:r>
              <w:rPr>
                <w:rFonts w:eastAsia="Arial" w:cs="Arial"/>
                <w:szCs w:val="20"/>
                <w:lang w:eastAsia="sl-SI"/>
              </w:rPr>
              <w:t>Če</w:t>
            </w:r>
            <w:r w:rsidRPr="00E94A93">
              <w:rPr>
                <w:rFonts w:eastAsia="Arial" w:cs="Arial"/>
                <w:szCs w:val="20"/>
                <w:lang w:eastAsia="sl-SI"/>
              </w:rPr>
              <w:t xml:space="preserve"> se</w:t>
            </w:r>
            <w:r>
              <w:rPr>
                <w:rFonts w:eastAsia="Arial" w:cs="Arial"/>
                <w:szCs w:val="20"/>
                <w:lang w:eastAsia="sl-SI"/>
              </w:rPr>
              <w:t xml:space="preserve"> države članice</w:t>
            </w:r>
            <w:r w:rsidRPr="00E94A93">
              <w:rPr>
                <w:rFonts w:eastAsia="Arial" w:cs="Arial"/>
                <w:szCs w:val="20"/>
                <w:lang w:eastAsia="sl-SI"/>
              </w:rPr>
              <w:t xml:space="preserve"> odločijo za zgornjo mejo, </w:t>
            </w:r>
            <w:r>
              <w:rPr>
                <w:rFonts w:eastAsia="Arial" w:cs="Arial"/>
                <w:szCs w:val="20"/>
                <w:lang w:eastAsia="sl-SI"/>
              </w:rPr>
              <w:t xml:space="preserve">lahko to vpliva na obveznost več </w:t>
            </w:r>
            <w:r w:rsidRPr="00E94A93">
              <w:rPr>
                <w:rFonts w:eastAsia="Arial" w:cs="Arial"/>
                <w:szCs w:val="20"/>
                <w:lang w:eastAsia="sl-SI"/>
              </w:rPr>
              <w:t xml:space="preserve">družb </w:t>
            </w:r>
            <w:r>
              <w:rPr>
                <w:rFonts w:eastAsia="Arial" w:cs="Arial"/>
                <w:szCs w:val="20"/>
                <w:lang w:eastAsia="sl-SI"/>
              </w:rPr>
              <w:t xml:space="preserve">na področju </w:t>
            </w:r>
            <w:r w:rsidRPr="00E94A93">
              <w:rPr>
                <w:rFonts w:eastAsia="Arial" w:cs="Arial"/>
                <w:szCs w:val="20"/>
                <w:lang w:eastAsia="sl-SI"/>
              </w:rPr>
              <w:t>revizije.</w:t>
            </w:r>
          </w:p>
          <w:p w14:paraId="03B8ABBF" w14:textId="77777777" w:rsidR="000C08CA" w:rsidRDefault="000C08CA" w:rsidP="00FE328D">
            <w:pPr>
              <w:spacing w:line="276" w:lineRule="auto"/>
              <w:jc w:val="both"/>
              <w:rPr>
                <w:rFonts w:eastAsia="Arial" w:cs="Arial"/>
                <w:szCs w:val="20"/>
                <w:lang w:eastAsia="sl-SI"/>
              </w:rPr>
            </w:pPr>
          </w:p>
          <w:p w14:paraId="5EA165B9" w14:textId="77777777" w:rsidR="000C08CA" w:rsidRPr="00DD164E" w:rsidRDefault="000C08CA" w:rsidP="00FE328D">
            <w:pPr>
              <w:spacing w:line="276" w:lineRule="auto"/>
              <w:jc w:val="both"/>
              <w:rPr>
                <w:rFonts w:cs="Arial"/>
                <w:color w:val="000000" w:themeColor="text1"/>
                <w:szCs w:val="20"/>
              </w:rPr>
            </w:pPr>
            <w:r w:rsidRPr="00DD164E">
              <w:rPr>
                <w:rFonts w:eastAsia="Arial" w:cs="Arial"/>
                <w:szCs w:val="20"/>
                <w:lang w:eastAsia="sl-SI"/>
              </w:rPr>
              <w:t>Direktiv</w:t>
            </w:r>
            <w:r>
              <w:rPr>
                <w:rFonts w:eastAsia="Arial" w:cs="Arial"/>
                <w:szCs w:val="20"/>
                <w:lang w:eastAsia="sl-SI"/>
              </w:rPr>
              <w:t>a</w:t>
            </w:r>
            <w:r w:rsidRPr="00DD164E">
              <w:rPr>
                <w:rFonts w:eastAsia="Arial" w:cs="Arial"/>
                <w:szCs w:val="20"/>
                <w:lang w:eastAsia="sl-SI"/>
              </w:rPr>
              <w:t xml:space="preserve"> 2013/34/EU </w:t>
            </w:r>
            <w:r>
              <w:rPr>
                <w:rFonts w:cs="Arial"/>
                <w:color w:val="000000" w:themeColor="text1"/>
                <w:szCs w:val="20"/>
              </w:rPr>
              <w:t>je uredila</w:t>
            </w:r>
            <w:r w:rsidRPr="00DD164E">
              <w:rPr>
                <w:rFonts w:cs="Arial"/>
                <w:color w:val="000000" w:themeColor="text1"/>
                <w:szCs w:val="20"/>
              </w:rPr>
              <w:t xml:space="preserve"> pragove za razvrščanje </w:t>
            </w:r>
            <w:r>
              <w:rPr>
                <w:rFonts w:cs="Arial"/>
                <w:color w:val="000000" w:themeColor="text1"/>
                <w:szCs w:val="20"/>
              </w:rPr>
              <w:t>podjetij</w:t>
            </w:r>
            <w:r w:rsidRPr="00DD164E">
              <w:rPr>
                <w:rFonts w:cs="Arial"/>
                <w:color w:val="000000" w:themeColor="text1"/>
                <w:szCs w:val="20"/>
              </w:rPr>
              <w:t xml:space="preserve"> </w:t>
            </w:r>
            <w:r w:rsidRPr="00F85898">
              <w:rPr>
                <w:rFonts w:cs="Arial"/>
                <w:color w:val="000000" w:themeColor="text1"/>
                <w:szCs w:val="20"/>
              </w:rPr>
              <w:t xml:space="preserve">med mikro, majhna, srednja in velika </w:t>
            </w:r>
            <w:r>
              <w:rPr>
                <w:rFonts w:cs="Arial"/>
                <w:color w:val="000000" w:themeColor="text1"/>
                <w:szCs w:val="20"/>
              </w:rPr>
              <w:t>podjetja</w:t>
            </w:r>
            <w:r w:rsidRPr="00DD164E">
              <w:rPr>
                <w:rFonts w:cs="Arial"/>
                <w:color w:val="000000" w:themeColor="text1"/>
                <w:szCs w:val="20"/>
              </w:rPr>
              <w:t xml:space="preserve">, spremenila vsebino, obliko in obveznosti priprave konsolidiranega letnega poročila, spremenila vsebino priloge k računovodskim izkazom ter določila poenostavitve za mikro </w:t>
            </w:r>
            <w:r>
              <w:rPr>
                <w:rFonts w:cs="Arial"/>
                <w:color w:val="000000" w:themeColor="text1"/>
                <w:szCs w:val="20"/>
              </w:rPr>
              <w:t>podjetja</w:t>
            </w:r>
            <w:r w:rsidRPr="00DD164E">
              <w:rPr>
                <w:rFonts w:cs="Arial"/>
                <w:color w:val="000000" w:themeColor="text1"/>
                <w:szCs w:val="20"/>
              </w:rPr>
              <w:t>.</w:t>
            </w:r>
            <w:r>
              <w:rPr>
                <w:rFonts w:cs="Arial"/>
                <w:color w:val="000000" w:themeColor="text1"/>
                <w:szCs w:val="20"/>
              </w:rPr>
              <w:t xml:space="preserve"> </w:t>
            </w:r>
            <w:r w:rsidRPr="00DD164E">
              <w:rPr>
                <w:szCs w:val="20"/>
              </w:rPr>
              <w:t>Razvrstitev podjetij ali skupin med mikro, ma</w:t>
            </w:r>
            <w:r>
              <w:rPr>
                <w:szCs w:val="20"/>
              </w:rPr>
              <w:t>jhn</w:t>
            </w:r>
            <w:r w:rsidRPr="00DD164E">
              <w:rPr>
                <w:szCs w:val="20"/>
              </w:rPr>
              <w:t xml:space="preserve">a, srednja ali velika </w:t>
            </w:r>
            <w:r w:rsidRPr="00F85898">
              <w:rPr>
                <w:szCs w:val="20"/>
              </w:rPr>
              <w:t>podjetja</w:t>
            </w:r>
            <w:r w:rsidRPr="00DD164E">
              <w:rPr>
                <w:szCs w:val="20"/>
              </w:rPr>
              <w:t xml:space="preserve"> ali skupine temelji na izpolnjevanju dveh od treh meril velikosti: vrednosti aktive in čistega prihodka od prodaje ter povprečnega števila zaposlenih v poslovnem letu.</w:t>
            </w:r>
            <w:r>
              <w:rPr>
                <w:szCs w:val="20"/>
              </w:rPr>
              <w:t xml:space="preserve"> </w:t>
            </w:r>
            <w:r w:rsidRPr="007D073D">
              <w:rPr>
                <w:rFonts w:cs="Arial"/>
                <w:szCs w:val="20"/>
              </w:rPr>
              <w:t xml:space="preserve">Računovodska direktiva </w:t>
            </w:r>
            <w:r>
              <w:rPr>
                <w:rFonts w:cs="Arial"/>
                <w:szCs w:val="20"/>
              </w:rPr>
              <w:t xml:space="preserve">tako </w:t>
            </w:r>
            <w:r w:rsidRPr="007D073D">
              <w:rPr>
                <w:rFonts w:cs="Arial"/>
                <w:szCs w:val="20"/>
              </w:rPr>
              <w:t>določa pravni okvir za pripravo, predstavljanje, objavo in revizijo posameznih in konsolidiranih letnih računovodskih izkazov za podjetja s sedežem v Evropski uniji</w:t>
            </w:r>
            <w:r>
              <w:rPr>
                <w:rFonts w:cs="Arial"/>
                <w:szCs w:val="20"/>
              </w:rPr>
              <w:t xml:space="preserve"> in d</w:t>
            </w:r>
            <w:r w:rsidRPr="007D073D">
              <w:rPr>
                <w:rFonts w:cs="Arial"/>
                <w:szCs w:val="20"/>
              </w:rPr>
              <w:t>oloča zahteve glede predstavljanja, objave in revizije na podlagi kategorij velikosti in vrst podjetij.</w:t>
            </w:r>
            <w:r>
              <w:rPr>
                <w:rFonts w:cs="Arial"/>
                <w:szCs w:val="20"/>
              </w:rPr>
              <w:t xml:space="preserve"> </w:t>
            </w:r>
            <w:r w:rsidRPr="00DD164E">
              <w:rPr>
                <w:rFonts w:cs="Arial"/>
                <w:color w:val="000000" w:themeColor="text1"/>
                <w:szCs w:val="20"/>
              </w:rPr>
              <w:t>Pri poročanju so vedno bolj pomembne tudi nefinančne informacije</w:t>
            </w:r>
            <w:r>
              <w:rPr>
                <w:rFonts w:cs="Arial"/>
                <w:color w:val="000000" w:themeColor="text1"/>
                <w:szCs w:val="20"/>
              </w:rPr>
              <w:t>, ki jih družbe podajajo glede na svojo velikost</w:t>
            </w:r>
            <w:r w:rsidRPr="00DD164E">
              <w:rPr>
                <w:rFonts w:cs="Arial"/>
                <w:color w:val="000000" w:themeColor="text1"/>
                <w:szCs w:val="20"/>
              </w:rPr>
              <w:t xml:space="preserve">. Razkritje takšnih informacij družbam prinaša koristi, </w:t>
            </w:r>
            <w:r>
              <w:rPr>
                <w:rFonts w:cs="Arial"/>
                <w:color w:val="000000" w:themeColor="text1"/>
                <w:szCs w:val="20"/>
              </w:rPr>
              <w:t>med drugim</w:t>
            </w:r>
            <w:r w:rsidRPr="00DD164E">
              <w:rPr>
                <w:rFonts w:cs="Arial"/>
                <w:color w:val="000000" w:themeColor="text1"/>
                <w:szCs w:val="20"/>
              </w:rPr>
              <w:t xml:space="preserve"> ugled, da družba ravna družbeno in socialno odgovorno, da skrbi za zaposlene, okolje in naravo ipd. S tem družbe </w:t>
            </w:r>
            <w:r>
              <w:rPr>
                <w:rFonts w:cs="Arial"/>
                <w:color w:val="000000" w:themeColor="text1"/>
                <w:szCs w:val="20"/>
              </w:rPr>
              <w:t xml:space="preserve">krepijo </w:t>
            </w:r>
            <w:r w:rsidRPr="00DD164E">
              <w:rPr>
                <w:rFonts w:cs="Arial"/>
                <w:color w:val="000000" w:themeColor="text1"/>
                <w:szCs w:val="20"/>
              </w:rPr>
              <w:t>svoj</w:t>
            </w:r>
            <w:r>
              <w:rPr>
                <w:rFonts w:cs="Arial"/>
                <w:color w:val="000000" w:themeColor="text1"/>
                <w:szCs w:val="20"/>
              </w:rPr>
              <w:t>i</w:t>
            </w:r>
            <w:r w:rsidRPr="00DD164E">
              <w:rPr>
                <w:rFonts w:cs="Arial"/>
                <w:color w:val="000000" w:themeColor="text1"/>
                <w:szCs w:val="20"/>
              </w:rPr>
              <w:t xml:space="preserve"> prepoznavnost in konkurenčno prednost. V ta namen je bila z</w:t>
            </w:r>
            <w:r>
              <w:rPr>
                <w:rFonts w:cs="Arial"/>
                <w:color w:val="000000" w:themeColor="text1"/>
                <w:szCs w:val="20"/>
              </w:rPr>
              <w:t xml:space="preserve"> ZGD-1J</w:t>
            </w:r>
            <w:r w:rsidRPr="00DD164E">
              <w:rPr>
                <w:rFonts w:cs="Arial"/>
                <w:color w:val="000000" w:themeColor="text1"/>
                <w:szCs w:val="20"/>
              </w:rPr>
              <w:t xml:space="preserve"> v slovenski pravni red prenesena</w:t>
            </w:r>
            <w:r>
              <w:rPr>
                <w:rFonts w:cs="Arial"/>
                <w:color w:val="000000" w:themeColor="text1"/>
                <w:szCs w:val="20"/>
              </w:rPr>
              <w:t xml:space="preserve"> </w:t>
            </w:r>
            <w:r w:rsidRPr="005B7A02">
              <w:rPr>
                <w:rFonts w:cs="Arial"/>
                <w:color w:val="000000" w:themeColor="text1"/>
                <w:szCs w:val="20"/>
              </w:rPr>
              <w:t>Direktiva 2014/95/EU</w:t>
            </w:r>
            <w:r w:rsidRPr="00DD164E">
              <w:rPr>
                <w:rFonts w:cs="Arial"/>
                <w:color w:val="000000" w:themeColor="text1"/>
                <w:szCs w:val="20"/>
              </w:rPr>
              <w:t>. Direktiva 2022/2464/EU</w:t>
            </w:r>
            <w:r>
              <w:rPr>
                <w:rFonts w:cs="Arial"/>
                <w:color w:val="000000" w:themeColor="text1"/>
                <w:szCs w:val="20"/>
              </w:rPr>
              <w:t xml:space="preserve"> </w:t>
            </w:r>
            <w:r w:rsidRPr="00DD164E">
              <w:rPr>
                <w:rFonts w:cs="Arial"/>
                <w:color w:val="000000" w:themeColor="text1"/>
                <w:szCs w:val="20"/>
              </w:rPr>
              <w:t xml:space="preserve">posodablja določbe glede nefinančnega poročanja </w:t>
            </w:r>
            <w:r>
              <w:rPr>
                <w:rFonts w:cs="Arial"/>
                <w:color w:val="000000" w:themeColor="text1"/>
                <w:szCs w:val="20"/>
              </w:rPr>
              <w:t>ter</w:t>
            </w:r>
            <w:r w:rsidRPr="00DD164E">
              <w:rPr>
                <w:rFonts w:cs="Arial"/>
                <w:color w:val="000000" w:themeColor="text1"/>
                <w:szCs w:val="20"/>
              </w:rPr>
              <w:t xml:space="preserve"> </w:t>
            </w:r>
            <w:r>
              <w:rPr>
                <w:rFonts w:cs="Arial"/>
                <w:color w:val="000000" w:themeColor="text1"/>
                <w:szCs w:val="20"/>
              </w:rPr>
              <w:t>obravnava</w:t>
            </w:r>
            <w:r w:rsidRPr="00DD164E">
              <w:rPr>
                <w:rFonts w:cs="Arial"/>
                <w:color w:val="000000" w:themeColor="text1"/>
                <w:szCs w:val="20"/>
              </w:rPr>
              <w:t xml:space="preserve"> izzive in pomanjkljivosti ureditve</w:t>
            </w:r>
            <w:r>
              <w:rPr>
                <w:rFonts w:cs="Arial"/>
                <w:color w:val="000000" w:themeColor="text1"/>
                <w:szCs w:val="20"/>
              </w:rPr>
              <w:t xml:space="preserve"> iz Direktive </w:t>
            </w:r>
            <w:r w:rsidRPr="006053A5">
              <w:rPr>
                <w:rFonts w:cs="Arial"/>
                <w:color w:val="000000" w:themeColor="text1"/>
                <w:szCs w:val="20"/>
              </w:rPr>
              <w:t>2013/34/EU</w:t>
            </w:r>
            <w:r w:rsidRPr="00DD164E">
              <w:rPr>
                <w:rFonts w:cs="Arial"/>
                <w:color w:val="000000" w:themeColor="text1"/>
                <w:szCs w:val="20"/>
              </w:rPr>
              <w:t xml:space="preserve">. </w:t>
            </w:r>
          </w:p>
          <w:p w14:paraId="70C851E8" w14:textId="77777777" w:rsidR="000C08CA" w:rsidRPr="00DD164E" w:rsidRDefault="000C08CA" w:rsidP="00FE328D">
            <w:pPr>
              <w:pStyle w:val="tevilnatoka"/>
              <w:numPr>
                <w:ilvl w:val="0"/>
                <w:numId w:val="0"/>
              </w:numPr>
              <w:spacing w:line="276" w:lineRule="auto"/>
              <w:rPr>
                <w:rFonts w:eastAsia="Arial" w:cs="Arial"/>
                <w:sz w:val="20"/>
                <w:szCs w:val="20"/>
                <w:lang w:eastAsia="sl-SI"/>
              </w:rPr>
            </w:pPr>
          </w:p>
          <w:p w14:paraId="4FFB1A1B" w14:textId="77777777" w:rsidR="000C08CA" w:rsidRPr="00DD164E" w:rsidRDefault="000C08CA" w:rsidP="00FE328D">
            <w:pPr>
              <w:pStyle w:val="Default"/>
              <w:spacing w:line="276" w:lineRule="auto"/>
              <w:jc w:val="both"/>
              <w:rPr>
                <w:sz w:val="20"/>
                <w:szCs w:val="20"/>
              </w:rPr>
            </w:pPr>
            <w:r>
              <w:rPr>
                <w:sz w:val="20"/>
                <w:szCs w:val="20"/>
              </w:rPr>
              <w:t>K</w:t>
            </w:r>
            <w:r w:rsidRPr="00DD164E">
              <w:rPr>
                <w:sz w:val="20"/>
                <w:szCs w:val="20"/>
              </w:rPr>
              <w:t xml:space="preserve">omisija ima na podlagi </w:t>
            </w:r>
            <w:r>
              <w:rPr>
                <w:sz w:val="20"/>
                <w:szCs w:val="20"/>
              </w:rPr>
              <w:t>določbe</w:t>
            </w:r>
            <w:r w:rsidRPr="009F0060">
              <w:rPr>
                <w:sz w:val="20"/>
                <w:szCs w:val="20"/>
              </w:rPr>
              <w:t xml:space="preserve"> o pregledu </w:t>
            </w:r>
            <w:r>
              <w:rPr>
                <w:sz w:val="20"/>
                <w:szCs w:val="20"/>
              </w:rPr>
              <w:t xml:space="preserve">iz </w:t>
            </w:r>
            <w:r w:rsidRPr="00DD164E">
              <w:rPr>
                <w:sz w:val="20"/>
                <w:szCs w:val="20"/>
              </w:rPr>
              <w:t xml:space="preserve">trinajstega odstavka 3. člena Direktive 2013/34/EU </w:t>
            </w:r>
            <w:r w:rsidRPr="00DD164E">
              <w:rPr>
                <w:snapToGrid w:val="0"/>
                <w:color w:val="auto"/>
                <w:sz w:val="20"/>
                <w:szCs w:val="20"/>
                <w:lang w:eastAsia="en-US"/>
              </w:rPr>
              <w:t xml:space="preserve">pooblastilo, da vsakih pet let pregleda in zaradi prilagajana posledicam inflacije po potrebi sprejme delegirane akte, s katerimi spremeni merila velikosti </w:t>
            </w:r>
            <w:r w:rsidRPr="00DD164E">
              <w:rPr>
                <w:sz w:val="20"/>
                <w:szCs w:val="20"/>
              </w:rPr>
              <w:t>mikro, ma</w:t>
            </w:r>
            <w:r>
              <w:rPr>
                <w:sz w:val="20"/>
                <w:szCs w:val="20"/>
              </w:rPr>
              <w:t>jhn</w:t>
            </w:r>
            <w:r w:rsidRPr="00DD164E">
              <w:rPr>
                <w:sz w:val="20"/>
                <w:szCs w:val="20"/>
              </w:rPr>
              <w:t xml:space="preserve">ih, srednjih in velikih podjetij ali skupin </w:t>
            </w:r>
            <w:r w:rsidRPr="00DD164E">
              <w:rPr>
                <w:sz w:val="20"/>
                <w:szCs w:val="20"/>
                <w:shd w:val="clear" w:color="auto" w:fill="FFFFFF"/>
              </w:rPr>
              <w:t>pri tem pa upošteva inflacijske ukrepe, objavljene v </w:t>
            </w:r>
            <w:r w:rsidRPr="00DD164E">
              <w:rPr>
                <w:rStyle w:val="italics"/>
                <w:sz w:val="20"/>
                <w:szCs w:val="20"/>
                <w:shd w:val="clear" w:color="auto" w:fill="FFFFFF"/>
              </w:rPr>
              <w:t>Uradnem listu Evropske unije</w:t>
            </w:r>
            <w:r w:rsidRPr="00DD164E">
              <w:rPr>
                <w:sz w:val="20"/>
                <w:szCs w:val="20"/>
                <w:shd w:val="clear" w:color="auto" w:fill="FFFFFF"/>
              </w:rPr>
              <w:t xml:space="preserve">. </w:t>
            </w:r>
            <w:r w:rsidRPr="00DD164E">
              <w:rPr>
                <w:sz w:val="20"/>
                <w:szCs w:val="20"/>
              </w:rPr>
              <w:t>S prilagoditvami denarnih meril velikosti s</w:t>
            </w:r>
            <w:r>
              <w:rPr>
                <w:sz w:val="20"/>
                <w:szCs w:val="20"/>
              </w:rPr>
              <w:t>i</w:t>
            </w:r>
            <w:r w:rsidRPr="00DD164E">
              <w:rPr>
                <w:sz w:val="20"/>
                <w:szCs w:val="20"/>
              </w:rPr>
              <w:t xml:space="preserve"> prizadeva ohraniti sedanje stanje in predvsem preprečiti razmere, da bi se za mikro in ma</w:t>
            </w:r>
            <w:r>
              <w:rPr>
                <w:sz w:val="20"/>
                <w:szCs w:val="20"/>
              </w:rPr>
              <w:t>jhn</w:t>
            </w:r>
            <w:r w:rsidRPr="00DD164E">
              <w:rPr>
                <w:sz w:val="20"/>
                <w:szCs w:val="20"/>
              </w:rPr>
              <w:t xml:space="preserve">a podjetja zaradi inflacije uporabljale strožje zahteve, ki se uporabljajo za večja podjetja. </w:t>
            </w:r>
          </w:p>
          <w:p w14:paraId="6F255C24" w14:textId="77777777" w:rsidR="000C08CA" w:rsidRPr="00DD164E" w:rsidRDefault="000C08CA" w:rsidP="00FE328D">
            <w:pPr>
              <w:pStyle w:val="Default"/>
              <w:spacing w:line="276" w:lineRule="auto"/>
              <w:jc w:val="both"/>
              <w:rPr>
                <w:sz w:val="20"/>
                <w:szCs w:val="20"/>
              </w:rPr>
            </w:pPr>
          </w:p>
          <w:p w14:paraId="074CC539" w14:textId="77777777" w:rsidR="000C08CA" w:rsidRPr="004421BA" w:rsidRDefault="000C08CA" w:rsidP="00FE328D">
            <w:pPr>
              <w:pStyle w:val="Default"/>
              <w:spacing w:line="276" w:lineRule="auto"/>
              <w:jc w:val="both"/>
              <w:rPr>
                <w:sz w:val="20"/>
                <w:szCs w:val="20"/>
              </w:rPr>
            </w:pPr>
            <w:r w:rsidRPr="00DD164E">
              <w:rPr>
                <w:sz w:val="20"/>
                <w:szCs w:val="20"/>
              </w:rPr>
              <w:t xml:space="preserve">Komisija je merila velikosti za razvrščanje družb nazadnje pregledala leta 2021 (ob upoštevanju podatkov za obdobje od januarja 2013 do decembra 2019) in ugotovila, da jih takrat ni bilo treba revidirati. Glede na trend inflacije v letih 2021 in 2022 je bila sprejeta odločitev, da se </w:t>
            </w:r>
            <w:r>
              <w:rPr>
                <w:sz w:val="20"/>
                <w:szCs w:val="20"/>
              </w:rPr>
              <w:t>znova</w:t>
            </w:r>
            <w:r w:rsidRPr="00DD164E">
              <w:rPr>
                <w:sz w:val="20"/>
                <w:szCs w:val="20"/>
              </w:rPr>
              <w:t xml:space="preserve"> pregledajo denarna merila za določanje kategorije velikosti družb </w:t>
            </w:r>
            <w:r>
              <w:rPr>
                <w:sz w:val="20"/>
                <w:szCs w:val="20"/>
              </w:rPr>
              <w:t xml:space="preserve">in </w:t>
            </w:r>
            <w:r w:rsidRPr="00DD164E">
              <w:rPr>
                <w:sz w:val="20"/>
                <w:szCs w:val="20"/>
              </w:rPr>
              <w:t xml:space="preserve">da se upošteva učinek inflacije. Komisija je ugotovila, da je v </w:t>
            </w:r>
            <w:r w:rsidRPr="00DD164E" w:rsidDel="00831264">
              <w:rPr>
                <w:sz w:val="20"/>
                <w:szCs w:val="20"/>
              </w:rPr>
              <w:t>10</w:t>
            </w:r>
            <w:r>
              <w:rPr>
                <w:sz w:val="20"/>
                <w:szCs w:val="20"/>
              </w:rPr>
              <w:t>-</w:t>
            </w:r>
            <w:r w:rsidRPr="00DD164E">
              <w:rPr>
                <w:sz w:val="20"/>
                <w:szCs w:val="20"/>
              </w:rPr>
              <w:t>letnem obdobju od 1. 1. 2013 do 31. 3. 2023 inflacija kumulativno dosegla 24,3 % v euro območju</w:t>
            </w:r>
            <w:r w:rsidRPr="00DD164E">
              <w:rPr>
                <w:rStyle w:val="FootnoteReference"/>
                <w:sz w:val="20"/>
                <w:szCs w:val="20"/>
              </w:rPr>
              <w:footnoteReference w:id="28"/>
            </w:r>
            <w:r w:rsidRPr="00DD164E">
              <w:rPr>
                <w:sz w:val="20"/>
                <w:szCs w:val="20"/>
              </w:rPr>
              <w:t xml:space="preserve"> in 27,2 % v 27 državah članicah Evropske unije. Skladno z navedenim Komisija meni, da je treba glede na trend inflacije v euro območju v zadnjih letih (zlasti v zadnjih dveh letih) merila velikosti </w:t>
            </w:r>
            <w:r>
              <w:rPr>
                <w:sz w:val="20"/>
                <w:szCs w:val="20"/>
              </w:rPr>
              <w:t>iz</w:t>
            </w:r>
            <w:r w:rsidRPr="00DD164E">
              <w:rPr>
                <w:sz w:val="20"/>
                <w:szCs w:val="20"/>
              </w:rPr>
              <w:t xml:space="preserve"> Direktiv</w:t>
            </w:r>
            <w:r>
              <w:rPr>
                <w:sz w:val="20"/>
                <w:szCs w:val="20"/>
              </w:rPr>
              <w:t>e</w:t>
            </w:r>
            <w:r w:rsidRPr="00DD164E">
              <w:rPr>
                <w:sz w:val="20"/>
                <w:szCs w:val="20"/>
              </w:rPr>
              <w:t xml:space="preserve"> </w:t>
            </w:r>
            <w:r w:rsidRPr="00DD164E">
              <w:rPr>
                <w:rFonts w:eastAsia="Arial"/>
                <w:sz w:val="20"/>
                <w:szCs w:val="20"/>
              </w:rPr>
              <w:t>2013/34/EU</w:t>
            </w:r>
            <w:r w:rsidRPr="00DD164E">
              <w:rPr>
                <w:sz w:val="20"/>
                <w:szCs w:val="20"/>
              </w:rPr>
              <w:t xml:space="preserve"> prilagoditi za 25 %, da se prilagodijo za učinke inflacije. Da bodo merila velikosti družb preprosta in smiselna, je treba nekatera merila zaokrožiti navzgor (28,6</w:t>
            </w:r>
            <w:r>
              <w:rPr>
                <w:sz w:val="20"/>
                <w:szCs w:val="20"/>
              </w:rPr>
              <w:t xml:space="preserve"> </w:t>
            </w:r>
            <w:r w:rsidRPr="00DD164E">
              <w:rPr>
                <w:sz w:val="20"/>
                <w:szCs w:val="20"/>
              </w:rPr>
              <w:t xml:space="preserve">%). </w:t>
            </w:r>
          </w:p>
          <w:p w14:paraId="2736BDCD" w14:textId="77777777" w:rsidR="000C08CA" w:rsidRDefault="000C08CA" w:rsidP="00FE328D">
            <w:pPr>
              <w:pStyle w:val="Default"/>
              <w:spacing w:line="276" w:lineRule="auto"/>
              <w:jc w:val="both"/>
              <w:rPr>
                <w:sz w:val="20"/>
                <w:szCs w:val="20"/>
              </w:rPr>
            </w:pPr>
          </w:p>
          <w:p w14:paraId="7A1C2DBF" w14:textId="77777777" w:rsidR="000C08CA" w:rsidRDefault="000C08CA" w:rsidP="00FE328D">
            <w:pPr>
              <w:pStyle w:val="Default"/>
              <w:spacing w:line="276" w:lineRule="auto"/>
              <w:jc w:val="both"/>
              <w:rPr>
                <w:sz w:val="20"/>
                <w:szCs w:val="20"/>
              </w:rPr>
            </w:pPr>
            <w:r w:rsidRPr="00B53451">
              <w:rPr>
                <w:sz w:val="20"/>
                <w:szCs w:val="20"/>
              </w:rPr>
              <w:t xml:space="preserve">Direktiva </w:t>
            </w:r>
            <w:r w:rsidRPr="00E070CD">
              <w:rPr>
                <w:sz w:val="20"/>
                <w:szCs w:val="20"/>
              </w:rPr>
              <w:t>2023/2775</w:t>
            </w:r>
            <w:r w:rsidRPr="00B53451">
              <w:rPr>
                <w:sz w:val="20"/>
                <w:szCs w:val="20"/>
              </w:rPr>
              <w:t>/EU na novo določa merila za razvrščanje družb.</w:t>
            </w:r>
            <w:r w:rsidRPr="002265B6">
              <w:rPr>
                <w:sz w:val="20"/>
                <w:szCs w:val="20"/>
              </w:rPr>
              <w:t xml:space="preserve"> Razlik pri številu</w:t>
            </w:r>
            <w:r>
              <w:rPr>
                <w:sz w:val="20"/>
                <w:szCs w:val="20"/>
              </w:rPr>
              <w:t xml:space="preserve"> </w:t>
            </w:r>
            <w:r w:rsidRPr="002265B6">
              <w:rPr>
                <w:sz w:val="20"/>
                <w:szCs w:val="20"/>
              </w:rPr>
              <w:t>zaposlenih med staro in novo zakonodajo ni</w:t>
            </w:r>
            <w:r>
              <w:rPr>
                <w:sz w:val="20"/>
                <w:szCs w:val="20"/>
              </w:rPr>
              <w:t>.</w:t>
            </w:r>
            <w:r w:rsidRPr="002265B6">
              <w:rPr>
                <w:sz w:val="20"/>
                <w:szCs w:val="20"/>
              </w:rPr>
              <w:t xml:space="preserve"> </w:t>
            </w:r>
            <w:r>
              <w:rPr>
                <w:sz w:val="20"/>
                <w:szCs w:val="20"/>
              </w:rPr>
              <w:t>S</w:t>
            </w:r>
            <w:r w:rsidRPr="002265B6">
              <w:rPr>
                <w:sz w:val="20"/>
                <w:szCs w:val="20"/>
              </w:rPr>
              <w:t>prememb</w:t>
            </w:r>
            <w:r>
              <w:rPr>
                <w:sz w:val="20"/>
                <w:szCs w:val="20"/>
              </w:rPr>
              <w:t>e so</w:t>
            </w:r>
            <w:r w:rsidRPr="002265B6">
              <w:rPr>
                <w:sz w:val="20"/>
                <w:szCs w:val="20"/>
              </w:rPr>
              <w:t xml:space="preserve"> pri drugih dveh </w:t>
            </w:r>
            <w:r w:rsidRPr="000C5447">
              <w:rPr>
                <w:sz w:val="20"/>
                <w:szCs w:val="20"/>
              </w:rPr>
              <w:t xml:space="preserve">merilih, </w:t>
            </w:r>
            <w:r>
              <w:rPr>
                <w:sz w:val="20"/>
                <w:szCs w:val="20"/>
              </w:rPr>
              <w:t>pri čemer</w:t>
            </w:r>
            <w:r w:rsidRPr="000C5447">
              <w:rPr>
                <w:sz w:val="20"/>
                <w:szCs w:val="20"/>
              </w:rPr>
              <w:t xml:space="preserve"> se je meja </w:t>
            </w:r>
            <w:r>
              <w:rPr>
                <w:sz w:val="20"/>
                <w:szCs w:val="20"/>
              </w:rPr>
              <w:t>z</w:t>
            </w:r>
            <w:r w:rsidRPr="000C5447">
              <w:rPr>
                <w:sz w:val="20"/>
                <w:szCs w:val="20"/>
              </w:rPr>
              <w:t>višala za ma</w:t>
            </w:r>
            <w:r>
              <w:rPr>
                <w:sz w:val="20"/>
                <w:szCs w:val="20"/>
              </w:rPr>
              <w:t>jhn</w:t>
            </w:r>
            <w:r w:rsidRPr="000C5447">
              <w:rPr>
                <w:sz w:val="20"/>
                <w:szCs w:val="20"/>
              </w:rPr>
              <w:t xml:space="preserve">e, srednje in velike družbe. </w:t>
            </w:r>
            <w:r>
              <w:rPr>
                <w:sz w:val="20"/>
                <w:szCs w:val="20"/>
              </w:rPr>
              <w:t xml:space="preserve">Direktiva </w:t>
            </w:r>
            <w:r w:rsidRPr="00DD164E">
              <w:rPr>
                <w:sz w:val="20"/>
                <w:szCs w:val="20"/>
              </w:rPr>
              <w:t>2013/34/EU</w:t>
            </w:r>
            <w:r w:rsidRPr="000C5447">
              <w:rPr>
                <w:sz w:val="20"/>
                <w:szCs w:val="20"/>
              </w:rPr>
              <w:t xml:space="preserve"> določa </w:t>
            </w:r>
            <w:r w:rsidRPr="00B53451">
              <w:rPr>
                <w:sz w:val="20"/>
                <w:szCs w:val="20"/>
              </w:rPr>
              <w:t xml:space="preserve">tudi merila za razvrščanje </w:t>
            </w:r>
            <w:r w:rsidRPr="000C5447">
              <w:rPr>
                <w:sz w:val="20"/>
                <w:szCs w:val="20"/>
              </w:rPr>
              <w:t>velikosti skupin</w:t>
            </w:r>
            <w:r>
              <w:rPr>
                <w:sz w:val="20"/>
                <w:szCs w:val="20"/>
              </w:rPr>
              <w:t xml:space="preserve">, zato </w:t>
            </w:r>
            <w:r w:rsidRPr="000C5447">
              <w:rPr>
                <w:sz w:val="20"/>
                <w:szCs w:val="20"/>
              </w:rPr>
              <w:t>Direktiv</w:t>
            </w:r>
            <w:r>
              <w:rPr>
                <w:sz w:val="20"/>
                <w:szCs w:val="20"/>
              </w:rPr>
              <w:t xml:space="preserve">a </w:t>
            </w:r>
            <w:r w:rsidRPr="00E070CD">
              <w:rPr>
                <w:sz w:val="20"/>
                <w:szCs w:val="20"/>
              </w:rPr>
              <w:t>2023/2775/EU</w:t>
            </w:r>
            <w:r>
              <w:rPr>
                <w:sz w:val="20"/>
                <w:szCs w:val="20"/>
              </w:rPr>
              <w:t xml:space="preserve"> na </w:t>
            </w:r>
            <w:r w:rsidRPr="00B53451">
              <w:rPr>
                <w:sz w:val="20"/>
                <w:szCs w:val="20"/>
              </w:rPr>
              <w:t xml:space="preserve">novo določa </w:t>
            </w:r>
            <w:r>
              <w:rPr>
                <w:sz w:val="20"/>
                <w:szCs w:val="20"/>
              </w:rPr>
              <w:t xml:space="preserve">tudi ta </w:t>
            </w:r>
            <w:r w:rsidRPr="00B53451">
              <w:rPr>
                <w:sz w:val="20"/>
                <w:szCs w:val="20"/>
              </w:rPr>
              <w:t>merila</w:t>
            </w:r>
            <w:r w:rsidRPr="000C5447">
              <w:rPr>
                <w:sz w:val="20"/>
                <w:szCs w:val="20"/>
              </w:rPr>
              <w:t xml:space="preserve">. </w:t>
            </w:r>
            <w:r>
              <w:rPr>
                <w:sz w:val="20"/>
                <w:szCs w:val="20"/>
              </w:rPr>
              <w:t>Pri tem</w:t>
            </w:r>
            <w:r w:rsidRPr="000C5447">
              <w:rPr>
                <w:sz w:val="20"/>
                <w:szCs w:val="20"/>
              </w:rPr>
              <w:t xml:space="preserve"> se za ma</w:t>
            </w:r>
            <w:r>
              <w:rPr>
                <w:sz w:val="20"/>
                <w:szCs w:val="20"/>
              </w:rPr>
              <w:t>jhn</w:t>
            </w:r>
            <w:r w:rsidRPr="000C5447">
              <w:rPr>
                <w:sz w:val="20"/>
                <w:szCs w:val="20"/>
              </w:rPr>
              <w:t xml:space="preserve">e, srednje in </w:t>
            </w:r>
            <w:r w:rsidRPr="000C5447">
              <w:rPr>
                <w:sz w:val="20"/>
                <w:szCs w:val="20"/>
              </w:rPr>
              <w:lastRenderedPageBreak/>
              <w:t>velike</w:t>
            </w:r>
            <w:r>
              <w:rPr>
                <w:sz w:val="20"/>
                <w:szCs w:val="20"/>
              </w:rPr>
              <w:t xml:space="preserve"> </w:t>
            </w:r>
            <w:r w:rsidRPr="000C5447">
              <w:rPr>
                <w:sz w:val="20"/>
                <w:szCs w:val="20"/>
              </w:rPr>
              <w:t>skupine uporabljajo enaka merila kot za posamične družbe, vendar na konsolidirani ravni.</w:t>
            </w:r>
            <w:r>
              <w:rPr>
                <w:sz w:val="20"/>
                <w:szCs w:val="20"/>
              </w:rPr>
              <w:t xml:space="preserve"> Ostaja pa v veljavi določba, da če</w:t>
            </w:r>
            <w:r w:rsidRPr="000C5447">
              <w:rPr>
                <w:sz w:val="20"/>
                <w:szCs w:val="20"/>
              </w:rPr>
              <w:t xml:space="preserve"> se merila ne ugotavljajo na konsolidirani podlagi, se meje meril za</w:t>
            </w:r>
            <w:r w:rsidRPr="00E93626">
              <w:rPr>
                <w:sz w:val="20"/>
                <w:szCs w:val="20"/>
              </w:rPr>
              <w:t xml:space="preserve"> vrednosti aktive </w:t>
            </w:r>
            <w:r>
              <w:rPr>
                <w:sz w:val="20"/>
                <w:szCs w:val="20"/>
              </w:rPr>
              <w:t>ali</w:t>
            </w:r>
            <w:r w:rsidRPr="00E93626">
              <w:rPr>
                <w:sz w:val="20"/>
                <w:szCs w:val="20"/>
              </w:rPr>
              <w:t xml:space="preserve"> bilančne vsote in čistih prihodkov od prodaje </w:t>
            </w:r>
            <w:r w:rsidRPr="00F85898">
              <w:rPr>
                <w:sz w:val="20"/>
                <w:szCs w:val="20"/>
              </w:rPr>
              <w:t>oziroma čistih prihodkov</w:t>
            </w:r>
            <w:r w:rsidRPr="00E93626">
              <w:rPr>
                <w:sz w:val="20"/>
                <w:szCs w:val="20"/>
              </w:rPr>
              <w:t xml:space="preserve"> </w:t>
            </w:r>
            <w:r>
              <w:rPr>
                <w:sz w:val="20"/>
                <w:szCs w:val="20"/>
              </w:rPr>
              <w:t>zviš</w:t>
            </w:r>
            <w:r w:rsidRPr="000C5447">
              <w:rPr>
                <w:sz w:val="20"/>
                <w:szCs w:val="20"/>
              </w:rPr>
              <w:t>ajo za 20 %.</w:t>
            </w:r>
          </w:p>
          <w:p w14:paraId="2613F525" w14:textId="77777777" w:rsidR="000C08CA" w:rsidRDefault="000C08CA" w:rsidP="00FE328D">
            <w:pPr>
              <w:pStyle w:val="Default"/>
              <w:spacing w:line="276" w:lineRule="auto"/>
              <w:jc w:val="both"/>
              <w:rPr>
                <w:sz w:val="20"/>
                <w:szCs w:val="20"/>
              </w:rPr>
            </w:pPr>
          </w:p>
          <w:p w14:paraId="66B0508D" w14:textId="77777777" w:rsidR="000C08CA" w:rsidRDefault="000C08CA" w:rsidP="00FE328D">
            <w:pPr>
              <w:pStyle w:val="Default"/>
              <w:spacing w:line="276" w:lineRule="auto"/>
              <w:jc w:val="both"/>
              <w:rPr>
                <w:sz w:val="20"/>
                <w:szCs w:val="20"/>
              </w:rPr>
            </w:pPr>
            <w:r w:rsidRPr="004551EA">
              <w:rPr>
                <w:sz w:val="20"/>
                <w:szCs w:val="20"/>
              </w:rPr>
              <w:t>Razvrstitev družb je pomembna zaradi zahtev za sestavljanje in javno</w:t>
            </w:r>
            <w:r>
              <w:rPr>
                <w:sz w:val="20"/>
                <w:szCs w:val="20"/>
              </w:rPr>
              <w:t xml:space="preserve"> </w:t>
            </w:r>
            <w:r w:rsidRPr="004551EA">
              <w:rPr>
                <w:sz w:val="20"/>
                <w:szCs w:val="20"/>
              </w:rPr>
              <w:t>objavljanje letnih računovodskih izkazov, globine razčlenjevanja postavk, obsežnosti</w:t>
            </w:r>
            <w:r>
              <w:rPr>
                <w:sz w:val="20"/>
                <w:szCs w:val="20"/>
              </w:rPr>
              <w:t xml:space="preserve"> </w:t>
            </w:r>
            <w:r w:rsidRPr="004551EA">
              <w:rPr>
                <w:sz w:val="20"/>
                <w:szCs w:val="20"/>
              </w:rPr>
              <w:t>prilog s pojasnili ter zakonsko predpisane obveznosti revidiranja, ki je predpisana za</w:t>
            </w:r>
            <w:r>
              <w:rPr>
                <w:sz w:val="20"/>
                <w:szCs w:val="20"/>
              </w:rPr>
              <w:t xml:space="preserve"> </w:t>
            </w:r>
            <w:r w:rsidRPr="004551EA">
              <w:rPr>
                <w:sz w:val="20"/>
                <w:szCs w:val="20"/>
              </w:rPr>
              <w:t xml:space="preserve">velike in srednje kapitalske družbe, dvojne družbe, majhne kapitalske družbe, </w:t>
            </w:r>
            <w:r>
              <w:rPr>
                <w:sz w:val="20"/>
                <w:szCs w:val="20"/>
              </w:rPr>
              <w:t>ki kotirajo</w:t>
            </w:r>
            <w:r w:rsidRPr="004551EA">
              <w:rPr>
                <w:sz w:val="20"/>
                <w:szCs w:val="20"/>
              </w:rPr>
              <w:t xml:space="preserve"> na borz</w:t>
            </w:r>
            <w:r>
              <w:rPr>
                <w:sz w:val="20"/>
                <w:szCs w:val="20"/>
              </w:rPr>
              <w:t>i,</w:t>
            </w:r>
            <w:r w:rsidRPr="004551EA">
              <w:rPr>
                <w:sz w:val="20"/>
                <w:szCs w:val="20"/>
              </w:rPr>
              <w:t xml:space="preserve"> in konsolidirane računovodske izkaze.</w:t>
            </w:r>
            <w:r>
              <w:rPr>
                <w:rStyle w:val="FootnoteReference"/>
                <w:sz w:val="20"/>
                <w:szCs w:val="20"/>
              </w:rPr>
              <w:footnoteReference w:id="29"/>
            </w:r>
          </w:p>
          <w:p w14:paraId="150F0F56" w14:textId="77777777" w:rsidR="000C08CA" w:rsidRDefault="000C08CA" w:rsidP="00FE328D">
            <w:pPr>
              <w:pStyle w:val="Default"/>
              <w:spacing w:line="276" w:lineRule="auto"/>
              <w:jc w:val="both"/>
              <w:rPr>
                <w:sz w:val="20"/>
                <w:szCs w:val="20"/>
              </w:rPr>
            </w:pPr>
          </w:p>
          <w:p w14:paraId="7DCC0F1C" w14:textId="77777777" w:rsidR="000C08CA" w:rsidRPr="004421BA" w:rsidRDefault="000C08CA" w:rsidP="00FE328D">
            <w:pPr>
              <w:pStyle w:val="Default"/>
              <w:spacing w:line="276" w:lineRule="auto"/>
              <w:jc w:val="both"/>
              <w:rPr>
                <w:sz w:val="20"/>
                <w:szCs w:val="20"/>
              </w:rPr>
            </w:pPr>
            <w:r w:rsidRPr="00B53451">
              <w:rPr>
                <w:sz w:val="20"/>
                <w:szCs w:val="20"/>
              </w:rPr>
              <w:t>Novi velikostni</w:t>
            </w:r>
            <w:r>
              <w:rPr>
                <w:sz w:val="20"/>
                <w:szCs w:val="20"/>
              </w:rPr>
              <w:t xml:space="preserve"> </w:t>
            </w:r>
            <w:r w:rsidRPr="00B53451">
              <w:rPr>
                <w:sz w:val="20"/>
                <w:szCs w:val="20"/>
              </w:rPr>
              <w:t xml:space="preserve">razredi so prikazani v </w:t>
            </w:r>
            <w:r>
              <w:rPr>
                <w:sz w:val="20"/>
                <w:szCs w:val="20"/>
              </w:rPr>
              <w:t xml:space="preserve">spodnji </w:t>
            </w:r>
            <w:r w:rsidRPr="00B53451">
              <w:rPr>
                <w:sz w:val="20"/>
                <w:szCs w:val="20"/>
              </w:rPr>
              <w:t>tabeli, zaradi večje jasnosti so v tabeli prikazani</w:t>
            </w:r>
            <w:r>
              <w:rPr>
                <w:sz w:val="20"/>
                <w:szCs w:val="20"/>
              </w:rPr>
              <w:t xml:space="preserve"> tudi </w:t>
            </w:r>
            <w:r w:rsidRPr="00B53451">
              <w:rPr>
                <w:sz w:val="20"/>
                <w:szCs w:val="20"/>
              </w:rPr>
              <w:t>velikostni razredi, ki so veljali pred sprejetjem nov</w:t>
            </w:r>
            <w:r>
              <w:rPr>
                <w:sz w:val="20"/>
                <w:szCs w:val="20"/>
              </w:rPr>
              <w:t>e</w:t>
            </w:r>
            <w:r w:rsidRPr="00B53451">
              <w:rPr>
                <w:sz w:val="20"/>
                <w:szCs w:val="20"/>
              </w:rPr>
              <w:t xml:space="preserve"> zakonodaje.</w:t>
            </w:r>
          </w:p>
          <w:p w14:paraId="186CA035" w14:textId="77777777" w:rsidR="000C08CA" w:rsidRPr="00DD164E" w:rsidRDefault="000C08CA" w:rsidP="00FE328D">
            <w:pPr>
              <w:pStyle w:val="Default"/>
              <w:spacing w:line="276" w:lineRule="auto"/>
              <w:jc w:val="both"/>
              <w:rPr>
                <w:sz w:val="20"/>
                <w:szCs w:val="20"/>
                <w:shd w:val="clear" w:color="auto" w:fill="FFFFFF"/>
              </w:rPr>
            </w:pPr>
          </w:p>
          <w:p w14:paraId="1A4ACE9F" w14:textId="77777777" w:rsidR="000C08CA" w:rsidRDefault="000C08CA" w:rsidP="00FE328D">
            <w:pPr>
              <w:pStyle w:val="Default"/>
              <w:spacing w:line="276" w:lineRule="auto"/>
              <w:jc w:val="both"/>
              <w:rPr>
                <w:sz w:val="20"/>
                <w:szCs w:val="20"/>
                <w:shd w:val="clear" w:color="auto" w:fill="FFFFFF"/>
              </w:rPr>
            </w:pPr>
            <w:r>
              <w:rPr>
                <w:sz w:val="20"/>
                <w:szCs w:val="20"/>
                <w:shd w:val="clear" w:color="auto" w:fill="FFFFFF"/>
              </w:rPr>
              <w:t xml:space="preserve">Tabela: </w:t>
            </w:r>
            <w:r w:rsidRPr="00DD164E">
              <w:rPr>
                <w:sz w:val="20"/>
                <w:szCs w:val="20"/>
                <w:shd w:val="clear" w:color="auto" w:fill="FFFFFF"/>
              </w:rPr>
              <w:t xml:space="preserve">Trenutna finančna merila za razvrščanje velikosti družb </w:t>
            </w:r>
            <w:r>
              <w:rPr>
                <w:sz w:val="20"/>
                <w:szCs w:val="20"/>
                <w:shd w:val="clear" w:color="auto" w:fill="FFFFFF"/>
              </w:rPr>
              <w:t>na</w:t>
            </w:r>
            <w:r w:rsidRPr="00DD164E">
              <w:rPr>
                <w:sz w:val="20"/>
                <w:szCs w:val="20"/>
                <w:shd w:val="clear" w:color="auto" w:fill="FFFFFF"/>
              </w:rPr>
              <w:t xml:space="preserve"> podlagi Direktive 2013/34/EU in predlogi njihovih prilagoditev</w:t>
            </w:r>
          </w:p>
          <w:p w14:paraId="42E57A89" w14:textId="77777777" w:rsidR="000C08CA" w:rsidRPr="00DD164E" w:rsidRDefault="000C08CA" w:rsidP="00FE328D">
            <w:pPr>
              <w:pStyle w:val="Default"/>
              <w:spacing w:line="276" w:lineRule="auto"/>
              <w:jc w:val="both"/>
              <w:rPr>
                <w:sz w:val="20"/>
                <w:szCs w:val="20"/>
                <w:shd w:val="clear" w:color="auto" w:fill="FFFFFF"/>
              </w:rPr>
            </w:pPr>
          </w:p>
          <w:tbl>
            <w:tblPr>
              <w:tblStyle w:val="TableGrid"/>
              <w:tblW w:w="8784" w:type="dxa"/>
              <w:tblLook w:val="04A0" w:firstRow="1" w:lastRow="0" w:firstColumn="1" w:lastColumn="0" w:noHBand="0" w:noVBand="1"/>
            </w:tblPr>
            <w:tblGrid>
              <w:gridCol w:w="2122"/>
              <w:gridCol w:w="1559"/>
              <w:gridCol w:w="2268"/>
              <w:gridCol w:w="2835"/>
            </w:tblGrid>
            <w:tr w:rsidR="000C08CA" w:rsidRPr="00DD164E" w14:paraId="2CD242E6" w14:textId="77777777" w:rsidTr="00FE328D">
              <w:trPr>
                <w:trHeight w:val="572"/>
              </w:trPr>
              <w:tc>
                <w:tcPr>
                  <w:tcW w:w="2122" w:type="dxa"/>
                </w:tcPr>
                <w:p w14:paraId="789AAC43"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VELIKOST DRUŽBE</w:t>
                  </w:r>
                </w:p>
              </w:tc>
              <w:tc>
                <w:tcPr>
                  <w:tcW w:w="1559" w:type="dxa"/>
                </w:tcPr>
                <w:p w14:paraId="60CF8604" w14:textId="77777777" w:rsidR="000C08CA" w:rsidRPr="00DD164E" w:rsidRDefault="000C08CA" w:rsidP="00FE328D">
                  <w:pPr>
                    <w:pStyle w:val="Default"/>
                    <w:spacing w:line="276" w:lineRule="auto"/>
                    <w:jc w:val="both"/>
                    <w:rPr>
                      <w:sz w:val="20"/>
                      <w:szCs w:val="20"/>
                      <w:shd w:val="clear" w:color="auto" w:fill="FFFFFF"/>
                    </w:rPr>
                  </w:pPr>
                </w:p>
              </w:tc>
              <w:tc>
                <w:tcPr>
                  <w:tcW w:w="2268" w:type="dxa"/>
                </w:tcPr>
                <w:p w14:paraId="14553514"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Vrednost aktive</w:t>
                  </w:r>
                </w:p>
              </w:tc>
              <w:tc>
                <w:tcPr>
                  <w:tcW w:w="2835" w:type="dxa"/>
                </w:tcPr>
                <w:p w14:paraId="23E1E9C7"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Čisti prihodk</w:t>
                  </w:r>
                  <w:r>
                    <w:rPr>
                      <w:b/>
                      <w:bCs/>
                      <w:sz w:val="20"/>
                      <w:szCs w:val="20"/>
                      <w:shd w:val="clear" w:color="auto" w:fill="FFFFFF"/>
                    </w:rPr>
                    <w:t>i</w:t>
                  </w:r>
                  <w:r w:rsidRPr="00DD164E">
                    <w:rPr>
                      <w:b/>
                      <w:bCs/>
                      <w:sz w:val="20"/>
                      <w:szCs w:val="20"/>
                      <w:shd w:val="clear" w:color="auto" w:fill="FFFFFF"/>
                    </w:rPr>
                    <w:t xml:space="preserve"> od prodaje</w:t>
                  </w:r>
                </w:p>
              </w:tc>
            </w:tr>
            <w:tr w:rsidR="000C08CA" w:rsidRPr="00DD164E" w14:paraId="5ADC6142" w14:textId="77777777" w:rsidTr="00FE328D">
              <w:trPr>
                <w:trHeight w:val="301"/>
              </w:trPr>
              <w:tc>
                <w:tcPr>
                  <w:tcW w:w="2122" w:type="dxa"/>
                </w:tcPr>
                <w:p w14:paraId="195D2F99"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MIKRO</w:t>
                  </w:r>
                </w:p>
              </w:tc>
              <w:tc>
                <w:tcPr>
                  <w:tcW w:w="1559" w:type="dxa"/>
                </w:tcPr>
                <w:p w14:paraId="26F7C358"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Trenutno</w:t>
                  </w:r>
                </w:p>
              </w:tc>
              <w:tc>
                <w:tcPr>
                  <w:tcW w:w="2268" w:type="dxa"/>
                </w:tcPr>
                <w:p w14:paraId="0A0DDABE"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350</w:t>
                  </w:r>
                  <w:r>
                    <w:rPr>
                      <w:sz w:val="20"/>
                      <w:szCs w:val="20"/>
                      <w:shd w:val="clear" w:color="auto" w:fill="FFFFFF"/>
                    </w:rPr>
                    <w:t>.</w:t>
                  </w:r>
                  <w:r w:rsidRPr="00DD164E">
                    <w:rPr>
                      <w:sz w:val="20"/>
                      <w:szCs w:val="20"/>
                      <w:shd w:val="clear" w:color="auto" w:fill="FFFFFF"/>
                    </w:rPr>
                    <w:t>000</w:t>
                  </w:r>
                </w:p>
              </w:tc>
              <w:tc>
                <w:tcPr>
                  <w:tcW w:w="2835" w:type="dxa"/>
                </w:tcPr>
                <w:p w14:paraId="508D6159"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700</w:t>
                  </w:r>
                  <w:r>
                    <w:rPr>
                      <w:sz w:val="20"/>
                      <w:szCs w:val="20"/>
                      <w:shd w:val="clear" w:color="auto" w:fill="FFFFFF"/>
                    </w:rPr>
                    <w:t>.</w:t>
                  </w:r>
                  <w:r w:rsidRPr="00DD164E">
                    <w:rPr>
                      <w:sz w:val="20"/>
                      <w:szCs w:val="20"/>
                      <w:shd w:val="clear" w:color="auto" w:fill="FFFFFF"/>
                    </w:rPr>
                    <w:t>000</w:t>
                  </w:r>
                </w:p>
              </w:tc>
            </w:tr>
            <w:tr w:rsidR="000C08CA" w:rsidRPr="00DD164E" w14:paraId="43FDC89D" w14:textId="77777777" w:rsidTr="00FE328D">
              <w:trPr>
                <w:trHeight w:val="290"/>
              </w:trPr>
              <w:tc>
                <w:tcPr>
                  <w:tcW w:w="2122" w:type="dxa"/>
                </w:tcPr>
                <w:p w14:paraId="538BF738"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3B97FBCE"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Prilagojeno</w:t>
                  </w:r>
                </w:p>
              </w:tc>
              <w:tc>
                <w:tcPr>
                  <w:tcW w:w="2268" w:type="dxa"/>
                </w:tcPr>
                <w:p w14:paraId="50A3ED38"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450</w:t>
                  </w:r>
                  <w:r>
                    <w:rPr>
                      <w:sz w:val="20"/>
                      <w:szCs w:val="20"/>
                      <w:shd w:val="clear" w:color="auto" w:fill="FFFFFF"/>
                    </w:rPr>
                    <w:t>.</w:t>
                  </w:r>
                  <w:r w:rsidRPr="00DD164E">
                    <w:rPr>
                      <w:sz w:val="20"/>
                      <w:szCs w:val="20"/>
                      <w:shd w:val="clear" w:color="auto" w:fill="FFFFFF"/>
                    </w:rPr>
                    <w:t>000</w:t>
                  </w:r>
                </w:p>
              </w:tc>
              <w:tc>
                <w:tcPr>
                  <w:tcW w:w="2835" w:type="dxa"/>
                </w:tcPr>
                <w:p w14:paraId="3BD05FF3"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900</w:t>
                  </w:r>
                  <w:r>
                    <w:rPr>
                      <w:sz w:val="20"/>
                      <w:szCs w:val="20"/>
                      <w:shd w:val="clear" w:color="auto" w:fill="FFFFFF"/>
                    </w:rPr>
                    <w:t>.</w:t>
                  </w:r>
                  <w:r w:rsidRPr="00DD164E">
                    <w:rPr>
                      <w:sz w:val="20"/>
                      <w:szCs w:val="20"/>
                      <w:shd w:val="clear" w:color="auto" w:fill="FFFFFF"/>
                    </w:rPr>
                    <w:t>000</w:t>
                  </w:r>
                </w:p>
              </w:tc>
            </w:tr>
            <w:tr w:rsidR="000C08CA" w:rsidRPr="00DD164E" w14:paraId="382EF7CC" w14:textId="77777777" w:rsidTr="00FE328D">
              <w:trPr>
                <w:trHeight w:val="301"/>
              </w:trPr>
              <w:tc>
                <w:tcPr>
                  <w:tcW w:w="2122" w:type="dxa"/>
                </w:tcPr>
                <w:p w14:paraId="7A0618FB"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56F94F3E"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Povečanje</w:t>
                  </w:r>
                </w:p>
              </w:tc>
              <w:tc>
                <w:tcPr>
                  <w:tcW w:w="2268" w:type="dxa"/>
                </w:tcPr>
                <w:p w14:paraId="3561D351"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28,6</w:t>
                  </w:r>
                  <w:r>
                    <w:rPr>
                      <w:sz w:val="20"/>
                      <w:szCs w:val="20"/>
                      <w:shd w:val="clear" w:color="auto" w:fill="FFFFFF"/>
                    </w:rPr>
                    <w:t xml:space="preserve"> </w:t>
                  </w:r>
                  <w:r w:rsidRPr="00DD164E">
                    <w:rPr>
                      <w:sz w:val="20"/>
                      <w:szCs w:val="20"/>
                      <w:shd w:val="clear" w:color="auto" w:fill="FFFFFF"/>
                    </w:rPr>
                    <w:t>%</w:t>
                  </w:r>
                </w:p>
              </w:tc>
              <w:tc>
                <w:tcPr>
                  <w:tcW w:w="2835" w:type="dxa"/>
                </w:tcPr>
                <w:p w14:paraId="04F4A372"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28,6</w:t>
                  </w:r>
                  <w:r>
                    <w:rPr>
                      <w:sz w:val="20"/>
                      <w:szCs w:val="20"/>
                      <w:shd w:val="clear" w:color="auto" w:fill="FFFFFF"/>
                    </w:rPr>
                    <w:t xml:space="preserve"> </w:t>
                  </w:r>
                  <w:r w:rsidRPr="00DD164E">
                    <w:rPr>
                      <w:sz w:val="20"/>
                      <w:szCs w:val="20"/>
                      <w:shd w:val="clear" w:color="auto" w:fill="FFFFFF"/>
                    </w:rPr>
                    <w:t>%</w:t>
                  </w:r>
                </w:p>
              </w:tc>
            </w:tr>
            <w:tr w:rsidR="000C08CA" w:rsidRPr="00DD164E" w14:paraId="18E75AF4" w14:textId="77777777" w:rsidTr="00FE328D">
              <w:trPr>
                <w:trHeight w:val="301"/>
              </w:trPr>
              <w:tc>
                <w:tcPr>
                  <w:tcW w:w="2122" w:type="dxa"/>
                </w:tcPr>
                <w:p w14:paraId="7CE52D77"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7F0E1EB2" w14:textId="77777777" w:rsidR="000C08CA" w:rsidRPr="00DD164E" w:rsidRDefault="000C08CA" w:rsidP="00FE328D">
                  <w:pPr>
                    <w:pStyle w:val="Default"/>
                    <w:spacing w:line="276" w:lineRule="auto"/>
                    <w:jc w:val="center"/>
                    <w:rPr>
                      <w:sz w:val="20"/>
                      <w:szCs w:val="20"/>
                      <w:shd w:val="clear" w:color="auto" w:fill="FFFFFF"/>
                    </w:rPr>
                  </w:pPr>
                </w:p>
              </w:tc>
              <w:tc>
                <w:tcPr>
                  <w:tcW w:w="2268" w:type="dxa"/>
                </w:tcPr>
                <w:p w14:paraId="5BBC853A" w14:textId="77777777" w:rsidR="000C08CA" w:rsidRPr="00DD164E" w:rsidRDefault="000C08CA" w:rsidP="00FE328D">
                  <w:pPr>
                    <w:pStyle w:val="Default"/>
                    <w:spacing w:line="276" w:lineRule="auto"/>
                    <w:jc w:val="center"/>
                    <w:rPr>
                      <w:sz w:val="20"/>
                      <w:szCs w:val="20"/>
                      <w:shd w:val="clear" w:color="auto" w:fill="FFFFFF"/>
                    </w:rPr>
                  </w:pPr>
                </w:p>
              </w:tc>
              <w:tc>
                <w:tcPr>
                  <w:tcW w:w="2835" w:type="dxa"/>
                </w:tcPr>
                <w:p w14:paraId="6A4FF7EE" w14:textId="77777777" w:rsidR="000C08CA" w:rsidRPr="00DD164E" w:rsidRDefault="000C08CA" w:rsidP="00FE328D">
                  <w:pPr>
                    <w:pStyle w:val="Default"/>
                    <w:spacing w:line="276" w:lineRule="auto"/>
                    <w:jc w:val="center"/>
                    <w:rPr>
                      <w:sz w:val="20"/>
                      <w:szCs w:val="20"/>
                      <w:shd w:val="clear" w:color="auto" w:fill="FFFFFF"/>
                    </w:rPr>
                  </w:pPr>
                </w:p>
              </w:tc>
            </w:tr>
            <w:tr w:rsidR="000C08CA" w:rsidRPr="00DD164E" w14:paraId="09375F8D" w14:textId="77777777" w:rsidTr="00FE328D">
              <w:trPr>
                <w:trHeight w:val="591"/>
              </w:trPr>
              <w:tc>
                <w:tcPr>
                  <w:tcW w:w="2122" w:type="dxa"/>
                </w:tcPr>
                <w:p w14:paraId="7E98EEEB"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MA</w:t>
                  </w:r>
                  <w:r>
                    <w:rPr>
                      <w:b/>
                      <w:bCs/>
                      <w:sz w:val="20"/>
                      <w:szCs w:val="20"/>
                      <w:shd w:val="clear" w:color="auto" w:fill="FFFFFF"/>
                    </w:rPr>
                    <w:t>JHN</w:t>
                  </w:r>
                  <w:r w:rsidRPr="00DD164E">
                    <w:rPr>
                      <w:b/>
                      <w:bCs/>
                      <w:sz w:val="20"/>
                      <w:szCs w:val="20"/>
                      <w:shd w:val="clear" w:color="auto" w:fill="FFFFFF"/>
                    </w:rPr>
                    <w:t>A (spodnja omejitev)</w:t>
                  </w:r>
                </w:p>
              </w:tc>
              <w:tc>
                <w:tcPr>
                  <w:tcW w:w="1559" w:type="dxa"/>
                </w:tcPr>
                <w:p w14:paraId="4C12BAFC"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Trenutno</w:t>
                  </w:r>
                </w:p>
              </w:tc>
              <w:tc>
                <w:tcPr>
                  <w:tcW w:w="2268" w:type="dxa"/>
                </w:tcPr>
                <w:p w14:paraId="059C3B14"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4</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c>
                <w:tcPr>
                  <w:tcW w:w="2835" w:type="dxa"/>
                </w:tcPr>
                <w:p w14:paraId="55932676"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8</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4C72BD46" w14:textId="77777777" w:rsidTr="00FE328D">
              <w:trPr>
                <w:trHeight w:val="290"/>
              </w:trPr>
              <w:tc>
                <w:tcPr>
                  <w:tcW w:w="2122" w:type="dxa"/>
                </w:tcPr>
                <w:p w14:paraId="2C59602B"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7BCB1115"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Prilagojeno</w:t>
                  </w:r>
                </w:p>
              </w:tc>
              <w:tc>
                <w:tcPr>
                  <w:tcW w:w="2268" w:type="dxa"/>
                </w:tcPr>
                <w:p w14:paraId="385B4D10"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5</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c>
                <w:tcPr>
                  <w:tcW w:w="2835" w:type="dxa"/>
                </w:tcPr>
                <w:p w14:paraId="21A83129"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10</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11F0311D" w14:textId="77777777" w:rsidTr="00FE328D">
              <w:trPr>
                <w:trHeight w:val="290"/>
              </w:trPr>
              <w:tc>
                <w:tcPr>
                  <w:tcW w:w="2122" w:type="dxa"/>
                </w:tcPr>
                <w:p w14:paraId="68D3F5ED"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268E7A96"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Povečanje</w:t>
                  </w:r>
                </w:p>
              </w:tc>
              <w:tc>
                <w:tcPr>
                  <w:tcW w:w="2268" w:type="dxa"/>
                </w:tcPr>
                <w:p w14:paraId="43019F23"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c>
                <w:tcPr>
                  <w:tcW w:w="2835" w:type="dxa"/>
                </w:tcPr>
                <w:p w14:paraId="3042E8F8"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r>
            <w:tr w:rsidR="000C08CA" w:rsidRPr="00DD164E" w14:paraId="7D0BF480" w14:textId="77777777" w:rsidTr="00FE328D">
              <w:trPr>
                <w:trHeight w:val="290"/>
              </w:trPr>
              <w:tc>
                <w:tcPr>
                  <w:tcW w:w="2122" w:type="dxa"/>
                </w:tcPr>
                <w:p w14:paraId="4698CFCB"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6F6889AB" w14:textId="77777777" w:rsidR="000C08CA" w:rsidRPr="00DD164E" w:rsidRDefault="000C08CA" w:rsidP="00FE328D">
                  <w:pPr>
                    <w:pStyle w:val="Default"/>
                    <w:spacing w:line="276" w:lineRule="auto"/>
                    <w:jc w:val="center"/>
                    <w:rPr>
                      <w:sz w:val="20"/>
                      <w:szCs w:val="20"/>
                      <w:shd w:val="clear" w:color="auto" w:fill="FFFFFF"/>
                    </w:rPr>
                  </w:pPr>
                </w:p>
              </w:tc>
              <w:tc>
                <w:tcPr>
                  <w:tcW w:w="2268" w:type="dxa"/>
                </w:tcPr>
                <w:p w14:paraId="187646AE" w14:textId="77777777" w:rsidR="000C08CA" w:rsidRPr="00DD164E" w:rsidRDefault="000C08CA" w:rsidP="00FE328D">
                  <w:pPr>
                    <w:pStyle w:val="Default"/>
                    <w:spacing w:line="276" w:lineRule="auto"/>
                    <w:jc w:val="center"/>
                    <w:rPr>
                      <w:sz w:val="20"/>
                      <w:szCs w:val="20"/>
                      <w:shd w:val="clear" w:color="auto" w:fill="FFFFFF"/>
                    </w:rPr>
                  </w:pPr>
                </w:p>
              </w:tc>
              <w:tc>
                <w:tcPr>
                  <w:tcW w:w="2835" w:type="dxa"/>
                </w:tcPr>
                <w:p w14:paraId="0C8247DF" w14:textId="77777777" w:rsidR="000C08CA" w:rsidRPr="00DD164E" w:rsidRDefault="000C08CA" w:rsidP="00FE328D">
                  <w:pPr>
                    <w:pStyle w:val="Default"/>
                    <w:spacing w:line="276" w:lineRule="auto"/>
                    <w:jc w:val="center"/>
                    <w:rPr>
                      <w:sz w:val="20"/>
                      <w:szCs w:val="20"/>
                      <w:shd w:val="clear" w:color="auto" w:fill="FFFFFF"/>
                    </w:rPr>
                  </w:pPr>
                </w:p>
              </w:tc>
            </w:tr>
            <w:tr w:rsidR="000C08CA" w:rsidRPr="00DD164E" w14:paraId="66D5A52D" w14:textId="77777777" w:rsidTr="00FE328D">
              <w:trPr>
                <w:trHeight w:val="591"/>
              </w:trPr>
              <w:tc>
                <w:tcPr>
                  <w:tcW w:w="2122" w:type="dxa"/>
                </w:tcPr>
                <w:p w14:paraId="4EAFBF12"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MA</w:t>
                  </w:r>
                  <w:r>
                    <w:rPr>
                      <w:b/>
                      <w:bCs/>
                      <w:sz w:val="20"/>
                      <w:szCs w:val="20"/>
                      <w:shd w:val="clear" w:color="auto" w:fill="FFFFFF"/>
                    </w:rPr>
                    <w:t>JHN</w:t>
                  </w:r>
                  <w:r w:rsidRPr="00DD164E">
                    <w:rPr>
                      <w:b/>
                      <w:bCs/>
                      <w:sz w:val="20"/>
                      <w:szCs w:val="20"/>
                      <w:shd w:val="clear" w:color="auto" w:fill="FFFFFF"/>
                    </w:rPr>
                    <w:t>A (zgornja omejitev)</w:t>
                  </w:r>
                </w:p>
              </w:tc>
              <w:tc>
                <w:tcPr>
                  <w:tcW w:w="1559" w:type="dxa"/>
                </w:tcPr>
                <w:p w14:paraId="4741F705"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Trenutno</w:t>
                  </w:r>
                </w:p>
              </w:tc>
              <w:tc>
                <w:tcPr>
                  <w:tcW w:w="2268" w:type="dxa"/>
                </w:tcPr>
                <w:p w14:paraId="48AE60B8"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6</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c>
                <w:tcPr>
                  <w:tcW w:w="2835" w:type="dxa"/>
                </w:tcPr>
                <w:p w14:paraId="64C14DE1"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12</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0D3B97AE" w14:textId="77777777" w:rsidTr="00FE328D">
              <w:trPr>
                <w:trHeight w:val="301"/>
              </w:trPr>
              <w:tc>
                <w:tcPr>
                  <w:tcW w:w="2122" w:type="dxa"/>
                </w:tcPr>
                <w:p w14:paraId="2D2E9387"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6EDE7643"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Prilagojeno</w:t>
                  </w:r>
                </w:p>
              </w:tc>
              <w:tc>
                <w:tcPr>
                  <w:tcW w:w="2268" w:type="dxa"/>
                </w:tcPr>
                <w:p w14:paraId="676BC879"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7</w:t>
                  </w:r>
                  <w:r>
                    <w:rPr>
                      <w:sz w:val="20"/>
                      <w:szCs w:val="20"/>
                      <w:shd w:val="clear" w:color="auto" w:fill="FFFFFF"/>
                    </w:rPr>
                    <w:t>,</w:t>
                  </w:r>
                  <w:r w:rsidRPr="00DD164E">
                    <w:rPr>
                      <w:sz w:val="20"/>
                      <w:szCs w:val="20"/>
                      <w:shd w:val="clear" w:color="auto" w:fill="FFFFFF"/>
                    </w:rPr>
                    <w:t>500</w:t>
                  </w:r>
                  <w:r>
                    <w:rPr>
                      <w:sz w:val="20"/>
                      <w:szCs w:val="20"/>
                      <w:shd w:val="clear" w:color="auto" w:fill="FFFFFF"/>
                    </w:rPr>
                    <w:t>.</w:t>
                  </w:r>
                  <w:r w:rsidRPr="00DD164E">
                    <w:rPr>
                      <w:sz w:val="20"/>
                      <w:szCs w:val="20"/>
                      <w:shd w:val="clear" w:color="auto" w:fill="FFFFFF"/>
                    </w:rPr>
                    <w:t>000</w:t>
                  </w:r>
                </w:p>
              </w:tc>
              <w:tc>
                <w:tcPr>
                  <w:tcW w:w="2835" w:type="dxa"/>
                </w:tcPr>
                <w:p w14:paraId="2CF6A599"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15</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27ECCAE0" w14:textId="77777777" w:rsidTr="00FE328D">
              <w:trPr>
                <w:trHeight w:val="290"/>
              </w:trPr>
              <w:tc>
                <w:tcPr>
                  <w:tcW w:w="2122" w:type="dxa"/>
                </w:tcPr>
                <w:p w14:paraId="4236B16C"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47415373"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Povečanje</w:t>
                  </w:r>
                </w:p>
              </w:tc>
              <w:tc>
                <w:tcPr>
                  <w:tcW w:w="2268" w:type="dxa"/>
                </w:tcPr>
                <w:p w14:paraId="302B4D1A"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c>
                <w:tcPr>
                  <w:tcW w:w="2835" w:type="dxa"/>
                </w:tcPr>
                <w:p w14:paraId="0839AE9F"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r>
            <w:tr w:rsidR="000C08CA" w:rsidRPr="00DD164E" w14:paraId="43A98373" w14:textId="77777777" w:rsidTr="00FE328D">
              <w:trPr>
                <w:trHeight w:val="290"/>
              </w:trPr>
              <w:tc>
                <w:tcPr>
                  <w:tcW w:w="2122" w:type="dxa"/>
                </w:tcPr>
                <w:p w14:paraId="422FC74B" w14:textId="77777777" w:rsidR="000C08CA" w:rsidRPr="00DD164E" w:rsidRDefault="000C08CA" w:rsidP="00FE328D">
                  <w:pPr>
                    <w:pStyle w:val="Default"/>
                    <w:spacing w:line="276" w:lineRule="auto"/>
                    <w:jc w:val="center"/>
                    <w:rPr>
                      <w:b/>
                      <w:bCs/>
                      <w:sz w:val="20"/>
                      <w:szCs w:val="20"/>
                      <w:shd w:val="clear" w:color="auto" w:fill="FFFFFF"/>
                    </w:rPr>
                  </w:pPr>
                </w:p>
              </w:tc>
              <w:tc>
                <w:tcPr>
                  <w:tcW w:w="1559" w:type="dxa"/>
                </w:tcPr>
                <w:p w14:paraId="3DFD72DF" w14:textId="77777777" w:rsidR="000C08CA" w:rsidRPr="00DD164E" w:rsidRDefault="000C08CA" w:rsidP="00FE328D">
                  <w:pPr>
                    <w:pStyle w:val="Default"/>
                    <w:spacing w:line="276" w:lineRule="auto"/>
                    <w:jc w:val="center"/>
                    <w:rPr>
                      <w:sz w:val="20"/>
                      <w:szCs w:val="20"/>
                      <w:shd w:val="clear" w:color="auto" w:fill="FFFFFF"/>
                    </w:rPr>
                  </w:pPr>
                </w:p>
              </w:tc>
              <w:tc>
                <w:tcPr>
                  <w:tcW w:w="2268" w:type="dxa"/>
                </w:tcPr>
                <w:p w14:paraId="3F2C9AB2" w14:textId="77777777" w:rsidR="000C08CA" w:rsidRPr="00DD164E" w:rsidRDefault="000C08CA" w:rsidP="00FE328D">
                  <w:pPr>
                    <w:pStyle w:val="Default"/>
                    <w:spacing w:line="276" w:lineRule="auto"/>
                    <w:jc w:val="center"/>
                    <w:rPr>
                      <w:sz w:val="20"/>
                      <w:szCs w:val="20"/>
                      <w:shd w:val="clear" w:color="auto" w:fill="FFFFFF"/>
                    </w:rPr>
                  </w:pPr>
                </w:p>
              </w:tc>
              <w:tc>
                <w:tcPr>
                  <w:tcW w:w="2835" w:type="dxa"/>
                </w:tcPr>
                <w:p w14:paraId="2D3775A8" w14:textId="77777777" w:rsidR="000C08CA" w:rsidRPr="00DD164E" w:rsidRDefault="000C08CA" w:rsidP="00FE328D">
                  <w:pPr>
                    <w:pStyle w:val="Default"/>
                    <w:spacing w:line="276" w:lineRule="auto"/>
                    <w:jc w:val="center"/>
                    <w:rPr>
                      <w:sz w:val="20"/>
                      <w:szCs w:val="20"/>
                      <w:shd w:val="clear" w:color="auto" w:fill="FFFFFF"/>
                    </w:rPr>
                  </w:pPr>
                </w:p>
              </w:tc>
            </w:tr>
            <w:tr w:rsidR="000C08CA" w:rsidRPr="00DD164E" w14:paraId="4A19F6D8" w14:textId="77777777" w:rsidTr="00FE328D">
              <w:trPr>
                <w:trHeight w:val="301"/>
              </w:trPr>
              <w:tc>
                <w:tcPr>
                  <w:tcW w:w="2122" w:type="dxa"/>
                </w:tcPr>
                <w:p w14:paraId="5924AF50" w14:textId="77777777" w:rsidR="000C08CA" w:rsidRPr="00DD164E" w:rsidRDefault="000C08CA" w:rsidP="00FE328D">
                  <w:pPr>
                    <w:pStyle w:val="Default"/>
                    <w:spacing w:line="276" w:lineRule="auto"/>
                    <w:jc w:val="center"/>
                    <w:rPr>
                      <w:b/>
                      <w:bCs/>
                      <w:sz w:val="20"/>
                      <w:szCs w:val="20"/>
                      <w:shd w:val="clear" w:color="auto" w:fill="FFFFFF"/>
                    </w:rPr>
                  </w:pPr>
                  <w:r w:rsidRPr="00DD164E">
                    <w:rPr>
                      <w:b/>
                      <w:bCs/>
                      <w:sz w:val="20"/>
                      <w:szCs w:val="20"/>
                      <w:shd w:val="clear" w:color="auto" w:fill="FFFFFF"/>
                    </w:rPr>
                    <w:t>SREDNJA/VELIKA</w:t>
                  </w:r>
                </w:p>
              </w:tc>
              <w:tc>
                <w:tcPr>
                  <w:tcW w:w="1559" w:type="dxa"/>
                </w:tcPr>
                <w:p w14:paraId="6F667669"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Trenutno</w:t>
                  </w:r>
                </w:p>
              </w:tc>
              <w:tc>
                <w:tcPr>
                  <w:tcW w:w="2268" w:type="dxa"/>
                </w:tcPr>
                <w:p w14:paraId="48D99EFE"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20</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c>
                <w:tcPr>
                  <w:tcW w:w="2835" w:type="dxa"/>
                </w:tcPr>
                <w:p w14:paraId="5FB5520F"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40</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10CBEF19" w14:textId="77777777" w:rsidTr="00FE328D">
              <w:trPr>
                <w:trHeight w:val="290"/>
              </w:trPr>
              <w:tc>
                <w:tcPr>
                  <w:tcW w:w="2122" w:type="dxa"/>
                </w:tcPr>
                <w:p w14:paraId="611F9DCD" w14:textId="77777777" w:rsidR="000C08CA" w:rsidRPr="00DD164E" w:rsidRDefault="000C08CA" w:rsidP="00FE328D">
                  <w:pPr>
                    <w:pStyle w:val="Default"/>
                    <w:spacing w:line="276" w:lineRule="auto"/>
                    <w:jc w:val="both"/>
                    <w:rPr>
                      <w:sz w:val="20"/>
                      <w:szCs w:val="20"/>
                      <w:shd w:val="clear" w:color="auto" w:fill="FFFFFF"/>
                    </w:rPr>
                  </w:pPr>
                </w:p>
              </w:tc>
              <w:tc>
                <w:tcPr>
                  <w:tcW w:w="1559" w:type="dxa"/>
                </w:tcPr>
                <w:p w14:paraId="14F59971"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Prilagojeno</w:t>
                  </w:r>
                </w:p>
              </w:tc>
              <w:tc>
                <w:tcPr>
                  <w:tcW w:w="2268" w:type="dxa"/>
                </w:tcPr>
                <w:p w14:paraId="2D0C40F8"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c>
                <w:tcPr>
                  <w:tcW w:w="2835" w:type="dxa"/>
                </w:tcPr>
                <w:p w14:paraId="4A25376B"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50</w:t>
                  </w:r>
                  <w:r>
                    <w:rPr>
                      <w:sz w:val="20"/>
                      <w:szCs w:val="20"/>
                      <w:shd w:val="clear" w:color="auto" w:fill="FFFFFF"/>
                    </w:rPr>
                    <w:t>,</w:t>
                  </w:r>
                  <w:r w:rsidRPr="00DD164E">
                    <w:rPr>
                      <w:sz w:val="20"/>
                      <w:szCs w:val="20"/>
                      <w:shd w:val="clear" w:color="auto" w:fill="FFFFFF"/>
                    </w:rPr>
                    <w:t>000</w:t>
                  </w:r>
                  <w:r>
                    <w:rPr>
                      <w:sz w:val="20"/>
                      <w:szCs w:val="20"/>
                      <w:shd w:val="clear" w:color="auto" w:fill="FFFFFF"/>
                    </w:rPr>
                    <w:t>.</w:t>
                  </w:r>
                  <w:r w:rsidRPr="00DD164E">
                    <w:rPr>
                      <w:sz w:val="20"/>
                      <w:szCs w:val="20"/>
                      <w:shd w:val="clear" w:color="auto" w:fill="FFFFFF"/>
                    </w:rPr>
                    <w:t>000</w:t>
                  </w:r>
                </w:p>
              </w:tc>
            </w:tr>
            <w:tr w:rsidR="000C08CA" w:rsidRPr="00DD164E" w14:paraId="1393CA8E" w14:textId="77777777" w:rsidTr="00FE328D">
              <w:trPr>
                <w:trHeight w:val="301"/>
              </w:trPr>
              <w:tc>
                <w:tcPr>
                  <w:tcW w:w="2122" w:type="dxa"/>
                </w:tcPr>
                <w:p w14:paraId="7AA042C8" w14:textId="77777777" w:rsidR="000C08CA" w:rsidRPr="00DD164E" w:rsidRDefault="000C08CA" w:rsidP="00FE328D">
                  <w:pPr>
                    <w:pStyle w:val="Default"/>
                    <w:spacing w:line="276" w:lineRule="auto"/>
                    <w:jc w:val="both"/>
                    <w:rPr>
                      <w:sz w:val="20"/>
                      <w:szCs w:val="20"/>
                      <w:shd w:val="clear" w:color="auto" w:fill="FFFFFF"/>
                    </w:rPr>
                  </w:pPr>
                </w:p>
              </w:tc>
              <w:tc>
                <w:tcPr>
                  <w:tcW w:w="1559" w:type="dxa"/>
                </w:tcPr>
                <w:p w14:paraId="712EF567"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Povečanje</w:t>
                  </w:r>
                </w:p>
              </w:tc>
              <w:tc>
                <w:tcPr>
                  <w:tcW w:w="2268" w:type="dxa"/>
                </w:tcPr>
                <w:p w14:paraId="31896F46"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c>
                <w:tcPr>
                  <w:tcW w:w="2835" w:type="dxa"/>
                </w:tcPr>
                <w:p w14:paraId="007E97D7" w14:textId="77777777" w:rsidR="000C08CA" w:rsidRPr="00DD164E" w:rsidRDefault="000C08CA" w:rsidP="00FE328D">
                  <w:pPr>
                    <w:pStyle w:val="Default"/>
                    <w:spacing w:line="276" w:lineRule="auto"/>
                    <w:jc w:val="center"/>
                    <w:rPr>
                      <w:sz w:val="20"/>
                      <w:szCs w:val="20"/>
                      <w:shd w:val="clear" w:color="auto" w:fill="FFFFFF"/>
                    </w:rPr>
                  </w:pPr>
                  <w:r w:rsidRPr="00DD164E">
                    <w:rPr>
                      <w:sz w:val="20"/>
                      <w:szCs w:val="20"/>
                      <w:shd w:val="clear" w:color="auto" w:fill="FFFFFF"/>
                    </w:rPr>
                    <w:t>25,0</w:t>
                  </w:r>
                  <w:r>
                    <w:rPr>
                      <w:sz w:val="20"/>
                      <w:szCs w:val="20"/>
                      <w:shd w:val="clear" w:color="auto" w:fill="FFFFFF"/>
                    </w:rPr>
                    <w:t xml:space="preserve"> </w:t>
                  </w:r>
                  <w:r w:rsidRPr="00DD164E">
                    <w:rPr>
                      <w:sz w:val="20"/>
                      <w:szCs w:val="20"/>
                      <w:shd w:val="clear" w:color="auto" w:fill="FFFFFF"/>
                    </w:rPr>
                    <w:t>%</w:t>
                  </w:r>
                </w:p>
              </w:tc>
            </w:tr>
            <w:tr w:rsidR="000C08CA" w:rsidRPr="00DD164E" w14:paraId="08B42A1E" w14:textId="77777777" w:rsidTr="00FE328D">
              <w:trPr>
                <w:trHeight w:val="290"/>
              </w:trPr>
              <w:tc>
                <w:tcPr>
                  <w:tcW w:w="2122" w:type="dxa"/>
                </w:tcPr>
                <w:p w14:paraId="27CE6CF3" w14:textId="77777777" w:rsidR="000C08CA" w:rsidRPr="00DD164E" w:rsidRDefault="000C08CA" w:rsidP="00FE328D">
                  <w:pPr>
                    <w:pStyle w:val="Default"/>
                    <w:spacing w:line="276" w:lineRule="auto"/>
                    <w:jc w:val="both"/>
                    <w:rPr>
                      <w:sz w:val="20"/>
                      <w:szCs w:val="20"/>
                      <w:shd w:val="clear" w:color="auto" w:fill="FFFFFF"/>
                    </w:rPr>
                  </w:pPr>
                </w:p>
              </w:tc>
              <w:tc>
                <w:tcPr>
                  <w:tcW w:w="1559" w:type="dxa"/>
                </w:tcPr>
                <w:p w14:paraId="35367092" w14:textId="77777777" w:rsidR="000C08CA" w:rsidRPr="00DD164E" w:rsidRDefault="000C08CA" w:rsidP="00FE328D">
                  <w:pPr>
                    <w:pStyle w:val="Default"/>
                    <w:spacing w:line="276" w:lineRule="auto"/>
                    <w:jc w:val="center"/>
                    <w:rPr>
                      <w:sz w:val="20"/>
                      <w:szCs w:val="20"/>
                      <w:shd w:val="clear" w:color="auto" w:fill="FFFFFF"/>
                    </w:rPr>
                  </w:pPr>
                </w:p>
              </w:tc>
              <w:tc>
                <w:tcPr>
                  <w:tcW w:w="2268" w:type="dxa"/>
                </w:tcPr>
                <w:p w14:paraId="04895B69" w14:textId="77777777" w:rsidR="000C08CA" w:rsidRPr="00DD164E" w:rsidRDefault="000C08CA" w:rsidP="00FE328D">
                  <w:pPr>
                    <w:pStyle w:val="Default"/>
                    <w:spacing w:line="276" w:lineRule="auto"/>
                    <w:jc w:val="center"/>
                    <w:rPr>
                      <w:sz w:val="20"/>
                      <w:szCs w:val="20"/>
                      <w:shd w:val="clear" w:color="auto" w:fill="FFFFFF"/>
                    </w:rPr>
                  </w:pPr>
                </w:p>
              </w:tc>
              <w:tc>
                <w:tcPr>
                  <w:tcW w:w="2835" w:type="dxa"/>
                </w:tcPr>
                <w:p w14:paraId="2484761E" w14:textId="77777777" w:rsidR="000C08CA" w:rsidRPr="00DD164E" w:rsidRDefault="000C08CA" w:rsidP="00FE328D">
                  <w:pPr>
                    <w:pStyle w:val="Default"/>
                    <w:spacing w:line="276" w:lineRule="auto"/>
                    <w:jc w:val="center"/>
                    <w:rPr>
                      <w:sz w:val="20"/>
                      <w:szCs w:val="20"/>
                      <w:shd w:val="clear" w:color="auto" w:fill="FFFFFF"/>
                    </w:rPr>
                  </w:pPr>
                </w:p>
              </w:tc>
            </w:tr>
          </w:tbl>
          <w:p w14:paraId="02C06821" w14:textId="77777777" w:rsidR="000C08CA" w:rsidRPr="00DD164E" w:rsidRDefault="000C08CA" w:rsidP="00FE328D">
            <w:pPr>
              <w:pStyle w:val="Default"/>
              <w:spacing w:line="276" w:lineRule="auto"/>
              <w:jc w:val="both"/>
              <w:rPr>
                <w:sz w:val="20"/>
                <w:szCs w:val="20"/>
                <w:shd w:val="clear" w:color="auto" w:fill="FFFFFF"/>
              </w:rPr>
            </w:pPr>
          </w:p>
          <w:p w14:paraId="2A675DB1" w14:textId="77777777" w:rsidR="000C08CA" w:rsidRPr="00DD164E" w:rsidRDefault="000C08CA" w:rsidP="00FE328D">
            <w:pPr>
              <w:pStyle w:val="Default"/>
              <w:spacing w:line="276" w:lineRule="auto"/>
              <w:jc w:val="both"/>
              <w:rPr>
                <w:i/>
                <w:iCs/>
                <w:sz w:val="18"/>
                <w:szCs w:val="18"/>
              </w:rPr>
            </w:pPr>
            <w:r w:rsidRPr="00DD164E">
              <w:rPr>
                <w:i/>
                <w:iCs/>
                <w:sz w:val="18"/>
                <w:szCs w:val="18"/>
                <w:shd w:val="clear" w:color="auto" w:fill="FFFFFF"/>
              </w:rPr>
              <w:t xml:space="preserve">Vir: </w:t>
            </w:r>
            <w:r>
              <w:rPr>
                <w:i/>
                <w:iCs/>
                <w:sz w:val="18"/>
                <w:szCs w:val="18"/>
              </w:rPr>
              <w:t>K</w:t>
            </w:r>
            <w:r w:rsidRPr="00DD164E">
              <w:rPr>
                <w:i/>
                <w:iCs/>
                <w:sz w:val="18"/>
                <w:szCs w:val="18"/>
              </w:rPr>
              <w:t>omisija (C(2023) 7020 final)</w:t>
            </w:r>
          </w:p>
          <w:p w14:paraId="5A822B20" w14:textId="77777777" w:rsidR="000C08CA" w:rsidRPr="00DD164E" w:rsidRDefault="000C08CA" w:rsidP="00FE328D">
            <w:pPr>
              <w:pStyle w:val="Default"/>
              <w:spacing w:line="276" w:lineRule="auto"/>
              <w:jc w:val="both"/>
              <w:rPr>
                <w:i/>
                <w:iCs/>
                <w:sz w:val="18"/>
                <w:szCs w:val="18"/>
              </w:rPr>
            </w:pPr>
          </w:p>
          <w:p w14:paraId="4EBD5F53" w14:textId="77777777" w:rsidR="000C08CA" w:rsidRPr="00DD164E" w:rsidRDefault="000C08CA" w:rsidP="00FE328D">
            <w:pPr>
              <w:pStyle w:val="Default"/>
              <w:spacing w:line="276" w:lineRule="auto"/>
              <w:jc w:val="both"/>
              <w:rPr>
                <w:sz w:val="22"/>
                <w:szCs w:val="22"/>
              </w:rPr>
            </w:pPr>
            <w:r w:rsidRPr="00DD164E">
              <w:rPr>
                <w:sz w:val="20"/>
                <w:szCs w:val="20"/>
              </w:rPr>
              <w:t xml:space="preserve">V 55. členu ZGD-1 so na podlagi Direktive </w:t>
            </w:r>
            <w:r w:rsidRPr="00DD164E">
              <w:rPr>
                <w:sz w:val="20"/>
                <w:szCs w:val="20"/>
                <w:shd w:val="clear" w:color="auto" w:fill="FFFFFF"/>
              </w:rPr>
              <w:t xml:space="preserve">2013/34/EU določena enaka merila za razvrstitev družb po velikosti, v primeru meril za majhno družbo pa je določena spodnja omejitev iz </w:t>
            </w:r>
            <w:r>
              <w:rPr>
                <w:sz w:val="20"/>
                <w:szCs w:val="20"/>
                <w:shd w:val="clear" w:color="auto" w:fill="FFFFFF"/>
              </w:rPr>
              <w:t>navedene d</w:t>
            </w:r>
            <w:r w:rsidRPr="00DD164E">
              <w:rPr>
                <w:sz w:val="20"/>
                <w:szCs w:val="20"/>
                <w:shd w:val="clear" w:color="auto" w:fill="FFFFFF"/>
              </w:rPr>
              <w:t>irektive.</w:t>
            </w:r>
          </w:p>
          <w:p w14:paraId="51FEDC80" w14:textId="77777777" w:rsidR="000C08CA" w:rsidRPr="00DD164E" w:rsidRDefault="000C08CA" w:rsidP="00FE328D">
            <w:pPr>
              <w:pStyle w:val="Default"/>
              <w:spacing w:line="276" w:lineRule="auto"/>
              <w:jc w:val="both"/>
              <w:rPr>
                <w:b/>
                <w:bCs/>
                <w:sz w:val="20"/>
                <w:szCs w:val="20"/>
              </w:rPr>
            </w:pPr>
          </w:p>
          <w:p w14:paraId="395E032D" w14:textId="77777777" w:rsidR="000C08CA" w:rsidRPr="00DD164E" w:rsidRDefault="000C08CA" w:rsidP="00FE328D">
            <w:pPr>
              <w:pStyle w:val="Default"/>
              <w:spacing w:line="276" w:lineRule="auto"/>
              <w:jc w:val="both"/>
              <w:rPr>
                <w:sz w:val="20"/>
                <w:szCs w:val="20"/>
              </w:rPr>
            </w:pPr>
            <w:r w:rsidRPr="00DD164E">
              <w:rPr>
                <w:sz w:val="20"/>
                <w:szCs w:val="20"/>
              </w:rPr>
              <w:t>Komisija je naredila analizo učinkov, osredotočen</w:t>
            </w:r>
            <w:r>
              <w:rPr>
                <w:sz w:val="20"/>
                <w:szCs w:val="20"/>
              </w:rPr>
              <w:t>o</w:t>
            </w:r>
            <w:r w:rsidRPr="00DD164E">
              <w:rPr>
                <w:sz w:val="20"/>
                <w:szCs w:val="20"/>
              </w:rPr>
              <w:t xml:space="preserve"> na obveznosti družb v 27 državah članicah EU. Po ugotovitvah Komisije bi v primeru zvišanja meril za razvrščanje družb za 25</w:t>
            </w:r>
            <w:r>
              <w:rPr>
                <w:sz w:val="20"/>
                <w:szCs w:val="20"/>
              </w:rPr>
              <w:t xml:space="preserve"> </w:t>
            </w:r>
            <w:r w:rsidRPr="00DD164E">
              <w:rPr>
                <w:sz w:val="20"/>
                <w:szCs w:val="20"/>
              </w:rPr>
              <w:t>% koristi imelo približno 6,0</w:t>
            </w:r>
            <w:r>
              <w:rPr>
                <w:sz w:val="20"/>
                <w:szCs w:val="20"/>
              </w:rPr>
              <w:t xml:space="preserve"> </w:t>
            </w:r>
            <w:r w:rsidRPr="00DD164E">
              <w:rPr>
                <w:sz w:val="20"/>
                <w:szCs w:val="20"/>
              </w:rPr>
              <w:t xml:space="preserve">% družb z omejeno odgovornostjo v državah članicah EU, </w:t>
            </w:r>
            <w:r>
              <w:rPr>
                <w:sz w:val="20"/>
                <w:szCs w:val="20"/>
              </w:rPr>
              <w:t>saj</w:t>
            </w:r>
            <w:r w:rsidRPr="00DD164E">
              <w:rPr>
                <w:sz w:val="20"/>
                <w:szCs w:val="20"/>
              </w:rPr>
              <w:t xml:space="preserve"> bi se za njih zmanjšale obveznosti glede poročanja in revizije. Zaradi nepopolnih podatkov se pričakuje, da bo dejansko število družb, ki bodo imele koristi od prilagoditve meril velikosti za razvrščanje družb, večje od navedenega </w:t>
            </w:r>
            <w:r>
              <w:rPr>
                <w:sz w:val="20"/>
                <w:szCs w:val="20"/>
              </w:rPr>
              <w:t>deleža</w:t>
            </w:r>
            <w:r w:rsidRPr="00DD164E">
              <w:rPr>
                <w:sz w:val="20"/>
                <w:szCs w:val="20"/>
              </w:rPr>
              <w:t>.</w:t>
            </w:r>
          </w:p>
          <w:p w14:paraId="66ACA5AB" w14:textId="77777777" w:rsidR="000C08CA" w:rsidRDefault="000C08CA" w:rsidP="00FE328D">
            <w:pPr>
              <w:pStyle w:val="Default"/>
              <w:spacing w:line="276" w:lineRule="auto"/>
              <w:jc w:val="both"/>
              <w:rPr>
                <w:sz w:val="20"/>
                <w:szCs w:val="20"/>
              </w:rPr>
            </w:pPr>
          </w:p>
          <w:p w14:paraId="085C868A" w14:textId="77777777" w:rsidR="000C08CA" w:rsidRPr="00DD164E" w:rsidRDefault="000C08CA" w:rsidP="00FE328D">
            <w:pPr>
              <w:rPr>
                <w:b/>
                <w:bCs/>
              </w:rPr>
            </w:pPr>
            <w:r>
              <w:rPr>
                <w:b/>
                <w:bCs/>
              </w:rPr>
              <w:t>Stanje v Sloveniji</w:t>
            </w:r>
          </w:p>
          <w:p w14:paraId="60A20172" w14:textId="77777777" w:rsidR="000C08CA" w:rsidRPr="00DD164E" w:rsidRDefault="000C08CA" w:rsidP="00FE328D"/>
          <w:p w14:paraId="421E5DC9" w14:textId="77777777" w:rsidR="000C08CA" w:rsidRDefault="000C08CA" w:rsidP="00FE328D">
            <w:pPr>
              <w:jc w:val="both"/>
            </w:pPr>
            <w:r>
              <w:t>Z</w:t>
            </w:r>
            <w:r w:rsidRPr="001156A2">
              <w:t>akon o gospodarskih družbah</w:t>
            </w:r>
            <w:r>
              <w:t xml:space="preserve"> (</w:t>
            </w:r>
            <w:r w:rsidRPr="0047229B">
              <w:t>Uradni list RS, št. 30/93</w:t>
            </w:r>
            <w:r>
              <w:t xml:space="preserve">; v nadaljnjem besedilu: ZGD) je v </w:t>
            </w:r>
            <w:r w:rsidRPr="0064025B">
              <w:t>51. člen</w:t>
            </w:r>
            <w:r>
              <w:t>u</w:t>
            </w:r>
            <w:r w:rsidRPr="0064025B">
              <w:t xml:space="preserve"> </w:t>
            </w:r>
            <w:r>
              <w:t xml:space="preserve">vseboval določbe za razvrščanje in prerazvrščanje družb na majhne, srednje in velike družbe. Predvidel je, da je velikost družbe tista navezna okoliščina, ki je bila pomembna za uporabo pravil poglavja o poslovnih knjigah in letnem poročilu. Posamezne določbe so namreč za majhne družbe, v nekaterih primerih pa tudi za srednje družbe dopuščala določene poenostavitve. </w:t>
            </w:r>
          </w:p>
          <w:p w14:paraId="2200CD06" w14:textId="77777777" w:rsidR="000C08CA" w:rsidRDefault="000C08CA" w:rsidP="00FE328D">
            <w:pPr>
              <w:jc w:val="both"/>
            </w:pPr>
          </w:p>
          <w:p w14:paraId="13C63354" w14:textId="77777777" w:rsidR="000C08CA" w:rsidRDefault="000C08CA" w:rsidP="00FE328D">
            <w:pPr>
              <w:jc w:val="both"/>
            </w:pPr>
            <w:r>
              <w:t xml:space="preserve">Spremenjeni </w:t>
            </w:r>
            <w:r w:rsidRPr="009D723A">
              <w:t>Zakon o gospodarskih družbah</w:t>
            </w:r>
            <w:r>
              <w:t xml:space="preserve">, tj. </w:t>
            </w:r>
            <w:r w:rsidRPr="009D723A">
              <w:t xml:space="preserve">ZGD-1 </w:t>
            </w:r>
            <w:r>
              <w:t>(</w:t>
            </w:r>
            <w:r w:rsidRPr="00841998">
              <w:t>Uradni list RS, št. 42/06</w:t>
            </w:r>
            <w:r>
              <w:t xml:space="preserve">), je v 55. členu v okvir razvrščanja družb po velikosti vnesel novost mikro družbe kot najmanjše izmed njih. S tem je mikro družba postala nova in v okviru razvrščanja najmanjša oblika družbe. </w:t>
            </w:r>
          </w:p>
          <w:p w14:paraId="35ABD051" w14:textId="77777777" w:rsidR="000C08CA" w:rsidRDefault="000C08CA" w:rsidP="00FE328D">
            <w:pPr>
              <w:jc w:val="both"/>
            </w:pPr>
          </w:p>
          <w:p w14:paraId="1B63931D" w14:textId="77777777" w:rsidR="000C08CA" w:rsidRPr="00DD164E" w:rsidRDefault="000C08CA" w:rsidP="00FE328D">
            <w:pPr>
              <w:jc w:val="both"/>
            </w:pPr>
            <w:r>
              <w:t xml:space="preserve">Ker je evropsko pravo družb urejeno z uredbami, predvsem pa z direktivami, je treba nacionalno zakonodajo in druge predpise spreminjati ali zaradi prenosa pravnega reda EU sprejemati nove predpise. Zato se je </w:t>
            </w:r>
            <w:r>
              <w:rPr>
                <w:rFonts w:cs="Arial"/>
                <w:color w:val="000000" w:themeColor="text1"/>
                <w:szCs w:val="20"/>
              </w:rPr>
              <w:t>z</w:t>
            </w:r>
            <w:r w:rsidRPr="00DD164E">
              <w:rPr>
                <w:rFonts w:cs="Arial"/>
                <w:color w:val="000000" w:themeColor="text1"/>
                <w:szCs w:val="20"/>
              </w:rPr>
              <w:t xml:space="preserve"> </w:t>
            </w:r>
            <w:r>
              <w:rPr>
                <w:rFonts w:cs="Arial"/>
                <w:color w:val="000000" w:themeColor="text1"/>
                <w:szCs w:val="20"/>
              </w:rPr>
              <w:t xml:space="preserve">ZGD-1I </w:t>
            </w:r>
            <w:r w:rsidRPr="00DD164E">
              <w:rPr>
                <w:rFonts w:cs="Arial"/>
                <w:color w:val="000000" w:themeColor="text1"/>
                <w:szCs w:val="20"/>
              </w:rPr>
              <w:t>v slovenski pravni red delno prenesla Direktiva 2013/34/EU. Ta je uredila pragove za razvrščanje družb med mikro, majhne, srednje in velike družbe, spremenila vsebino, obliko in obveznosti priprave konsolidiranega letnega poročila, spremenila vsebino priloge k računovodskim izkazom ter določila poenostavitve za mikro družbe.</w:t>
            </w:r>
          </w:p>
          <w:p w14:paraId="560F7149" w14:textId="77777777" w:rsidR="000C08CA" w:rsidRPr="00DD164E" w:rsidRDefault="000C08CA" w:rsidP="00FE328D">
            <w:pPr>
              <w:jc w:val="both"/>
            </w:pPr>
          </w:p>
          <w:p w14:paraId="2979EEBD" w14:textId="77777777" w:rsidR="000C08CA" w:rsidRPr="00DD164E" w:rsidRDefault="000C08CA" w:rsidP="00FE328D">
            <w:pPr>
              <w:pStyle w:val="tevilnatoka"/>
              <w:numPr>
                <w:ilvl w:val="0"/>
                <w:numId w:val="0"/>
              </w:numPr>
              <w:spacing w:line="276" w:lineRule="auto"/>
              <w:rPr>
                <w:rFonts w:cs="Arial"/>
                <w:color w:val="000000" w:themeColor="text1"/>
                <w:sz w:val="20"/>
                <w:szCs w:val="20"/>
              </w:rPr>
            </w:pPr>
            <w:r w:rsidRPr="00DD164E">
              <w:rPr>
                <w:rFonts w:cs="Arial"/>
                <w:color w:val="000000" w:themeColor="text1"/>
                <w:sz w:val="20"/>
                <w:szCs w:val="20"/>
              </w:rPr>
              <w:t>Gospodarske družbe (in podjetniki) morajo enkrat letno sestaviti letno poročilo, katerega obseg in vsebina sta odvisna od njihove velikosti, pri čemer se umestitev v velikostni razred (mikro, majhne, srednje in velike družbe) določi na podlagi števila zaposlenih (povprečno število delavcev v poslovnem letu), čistih prihodkov od prodaje in vrednosti aktive, kot to določa 55. člen ZGD-1. V skladu z ZGD-1 je najbolj obširno letno poročilo družb, ki so zavezane k revidiranju. Letna poročila velikih in srednjih kapitalskih družb ter dvojnih družb morajo biti v skladu s 60. členom ZGD-1 sestavljena iz (najmanj) bilance stanja, izkaza poslovnega izida, izkaza denarnih tokov, izkaza gibanja kapitala, izkaza drugega vseobsegajočega donosa, priloge s pojasnili k izkazom in poslovnega poročila. Letno poročilo mora biti sestavljeno jasno in pregledno, izkazovati pa mora resničen in pošten prikaz premoženja in obveznosti družbe, njenega finančnega položaja ter poslovnega izida. Z letnim poročilom družba prikaže</w:t>
            </w:r>
            <w:r>
              <w:rPr>
                <w:rFonts w:cs="Arial"/>
                <w:color w:val="000000" w:themeColor="text1"/>
                <w:sz w:val="20"/>
                <w:szCs w:val="20"/>
              </w:rPr>
              <w:t>,</w:t>
            </w:r>
            <w:r w:rsidRPr="00DD164E">
              <w:rPr>
                <w:rFonts w:cs="Arial"/>
                <w:color w:val="000000" w:themeColor="text1"/>
                <w:sz w:val="20"/>
                <w:szCs w:val="20"/>
              </w:rPr>
              <w:t xml:space="preserve"> kako je v preteklem poslovnem letu delovala in poslovala ter kako je bila pri tem uspešna. </w:t>
            </w:r>
          </w:p>
          <w:p w14:paraId="45C88DBE" w14:textId="77777777" w:rsidR="000C08CA" w:rsidRPr="00DD164E" w:rsidRDefault="000C08CA" w:rsidP="00FE328D">
            <w:pPr>
              <w:pStyle w:val="tevilnatoka"/>
              <w:numPr>
                <w:ilvl w:val="0"/>
                <w:numId w:val="0"/>
              </w:numPr>
              <w:spacing w:line="276" w:lineRule="auto"/>
              <w:rPr>
                <w:rFonts w:cs="Arial"/>
                <w:color w:val="000000" w:themeColor="text1"/>
                <w:sz w:val="20"/>
                <w:szCs w:val="20"/>
              </w:rPr>
            </w:pPr>
          </w:p>
          <w:p w14:paraId="39F29DFF" w14:textId="77777777" w:rsidR="000C08CA" w:rsidRPr="00DD164E" w:rsidRDefault="000C08CA" w:rsidP="00FE328D">
            <w:pPr>
              <w:pStyle w:val="tevilnatoka"/>
              <w:numPr>
                <w:ilvl w:val="0"/>
                <w:numId w:val="0"/>
              </w:numPr>
              <w:spacing w:line="276" w:lineRule="auto"/>
              <w:rPr>
                <w:sz w:val="20"/>
                <w:szCs w:val="20"/>
              </w:rPr>
            </w:pPr>
            <w:r w:rsidRPr="00DD164E">
              <w:rPr>
                <w:sz w:val="20"/>
                <w:szCs w:val="20"/>
              </w:rPr>
              <w:t xml:space="preserve">Direktiva </w:t>
            </w:r>
            <w:r w:rsidRPr="00DD164E">
              <w:rPr>
                <w:rFonts w:cs="Arial"/>
                <w:color w:val="000000" w:themeColor="text1"/>
                <w:sz w:val="20"/>
                <w:szCs w:val="20"/>
              </w:rPr>
              <w:t>2013/34/EU</w:t>
            </w:r>
            <w:r w:rsidRPr="00DD164E">
              <w:rPr>
                <w:sz w:val="20"/>
                <w:szCs w:val="20"/>
              </w:rPr>
              <w:t xml:space="preserve"> in ZGD-1 torej določata pogoje glede predstavljanja, objave in revizije letnih računovodskih izkazov na podlagi kategorij velikosti in vrst </w:t>
            </w:r>
            <w:r>
              <w:rPr>
                <w:sz w:val="20"/>
                <w:szCs w:val="20"/>
              </w:rPr>
              <w:t>družb</w:t>
            </w:r>
            <w:r w:rsidRPr="00DD164E">
              <w:rPr>
                <w:sz w:val="20"/>
                <w:szCs w:val="20"/>
              </w:rPr>
              <w:t>. Obvezna je namreč revizija letnih računovodskih izkazov vseh subjektov javnega interesa ter srednjih in velikih podjetij, ne pa ma</w:t>
            </w:r>
            <w:r>
              <w:rPr>
                <w:sz w:val="20"/>
                <w:szCs w:val="20"/>
              </w:rPr>
              <w:t>jhn</w:t>
            </w:r>
            <w:r w:rsidRPr="00DD164E">
              <w:rPr>
                <w:sz w:val="20"/>
                <w:szCs w:val="20"/>
              </w:rPr>
              <w:t xml:space="preserve">ih </w:t>
            </w:r>
            <w:r>
              <w:rPr>
                <w:sz w:val="20"/>
                <w:szCs w:val="20"/>
              </w:rPr>
              <w:t>družb</w:t>
            </w:r>
            <w:r w:rsidRPr="00DD164E">
              <w:rPr>
                <w:sz w:val="20"/>
                <w:szCs w:val="20"/>
              </w:rPr>
              <w:t xml:space="preserve">. </w:t>
            </w:r>
          </w:p>
          <w:p w14:paraId="2BA40FA9" w14:textId="77777777" w:rsidR="000C08CA" w:rsidRDefault="000C08CA" w:rsidP="00FE328D">
            <w:pPr>
              <w:pStyle w:val="tevilnatoka"/>
              <w:numPr>
                <w:ilvl w:val="0"/>
                <w:numId w:val="0"/>
              </w:numPr>
              <w:spacing w:line="276" w:lineRule="auto"/>
              <w:rPr>
                <w:sz w:val="20"/>
                <w:szCs w:val="20"/>
              </w:rPr>
            </w:pPr>
          </w:p>
          <w:p w14:paraId="4FF99FEF" w14:textId="77777777" w:rsidR="000C08CA" w:rsidRDefault="000C08CA" w:rsidP="00FE328D">
            <w:pPr>
              <w:pStyle w:val="tevilnatoka"/>
              <w:numPr>
                <w:ilvl w:val="0"/>
                <w:numId w:val="0"/>
              </w:numPr>
              <w:spacing w:line="276" w:lineRule="auto"/>
              <w:rPr>
                <w:sz w:val="20"/>
                <w:szCs w:val="20"/>
              </w:rPr>
            </w:pPr>
            <w:r w:rsidRPr="00385FB3">
              <w:rPr>
                <w:sz w:val="20"/>
                <w:szCs w:val="20"/>
              </w:rPr>
              <w:t xml:space="preserve">Tabela: Trenutna finančna merila za razvrščanje </w:t>
            </w:r>
            <w:r w:rsidRPr="00E95EB0">
              <w:rPr>
                <w:sz w:val="20"/>
                <w:szCs w:val="20"/>
              </w:rPr>
              <w:t>velikosti družb po</w:t>
            </w:r>
            <w:r w:rsidRPr="00385FB3">
              <w:rPr>
                <w:sz w:val="20"/>
                <w:szCs w:val="20"/>
              </w:rPr>
              <w:t xml:space="preserve"> ZGD-1 in po predlogu ZGD-1M</w:t>
            </w:r>
          </w:p>
          <w:p w14:paraId="36796FFD" w14:textId="77777777" w:rsidR="000C08CA" w:rsidRPr="00385FB3" w:rsidRDefault="000C08CA" w:rsidP="00FE328D">
            <w:pPr>
              <w:pStyle w:val="tevilnatoka"/>
              <w:numPr>
                <w:ilvl w:val="0"/>
                <w:numId w:val="0"/>
              </w:numPr>
              <w:spacing w:line="276" w:lineRule="auto"/>
              <w:rPr>
                <w:sz w:val="20"/>
                <w:szCs w:val="20"/>
              </w:rPr>
            </w:pPr>
          </w:p>
          <w:tbl>
            <w:tblPr>
              <w:tblStyle w:val="TableGrid"/>
              <w:tblW w:w="0" w:type="auto"/>
              <w:tblLook w:val="04A0" w:firstRow="1" w:lastRow="0" w:firstColumn="1" w:lastColumn="0" w:noHBand="0" w:noVBand="1"/>
            </w:tblPr>
            <w:tblGrid>
              <w:gridCol w:w="2211"/>
              <w:gridCol w:w="2211"/>
              <w:gridCol w:w="2212"/>
              <w:gridCol w:w="2212"/>
            </w:tblGrid>
            <w:tr w:rsidR="000C08CA" w14:paraId="703D6D7C" w14:textId="77777777" w:rsidTr="00FE328D">
              <w:tc>
                <w:tcPr>
                  <w:tcW w:w="2211" w:type="dxa"/>
                </w:tcPr>
                <w:p w14:paraId="6BCA006B" w14:textId="77777777" w:rsidR="000C08CA" w:rsidRDefault="000C08CA" w:rsidP="00FE328D">
                  <w:pPr>
                    <w:jc w:val="both"/>
                    <w:rPr>
                      <w:rFonts w:cs="Arial"/>
                      <w:color w:val="000000" w:themeColor="text1"/>
                      <w:szCs w:val="20"/>
                    </w:rPr>
                  </w:pPr>
                  <w:r>
                    <w:rPr>
                      <w:rFonts w:cs="Arial"/>
                      <w:color w:val="000000" w:themeColor="text1"/>
                      <w:szCs w:val="20"/>
                    </w:rPr>
                    <w:t>Velikost družbe</w:t>
                  </w:r>
                </w:p>
              </w:tc>
              <w:tc>
                <w:tcPr>
                  <w:tcW w:w="2211" w:type="dxa"/>
                </w:tcPr>
                <w:p w14:paraId="3F7EFBF6" w14:textId="77777777" w:rsidR="000C08CA" w:rsidRDefault="000C08CA" w:rsidP="00FE328D">
                  <w:pPr>
                    <w:jc w:val="both"/>
                    <w:rPr>
                      <w:rFonts w:cs="Arial"/>
                      <w:color w:val="000000" w:themeColor="text1"/>
                      <w:szCs w:val="20"/>
                    </w:rPr>
                  </w:pPr>
                </w:p>
              </w:tc>
              <w:tc>
                <w:tcPr>
                  <w:tcW w:w="2212" w:type="dxa"/>
                </w:tcPr>
                <w:p w14:paraId="0594E636" w14:textId="77777777" w:rsidR="000C08CA" w:rsidRDefault="000C08CA" w:rsidP="00FE328D">
                  <w:pPr>
                    <w:jc w:val="both"/>
                    <w:rPr>
                      <w:rFonts w:cs="Arial"/>
                      <w:color w:val="000000" w:themeColor="text1"/>
                      <w:szCs w:val="20"/>
                    </w:rPr>
                  </w:pPr>
                  <w:r>
                    <w:rPr>
                      <w:rFonts w:cs="Arial"/>
                      <w:color w:val="000000" w:themeColor="text1"/>
                      <w:szCs w:val="20"/>
                    </w:rPr>
                    <w:t>Vrednost aktive</w:t>
                  </w:r>
                </w:p>
              </w:tc>
              <w:tc>
                <w:tcPr>
                  <w:tcW w:w="2212" w:type="dxa"/>
                </w:tcPr>
                <w:p w14:paraId="3C5050ED" w14:textId="77777777" w:rsidR="000C08CA" w:rsidRDefault="000C08CA" w:rsidP="00FE328D">
                  <w:pPr>
                    <w:rPr>
                      <w:rFonts w:cs="Arial"/>
                      <w:color w:val="000000" w:themeColor="text1"/>
                      <w:szCs w:val="20"/>
                    </w:rPr>
                  </w:pPr>
                  <w:r>
                    <w:rPr>
                      <w:rFonts w:cs="Arial"/>
                      <w:color w:val="000000" w:themeColor="text1"/>
                      <w:szCs w:val="20"/>
                    </w:rPr>
                    <w:t>Čisti prihodki od prodaje</w:t>
                  </w:r>
                </w:p>
              </w:tc>
            </w:tr>
            <w:tr w:rsidR="000C08CA" w14:paraId="47FAB484" w14:textId="77777777" w:rsidTr="00FE328D">
              <w:tc>
                <w:tcPr>
                  <w:tcW w:w="2211" w:type="dxa"/>
                </w:tcPr>
                <w:p w14:paraId="7F9E22A2" w14:textId="77777777" w:rsidR="000C08CA" w:rsidRDefault="000C08CA" w:rsidP="00FE328D">
                  <w:pPr>
                    <w:jc w:val="both"/>
                    <w:rPr>
                      <w:rFonts w:cs="Arial"/>
                      <w:color w:val="000000" w:themeColor="text1"/>
                      <w:szCs w:val="20"/>
                    </w:rPr>
                  </w:pPr>
                  <w:r>
                    <w:rPr>
                      <w:rFonts w:cs="Arial"/>
                      <w:color w:val="000000" w:themeColor="text1"/>
                      <w:szCs w:val="20"/>
                    </w:rPr>
                    <w:t>Mikro</w:t>
                  </w:r>
                </w:p>
              </w:tc>
              <w:tc>
                <w:tcPr>
                  <w:tcW w:w="2211" w:type="dxa"/>
                </w:tcPr>
                <w:p w14:paraId="70A392F7" w14:textId="77777777" w:rsidR="000C08CA" w:rsidRDefault="000C08CA" w:rsidP="00FE328D">
                  <w:pPr>
                    <w:jc w:val="both"/>
                    <w:rPr>
                      <w:rFonts w:cs="Arial"/>
                      <w:color w:val="000000" w:themeColor="text1"/>
                      <w:szCs w:val="20"/>
                    </w:rPr>
                  </w:pPr>
                  <w:r>
                    <w:rPr>
                      <w:rFonts w:cs="Arial"/>
                      <w:color w:val="000000" w:themeColor="text1"/>
                      <w:szCs w:val="20"/>
                    </w:rPr>
                    <w:t>Veljavno</w:t>
                  </w:r>
                </w:p>
              </w:tc>
              <w:tc>
                <w:tcPr>
                  <w:tcW w:w="2212" w:type="dxa"/>
                </w:tcPr>
                <w:p w14:paraId="4E4A0025" w14:textId="77777777" w:rsidR="000C08CA" w:rsidRDefault="000C08CA" w:rsidP="00FE328D">
                  <w:pPr>
                    <w:jc w:val="both"/>
                    <w:rPr>
                      <w:rFonts w:cs="Arial"/>
                      <w:color w:val="000000" w:themeColor="text1"/>
                      <w:szCs w:val="20"/>
                    </w:rPr>
                  </w:pPr>
                  <w:r w:rsidRPr="00A07ACB">
                    <w:rPr>
                      <w:rFonts w:cs="Arial"/>
                      <w:color w:val="000000" w:themeColor="text1"/>
                      <w:szCs w:val="20"/>
                    </w:rPr>
                    <w:t>350.000 EUR</w:t>
                  </w:r>
                </w:p>
              </w:tc>
              <w:tc>
                <w:tcPr>
                  <w:tcW w:w="2212" w:type="dxa"/>
                </w:tcPr>
                <w:p w14:paraId="07F4735F" w14:textId="77777777" w:rsidR="000C08CA" w:rsidRDefault="000C08CA" w:rsidP="00FE328D">
                  <w:pPr>
                    <w:jc w:val="both"/>
                    <w:rPr>
                      <w:rFonts w:cs="Arial"/>
                      <w:color w:val="000000" w:themeColor="text1"/>
                      <w:szCs w:val="20"/>
                    </w:rPr>
                  </w:pPr>
                  <w:r w:rsidRPr="00741700">
                    <w:rPr>
                      <w:rFonts w:cs="Arial"/>
                      <w:color w:val="000000" w:themeColor="text1"/>
                      <w:szCs w:val="20"/>
                    </w:rPr>
                    <w:t>700.000 EUR</w:t>
                  </w:r>
                </w:p>
              </w:tc>
            </w:tr>
            <w:tr w:rsidR="000C08CA" w14:paraId="66A08950" w14:textId="77777777" w:rsidTr="00FE328D">
              <w:tc>
                <w:tcPr>
                  <w:tcW w:w="2211" w:type="dxa"/>
                </w:tcPr>
                <w:p w14:paraId="77EBFDD9" w14:textId="77777777" w:rsidR="000C08CA" w:rsidRDefault="000C08CA" w:rsidP="00FE328D">
                  <w:pPr>
                    <w:jc w:val="both"/>
                    <w:rPr>
                      <w:rFonts w:cs="Arial"/>
                      <w:color w:val="000000" w:themeColor="text1"/>
                      <w:szCs w:val="20"/>
                    </w:rPr>
                  </w:pPr>
                </w:p>
              </w:tc>
              <w:tc>
                <w:tcPr>
                  <w:tcW w:w="2211" w:type="dxa"/>
                </w:tcPr>
                <w:p w14:paraId="33765C21" w14:textId="77777777" w:rsidR="000C08CA" w:rsidRDefault="000C08CA" w:rsidP="00FE328D">
                  <w:pPr>
                    <w:jc w:val="both"/>
                    <w:rPr>
                      <w:rFonts w:cs="Arial"/>
                      <w:color w:val="000000" w:themeColor="text1"/>
                      <w:szCs w:val="20"/>
                    </w:rPr>
                  </w:pPr>
                  <w:r>
                    <w:rPr>
                      <w:rFonts w:cs="Arial"/>
                      <w:color w:val="000000" w:themeColor="text1"/>
                      <w:szCs w:val="20"/>
                    </w:rPr>
                    <w:t>Sprememba</w:t>
                  </w:r>
                </w:p>
              </w:tc>
              <w:tc>
                <w:tcPr>
                  <w:tcW w:w="2212" w:type="dxa"/>
                </w:tcPr>
                <w:p w14:paraId="5EB91FD9" w14:textId="77777777" w:rsidR="000C08CA" w:rsidRDefault="000C08CA" w:rsidP="00FE328D">
                  <w:pPr>
                    <w:jc w:val="both"/>
                    <w:rPr>
                      <w:rFonts w:cs="Arial"/>
                      <w:color w:val="000000" w:themeColor="text1"/>
                      <w:szCs w:val="20"/>
                    </w:rPr>
                  </w:pPr>
                  <w:r w:rsidRPr="00A62823">
                    <w:rPr>
                      <w:rFonts w:cs="Arial"/>
                      <w:color w:val="000000" w:themeColor="text1"/>
                      <w:szCs w:val="20"/>
                    </w:rPr>
                    <w:t>450.000 EUR</w:t>
                  </w:r>
                </w:p>
              </w:tc>
              <w:tc>
                <w:tcPr>
                  <w:tcW w:w="2212" w:type="dxa"/>
                </w:tcPr>
                <w:p w14:paraId="7F07BB11" w14:textId="77777777" w:rsidR="000C08CA" w:rsidRDefault="000C08CA" w:rsidP="00FE328D">
                  <w:pPr>
                    <w:jc w:val="both"/>
                    <w:rPr>
                      <w:rFonts w:cs="Arial"/>
                      <w:color w:val="000000" w:themeColor="text1"/>
                      <w:szCs w:val="20"/>
                    </w:rPr>
                  </w:pPr>
                  <w:r w:rsidRPr="00D20441">
                    <w:rPr>
                      <w:rFonts w:cs="Arial"/>
                      <w:color w:val="000000" w:themeColor="text1"/>
                      <w:szCs w:val="20"/>
                    </w:rPr>
                    <w:t>900.000 EUR</w:t>
                  </w:r>
                </w:p>
              </w:tc>
            </w:tr>
            <w:tr w:rsidR="000C08CA" w14:paraId="5867BDA4" w14:textId="77777777" w:rsidTr="00FE328D">
              <w:tc>
                <w:tcPr>
                  <w:tcW w:w="2211" w:type="dxa"/>
                </w:tcPr>
                <w:p w14:paraId="37C0B1EE" w14:textId="77777777" w:rsidR="000C08CA" w:rsidRDefault="000C08CA" w:rsidP="00FE328D">
                  <w:pPr>
                    <w:jc w:val="both"/>
                    <w:rPr>
                      <w:rFonts w:cs="Arial"/>
                      <w:color w:val="000000" w:themeColor="text1"/>
                      <w:szCs w:val="20"/>
                    </w:rPr>
                  </w:pPr>
                </w:p>
              </w:tc>
              <w:tc>
                <w:tcPr>
                  <w:tcW w:w="2211" w:type="dxa"/>
                </w:tcPr>
                <w:p w14:paraId="7676D891" w14:textId="77777777" w:rsidR="000C08CA" w:rsidRDefault="000C08CA" w:rsidP="00FE328D">
                  <w:pPr>
                    <w:jc w:val="both"/>
                    <w:rPr>
                      <w:rFonts w:cs="Arial"/>
                      <w:color w:val="000000" w:themeColor="text1"/>
                      <w:szCs w:val="20"/>
                    </w:rPr>
                  </w:pPr>
                  <w:r>
                    <w:rPr>
                      <w:rFonts w:cs="Arial"/>
                      <w:color w:val="000000" w:themeColor="text1"/>
                      <w:szCs w:val="20"/>
                    </w:rPr>
                    <w:t>Zvišanje</w:t>
                  </w:r>
                </w:p>
              </w:tc>
              <w:tc>
                <w:tcPr>
                  <w:tcW w:w="2212" w:type="dxa"/>
                </w:tcPr>
                <w:p w14:paraId="485F1C1A" w14:textId="77777777" w:rsidR="000C08CA" w:rsidRDefault="000C08CA" w:rsidP="00FE328D">
                  <w:pPr>
                    <w:jc w:val="both"/>
                    <w:rPr>
                      <w:rFonts w:cs="Arial"/>
                      <w:color w:val="000000" w:themeColor="text1"/>
                      <w:szCs w:val="20"/>
                    </w:rPr>
                  </w:pPr>
                  <w:r w:rsidRPr="00C56A0F">
                    <w:rPr>
                      <w:rFonts w:cs="Arial"/>
                      <w:color w:val="000000" w:themeColor="text1"/>
                      <w:szCs w:val="20"/>
                    </w:rPr>
                    <w:t>28,6</w:t>
                  </w:r>
                  <w:r>
                    <w:rPr>
                      <w:rFonts w:cs="Arial"/>
                      <w:color w:val="000000" w:themeColor="text1"/>
                      <w:szCs w:val="20"/>
                    </w:rPr>
                    <w:t xml:space="preserve"> </w:t>
                  </w:r>
                  <w:r w:rsidRPr="00C56A0F">
                    <w:rPr>
                      <w:rFonts w:cs="Arial"/>
                      <w:color w:val="000000" w:themeColor="text1"/>
                      <w:szCs w:val="20"/>
                    </w:rPr>
                    <w:t>%</w:t>
                  </w:r>
                </w:p>
              </w:tc>
              <w:tc>
                <w:tcPr>
                  <w:tcW w:w="2212" w:type="dxa"/>
                </w:tcPr>
                <w:p w14:paraId="03C5DACE" w14:textId="77777777" w:rsidR="000C08CA" w:rsidRDefault="000C08CA" w:rsidP="00FE328D">
                  <w:pPr>
                    <w:jc w:val="both"/>
                    <w:rPr>
                      <w:rFonts w:cs="Arial"/>
                      <w:color w:val="000000" w:themeColor="text1"/>
                      <w:szCs w:val="20"/>
                    </w:rPr>
                  </w:pPr>
                  <w:r w:rsidRPr="00874E0F">
                    <w:rPr>
                      <w:rFonts w:cs="Arial"/>
                      <w:color w:val="000000" w:themeColor="text1"/>
                      <w:szCs w:val="20"/>
                    </w:rPr>
                    <w:t>28,6</w:t>
                  </w:r>
                  <w:r>
                    <w:rPr>
                      <w:rFonts w:cs="Arial"/>
                      <w:color w:val="000000" w:themeColor="text1"/>
                      <w:szCs w:val="20"/>
                    </w:rPr>
                    <w:t xml:space="preserve"> </w:t>
                  </w:r>
                  <w:r w:rsidRPr="00874E0F">
                    <w:rPr>
                      <w:rFonts w:cs="Arial"/>
                      <w:color w:val="000000" w:themeColor="text1"/>
                      <w:szCs w:val="20"/>
                    </w:rPr>
                    <w:t>%</w:t>
                  </w:r>
                </w:p>
              </w:tc>
            </w:tr>
            <w:tr w:rsidR="000C08CA" w14:paraId="7C6A3064" w14:textId="77777777" w:rsidTr="00FE328D">
              <w:tc>
                <w:tcPr>
                  <w:tcW w:w="2211" w:type="dxa"/>
                </w:tcPr>
                <w:p w14:paraId="1EE32E3F" w14:textId="77777777" w:rsidR="000C08CA" w:rsidRDefault="000C08CA" w:rsidP="00FE328D">
                  <w:pPr>
                    <w:jc w:val="both"/>
                    <w:rPr>
                      <w:rFonts w:cs="Arial"/>
                      <w:color w:val="000000" w:themeColor="text1"/>
                      <w:szCs w:val="20"/>
                    </w:rPr>
                  </w:pPr>
                </w:p>
              </w:tc>
              <w:tc>
                <w:tcPr>
                  <w:tcW w:w="2211" w:type="dxa"/>
                </w:tcPr>
                <w:p w14:paraId="0C71EF6C" w14:textId="77777777" w:rsidR="000C08CA" w:rsidRDefault="000C08CA" w:rsidP="00FE328D">
                  <w:pPr>
                    <w:jc w:val="both"/>
                    <w:rPr>
                      <w:rFonts w:cs="Arial"/>
                      <w:color w:val="000000" w:themeColor="text1"/>
                      <w:szCs w:val="20"/>
                    </w:rPr>
                  </w:pPr>
                </w:p>
              </w:tc>
              <w:tc>
                <w:tcPr>
                  <w:tcW w:w="2212" w:type="dxa"/>
                </w:tcPr>
                <w:p w14:paraId="09FAAF1F" w14:textId="77777777" w:rsidR="000C08CA" w:rsidRDefault="000C08CA" w:rsidP="00FE328D">
                  <w:pPr>
                    <w:jc w:val="both"/>
                    <w:rPr>
                      <w:rFonts w:cs="Arial"/>
                      <w:color w:val="000000" w:themeColor="text1"/>
                      <w:szCs w:val="20"/>
                    </w:rPr>
                  </w:pPr>
                </w:p>
              </w:tc>
              <w:tc>
                <w:tcPr>
                  <w:tcW w:w="2212" w:type="dxa"/>
                </w:tcPr>
                <w:p w14:paraId="711CE42B" w14:textId="77777777" w:rsidR="000C08CA" w:rsidRDefault="000C08CA" w:rsidP="00FE328D">
                  <w:pPr>
                    <w:jc w:val="both"/>
                    <w:rPr>
                      <w:rFonts w:cs="Arial"/>
                      <w:color w:val="000000" w:themeColor="text1"/>
                      <w:szCs w:val="20"/>
                    </w:rPr>
                  </w:pPr>
                </w:p>
              </w:tc>
            </w:tr>
            <w:tr w:rsidR="000C08CA" w14:paraId="471DF5C0" w14:textId="77777777" w:rsidTr="00FE328D">
              <w:tc>
                <w:tcPr>
                  <w:tcW w:w="2211" w:type="dxa"/>
                </w:tcPr>
                <w:p w14:paraId="10CF6664" w14:textId="77777777" w:rsidR="000C08CA" w:rsidRDefault="000C08CA" w:rsidP="00FE328D">
                  <w:pPr>
                    <w:jc w:val="both"/>
                    <w:rPr>
                      <w:rFonts w:cs="Arial"/>
                      <w:color w:val="000000" w:themeColor="text1"/>
                      <w:szCs w:val="20"/>
                    </w:rPr>
                  </w:pPr>
                  <w:r>
                    <w:rPr>
                      <w:rFonts w:cs="Arial"/>
                      <w:color w:val="000000" w:themeColor="text1"/>
                      <w:szCs w:val="20"/>
                    </w:rPr>
                    <w:t>Majhna</w:t>
                  </w:r>
                </w:p>
              </w:tc>
              <w:tc>
                <w:tcPr>
                  <w:tcW w:w="2211" w:type="dxa"/>
                </w:tcPr>
                <w:p w14:paraId="7F97B9C1" w14:textId="77777777" w:rsidR="000C08CA" w:rsidRDefault="000C08CA" w:rsidP="00FE328D">
                  <w:pPr>
                    <w:jc w:val="both"/>
                    <w:rPr>
                      <w:rFonts w:cs="Arial"/>
                      <w:color w:val="000000" w:themeColor="text1"/>
                      <w:szCs w:val="20"/>
                    </w:rPr>
                  </w:pPr>
                  <w:r>
                    <w:rPr>
                      <w:rFonts w:cs="Arial"/>
                      <w:color w:val="000000" w:themeColor="text1"/>
                      <w:szCs w:val="20"/>
                    </w:rPr>
                    <w:t>Veljavno</w:t>
                  </w:r>
                </w:p>
              </w:tc>
              <w:tc>
                <w:tcPr>
                  <w:tcW w:w="2212" w:type="dxa"/>
                </w:tcPr>
                <w:p w14:paraId="7ABE207D" w14:textId="77777777" w:rsidR="000C08CA" w:rsidRDefault="000C08CA" w:rsidP="00FE328D">
                  <w:pPr>
                    <w:jc w:val="both"/>
                    <w:rPr>
                      <w:rFonts w:cs="Arial"/>
                      <w:color w:val="000000" w:themeColor="text1"/>
                      <w:szCs w:val="20"/>
                    </w:rPr>
                  </w:pPr>
                  <w:r w:rsidRPr="00B13B1F">
                    <w:rPr>
                      <w:rFonts w:cs="Arial"/>
                      <w:color w:val="000000" w:themeColor="text1"/>
                      <w:szCs w:val="20"/>
                    </w:rPr>
                    <w:t>4</w:t>
                  </w:r>
                  <w:r>
                    <w:rPr>
                      <w:rFonts w:cs="Arial"/>
                      <w:color w:val="000000" w:themeColor="text1"/>
                      <w:szCs w:val="20"/>
                    </w:rPr>
                    <w:t>.</w:t>
                  </w:r>
                  <w:r w:rsidRPr="00B13B1F">
                    <w:rPr>
                      <w:rFonts w:cs="Arial"/>
                      <w:color w:val="000000" w:themeColor="text1"/>
                      <w:szCs w:val="20"/>
                    </w:rPr>
                    <w:t>000.000 EUR</w:t>
                  </w:r>
                </w:p>
              </w:tc>
              <w:tc>
                <w:tcPr>
                  <w:tcW w:w="2212" w:type="dxa"/>
                </w:tcPr>
                <w:p w14:paraId="6AF15385" w14:textId="77777777" w:rsidR="000C08CA" w:rsidRDefault="000C08CA" w:rsidP="00FE328D">
                  <w:pPr>
                    <w:jc w:val="both"/>
                    <w:rPr>
                      <w:rFonts w:cs="Arial"/>
                      <w:color w:val="000000" w:themeColor="text1"/>
                      <w:szCs w:val="20"/>
                    </w:rPr>
                  </w:pPr>
                  <w:r w:rsidRPr="00226E17">
                    <w:rPr>
                      <w:rFonts w:cs="Arial"/>
                      <w:color w:val="000000" w:themeColor="text1"/>
                      <w:szCs w:val="20"/>
                    </w:rPr>
                    <w:t>8</w:t>
                  </w:r>
                  <w:r>
                    <w:rPr>
                      <w:rFonts w:cs="Arial"/>
                      <w:color w:val="000000" w:themeColor="text1"/>
                      <w:szCs w:val="20"/>
                    </w:rPr>
                    <w:t>.</w:t>
                  </w:r>
                  <w:r w:rsidRPr="00226E17">
                    <w:rPr>
                      <w:rFonts w:cs="Arial"/>
                      <w:color w:val="000000" w:themeColor="text1"/>
                      <w:szCs w:val="20"/>
                    </w:rPr>
                    <w:t>000.000 EUR</w:t>
                  </w:r>
                </w:p>
              </w:tc>
            </w:tr>
            <w:tr w:rsidR="000C08CA" w14:paraId="4EAB942C" w14:textId="77777777" w:rsidTr="00FE328D">
              <w:tc>
                <w:tcPr>
                  <w:tcW w:w="2211" w:type="dxa"/>
                </w:tcPr>
                <w:p w14:paraId="636997E5" w14:textId="77777777" w:rsidR="000C08CA" w:rsidRDefault="000C08CA" w:rsidP="00FE328D">
                  <w:pPr>
                    <w:jc w:val="both"/>
                    <w:rPr>
                      <w:rFonts w:cs="Arial"/>
                      <w:color w:val="000000" w:themeColor="text1"/>
                      <w:szCs w:val="20"/>
                    </w:rPr>
                  </w:pPr>
                </w:p>
              </w:tc>
              <w:tc>
                <w:tcPr>
                  <w:tcW w:w="2211" w:type="dxa"/>
                </w:tcPr>
                <w:p w14:paraId="64F52187" w14:textId="77777777" w:rsidR="000C08CA" w:rsidRDefault="000C08CA" w:rsidP="00FE328D">
                  <w:pPr>
                    <w:jc w:val="both"/>
                    <w:rPr>
                      <w:rFonts w:cs="Arial"/>
                      <w:color w:val="000000" w:themeColor="text1"/>
                      <w:szCs w:val="20"/>
                    </w:rPr>
                  </w:pPr>
                  <w:r>
                    <w:rPr>
                      <w:rFonts w:cs="Arial"/>
                      <w:color w:val="000000" w:themeColor="text1"/>
                      <w:szCs w:val="20"/>
                    </w:rPr>
                    <w:t>Sprememba</w:t>
                  </w:r>
                </w:p>
              </w:tc>
              <w:tc>
                <w:tcPr>
                  <w:tcW w:w="2212" w:type="dxa"/>
                </w:tcPr>
                <w:p w14:paraId="2B14231E" w14:textId="77777777" w:rsidR="000C08CA" w:rsidRDefault="000C08CA" w:rsidP="00FE328D">
                  <w:pPr>
                    <w:jc w:val="both"/>
                    <w:rPr>
                      <w:rFonts w:cs="Arial"/>
                      <w:color w:val="000000" w:themeColor="text1"/>
                      <w:szCs w:val="20"/>
                    </w:rPr>
                  </w:pPr>
                  <w:r w:rsidRPr="009B5ABB">
                    <w:rPr>
                      <w:rFonts w:cs="Arial"/>
                      <w:color w:val="000000" w:themeColor="text1"/>
                      <w:szCs w:val="20"/>
                    </w:rPr>
                    <w:t>5</w:t>
                  </w:r>
                  <w:r>
                    <w:rPr>
                      <w:rFonts w:cs="Arial"/>
                      <w:color w:val="000000" w:themeColor="text1"/>
                      <w:szCs w:val="20"/>
                    </w:rPr>
                    <w:t>.</w:t>
                  </w:r>
                  <w:r w:rsidRPr="009B5ABB">
                    <w:rPr>
                      <w:rFonts w:cs="Arial"/>
                      <w:color w:val="000000" w:themeColor="text1"/>
                      <w:szCs w:val="20"/>
                    </w:rPr>
                    <w:t>000.000 EUR</w:t>
                  </w:r>
                </w:p>
              </w:tc>
              <w:tc>
                <w:tcPr>
                  <w:tcW w:w="2212" w:type="dxa"/>
                </w:tcPr>
                <w:p w14:paraId="3E93FF07" w14:textId="77777777" w:rsidR="000C08CA" w:rsidRDefault="000C08CA" w:rsidP="00FE328D">
                  <w:pPr>
                    <w:jc w:val="both"/>
                    <w:rPr>
                      <w:rFonts w:cs="Arial"/>
                      <w:color w:val="000000" w:themeColor="text1"/>
                      <w:szCs w:val="20"/>
                    </w:rPr>
                  </w:pPr>
                  <w:r w:rsidRPr="005C127A">
                    <w:rPr>
                      <w:rFonts w:cs="Arial"/>
                      <w:color w:val="000000" w:themeColor="text1"/>
                      <w:szCs w:val="20"/>
                    </w:rPr>
                    <w:t>10</w:t>
                  </w:r>
                  <w:r>
                    <w:rPr>
                      <w:rFonts w:cs="Arial"/>
                      <w:color w:val="000000" w:themeColor="text1"/>
                      <w:szCs w:val="20"/>
                    </w:rPr>
                    <w:t>.</w:t>
                  </w:r>
                  <w:r w:rsidRPr="005C127A">
                    <w:rPr>
                      <w:rFonts w:cs="Arial"/>
                      <w:color w:val="000000" w:themeColor="text1"/>
                      <w:szCs w:val="20"/>
                    </w:rPr>
                    <w:t>000.000 EUR</w:t>
                  </w:r>
                </w:p>
              </w:tc>
            </w:tr>
            <w:tr w:rsidR="000C08CA" w14:paraId="272FBF43" w14:textId="77777777" w:rsidTr="00FE328D">
              <w:tc>
                <w:tcPr>
                  <w:tcW w:w="2211" w:type="dxa"/>
                </w:tcPr>
                <w:p w14:paraId="276033A7" w14:textId="77777777" w:rsidR="000C08CA" w:rsidRDefault="000C08CA" w:rsidP="00FE328D">
                  <w:pPr>
                    <w:jc w:val="both"/>
                    <w:rPr>
                      <w:rFonts w:cs="Arial"/>
                      <w:color w:val="000000" w:themeColor="text1"/>
                      <w:szCs w:val="20"/>
                    </w:rPr>
                  </w:pPr>
                </w:p>
              </w:tc>
              <w:tc>
                <w:tcPr>
                  <w:tcW w:w="2211" w:type="dxa"/>
                </w:tcPr>
                <w:p w14:paraId="30AA5513" w14:textId="77777777" w:rsidR="000C08CA" w:rsidRDefault="000C08CA" w:rsidP="00FE328D">
                  <w:pPr>
                    <w:jc w:val="both"/>
                    <w:rPr>
                      <w:rFonts w:cs="Arial"/>
                      <w:color w:val="000000" w:themeColor="text1"/>
                      <w:szCs w:val="20"/>
                    </w:rPr>
                  </w:pPr>
                  <w:r>
                    <w:rPr>
                      <w:rFonts w:cs="Arial"/>
                      <w:color w:val="000000" w:themeColor="text1"/>
                      <w:szCs w:val="20"/>
                    </w:rPr>
                    <w:t>Zvišanje</w:t>
                  </w:r>
                </w:p>
              </w:tc>
              <w:tc>
                <w:tcPr>
                  <w:tcW w:w="2212" w:type="dxa"/>
                </w:tcPr>
                <w:p w14:paraId="118E97B7" w14:textId="77777777" w:rsidR="000C08CA" w:rsidRDefault="000C08CA" w:rsidP="00FE328D">
                  <w:pPr>
                    <w:jc w:val="both"/>
                    <w:rPr>
                      <w:rFonts w:cs="Arial"/>
                      <w:color w:val="000000" w:themeColor="text1"/>
                      <w:szCs w:val="20"/>
                    </w:rPr>
                  </w:pPr>
                  <w:r>
                    <w:rPr>
                      <w:rFonts w:cs="Arial"/>
                      <w:color w:val="000000" w:themeColor="text1"/>
                      <w:szCs w:val="20"/>
                    </w:rPr>
                    <w:t>25 %</w:t>
                  </w:r>
                </w:p>
              </w:tc>
              <w:tc>
                <w:tcPr>
                  <w:tcW w:w="2212" w:type="dxa"/>
                </w:tcPr>
                <w:p w14:paraId="265F0AD8" w14:textId="77777777" w:rsidR="000C08CA" w:rsidRDefault="000C08CA" w:rsidP="00FE328D">
                  <w:pPr>
                    <w:jc w:val="both"/>
                    <w:rPr>
                      <w:rFonts w:cs="Arial"/>
                      <w:color w:val="000000" w:themeColor="text1"/>
                      <w:szCs w:val="20"/>
                    </w:rPr>
                  </w:pPr>
                  <w:r>
                    <w:rPr>
                      <w:rFonts w:cs="Arial"/>
                      <w:color w:val="000000" w:themeColor="text1"/>
                      <w:szCs w:val="20"/>
                    </w:rPr>
                    <w:t>25 %</w:t>
                  </w:r>
                </w:p>
              </w:tc>
            </w:tr>
            <w:tr w:rsidR="000C08CA" w14:paraId="2178BB11" w14:textId="77777777" w:rsidTr="00FE328D">
              <w:tc>
                <w:tcPr>
                  <w:tcW w:w="2211" w:type="dxa"/>
                </w:tcPr>
                <w:p w14:paraId="6DC9290E" w14:textId="77777777" w:rsidR="000C08CA" w:rsidRDefault="000C08CA" w:rsidP="00FE328D">
                  <w:pPr>
                    <w:jc w:val="both"/>
                    <w:rPr>
                      <w:rFonts w:cs="Arial"/>
                      <w:color w:val="000000" w:themeColor="text1"/>
                      <w:szCs w:val="20"/>
                    </w:rPr>
                  </w:pPr>
                </w:p>
              </w:tc>
              <w:tc>
                <w:tcPr>
                  <w:tcW w:w="2211" w:type="dxa"/>
                </w:tcPr>
                <w:p w14:paraId="5938F55F" w14:textId="77777777" w:rsidR="000C08CA" w:rsidRDefault="000C08CA" w:rsidP="00FE328D">
                  <w:pPr>
                    <w:jc w:val="both"/>
                    <w:rPr>
                      <w:rFonts w:cs="Arial"/>
                      <w:color w:val="000000" w:themeColor="text1"/>
                      <w:szCs w:val="20"/>
                    </w:rPr>
                  </w:pPr>
                </w:p>
              </w:tc>
              <w:tc>
                <w:tcPr>
                  <w:tcW w:w="2212" w:type="dxa"/>
                </w:tcPr>
                <w:p w14:paraId="792A1DF1" w14:textId="77777777" w:rsidR="000C08CA" w:rsidRDefault="000C08CA" w:rsidP="00FE328D">
                  <w:pPr>
                    <w:jc w:val="both"/>
                    <w:rPr>
                      <w:rFonts w:cs="Arial"/>
                      <w:color w:val="000000" w:themeColor="text1"/>
                      <w:szCs w:val="20"/>
                    </w:rPr>
                  </w:pPr>
                </w:p>
              </w:tc>
              <w:tc>
                <w:tcPr>
                  <w:tcW w:w="2212" w:type="dxa"/>
                </w:tcPr>
                <w:p w14:paraId="5FCB9DFC" w14:textId="77777777" w:rsidR="000C08CA" w:rsidRDefault="000C08CA" w:rsidP="00FE328D">
                  <w:pPr>
                    <w:jc w:val="both"/>
                    <w:rPr>
                      <w:rFonts w:cs="Arial"/>
                      <w:color w:val="000000" w:themeColor="text1"/>
                      <w:szCs w:val="20"/>
                    </w:rPr>
                  </w:pPr>
                </w:p>
              </w:tc>
            </w:tr>
            <w:tr w:rsidR="000C08CA" w14:paraId="3CC8D4D6" w14:textId="77777777" w:rsidTr="00FE328D">
              <w:tc>
                <w:tcPr>
                  <w:tcW w:w="2211" w:type="dxa"/>
                </w:tcPr>
                <w:p w14:paraId="2FAD51F2" w14:textId="77777777" w:rsidR="000C08CA" w:rsidRDefault="000C08CA" w:rsidP="00FE328D">
                  <w:pPr>
                    <w:jc w:val="both"/>
                    <w:rPr>
                      <w:rFonts w:cs="Arial"/>
                      <w:color w:val="000000" w:themeColor="text1"/>
                      <w:szCs w:val="20"/>
                    </w:rPr>
                  </w:pPr>
                  <w:r>
                    <w:rPr>
                      <w:rFonts w:cs="Arial"/>
                      <w:color w:val="000000" w:themeColor="text1"/>
                      <w:szCs w:val="20"/>
                    </w:rPr>
                    <w:t>Srednja</w:t>
                  </w:r>
                </w:p>
              </w:tc>
              <w:tc>
                <w:tcPr>
                  <w:tcW w:w="2211" w:type="dxa"/>
                </w:tcPr>
                <w:p w14:paraId="272D716E" w14:textId="77777777" w:rsidR="000C08CA" w:rsidRDefault="000C08CA" w:rsidP="00FE328D">
                  <w:pPr>
                    <w:jc w:val="both"/>
                    <w:rPr>
                      <w:rFonts w:cs="Arial"/>
                      <w:color w:val="000000" w:themeColor="text1"/>
                      <w:szCs w:val="20"/>
                    </w:rPr>
                  </w:pPr>
                  <w:r>
                    <w:rPr>
                      <w:rFonts w:cs="Arial"/>
                      <w:color w:val="000000" w:themeColor="text1"/>
                      <w:szCs w:val="20"/>
                    </w:rPr>
                    <w:t>Veljavno</w:t>
                  </w:r>
                </w:p>
              </w:tc>
              <w:tc>
                <w:tcPr>
                  <w:tcW w:w="2212" w:type="dxa"/>
                </w:tcPr>
                <w:p w14:paraId="15654B80" w14:textId="77777777" w:rsidR="000C08CA" w:rsidRDefault="000C08CA" w:rsidP="00FE328D">
                  <w:pPr>
                    <w:jc w:val="both"/>
                    <w:rPr>
                      <w:rFonts w:cs="Arial"/>
                      <w:color w:val="000000" w:themeColor="text1"/>
                      <w:szCs w:val="20"/>
                    </w:rPr>
                  </w:pPr>
                  <w:r w:rsidRPr="000B20B8">
                    <w:rPr>
                      <w:rFonts w:cs="Arial"/>
                      <w:color w:val="000000" w:themeColor="text1"/>
                      <w:szCs w:val="20"/>
                    </w:rPr>
                    <w:t>20</w:t>
                  </w:r>
                  <w:r>
                    <w:rPr>
                      <w:rFonts w:cs="Arial"/>
                      <w:color w:val="000000" w:themeColor="text1"/>
                      <w:szCs w:val="20"/>
                    </w:rPr>
                    <w:t>.</w:t>
                  </w:r>
                  <w:r w:rsidRPr="000B20B8">
                    <w:rPr>
                      <w:rFonts w:cs="Arial"/>
                      <w:color w:val="000000" w:themeColor="text1"/>
                      <w:szCs w:val="20"/>
                    </w:rPr>
                    <w:t>000.000 EUR</w:t>
                  </w:r>
                </w:p>
              </w:tc>
              <w:tc>
                <w:tcPr>
                  <w:tcW w:w="2212" w:type="dxa"/>
                </w:tcPr>
                <w:p w14:paraId="6A0E2C5D" w14:textId="77777777" w:rsidR="000C08CA" w:rsidRDefault="000C08CA" w:rsidP="00FE328D">
                  <w:pPr>
                    <w:jc w:val="both"/>
                    <w:rPr>
                      <w:rFonts w:cs="Arial"/>
                      <w:color w:val="000000" w:themeColor="text1"/>
                      <w:szCs w:val="20"/>
                    </w:rPr>
                  </w:pPr>
                  <w:r w:rsidRPr="001A2AC5">
                    <w:rPr>
                      <w:rFonts w:cs="Arial"/>
                      <w:color w:val="000000" w:themeColor="text1"/>
                      <w:szCs w:val="20"/>
                    </w:rPr>
                    <w:t>40</w:t>
                  </w:r>
                  <w:r>
                    <w:rPr>
                      <w:rFonts w:cs="Arial"/>
                      <w:color w:val="000000" w:themeColor="text1"/>
                      <w:szCs w:val="20"/>
                    </w:rPr>
                    <w:t>.</w:t>
                  </w:r>
                  <w:r w:rsidRPr="001A2AC5">
                    <w:rPr>
                      <w:rFonts w:cs="Arial"/>
                      <w:color w:val="000000" w:themeColor="text1"/>
                      <w:szCs w:val="20"/>
                    </w:rPr>
                    <w:t>000.000 EUR</w:t>
                  </w:r>
                </w:p>
              </w:tc>
            </w:tr>
            <w:tr w:rsidR="000C08CA" w14:paraId="70337822" w14:textId="77777777" w:rsidTr="00FE328D">
              <w:tc>
                <w:tcPr>
                  <w:tcW w:w="2211" w:type="dxa"/>
                </w:tcPr>
                <w:p w14:paraId="7F99E28A" w14:textId="77777777" w:rsidR="000C08CA" w:rsidRDefault="000C08CA" w:rsidP="00FE328D">
                  <w:pPr>
                    <w:jc w:val="both"/>
                    <w:rPr>
                      <w:rFonts w:cs="Arial"/>
                      <w:color w:val="000000" w:themeColor="text1"/>
                      <w:szCs w:val="20"/>
                    </w:rPr>
                  </w:pPr>
                </w:p>
              </w:tc>
              <w:tc>
                <w:tcPr>
                  <w:tcW w:w="2211" w:type="dxa"/>
                </w:tcPr>
                <w:p w14:paraId="4D94CF4E" w14:textId="77777777" w:rsidR="000C08CA" w:rsidRDefault="000C08CA" w:rsidP="00FE328D">
                  <w:pPr>
                    <w:jc w:val="both"/>
                    <w:rPr>
                      <w:rFonts w:cs="Arial"/>
                      <w:color w:val="000000" w:themeColor="text1"/>
                      <w:szCs w:val="20"/>
                    </w:rPr>
                  </w:pPr>
                  <w:r>
                    <w:rPr>
                      <w:rFonts w:cs="Arial"/>
                      <w:color w:val="000000" w:themeColor="text1"/>
                      <w:szCs w:val="20"/>
                    </w:rPr>
                    <w:t>Sprememba</w:t>
                  </w:r>
                </w:p>
              </w:tc>
              <w:tc>
                <w:tcPr>
                  <w:tcW w:w="2212" w:type="dxa"/>
                </w:tcPr>
                <w:p w14:paraId="60E1B0E3" w14:textId="77777777" w:rsidR="000C08CA" w:rsidRDefault="000C08CA" w:rsidP="00FE328D">
                  <w:pPr>
                    <w:jc w:val="both"/>
                    <w:rPr>
                      <w:rFonts w:cs="Arial"/>
                      <w:color w:val="000000" w:themeColor="text1"/>
                      <w:szCs w:val="20"/>
                    </w:rPr>
                  </w:pPr>
                  <w:r w:rsidRPr="006A6389">
                    <w:rPr>
                      <w:rFonts w:cs="Arial"/>
                      <w:color w:val="000000" w:themeColor="text1"/>
                      <w:szCs w:val="20"/>
                    </w:rPr>
                    <w:t>25</w:t>
                  </w:r>
                  <w:r>
                    <w:rPr>
                      <w:rFonts w:cs="Arial"/>
                      <w:color w:val="000000" w:themeColor="text1"/>
                      <w:szCs w:val="20"/>
                    </w:rPr>
                    <w:t>.</w:t>
                  </w:r>
                  <w:r w:rsidRPr="006A6389">
                    <w:rPr>
                      <w:rFonts w:cs="Arial"/>
                      <w:color w:val="000000" w:themeColor="text1"/>
                      <w:szCs w:val="20"/>
                    </w:rPr>
                    <w:t>000.000 EUR</w:t>
                  </w:r>
                </w:p>
              </w:tc>
              <w:tc>
                <w:tcPr>
                  <w:tcW w:w="2212" w:type="dxa"/>
                </w:tcPr>
                <w:p w14:paraId="4D4BCE3A" w14:textId="77777777" w:rsidR="000C08CA" w:rsidRDefault="000C08CA" w:rsidP="00FE328D">
                  <w:pPr>
                    <w:jc w:val="both"/>
                    <w:rPr>
                      <w:rFonts w:cs="Arial"/>
                      <w:color w:val="000000" w:themeColor="text1"/>
                      <w:szCs w:val="20"/>
                    </w:rPr>
                  </w:pPr>
                  <w:r w:rsidRPr="009463E8">
                    <w:rPr>
                      <w:rFonts w:cs="Arial"/>
                      <w:color w:val="000000" w:themeColor="text1"/>
                      <w:szCs w:val="20"/>
                    </w:rPr>
                    <w:t>50</w:t>
                  </w:r>
                  <w:r>
                    <w:rPr>
                      <w:rFonts w:cs="Arial"/>
                      <w:color w:val="000000" w:themeColor="text1"/>
                      <w:szCs w:val="20"/>
                    </w:rPr>
                    <w:t>.</w:t>
                  </w:r>
                  <w:r w:rsidRPr="009463E8">
                    <w:rPr>
                      <w:rFonts w:cs="Arial"/>
                      <w:color w:val="000000" w:themeColor="text1"/>
                      <w:szCs w:val="20"/>
                    </w:rPr>
                    <w:t>000.000 EUR</w:t>
                  </w:r>
                </w:p>
              </w:tc>
            </w:tr>
            <w:tr w:rsidR="000C08CA" w14:paraId="2D029A13" w14:textId="77777777" w:rsidTr="00FE328D">
              <w:tc>
                <w:tcPr>
                  <w:tcW w:w="2211" w:type="dxa"/>
                </w:tcPr>
                <w:p w14:paraId="0194B43B" w14:textId="77777777" w:rsidR="000C08CA" w:rsidRDefault="000C08CA" w:rsidP="00FE328D">
                  <w:pPr>
                    <w:jc w:val="both"/>
                    <w:rPr>
                      <w:rFonts w:cs="Arial"/>
                      <w:color w:val="000000" w:themeColor="text1"/>
                      <w:szCs w:val="20"/>
                    </w:rPr>
                  </w:pPr>
                </w:p>
              </w:tc>
              <w:tc>
                <w:tcPr>
                  <w:tcW w:w="2211" w:type="dxa"/>
                </w:tcPr>
                <w:p w14:paraId="40D2E2EC" w14:textId="77777777" w:rsidR="000C08CA" w:rsidRDefault="000C08CA" w:rsidP="00FE328D">
                  <w:pPr>
                    <w:jc w:val="both"/>
                    <w:rPr>
                      <w:rFonts w:cs="Arial"/>
                      <w:color w:val="000000" w:themeColor="text1"/>
                      <w:szCs w:val="20"/>
                    </w:rPr>
                  </w:pPr>
                  <w:r>
                    <w:rPr>
                      <w:rFonts w:cs="Arial"/>
                      <w:color w:val="000000" w:themeColor="text1"/>
                      <w:szCs w:val="20"/>
                    </w:rPr>
                    <w:t>Zvišanje</w:t>
                  </w:r>
                </w:p>
              </w:tc>
              <w:tc>
                <w:tcPr>
                  <w:tcW w:w="2212" w:type="dxa"/>
                </w:tcPr>
                <w:p w14:paraId="75584702" w14:textId="77777777" w:rsidR="000C08CA" w:rsidRDefault="000C08CA" w:rsidP="00FE328D">
                  <w:pPr>
                    <w:jc w:val="both"/>
                    <w:rPr>
                      <w:rFonts w:cs="Arial"/>
                      <w:color w:val="000000" w:themeColor="text1"/>
                      <w:szCs w:val="20"/>
                    </w:rPr>
                  </w:pPr>
                  <w:r>
                    <w:rPr>
                      <w:rFonts w:cs="Arial"/>
                      <w:color w:val="000000" w:themeColor="text1"/>
                      <w:szCs w:val="20"/>
                    </w:rPr>
                    <w:t>25 %</w:t>
                  </w:r>
                </w:p>
              </w:tc>
              <w:tc>
                <w:tcPr>
                  <w:tcW w:w="2212" w:type="dxa"/>
                </w:tcPr>
                <w:p w14:paraId="56A903C6" w14:textId="77777777" w:rsidR="000C08CA" w:rsidRDefault="000C08CA" w:rsidP="00FE328D">
                  <w:pPr>
                    <w:jc w:val="both"/>
                    <w:rPr>
                      <w:rFonts w:cs="Arial"/>
                      <w:color w:val="000000" w:themeColor="text1"/>
                      <w:szCs w:val="20"/>
                    </w:rPr>
                  </w:pPr>
                  <w:r>
                    <w:rPr>
                      <w:rFonts w:cs="Arial"/>
                      <w:color w:val="000000" w:themeColor="text1"/>
                      <w:szCs w:val="20"/>
                    </w:rPr>
                    <w:t>25 %</w:t>
                  </w:r>
                </w:p>
              </w:tc>
            </w:tr>
          </w:tbl>
          <w:p w14:paraId="57DD87E5" w14:textId="77777777" w:rsidR="000C08CA" w:rsidRDefault="000C08CA" w:rsidP="00FE328D">
            <w:pPr>
              <w:jc w:val="both"/>
              <w:rPr>
                <w:rFonts w:cs="Arial"/>
                <w:color w:val="000000" w:themeColor="text1"/>
                <w:szCs w:val="20"/>
              </w:rPr>
            </w:pPr>
          </w:p>
          <w:p w14:paraId="68B3307C" w14:textId="77777777" w:rsidR="000C08CA" w:rsidRDefault="000C08CA" w:rsidP="00FE328D">
            <w:pPr>
              <w:jc w:val="both"/>
              <w:rPr>
                <w:rFonts w:cs="Arial"/>
                <w:color w:val="000000" w:themeColor="text1"/>
                <w:szCs w:val="20"/>
              </w:rPr>
            </w:pPr>
            <w:r w:rsidRPr="00FE691E">
              <w:rPr>
                <w:rFonts w:cs="Arial"/>
                <w:color w:val="000000" w:themeColor="text1"/>
                <w:szCs w:val="20"/>
              </w:rPr>
              <w:t>V Republiki Sloveniji je bilo po podatkih iz letnih poročil, ki so jih gospodarske družbe Ajpes</w:t>
            </w:r>
            <w:r>
              <w:rPr>
                <w:rFonts w:cs="Arial"/>
                <w:color w:val="000000" w:themeColor="text1"/>
                <w:szCs w:val="20"/>
              </w:rPr>
              <w:t>u</w:t>
            </w:r>
            <w:r w:rsidRPr="00FE691E">
              <w:rPr>
                <w:rFonts w:cs="Arial"/>
                <w:color w:val="000000" w:themeColor="text1"/>
                <w:szCs w:val="20"/>
              </w:rPr>
              <w:t xml:space="preserve"> predložile za leto 2022, med 70.071 družbami 83,4 % mikro, 14,1 % majhnih, 1,7 % srednjih in 0,8</w:t>
            </w:r>
            <w:r>
              <w:rPr>
                <w:rFonts w:cs="Arial"/>
                <w:color w:val="000000" w:themeColor="text1"/>
                <w:szCs w:val="20"/>
              </w:rPr>
              <w:t> </w:t>
            </w:r>
            <w:r w:rsidRPr="00FE691E">
              <w:rPr>
                <w:rFonts w:cs="Arial"/>
                <w:color w:val="000000" w:themeColor="text1"/>
                <w:szCs w:val="20"/>
              </w:rPr>
              <w:t xml:space="preserve">% velikih družb. Ob upoštevanju predlaganih sprememb meril velikosti za razvrščanje družb Ajpes na podlagi podatkov iz letnih poročil za leto 2022 </w:t>
            </w:r>
            <w:r>
              <w:rPr>
                <w:rFonts w:cs="Arial"/>
                <w:color w:val="000000" w:themeColor="text1"/>
                <w:szCs w:val="20"/>
              </w:rPr>
              <w:t>predvideva</w:t>
            </w:r>
            <w:r w:rsidRPr="00FE691E">
              <w:rPr>
                <w:rFonts w:cs="Arial"/>
                <w:color w:val="000000" w:themeColor="text1"/>
                <w:szCs w:val="20"/>
              </w:rPr>
              <w:t xml:space="preserve">, da se bo v Sloveniji nekoliko </w:t>
            </w:r>
            <w:r>
              <w:rPr>
                <w:rFonts w:cs="Arial"/>
                <w:color w:val="000000" w:themeColor="text1"/>
                <w:szCs w:val="20"/>
              </w:rPr>
              <w:t>povečal</w:t>
            </w:r>
            <w:r w:rsidRPr="00FE691E">
              <w:rPr>
                <w:rFonts w:cs="Arial"/>
                <w:color w:val="000000" w:themeColor="text1"/>
                <w:szCs w:val="20"/>
              </w:rPr>
              <w:t xml:space="preserve"> delež mikro družb (85,0 %), zmanjšali pa se bodo deleži majhnih (13,0 %), srednjih (1,6 %) in velikih družb (0,4 %).</w:t>
            </w:r>
          </w:p>
          <w:p w14:paraId="3D57EC26" w14:textId="77777777" w:rsidR="000C08CA" w:rsidRDefault="000C08CA" w:rsidP="00FE328D">
            <w:pPr>
              <w:jc w:val="both"/>
              <w:rPr>
                <w:rFonts w:cs="Arial"/>
                <w:color w:val="000000" w:themeColor="text1"/>
                <w:szCs w:val="20"/>
              </w:rPr>
            </w:pPr>
          </w:p>
          <w:p w14:paraId="710B453E" w14:textId="77777777" w:rsidR="000C08CA" w:rsidRDefault="000C08CA" w:rsidP="00FE328D">
            <w:pPr>
              <w:jc w:val="both"/>
              <w:rPr>
                <w:rFonts w:cs="Arial"/>
                <w:color w:val="000000" w:themeColor="text1"/>
                <w:szCs w:val="20"/>
              </w:rPr>
            </w:pPr>
            <w:r w:rsidRPr="008B2635">
              <w:rPr>
                <w:rFonts w:cs="Arial"/>
                <w:color w:val="000000" w:themeColor="text1"/>
                <w:szCs w:val="20"/>
              </w:rPr>
              <w:t xml:space="preserve">Tabela: </w:t>
            </w:r>
            <w:r>
              <w:rPr>
                <w:rFonts w:cs="Arial"/>
                <w:color w:val="000000" w:themeColor="text1"/>
                <w:szCs w:val="20"/>
              </w:rPr>
              <w:t>P</w:t>
            </w:r>
            <w:r w:rsidRPr="008B2635">
              <w:rPr>
                <w:rFonts w:cs="Arial"/>
                <w:color w:val="000000" w:themeColor="text1"/>
                <w:szCs w:val="20"/>
              </w:rPr>
              <w:t>odatki Ajpes</w:t>
            </w:r>
            <w:r>
              <w:rPr>
                <w:rFonts w:cs="Arial"/>
                <w:color w:val="000000" w:themeColor="text1"/>
                <w:szCs w:val="20"/>
              </w:rPr>
              <w:t>a</w:t>
            </w:r>
            <w:r w:rsidRPr="008B2635">
              <w:rPr>
                <w:rFonts w:cs="Arial"/>
                <w:color w:val="000000" w:themeColor="text1"/>
                <w:szCs w:val="20"/>
              </w:rPr>
              <w:t xml:space="preserve"> na podlagi predloženih letnih poročil za leto 2022</w:t>
            </w:r>
          </w:p>
          <w:p w14:paraId="586C5AC0" w14:textId="77777777" w:rsidR="000C08CA" w:rsidRPr="008B2635" w:rsidRDefault="000C08CA" w:rsidP="00FE328D">
            <w:pPr>
              <w:jc w:val="both"/>
              <w:rPr>
                <w:rFonts w:cs="Arial"/>
                <w:color w:val="000000" w:themeColor="text1"/>
                <w:szCs w:val="20"/>
              </w:rPr>
            </w:pPr>
          </w:p>
          <w:tbl>
            <w:tblPr>
              <w:tblStyle w:val="TableGrid"/>
              <w:tblW w:w="0" w:type="auto"/>
              <w:tblLook w:val="04A0" w:firstRow="1" w:lastRow="0" w:firstColumn="1" w:lastColumn="0" w:noHBand="0" w:noVBand="1"/>
            </w:tblPr>
            <w:tblGrid>
              <w:gridCol w:w="1769"/>
              <w:gridCol w:w="1769"/>
              <w:gridCol w:w="1769"/>
              <w:gridCol w:w="1769"/>
              <w:gridCol w:w="1770"/>
            </w:tblGrid>
            <w:tr w:rsidR="000C08CA" w14:paraId="5E60B828" w14:textId="77777777" w:rsidTr="00FE328D">
              <w:tc>
                <w:tcPr>
                  <w:tcW w:w="1769" w:type="dxa"/>
                </w:tcPr>
                <w:p w14:paraId="4FE26213" w14:textId="77777777" w:rsidR="000C08CA" w:rsidRDefault="000C08CA" w:rsidP="00FE328D">
                  <w:pPr>
                    <w:jc w:val="both"/>
                    <w:rPr>
                      <w:rFonts w:cs="Arial"/>
                      <w:color w:val="000000" w:themeColor="text1"/>
                      <w:szCs w:val="20"/>
                    </w:rPr>
                  </w:pPr>
                </w:p>
              </w:tc>
              <w:tc>
                <w:tcPr>
                  <w:tcW w:w="3538" w:type="dxa"/>
                  <w:gridSpan w:val="2"/>
                </w:tcPr>
                <w:p w14:paraId="3AD94314" w14:textId="77777777" w:rsidR="000C08CA" w:rsidRDefault="000C08CA" w:rsidP="00FE328D">
                  <w:pPr>
                    <w:jc w:val="center"/>
                    <w:rPr>
                      <w:rFonts w:cs="Arial"/>
                      <w:color w:val="000000" w:themeColor="text1"/>
                      <w:szCs w:val="20"/>
                    </w:rPr>
                  </w:pPr>
                  <w:r w:rsidRPr="008B2635">
                    <w:rPr>
                      <w:rFonts w:cs="Arial"/>
                      <w:color w:val="000000" w:themeColor="text1"/>
                      <w:szCs w:val="20"/>
                    </w:rPr>
                    <w:t>TRENUTNO STANJE</w:t>
                  </w:r>
                </w:p>
              </w:tc>
              <w:tc>
                <w:tcPr>
                  <w:tcW w:w="3539" w:type="dxa"/>
                  <w:gridSpan w:val="2"/>
                </w:tcPr>
                <w:p w14:paraId="3BEF1761" w14:textId="77777777" w:rsidR="000C08CA" w:rsidRDefault="000C08CA" w:rsidP="00FE328D">
                  <w:pPr>
                    <w:jc w:val="center"/>
                    <w:rPr>
                      <w:rFonts w:cs="Arial"/>
                      <w:color w:val="000000" w:themeColor="text1"/>
                      <w:szCs w:val="20"/>
                    </w:rPr>
                  </w:pPr>
                  <w:r w:rsidRPr="008B2635">
                    <w:rPr>
                      <w:rFonts w:cs="Arial"/>
                      <w:color w:val="000000" w:themeColor="text1"/>
                      <w:szCs w:val="20"/>
                    </w:rPr>
                    <w:t>PO PRILAGODITVI MERIL</w:t>
                  </w:r>
                </w:p>
              </w:tc>
            </w:tr>
            <w:tr w:rsidR="000C08CA" w14:paraId="32B28BFF" w14:textId="77777777" w:rsidTr="00FE328D">
              <w:tc>
                <w:tcPr>
                  <w:tcW w:w="1769" w:type="dxa"/>
                </w:tcPr>
                <w:p w14:paraId="3F85C128" w14:textId="77777777" w:rsidR="000C08CA" w:rsidRDefault="000C08CA" w:rsidP="00FE328D">
                  <w:pPr>
                    <w:jc w:val="both"/>
                    <w:rPr>
                      <w:rFonts w:cs="Arial"/>
                      <w:color w:val="000000" w:themeColor="text1"/>
                      <w:szCs w:val="20"/>
                    </w:rPr>
                  </w:pPr>
                  <w:r w:rsidRPr="008B2635">
                    <w:rPr>
                      <w:rFonts w:cs="Arial"/>
                      <w:color w:val="000000" w:themeColor="text1"/>
                      <w:szCs w:val="20"/>
                    </w:rPr>
                    <w:t>VELIKOST DRUŽBE</w:t>
                  </w:r>
                </w:p>
              </w:tc>
              <w:tc>
                <w:tcPr>
                  <w:tcW w:w="1769" w:type="dxa"/>
                </w:tcPr>
                <w:p w14:paraId="094FE138" w14:textId="77777777" w:rsidR="000C08CA" w:rsidRDefault="000C08CA" w:rsidP="00FE328D">
                  <w:pPr>
                    <w:jc w:val="both"/>
                    <w:rPr>
                      <w:rFonts w:cs="Arial"/>
                      <w:color w:val="000000" w:themeColor="text1"/>
                      <w:szCs w:val="20"/>
                    </w:rPr>
                  </w:pPr>
                  <w:r w:rsidRPr="008B2635">
                    <w:rPr>
                      <w:rFonts w:cs="Arial"/>
                      <w:color w:val="000000" w:themeColor="text1"/>
                      <w:szCs w:val="20"/>
                    </w:rPr>
                    <w:t>ŠTEVILO DRUŽB</w:t>
                  </w:r>
                </w:p>
              </w:tc>
              <w:tc>
                <w:tcPr>
                  <w:tcW w:w="1769" w:type="dxa"/>
                </w:tcPr>
                <w:p w14:paraId="587FD1F9" w14:textId="77777777" w:rsidR="000C08CA" w:rsidRDefault="000C08CA" w:rsidP="00FE328D">
                  <w:pPr>
                    <w:jc w:val="both"/>
                    <w:rPr>
                      <w:rFonts w:cs="Arial"/>
                      <w:color w:val="000000" w:themeColor="text1"/>
                      <w:szCs w:val="20"/>
                    </w:rPr>
                  </w:pPr>
                  <w:r w:rsidRPr="008B2635">
                    <w:rPr>
                      <w:rFonts w:cs="Arial"/>
                      <w:color w:val="000000" w:themeColor="text1"/>
                      <w:szCs w:val="20"/>
                    </w:rPr>
                    <w:t>DELEŽ DRUŽB</w:t>
                  </w:r>
                </w:p>
              </w:tc>
              <w:tc>
                <w:tcPr>
                  <w:tcW w:w="1769" w:type="dxa"/>
                </w:tcPr>
                <w:p w14:paraId="3AA712E0" w14:textId="77777777" w:rsidR="000C08CA" w:rsidRDefault="000C08CA" w:rsidP="00FE328D">
                  <w:pPr>
                    <w:jc w:val="both"/>
                    <w:rPr>
                      <w:rFonts w:cs="Arial"/>
                      <w:color w:val="000000" w:themeColor="text1"/>
                      <w:szCs w:val="20"/>
                    </w:rPr>
                  </w:pPr>
                  <w:r w:rsidRPr="008B2635">
                    <w:rPr>
                      <w:rFonts w:cs="Arial"/>
                      <w:color w:val="000000" w:themeColor="text1"/>
                      <w:szCs w:val="20"/>
                    </w:rPr>
                    <w:t>ŠTEVILO DRUŽB</w:t>
                  </w:r>
                </w:p>
              </w:tc>
              <w:tc>
                <w:tcPr>
                  <w:tcW w:w="1770" w:type="dxa"/>
                </w:tcPr>
                <w:p w14:paraId="368BF7EA" w14:textId="77777777" w:rsidR="000C08CA" w:rsidRDefault="000C08CA" w:rsidP="00FE328D">
                  <w:pPr>
                    <w:jc w:val="both"/>
                    <w:rPr>
                      <w:rFonts w:cs="Arial"/>
                      <w:color w:val="000000" w:themeColor="text1"/>
                      <w:szCs w:val="20"/>
                    </w:rPr>
                  </w:pPr>
                  <w:r w:rsidRPr="008B2635">
                    <w:rPr>
                      <w:rFonts w:cs="Arial"/>
                      <w:color w:val="000000" w:themeColor="text1"/>
                      <w:szCs w:val="20"/>
                    </w:rPr>
                    <w:t>DELEŽ DRUŽB</w:t>
                  </w:r>
                </w:p>
              </w:tc>
            </w:tr>
            <w:tr w:rsidR="000C08CA" w14:paraId="7CCB9539" w14:textId="77777777" w:rsidTr="00FE328D">
              <w:tc>
                <w:tcPr>
                  <w:tcW w:w="1769" w:type="dxa"/>
                </w:tcPr>
                <w:p w14:paraId="06B19420" w14:textId="77777777" w:rsidR="000C08CA" w:rsidRDefault="000C08CA" w:rsidP="00FE328D">
                  <w:pPr>
                    <w:jc w:val="both"/>
                    <w:rPr>
                      <w:rFonts w:cs="Arial"/>
                      <w:color w:val="000000" w:themeColor="text1"/>
                      <w:szCs w:val="20"/>
                    </w:rPr>
                  </w:pPr>
                  <w:r w:rsidRPr="008B2635">
                    <w:rPr>
                      <w:rFonts w:cs="Arial"/>
                      <w:color w:val="000000" w:themeColor="text1"/>
                      <w:szCs w:val="20"/>
                    </w:rPr>
                    <w:t>MIKRO</w:t>
                  </w:r>
                </w:p>
              </w:tc>
              <w:tc>
                <w:tcPr>
                  <w:tcW w:w="1769" w:type="dxa"/>
                </w:tcPr>
                <w:p w14:paraId="658C44F9" w14:textId="77777777" w:rsidR="000C08CA" w:rsidRDefault="000C08CA" w:rsidP="00FE328D">
                  <w:pPr>
                    <w:jc w:val="both"/>
                    <w:rPr>
                      <w:rFonts w:cs="Arial"/>
                      <w:color w:val="000000" w:themeColor="text1"/>
                      <w:szCs w:val="20"/>
                    </w:rPr>
                  </w:pPr>
                  <w:r w:rsidRPr="008B2635">
                    <w:rPr>
                      <w:rFonts w:cs="Arial"/>
                      <w:color w:val="000000" w:themeColor="text1"/>
                      <w:szCs w:val="20"/>
                    </w:rPr>
                    <w:t>58.430</w:t>
                  </w:r>
                </w:p>
              </w:tc>
              <w:tc>
                <w:tcPr>
                  <w:tcW w:w="1769" w:type="dxa"/>
                </w:tcPr>
                <w:p w14:paraId="513EEAE2" w14:textId="77777777" w:rsidR="000C08CA" w:rsidRDefault="000C08CA" w:rsidP="00FE328D">
                  <w:pPr>
                    <w:jc w:val="both"/>
                    <w:rPr>
                      <w:rFonts w:cs="Arial"/>
                      <w:color w:val="000000" w:themeColor="text1"/>
                      <w:szCs w:val="20"/>
                    </w:rPr>
                  </w:pPr>
                  <w:r w:rsidRPr="008B2635">
                    <w:rPr>
                      <w:rFonts w:cs="Arial"/>
                      <w:color w:val="000000" w:themeColor="text1"/>
                      <w:szCs w:val="20"/>
                    </w:rPr>
                    <w:t>83,4</w:t>
                  </w:r>
                  <w:r>
                    <w:rPr>
                      <w:rFonts w:cs="Arial"/>
                      <w:color w:val="000000" w:themeColor="text1"/>
                      <w:szCs w:val="20"/>
                    </w:rPr>
                    <w:t xml:space="preserve"> </w:t>
                  </w:r>
                  <w:r w:rsidRPr="008B2635">
                    <w:rPr>
                      <w:rFonts w:cs="Arial"/>
                      <w:color w:val="000000" w:themeColor="text1"/>
                      <w:szCs w:val="20"/>
                    </w:rPr>
                    <w:t>%</w:t>
                  </w:r>
                </w:p>
              </w:tc>
              <w:tc>
                <w:tcPr>
                  <w:tcW w:w="1769" w:type="dxa"/>
                </w:tcPr>
                <w:p w14:paraId="75C5C58D" w14:textId="77777777" w:rsidR="000C08CA" w:rsidRDefault="000C08CA" w:rsidP="00FE328D">
                  <w:pPr>
                    <w:jc w:val="both"/>
                    <w:rPr>
                      <w:rFonts w:cs="Arial"/>
                      <w:color w:val="000000" w:themeColor="text1"/>
                      <w:szCs w:val="20"/>
                    </w:rPr>
                  </w:pPr>
                  <w:r w:rsidRPr="008B2635">
                    <w:rPr>
                      <w:rFonts w:cs="Arial"/>
                      <w:color w:val="000000" w:themeColor="text1"/>
                      <w:szCs w:val="20"/>
                    </w:rPr>
                    <w:t>59.547</w:t>
                  </w:r>
                </w:p>
              </w:tc>
              <w:tc>
                <w:tcPr>
                  <w:tcW w:w="1770" w:type="dxa"/>
                </w:tcPr>
                <w:p w14:paraId="3F38B02D" w14:textId="77777777" w:rsidR="000C08CA" w:rsidRDefault="000C08CA" w:rsidP="00FE328D">
                  <w:pPr>
                    <w:jc w:val="both"/>
                    <w:rPr>
                      <w:rFonts w:cs="Arial"/>
                      <w:color w:val="000000" w:themeColor="text1"/>
                      <w:szCs w:val="20"/>
                    </w:rPr>
                  </w:pPr>
                  <w:r w:rsidRPr="008B2635">
                    <w:rPr>
                      <w:rFonts w:cs="Arial"/>
                      <w:color w:val="000000" w:themeColor="text1"/>
                      <w:szCs w:val="20"/>
                    </w:rPr>
                    <w:t>85</w:t>
                  </w:r>
                  <w:r>
                    <w:rPr>
                      <w:rFonts w:cs="Arial"/>
                      <w:color w:val="000000" w:themeColor="text1"/>
                      <w:szCs w:val="20"/>
                    </w:rPr>
                    <w:t xml:space="preserve"> </w:t>
                  </w:r>
                  <w:r w:rsidRPr="008B2635">
                    <w:rPr>
                      <w:rFonts w:cs="Arial"/>
                      <w:color w:val="000000" w:themeColor="text1"/>
                      <w:szCs w:val="20"/>
                    </w:rPr>
                    <w:t>%</w:t>
                  </w:r>
                </w:p>
              </w:tc>
            </w:tr>
            <w:tr w:rsidR="000C08CA" w14:paraId="6364EFCF" w14:textId="77777777" w:rsidTr="00FE328D">
              <w:tc>
                <w:tcPr>
                  <w:tcW w:w="1769" w:type="dxa"/>
                </w:tcPr>
                <w:p w14:paraId="2928949C" w14:textId="77777777" w:rsidR="000C08CA" w:rsidRDefault="000C08CA" w:rsidP="00FE328D">
                  <w:pPr>
                    <w:jc w:val="both"/>
                    <w:rPr>
                      <w:rFonts w:cs="Arial"/>
                      <w:color w:val="000000" w:themeColor="text1"/>
                      <w:szCs w:val="20"/>
                    </w:rPr>
                  </w:pPr>
                  <w:r w:rsidRPr="008B2635">
                    <w:rPr>
                      <w:rFonts w:cs="Arial"/>
                      <w:color w:val="000000" w:themeColor="text1"/>
                      <w:szCs w:val="20"/>
                    </w:rPr>
                    <w:t>MA</w:t>
                  </w:r>
                  <w:r>
                    <w:rPr>
                      <w:rFonts w:cs="Arial"/>
                      <w:color w:val="000000" w:themeColor="text1"/>
                      <w:szCs w:val="20"/>
                    </w:rPr>
                    <w:t>JHNA</w:t>
                  </w:r>
                </w:p>
              </w:tc>
              <w:tc>
                <w:tcPr>
                  <w:tcW w:w="1769" w:type="dxa"/>
                </w:tcPr>
                <w:p w14:paraId="14D9E38A" w14:textId="77777777" w:rsidR="000C08CA" w:rsidRDefault="000C08CA" w:rsidP="00FE328D">
                  <w:pPr>
                    <w:jc w:val="both"/>
                    <w:rPr>
                      <w:rFonts w:cs="Arial"/>
                      <w:color w:val="000000" w:themeColor="text1"/>
                      <w:szCs w:val="20"/>
                    </w:rPr>
                  </w:pPr>
                  <w:r w:rsidRPr="008B2635">
                    <w:rPr>
                      <w:rFonts w:cs="Arial"/>
                      <w:color w:val="000000" w:themeColor="text1"/>
                      <w:szCs w:val="20"/>
                    </w:rPr>
                    <w:t>9.904</w:t>
                  </w:r>
                </w:p>
              </w:tc>
              <w:tc>
                <w:tcPr>
                  <w:tcW w:w="1769" w:type="dxa"/>
                </w:tcPr>
                <w:p w14:paraId="05FAE7D3" w14:textId="77777777" w:rsidR="000C08CA" w:rsidRDefault="000C08CA" w:rsidP="00FE328D">
                  <w:pPr>
                    <w:jc w:val="both"/>
                    <w:rPr>
                      <w:rFonts w:cs="Arial"/>
                      <w:color w:val="000000" w:themeColor="text1"/>
                      <w:szCs w:val="20"/>
                    </w:rPr>
                  </w:pPr>
                  <w:r w:rsidRPr="008B2635">
                    <w:rPr>
                      <w:rFonts w:cs="Arial"/>
                      <w:color w:val="000000" w:themeColor="text1"/>
                      <w:szCs w:val="20"/>
                    </w:rPr>
                    <w:t>14,1</w:t>
                  </w:r>
                  <w:r>
                    <w:rPr>
                      <w:rFonts w:cs="Arial"/>
                      <w:color w:val="000000" w:themeColor="text1"/>
                      <w:szCs w:val="20"/>
                    </w:rPr>
                    <w:t xml:space="preserve"> </w:t>
                  </w:r>
                  <w:r w:rsidRPr="008B2635">
                    <w:rPr>
                      <w:rFonts w:cs="Arial"/>
                      <w:color w:val="000000" w:themeColor="text1"/>
                      <w:szCs w:val="20"/>
                    </w:rPr>
                    <w:t>%</w:t>
                  </w:r>
                </w:p>
              </w:tc>
              <w:tc>
                <w:tcPr>
                  <w:tcW w:w="1769" w:type="dxa"/>
                </w:tcPr>
                <w:p w14:paraId="059C3018" w14:textId="77777777" w:rsidR="000C08CA" w:rsidRDefault="000C08CA" w:rsidP="00FE328D">
                  <w:pPr>
                    <w:jc w:val="both"/>
                    <w:rPr>
                      <w:rFonts w:cs="Arial"/>
                      <w:color w:val="000000" w:themeColor="text1"/>
                      <w:szCs w:val="20"/>
                    </w:rPr>
                  </w:pPr>
                  <w:r w:rsidRPr="008B2635">
                    <w:rPr>
                      <w:rFonts w:cs="Arial"/>
                      <w:color w:val="000000" w:themeColor="text1"/>
                      <w:szCs w:val="20"/>
                    </w:rPr>
                    <w:t>9.121</w:t>
                  </w:r>
                </w:p>
              </w:tc>
              <w:tc>
                <w:tcPr>
                  <w:tcW w:w="1770" w:type="dxa"/>
                </w:tcPr>
                <w:p w14:paraId="53EDC329" w14:textId="77777777" w:rsidR="000C08CA" w:rsidRDefault="000C08CA" w:rsidP="00FE328D">
                  <w:pPr>
                    <w:jc w:val="both"/>
                    <w:rPr>
                      <w:rFonts w:cs="Arial"/>
                      <w:color w:val="000000" w:themeColor="text1"/>
                      <w:szCs w:val="20"/>
                    </w:rPr>
                  </w:pPr>
                  <w:r w:rsidRPr="008B2635">
                    <w:rPr>
                      <w:rFonts w:cs="Arial"/>
                      <w:color w:val="000000" w:themeColor="text1"/>
                      <w:szCs w:val="20"/>
                    </w:rPr>
                    <w:t>13</w:t>
                  </w:r>
                  <w:r>
                    <w:rPr>
                      <w:rFonts w:cs="Arial"/>
                      <w:color w:val="000000" w:themeColor="text1"/>
                      <w:szCs w:val="20"/>
                    </w:rPr>
                    <w:t xml:space="preserve"> </w:t>
                  </w:r>
                  <w:r w:rsidRPr="008B2635">
                    <w:rPr>
                      <w:rFonts w:cs="Arial"/>
                      <w:color w:val="000000" w:themeColor="text1"/>
                      <w:szCs w:val="20"/>
                    </w:rPr>
                    <w:t>%</w:t>
                  </w:r>
                </w:p>
              </w:tc>
            </w:tr>
            <w:tr w:rsidR="000C08CA" w14:paraId="7935DD5A" w14:textId="77777777" w:rsidTr="00FE328D">
              <w:tc>
                <w:tcPr>
                  <w:tcW w:w="1769" w:type="dxa"/>
                </w:tcPr>
                <w:p w14:paraId="3250B1F7" w14:textId="77777777" w:rsidR="000C08CA" w:rsidRDefault="000C08CA" w:rsidP="00FE328D">
                  <w:pPr>
                    <w:jc w:val="both"/>
                    <w:rPr>
                      <w:rFonts w:cs="Arial"/>
                      <w:color w:val="000000" w:themeColor="text1"/>
                      <w:szCs w:val="20"/>
                    </w:rPr>
                  </w:pPr>
                  <w:r w:rsidRPr="008B2635">
                    <w:rPr>
                      <w:rFonts w:cs="Arial"/>
                      <w:color w:val="000000" w:themeColor="text1"/>
                      <w:szCs w:val="20"/>
                    </w:rPr>
                    <w:t>SREDNJA</w:t>
                  </w:r>
                </w:p>
              </w:tc>
              <w:tc>
                <w:tcPr>
                  <w:tcW w:w="1769" w:type="dxa"/>
                </w:tcPr>
                <w:p w14:paraId="5CC81B6F" w14:textId="77777777" w:rsidR="000C08CA" w:rsidRDefault="000C08CA" w:rsidP="00FE328D">
                  <w:pPr>
                    <w:jc w:val="both"/>
                    <w:rPr>
                      <w:rFonts w:cs="Arial"/>
                      <w:color w:val="000000" w:themeColor="text1"/>
                      <w:szCs w:val="20"/>
                    </w:rPr>
                  </w:pPr>
                  <w:r w:rsidRPr="008B2635">
                    <w:rPr>
                      <w:rFonts w:cs="Arial"/>
                      <w:color w:val="000000" w:themeColor="text1"/>
                      <w:szCs w:val="20"/>
                    </w:rPr>
                    <w:t>1.208</w:t>
                  </w:r>
                </w:p>
              </w:tc>
              <w:tc>
                <w:tcPr>
                  <w:tcW w:w="1769" w:type="dxa"/>
                </w:tcPr>
                <w:p w14:paraId="03D14ED7" w14:textId="77777777" w:rsidR="000C08CA" w:rsidRDefault="000C08CA" w:rsidP="00FE328D">
                  <w:pPr>
                    <w:jc w:val="both"/>
                    <w:rPr>
                      <w:rFonts w:cs="Arial"/>
                      <w:color w:val="000000" w:themeColor="text1"/>
                      <w:szCs w:val="20"/>
                    </w:rPr>
                  </w:pPr>
                  <w:r w:rsidRPr="008B2635">
                    <w:rPr>
                      <w:rFonts w:cs="Arial"/>
                      <w:color w:val="000000" w:themeColor="text1"/>
                      <w:szCs w:val="20"/>
                    </w:rPr>
                    <w:t>1,7</w:t>
                  </w:r>
                  <w:r>
                    <w:rPr>
                      <w:rFonts w:cs="Arial"/>
                      <w:color w:val="000000" w:themeColor="text1"/>
                      <w:szCs w:val="20"/>
                    </w:rPr>
                    <w:t xml:space="preserve"> </w:t>
                  </w:r>
                  <w:r w:rsidRPr="008B2635">
                    <w:rPr>
                      <w:rFonts w:cs="Arial"/>
                      <w:color w:val="000000" w:themeColor="text1"/>
                      <w:szCs w:val="20"/>
                    </w:rPr>
                    <w:t>%</w:t>
                  </w:r>
                </w:p>
              </w:tc>
              <w:tc>
                <w:tcPr>
                  <w:tcW w:w="1769" w:type="dxa"/>
                </w:tcPr>
                <w:p w14:paraId="0FCA3599" w14:textId="77777777" w:rsidR="000C08CA" w:rsidRDefault="000C08CA" w:rsidP="00FE328D">
                  <w:pPr>
                    <w:jc w:val="both"/>
                    <w:rPr>
                      <w:rFonts w:cs="Arial"/>
                      <w:color w:val="000000" w:themeColor="text1"/>
                      <w:szCs w:val="20"/>
                    </w:rPr>
                  </w:pPr>
                  <w:r w:rsidRPr="008B2635">
                    <w:rPr>
                      <w:rFonts w:cs="Arial"/>
                      <w:color w:val="000000" w:themeColor="text1"/>
                      <w:szCs w:val="20"/>
                    </w:rPr>
                    <w:t>1.129</w:t>
                  </w:r>
                </w:p>
              </w:tc>
              <w:tc>
                <w:tcPr>
                  <w:tcW w:w="1770" w:type="dxa"/>
                </w:tcPr>
                <w:p w14:paraId="5B76D77E" w14:textId="77777777" w:rsidR="000C08CA" w:rsidRDefault="000C08CA" w:rsidP="00FE328D">
                  <w:pPr>
                    <w:jc w:val="both"/>
                    <w:rPr>
                      <w:rFonts w:cs="Arial"/>
                      <w:color w:val="000000" w:themeColor="text1"/>
                      <w:szCs w:val="20"/>
                    </w:rPr>
                  </w:pPr>
                  <w:r w:rsidRPr="008B2635">
                    <w:rPr>
                      <w:rFonts w:cs="Arial"/>
                      <w:color w:val="000000" w:themeColor="text1"/>
                      <w:szCs w:val="20"/>
                    </w:rPr>
                    <w:t>1,6</w:t>
                  </w:r>
                  <w:r>
                    <w:rPr>
                      <w:rFonts w:cs="Arial"/>
                      <w:color w:val="000000" w:themeColor="text1"/>
                      <w:szCs w:val="20"/>
                    </w:rPr>
                    <w:t xml:space="preserve"> </w:t>
                  </w:r>
                  <w:r w:rsidRPr="008B2635">
                    <w:rPr>
                      <w:rFonts w:cs="Arial"/>
                      <w:color w:val="000000" w:themeColor="text1"/>
                      <w:szCs w:val="20"/>
                    </w:rPr>
                    <w:t>%</w:t>
                  </w:r>
                </w:p>
              </w:tc>
            </w:tr>
            <w:tr w:rsidR="000C08CA" w14:paraId="21511B7B" w14:textId="77777777" w:rsidTr="00FE328D">
              <w:tc>
                <w:tcPr>
                  <w:tcW w:w="1769" w:type="dxa"/>
                </w:tcPr>
                <w:p w14:paraId="2279CB12" w14:textId="77777777" w:rsidR="000C08CA" w:rsidRDefault="000C08CA" w:rsidP="00FE328D">
                  <w:pPr>
                    <w:jc w:val="both"/>
                    <w:rPr>
                      <w:rFonts w:cs="Arial"/>
                      <w:color w:val="000000" w:themeColor="text1"/>
                      <w:szCs w:val="20"/>
                    </w:rPr>
                  </w:pPr>
                  <w:r w:rsidRPr="008B2635">
                    <w:rPr>
                      <w:rFonts w:cs="Arial"/>
                      <w:color w:val="000000" w:themeColor="text1"/>
                      <w:szCs w:val="20"/>
                    </w:rPr>
                    <w:t>VELIKA</w:t>
                  </w:r>
                </w:p>
              </w:tc>
              <w:tc>
                <w:tcPr>
                  <w:tcW w:w="1769" w:type="dxa"/>
                </w:tcPr>
                <w:p w14:paraId="3570314E" w14:textId="77777777" w:rsidR="000C08CA" w:rsidRDefault="000C08CA" w:rsidP="00FE328D">
                  <w:pPr>
                    <w:jc w:val="both"/>
                    <w:rPr>
                      <w:rFonts w:cs="Arial"/>
                      <w:color w:val="000000" w:themeColor="text1"/>
                      <w:szCs w:val="20"/>
                    </w:rPr>
                  </w:pPr>
                  <w:r w:rsidRPr="008B2635">
                    <w:rPr>
                      <w:rFonts w:cs="Arial"/>
                      <w:color w:val="000000" w:themeColor="text1"/>
                      <w:szCs w:val="20"/>
                    </w:rPr>
                    <w:t>529</w:t>
                  </w:r>
                </w:p>
              </w:tc>
              <w:tc>
                <w:tcPr>
                  <w:tcW w:w="1769" w:type="dxa"/>
                </w:tcPr>
                <w:p w14:paraId="2C2046EB" w14:textId="77777777" w:rsidR="000C08CA" w:rsidRDefault="000C08CA" w:rsidP="00FE328D">
                  <w:pPr>
                    <w:jc w:val="both"/>
                    <w:rPr>
                      <w:rFonts w:cs="Arial"/>
                      <w:color w:val="000000" w:themeColor="text1"/>
                      <w:szCs w:val="20"/>
                    </w:rPr>
                  </w:pPr>
                  <w:r w:rsidRPr="008B2635">
                    <w:rPr>
                      <w:rFonts w:cs="Arial"/>
                      <w:color w:val="000000" w:themeColor="text1"/>
                      <w:szCs w:val="20"/>
                    </w:rPr>
                    <w:t>0,8</w:t>
                  </w:r>
                  <w:r>
                    <w:rPr>
                      <w:rFonts w:cs="Arial"/>
                      <w:color w:val="000000" w:themeColor="text1"/>
                      <w:szCs w:val="20"/>
                    </w:rPr>
                    <w:t xml:space="preserve"> </w:t>
                  </w:r>
                  <w:r w:rsidRPr="008B2635">
                    <w:rPr>
                      <w:rFonts w:cs="Arial"/>
                      <w:color w:val="000000" w:themeColor="text1"/>
                      <w:szCs w:val="20"/>
                    </w:rPr>
                    <w:t>%</w:t>
                  </w:r>
                </w:p>
              </w:tc>
              <w:tc>
                <w:tcPr>
                  <w:tcW w:w="1769" w:type="dxa"/>
                </w:tcPr>
                <w:p w14:paraId="6D4D6715" w14:textId="77777777" w:rsidR="000C08CA" w:rsidRDefault="000C08CA" w:rsidP="00FE328D">
                  <w:pPr>
                    <w:jc w:val="both"/>
                    <w:rPr>
                      <w:rFonts w:cs="Arial"/>
                      <w:color w:val="000000" w:themeColor="text1"/>
                      <w:szCs w:val="20"/>
                    </w:rPr>
                  </w:pPr>
                  <w:r w:rsidRPr="008B2635">
                    <w:rPr>
                      <w:rFonts w:cs="Arial"/>
                      <w:color w:val="000000" w:themeColor="text1"/>
                      <w:szCs w:val="20"/>
                    </w:rPr>
                    <w:t>274</w:t>
                  </w:r>
                </w:p>
              </w:tc>
              <w:tc>
                <w:tcPr>
                  <w:tcW w:w="1770" w:type="dxa"/>
                </w:tcPr>
                <w:p w14:paraId="4D7875EE" w14:textId="77777777" w:rsidR="000C08CA" w:rsidRDefault="000C08CA" w:rsidP="00FE328D">
                  <w:pPr>
                    <w:jc w:val="both"/>
                    <w:rPr>
                      <w:rFonts w:cs="Arial"/>
                      <w:color w:val="000000" w:themeColor="text1"/>
                      <w:szCs w:val="20"/>
                    </w:rPr>
                  </w:pPr>
                  <w:r w:rsidRPr="008B2635">
                    <w:rPr>
                      <w:rFonts w:cs="Arial"/>
                      <w:color w:val="000000" w:themeColor="text1"/>
                      <w:szCs w:val="20"/>
                    </w:rPr>
                    <w:t>0,4</w:t>
                  </w:r>
                  <w:r>
                    <w:rPr>
                      <w:rFonts w:cs="Arial"/>
                      <w:color w:val="000000" w:themeColor="text1"/>
                      <w:szCs w:val="20"/>
                    </w:rPr>
                    <w:t xml:space="preserve"> </w:t>
                  </w:r>
                  <w:r w:rsidRPr="008B2635">
                    <w:rPr>
                      <w:rFonts w:cs="Arial"/>
                      <w:color w:val="000000" w:themeColor="text1"/>
                      <w:szCs w:val="20"/>
                    </w:rPr>
                    <w:t>%</w:t>
                  </w:r>
                </w:p>
              </w:tc>
            </w:tr>
            <w:tr w:rsidR="000C08CA" w14:paraId="2E0A4A7C" w14:textId="77777777" w:rsidTr="00FE328D">
              <w:tc>
                <w:tcPr>
                  <w:tcW w:w="1769" w:type="dxa"/>
                </w:tcPr>
                <w:p w14:paraId="3F98065D" w14:textId="77777777" w:rsidR="000C08CA" w:rsidRDefault="000C08CA" w:rsidP="00FE328D">
                  <w:pPr>
                    <w:jc w:val="both"/>
                    <w:rPr>
                      <w:rFonts w:cs="Arial"/>
                      <w:color w:val="000000" w:themeColor="text1"/>
                      <w:szCs w:val="20"/>
                    </w:rPr>
                  </w:pPr>
                  <w:r w:rsidRPr="008B2635">
                    <w:rPr>
                      <w:rFonts w:cs="Arial"/>
                      <w:color w:val="000000" w:themeColor="text1"/>
                      <w:szCs w:val="20"/>
                    </w:rPr>
                    <w:t>Skupaj</w:t>
                  </w:r>
                </w:p>
              </w:tc>
              <w:tc>
                <w:tcPr>
                  <w:tcW w:w="1769" w:type="dxa"/>
                </w:tcPr>
                <w:p w14:paraId="4638FEF8" w14:textId="77777777" w:rsidR="000C08CA" w:rsidRDefault="000C08CA" w:rsidP="00FE328D">
                  <w:pPr>
                    <w:jc w:val="both"/>
                    <w:rPr>
                      <w:rFonts w:cs="Arial"/>
                      <w:color w:val="000000" w:themeColor="text1"/>
                      <w:szCs w:val="20"/>
                    </w:rPr>
                  </w:pPr>
                  <w:r w:rsidRPr="008B2635">
                    <w:rPr>
                      <w:rFonts w:cs="Arial"/>
                      <w:color w:val="000000" w:themeColor="text1"/>
                      <w:szCs w:val="20"/>
                    </w:rPr>
                    <w:t>70.071</w:t>
                  </w:r>
                </w:p>
              </w:tc>
              <w:tc>
                <w:tcPr>
                  <w:tcW w:w="1769" w:type="dxa"/>
                </w:tcPr>
                <w:p w14:paraId="139A3A20" w14:textId="77777777" w:rsidR="000C08CA" w:rsidRDefault="000C08CA" w:rsidP="00FE328D">
                  <w:pPr>
                    <w:jc w:val="both"/>
                    <w:rPr>
                      <w:rFonts w:cs="Arial"/>
                      <w:color w:val="000000" w:themeColor="text1"/>
                      <w:szCs w:val="20"/>
                    </w:rPr>
                  </w:pPr>
                  <w:r w:rsidRPr="008B2635">
                    <w:rPr>
                      <w:rFonts w:cs="Arial"/>
                      <w:color w:val="000000" w:themeColor="text1"/>
                      <w:szCs w:val="20"/>
                    </w:rPr>
                    <w:t>100</w:t>
                  </w:r>
                  <w:r>
                    <w:rPr>
                      <w:rFonts w:cs="Arial"/>
                      <w:color w:val="000000" w:themeColor="text1"/>
                      <w:szCs w:val="20"/>
                    </w:rPr>
                    <w:t xml:space="preserve"> </w:t>
                  </w:r>
                  <w:r w:rsidRPr="008B2635">
                    <w:rPr>
                      <w:rFonts w:cs="Arial"/>
                      <w:color w:val="000000" w:themeColor="text1"/>
                      <w:szCs w:val="20"/>
                    </w:rPr>
                    <w:t>%</w:t>
                  </w:r>
                </w:p>
              </w:tc>
              <w:tc>
                <w:tcPr>
                  <w:tcW w:w="1769" w:type="dxa"/>
                </w:tcPr>
                <w:p w14:paraId="1EB4A2C9" w14:textId="77777777" w:rsidR="000C08CA" w:rsidRDefault="000C08CA" w:rsidP="00FE328D">
                  <w:pPr>
                    <w:jc w:val="both"/>
                    <w:rPr>
                      <w:rFonts w:cs="Arial"/>
                      <w:color w:val="000000" w:themeColor="text1"/>
                      <w:szCs w:val="20"/>
                    </w:rPr>
                  </w:pPr>
                  <w:r w:rsidRPr="008B2635">
                    <w:rPr>
                      <w:rFonts w:cs="Arial"/>
                      <w:color w:val="000000" w:themeColor="text1"/>
                      <w:szCs w:val="20"/>
                    </w:rPr>
                    <w:t>70.071</w:t>
                  </w:r>
                </w:p>
              </w:tc>
              <w:tc>
                <w:tcPr>
                  <w:tcW w:w="1770" w:type="dxa"/>
                </w:tcPr>
                <w:p w14:paraId="12D5C599" w14:textId="77777777" w:rsidR="000C08CA" w:rsidRDefault="000C08CA" w:rsidP="00FE328D">
                  <w:pPr>
                    <w:jc w:val="both"/>
                    <w:rPr>
                      <w:rFonts w:cs="Arial"/>
                      <w:color w:val="000000" w:themeColor="text1"/>
                      <w:szCs w:val="20"/>
                    </w:rPr>
                  </w:pPr>
                  <w:r w:rsidRPr="008B2635">
                    <w:rPr>
                      <w:rFonts w:cs="Arial"/>
                      <w:color w:val="000000" w:themeColor="text1"/>
                      <w:szCs w:val="20"/>
                    </w:rPr>
                    <w:t>100</w:t>
                  </w:r>
                  <w:r>
                    <w:rPr>
                      <w:rFonts w:cs="Arial"/>
                      <w:color w:val="000000" w:themeColor="text1"/>
                      <w:szCs w:val="20"/>
                    </w:rPr>
                    <w:t xml:space="preserve"> </w:t>
                  </w:r>
                  <w:r w:rsidRPr="008B2635">
                    <w:rPr>
                      <w:rFonts w:cs="Arial"/>
                      <w:color w:val="000000" w:themeColor="text1"/>
                      <w:szCs w:val="20"/>
                    </w:rPr>
                    <w:t>%</w:t>
                  </w:r>
                </w:p>
              </w:tc>
            </w:tr>
          </w:tbl>
          <w:p w14:paraId="5BD850F6" w14:textId="77777777" w:rsidR="000C08CA" w:rsidRPr="00605612" w:rsidRDefault="000C08CA" w:rsidP="00FE328D">
            <w:pPr>
              <w:jc w:val="both"/>
              <w:rPr>
                <w:rFonts w:cs="Arial"/>
                <w:color w:val="000000" w:themeColor="text1"/>
                <w:szCs w:val="20"/>
              </w:rPr>
            </w:pPr>
          </w:p>
          <w:p w14:paraId="14A6C603" w14:textId="77777777" w:rsidR="000C08CA" w:rsidRPr="0063006B" w:rsidRDefault="000C08CA" w:rsidP="00FE328D">
            <w:pPr>
              <w:jc w:val="both"/>
              <w:rPr>
                <w:rFonts w:cs="Arial"/>
                <w:b/>
                <w:bCs/>
                <w:color w:val="000000" w:themeColor="text1"/>
                <w:szCs w:val="20"/>
              </w:rPr>
            </w:pPr>
            <w:r w:rsidRPr="0063006B">
              <w:rPr>
                <w:rFonts w:cs="Arial"/>
                <w:b/>
                <w:bCs/>
                <w:color w:val="000000" w:themeColor="text1"/>
                <w:szCs w:val="20"/>
              </w:rPr>
              <w:t xml:space="preserve">Ureditev spremenjene </w:t>
            </w:r>
            <w:r>
              <w:rPr>
                <w:rFonts w:cs="Arial"/>
                <w:b/>
                <w:bCs/>
                <w:color w:val="000000" w:themeColor="text1"/>
                <w:szCs w:val="20"/>
              </w:rPr>
              <w:t>opredelitve</w:t>
            </w:r>
            <w:r w:rsidRPr="0063006B">
              <w:rPr>
                <w:rFonts w:cs="Arial"/>
                <w:b/>
                <w:bCs/>
                <w:color w:val="000000" w:themeColor="text1"/>
                <w:szCs w:val="20"/>
              </w:rPr>
              <w:t xml:space="preserve"> subjekta javnega interesa</w:t>
            </w:r>
          </w:p>
          <w:p w14:paraId="5D070FFE" w14:textId="77777777" w:rsidR="000C08CA" w:rsidRDefault="000C08CA" w:rsidP="4DB7FD0D">
            <w:pPr>
              <w:pStyle w:val="doc-ti"/>
              <w:shd w:val="clear" w:color="auto" w:fill="FFFFFF" w:themeFill="background1"/>
              <w:spacing w:before="240" w:beforeAutospacing="0" w:after="120" w:afterAutospacing="0" w:line="276" w:lineRule="auto"/>
              <w:jc w:val="both"/>
              <w:rPr>
                <w:rFonts w:ascii="Arial" w:hAnsi="Arial" w:cs="Arial"/>
                <w:color w:val="000000"/>
                <w:sz w:val="20"/>
                <w:szCs w:val="20"/>
                <w:shd w:val="clear" w:color="auto" w:fill="FFFFFF"/>
              </w:rPr>
            </w:pPr>
            <w:r w:rsidRPr="0063006B">
              <w:rPr>
                <w:rFonts w:ascii="Arial" w:hAnsi="Arial" w:cs="Arial"/>
                <w:color w:val="000000" w:themeColor="text1"/>
                <w:sz w:val="20"/>
                <w:szCs w:val="20"/>
              </w:rPr>
              <w:t xml:space="preserve">S predlogom zakona se na novo ureja </w:t>
            </w:r>
            <w:r>
              <w:rPr>
                <w:rFonts w:ascii="Arial" w:hAnsi="Arial" w:cs="Arial"/>
                <w:color w:val="000000" w:themeColor="text1"/>
                <w:sz w:val="20"/>
                <w:szCs w:val="20"/>
              </w:rPr>
              <w:t>opredelitev</w:t>
            </w:r>
            <w:r w:rsidRPr="0063006B">
              <w:rPr>
                <w:rFonts w:ascii="Arial" w:hAnsi="Arial" w:cs="Arial"/>
                <w:color w:val="000000" w:themeColor="text1"/>
                <w:sz w:val="20"/>
                <w:szCs w:val="20"/>
              </w:rPr>
              <w:t xml:space="preserve"> subjektov javnega interesa</w:t>
            </w:r>
            <w:r>
              <w:rPr>
                <w:rFonts w:ascii="Arial" w:hAnsi="Arial" w:cs="Arial"/>
                <w:color w:val="000000" w:themeColor="text1"/>
                <w:sz w:val="20"/>
                <w:szCs w:val="20"/>
              </w:rPr>
              <w:t xml:space="preserve"> (v nadaljnjem besedilu: SJI)</w:t>
            </w:r>
            <w:r w:rsidRPr="0063006B">
              <w:rPr>
                <w:rFonts w:ascii="Arial" w:hAnsi="Arial" w:cs="Arial"/>
                <w:color w:val="000000" w:themeColor="text1"/>
                <w:sz w:val="20"/>
                <w:szCs w:val="20"/>
              </w:rPr>
              <w:t xml:space="preserve">, </w:t>
            </w:r>
            <w:r>
              <w:rPr>
                <w:rFonts w:ascii="Arial" w:hAnsi="Arial" w:cs="Arial"/>
                <w:color w:val="000000" w:themeColor="text1"/>
                <w:sz w:val="20"/>
                <w:szCs w:val="20"/>
              </w:rPr>
              <w:t>saj</w:t>
            </w:r>
            <w:r w:rsidRPr="0063006B">
              <w:rPr>
                <w:rFonts w:ascii="Arial" w:hAnsi="Arial" w:cs="Arial"/>
                <w:color w:val="000000" w:themeColor="text1"/>
                <w:sz w:val="20"/>
                <w:szCs w:val="20"/>
              </w:rPr>
              <w:t xml:space="preserve"> zanj</w:t>
            </w:r>
            <w:r>
              <w:rPr>
                <w:rFonts w:ascii="Arial" w:hAnsi="Arial" w:cs="Arial"/>
                <w:color w:val="000000" w:themeColor="text1"/>
                <w:sz w:val="20"/>
                <w:szCs w:val="20"/>
              </w:rPr>
              <w:t>e</w:t>
            </w:r>
            <w:r w:rsidRPr="0063006B">
              <w:rPr>
                <w:rFonts w:ascii="Arial" w:hAnsi="Arial" w:cs="Arial"/>
                <w:color w:val="000000" w:themeColor="text1"/>
                <w:sz w:val="20"/>
                <w:szCs w:val="20"/>
              </w:rPr>
              <w:t xml:space="preserve"> veljajo posebnosti glede poročanja </w:t>
            </w:r>
            <w:r>
              <w:rPr>
                <w:rFonts w:ascii="Arial" w:hAnsi="Arial" w:cs="Arial"/>
                <w:color w:val="000000" w:themeColor="text1"/>
                <w:sz w:val="20"/>
                <w:szCs w:val="20"/>
              </w:rPr>
              <w:t>in</w:t>
            </w:r>
            <w:r w:rsidRPr="0063006B">
              <w:rPr>
                <w:rFonts w:ascii="Arial" w:hAnsi="Arial" w:cs="Arial"/>
                <w:color w:val="000000" w:themeColor="text1"/>
                <w:sz w:val="20"/>
                <w:szCs w:val="20"/>
              </w:rPr>
              <w:t xml:space="preserve"> nekatere druge zakonske obveznosti s področja korporativnega upravljanja. Pred</w:t>
            </w:r>
            <w:r>
              <w:rPr>
                <w:rFonts w:ascii="Arial" w:hAnsi="Arial" w:cs="Arial"/>
                <w:color w:val="000000" w:themeColor="text1"/>
                <w:sz w:val="20"/>
                <w:szCs w:val="20"/>
              </w:rPr>
              <w:t xml:space="preserve"> tem</w:t>
            </w:r>
            <w:r w:rsidRPr="0063006B">
              <w:rPr>
                <w:rFonts w:ascii="Arial" w:hAnsi="Arial" w:cs="Arial"/>
                <w:color w:val="000000" w:themeColor="text1"/>
                <w:sz w:val="20"/>
                <w:szCs w:val="20"/>
              </w:rPr>
              <w:t xml:space="preserve"> je bil v ZGD-1</w:t>
            </w:r>
            <w:r w:rsidRPr="0063006B" w:rsidDel="00216CED">
              <w:rPr>
                <w:rFonts w:ascii="Arial" w:hAnsi="Arial" w:cs="Arial"/>
                <w:color w:val="000000" w:themeColor="text1"/>
                <w:sz w:val="20"/>
                <w:szCs w:val="20"/>
              </w:rPr>
              <w:t xml:space="preserve"> </w:t>
            </w:r>
            <w:r w:rsidRPr="0063006B">
              <w:rPr>
                <w:rFonts w:ascii="Arial" w:hAnsi="Arial" w:cs="Arial"/>
                <w:color w:val="000000" w:themeColor="text1"/>
                <w:sz w:val="20"/>
                <w:szCs w:val="20"/>
              </w:rPr>
              <w:t>sklic na Zakon o revidiranju (</w:t>
            </w:r>
            <w:r w:rsidRPr="4DB7FD0D">
              <w:rPr>
                <w:rFonts w:ascii="Arial" w:hAnsi="Arial" w:cs="Arial"/>
                <w:color w:val="000000" w:themeColor="text1"/>
                <w:sz w:val="20"/>
                <w:szCs w:val="20"/>
                <w:shd w:val="clear" w:color="auto" w:fill="FFFFFF"/>
              </w:rPr>
              <w:t>Uradni list RS, št. </w:t>
            </w:r>
            <w:hyperlink r:id="rId20" w:tgtFrame="_blank" w:tooltip="Zakon o revidiranju (ZRev-2)" w:history="1">
              <w:r w:rsidRPr="4DB7FD0D">
                <w:rPr>
                  <w:rStyle w:val="Hyperlink"/>
                  <w:rFonts w:ascii="Arial" w:hAnsi="Arial" w:cs="Arial"/>
                  <w:color w:val="000000" w:themeColor="text1"/>
                  <w:sz w:val="20"/>
                  <w:szCs w:val="20"/>
                  <w:u w:val="none"/>
                  <w:shd w:val="clear" w:color="auto" w:fill="FFFFFF"/>
                </w:rPr>
                <w:t>65/08</w:t>
              </w:r>
            </w:hyperlink>
            <w:r w:rsidRPr="4DB7FD0D">
              <w:rPr>
                <w:rFonts w:ascii="Arial" w:hAnsi="Arial" w:cs="Arial"/>
                <w:color w:val="000000" w:themeColor="text1"/>
                <w:sz w:val="20"/>
                <w:szCs w:val="20"/>
                <w:shd w:val="clear" w:color="auto" w:fill="FFFFFF"/>
              </w:rPr>
              <w:t>, </w:t>
            </w:r>
            <w:hyperlink r:id="rId21" w:tgtFrame="_blank" w:tooltip="Zakon o spremembah in dopolnitvah Zakona o sodiščih (ZS-K)" w:history="1">
              <w:r w:rsidRPr="4DB7FD0D">
                <w:rPr>
                  <w:rStyle w:val="Hyperlink"/>
                  <w:rFonts w:ascii="Arial" w:hAnsi="Arial" w:cs="Arial"/>
                  <w:color w:val="000000" w:themeColor="text1"/>
                  <w:sz w:val="20"/>
                  <w:szCs w:val="20"/>
                  <w:u w:val="none"/>
                  <w:shd w:val="clear" w:color="auto" w:fill="FFFFFF"/>
                </w:rPr>
                <w:t>63/13</w:t>
              </w:r>
            </w:hyperlink>
            <w:r w:rsidRPr="4DB7FD0D">
              <w:rPr>
                <w:rFonts w:ascii="Arial" w:hAnsi="Arial" w:cs="Arial"/>
                <w:color w:val="000000" w:themeColor="text1"/>
                <w:sz w:val="20"/>
                <w:szCs w:val="20"/>
                <w:shd w:val="clear" w:color="auto" w:fill="FFFFFF"/>
              </w:rPr>
              <w:t> – ZS-K, </w:t>
            </w:r>
            <w:hyperlink r:id="rId22" w:tgtFrame="_blank" w:tooltip="Zakon o spremembah in dopolnitvah Zakona o revidiranju (ZRev-2A)" w:history="1">
              <w:r w:rsidRPr="4DB7FD0D">
                <w:rPr>
                  <w:rStyle w:val="Hyperlink"/>
                  <w:rFonts w:ascii="Arial" w:hAnsi="Arial" w:cs="Arial"/>
                  <w:color w:val="000000" w:themeColor="text1"/>
                  <w:sz w:val="20"/>
                  <w:szCs w:val="20"/>
                  <w:u w:val="none"/>
                  <w:shd w:val="clear" w:color="auto" w:fill="FFFFFF"/>
                </w:rPr>
                <w:t>84/18</w:t>
              </w:r>
            </w:hyperlink>
            <w:r w:rsidRPr="4DB7FD0D">
              <w:rPr>
                <w:rFonts w:ascii="Arial" w:hAnsi="Arial" w:cs="Arial"/>
                <w:color w:val="000000" w:themeColor="text1"/>
                <w:sz w:val="20"/>
                <w:szCs w:val="20"/>
                <w:shd w:val="clear" w:color="auto" w:fill="FFFFFF"/>
              </w:rPr>
              <w:t> in </w:t>
            </w:r>
            <w:hyperlink r:id="rId23" w:tgtFrame="_blank" w:tooltip="Zakon o spremembah in dopolnitvah Zakona o revidiranju (ZRev-2B)" w:history="1">
              <w:r w:rsidRPr="4DB7FD0D">
                <w:rPr>
                  <w:rStyle w:val="Hyperlink"/>
                  <w:rFonts w:ascii="Arial" w:hAnsi="Arial" w:cs="Arial"/>
                  <w:color w:val="000000" w:themeColor="text1"/>
                  <w:sz w:val="20"/>
                  <w:szCs w:val="20"/>
                  <w:u w:val="none"/>
                  <w:shd w:val="clear" w:color="auto" w:fill="FFFFFF"/>
                </w:rPr>
                <w:t>115/21</w:t>
              </w:r>
            </w:hyperlink>
            <w:r w:rsidRPr="4DB7FD0D">
              <w:rPr>
                <w:rFonts w:ascii="Arial" w:hAnsi="Arial" w:cs="Arial"/>
                <w:color w:val="000000" w:themeColor="text1"/>
                <w:sz w:val="20"/>
                <w:szCs w:val="20"/>
              </w:rPr>
              <w:t xml:space="preserve">) (v nadaljnjem besedilu: Zrev-2), v katerem je bila urejena </w:t>
            </w:r>
            <w:r>
              <w:rPr>
                <w:rFonts w:ascii="Arial" w:hAnsi="Arial" w:cs="Arial"/>
                <w:color w:val="000000" w:themeColor="text1"/>
                <w:sz w:val="20"/>
                <w:szCs w:val="20"/>
              </w:rPr>
              <w:t>opredelitev</w:t>
            </w:r>
            <w:r w:rsidRPr="0063006B">
              <w:rPr>
                <w:rFonts w:ascii="Arial" w:hAnsi="Arial" w:cs="Arial"/>
                <w:color w:val="000000" w:themeColor="text1"/>
                <w:sz w:val="20"/>
                <w:szCs w:val="20"/>
              </w:rPr>
              <w:t xml:space="preserve"> </w:t>
            </w:r>
            <w:r w:rsidRPr="4DB7FD0D">
              <w:rPr>
                <w:rFonts w:ascii="Arial" w:hAnsi="Arial" w:cs="Arial"/>
                <w:color w:val="000000" w:themeColor="text1"/>
                <w:sz w:val="20"/>
                <w:szCs w:val="20"/>
              </w:rPr>
              <w:t xml:space="preserve">SJI, saj zanje veljajo strožje zahteve tudi glede revidiranja. Zadevna </w:t>
            </w:r>
            <w:r>
              <w:rPr>
                <w:rFonts w:ascii="Arial" w:hAnsi="Arial" w:cs="Arial"/>
                <w:color w:val="000000" w:themeColor="text1"/>
                <w:sz w:val="20"/>
                <w:szCs w:val="20"/>
              </w:rPr>
              <w:t>opredelitev</w:t>
            </w:r>
            <w:r w:rsidRPr="0063006B" w:rsidDel="00216CED">
              <w:rPr>
                <w:rFonts w:ascii="Arial" w:hAnsi="Arial" w:cs="Arial"/>
                <w:color w:val="000000" w:themeColor="text1"/>
                <w:sz w:val="20"/>
                <w:szCs w:val="20"/>
              </w:rPr>
              <w:t xml:space="preserve"> </w:t>
            </w:r>
            <w:r w:rsidRPr="4DB7FD0D">
              <w:rPr>
                <w:rFonts w:ascii="Arial" w:hAnsi="Arial" w:cs="Arial"/>
                <w:color w:val="000000" w:themeColor="text1"/>
                <w:sz w:val="20"/>
                <w:szCs w:val="20"/>
              </w:rPr>
              <w:t>je navedena v računovodski in revizijski direktivi, zato je bila ta leta 2015 najprej prenesena v nacionalno zakonodajo z novelo ZGD-1I, leta 2018 pa je bila na novo urejena v ZRev-2A. Zaradi</w:t>
            </w:r>
            <w:r w:rsidRPr="4DB7FD0D" w:rsidDel="00216CED">
              <w:rPr>
                <w:rFonts w:ascii="Arial" w:hAnsi="Arial" w:cs="Arial"/>
                <w:color w:val="000000" w:themeColor="text1"/>
                <w:sz w:val="20"/>
                <w:szCs w:val="20"/>
              </w:rPr>
              <w:t xml:space="preserve"> </w:t>
            </w:r>
            <w:r w:rsidRPr="4DB7FD0D">
              <w:rPr>
                <w:rFonts w:ascii="Arial" w:hAnsi="Arial" w:cs="Arial"/>
                <w:color w:val="000000" w:themeColor="text1"/>
                <w:sz w:val="20"/>
                <w:szCs w:val="20"/>
              </w:rPr>
              <w:t xml:space="preserve">tega je bila leta 2021 v ZGD-1K </w:t>
            </w:r>
            <w:r>
              <w:rPr>
                <w:rFonts w:ascii="Arial" w:hAnsi="Arial" w:cs="Arial"/>
                <w:color w:val="000000" w:themeColor="text1"/>
                <w:sz w:val="20"/>
                <w:szCs w:val="20"/>
              </w:rPr>
              <w:t>opredelitev</w:t>
            </w:r>
            <w:r w:rsidRPr="0063006B" w:rsidDel="00216CED">
              <w:rPr>
                <w:rFonts w:ascii="Arial" w:hAnsi="Arial" w:cs="Arial"/>
                <w:color w:val="000000" w:themeColor="text1"/>
                <w:sz w:val="20"/>
                <w:szCs w:val="20"/>
              </w:rPr>
              <w:t xml:space="preserve"> </w:t>
            </w:r>
            <w:r w:rsidRPr="4DB7FD0D">
              <w:rPr>
                <w:rFonts w:ascii="Arial" w:hAnsi="Arial" w:cs="Arial"/>
                <w:color w:val="000000" w:themeColor="text1"/>
                <w:sz w:val="20"/>
                <w:szCs w:val="20"/>
              </w:rPr>
              <w:t xml:space="preserve">črtana in se je uredil sklic na ZRev-2, kjer je bila navedena </w:t>
            </w:r>
            <w:r>
              <w:rPr>
                <w:rFonts w:ascii="Arial" w:hAnsi="Arial" w:cs="Arial"/>
                <w:color w:val="000000" w:themeColor="text1"/>
                <w:sz w:val="20"/>
                <w:szCs w:val="20"/>
              </w:rPr>
              <w:t>opredelitev</w:t>
            </w:r>
            <w:r w:rsidRPr="0063006B">
              <w:rPr>
                <w:rFonts w:ascii="Arial" w:hAnsi="Arial" w:cs="Arial"/>
                <w:color w:val="000000" w:themeColor="text1"/>
                <w:sz w:val="20"/>
                <w:szCs w:val="20"/>
              </w:rPr>
              <w:t xml:space="preserve"> </w:t>
            </w:r>
            <w:r w:rsidRPr="4DB7FD0D">
              <w:rPr>
                <w:rFonts w:ascii="Arial" w:hAnsi="Arial" w:cs="Arial"/>
                <w:color w:val="000000" w:themeColor="text1"/>
                <w:sz w:val="20"/>
                <w:szCs w:val="20"/>
              </w:rPr>
              <w:t>SJI. Prvotno je bilo</w:t>
            </w:r>
            <w:r w:rsidRPr="4DB7FD0D" w:rsidDel="00216CED">
              <w:rPr>
                <w:rFonts w:ascii="Arial" w:hAnsi="Arial" w:cs="Arial"/>
                <w:color w:val="000000" w:themeColor="text1"/>
                <w:sz w:val="20"/>
                <w:szCs w:val="20"/>
              </w:rPr>
              <w:t xml:space="preserve"> </w:t>
            </w:r>
            <w:r w:rsidRPr="4DB7FD0D">
              <w:rPr>
                <w:rFonts w:ascii="Arial" w:hAnsi="Arial" w:cs="Arial"/>
                <w:color w:val="000000" w:themeColor="text1"/>
                <w:sz w:val="20"/>
                <w:szCs w:val="20"/>
              </w:rPr>
              <w:t>v ZGD-1I določeno, da je SJI</w:t>
            </w:r>
            <w:r w:rsidRPr="0063006B">
              <w:rPr>
                <w:rFonts w:ascii="Arial" w:hAnsi="Arial" w:cs="Arial"/>
                <w:color w:val="000000"/>
                <w:sz w:val="20"/>
                <w:szCs w:val="20"/>
                <w:shd w:val="clear" w:color="auto" w:fill="FFFFFF"/>
              </w:rPr>
              <w:t xml:space="preserve"> družba, s katere vrednostnimi papirji se trguje na organiziranem trgu vrednostnih papirjev, ali kreditna institucija, kot jo opredeljuje zakon, ki ureja bančništvo, ali zavarovalnica, kot jo opredeljuje zakon, ki ureja zavarovalništvo. </w:t>
            </w:r>
            <w:r w:rsidRPr="4DB7FD0D">
              <w:rPr>
                <w:rFonts w:ascii="Arial" w:hAnsi="Arial" w:cs="Arial"/>
                <w:color w:val="000000" w:themeColor="text1"/>
                <w:sz w:val="20"/>
                <w:szCs w:val="20"/>
              </w:rPr>
              <w:t xml:space="preserve">Ko se je leta 2018 v ZRev-2A </w:t>
            </w:r>
            <w:r>
              <w:rPr>
                <w:rFonts w:ascii="Arial" w:hAnsi="Arial" w:cs="Arial"/>
                <w:color w:val="000000" w:themeColor="text1"/>
                <w:sz w:val="20"/>
                <w:szCs w:val="20"/>
              </w:rPr>
              <w:t>opredelitev</w:t>
            </w:r>
            <w:r w:rsidRPr="0063006B">
              <w:rPr>
                <w:rFonts w:ascii="Arial" w:hAnsi="Arial" w:cs="Arial"/>
                <w:color w:val="000000" w:themeColor="text1"/>
                <w:sz w:val="20"/>
                <w:szCs w:val="20"/>
              </w:rPr>
              <w:t xml:space="preserve"> </w:t>
            </w:r>
            <w:r w:rsidRPr="4DB7FD0D">
              <w:rPr>
                <w:rFonts w:ascii="Arial" w:hAnsi="Arial" w:cs="Arial"/>
                <w:color w:val="000000" w:themeColor="text1"/>
                <w:sz w:val="20"/>
                <w:szCs w:val="20"/>
              </w:rPr>
              <w:t>na novo uredila, se je ta razširila</w:t>
            </w:r>
            <w:r w:rsidRPr="0063006B">
              <w:rPr>
                <w:rFonts w:ascii="Arial" w:hAnsi="Arial" w:cs="Arial"/>
                <w:color w:val="000000"/>
                <w:sz w:val="20"/>
                <w:szCs w:val="20"/>
                <w:shd w:val="clear" w:color="auto" w:fill="FFFFFF"/>
              </w:rPr>
              <w:t xml:space="preserve"> tako, da so SJI poleg </w:t>
            </w:r>
            <w:r>
              <w:rPr>
                <w:rFonts w:ascii="Arial" w:hAnsi="Arial" w:cs="Arial"/>
                <w:color w:val="000000"/>
                <w:sz w:val="20"/>
                <w:szCs w:val="20"/>
                <w:shd w:val="clear" w:color="auto" w:fill="FFFFFF"/>
              </w:rPr>
              <w:t xml:space="preserve">navedenih </w:t>
            </w:r>
            <w:r w:rsidRPr="0063006B">
              <w:rPr>
                <w:rFonts w:ascii="Arial" w:hAnsi="Arial" w:cs="Arial"/>
                <w:color w:val="000000"/>
                <w:sz w:val="20"/>
                <w:szCs w:val="20"/>
                <w:shd w:val="clear" w:color="auto" w:fill="FFFFFF"/>
              </w:rPr>
              <w:t>družb</w:t>
            </w:r>
            <w:r>
              <w:rPr>
                <w:rFonts w:ascii="Arial" w:hAnsi="Arial" w:cs="Arial"/>
                <w:color w:val="000000"/>
                <w:sz w:val="20"/>
                <w:szCs w:val="20"/>
                <w:shd w:val="clear" w:color="auto" w:fill="FFFFFF"/>
              </w:rPr>
              <w:t xml:space="preserve"> </w:t>
            </w:r>
            <w:r w:rsidRPr="0063006B">
              <w:rPr>
                <w:rFonts w:ascii="Arial" w:hAnsi="Arial" w:cs="Arial"/>
                <w:color w:val="000000"/>
                <w:sz w:val="20"/>
                <w:szCs w:val="20"/>
                <w:shd w:val="clear" w:color="auto" w:fill="FFFFFF"/>
              </w:rPr>
              <w:t xml:space="preserve">postali </w:t>
            </w:r>
            <w:r>
              <w:rPr>
                <w:rFonts w:ascii="Arial" w:hAnsi="Arial" w:cs="Arial"/>
                <w:color w:val="000000"/>
                <w:sz w:val="20"/>
                <w:szCs w:val="20"/>
                <w:shd w:val="clear" w:color="auto" w:fill="FFFFFF"/>
              </w:rPr>
              <w:t xml:space="preserve">tudi </w:t>
            </w:r>
            <w:r w:rsidRPr="0063006B">
              <w:rPr>
                <w:rFonts w:ascii="Arial" w:hAnsi="Arial" w:cs="Arial"/>
                <w:color w:val="000000"/>
                <w:sz w:val="20"/>
                <w:szCs w:val="20"/>
                <w:shd w:val="clear" w:color="auto" w:fill="FFFFFF"/>
              </w:rPr>
              <w:t>pokojninska družba, kot j</w:t>
            </w:r>
            <w:r>
              <w:rPr>
                <w:rFonts w:ascii="Arial" w:hAnsi="Arial" w:cs="Arial"/>
                <w:color w:val="000000"/>
                <w:sz w:val="20"/>
                <w:szCs w:val="20"/>
                <w:shd w:val="clear" w:color="auto" w:fill="FFFFFF"/>
              </w:rPr>
              <w:t xml:space="preserve">o </w:t>
            </w:r>
            <w:r w:rsidRPr="0063006B">
              <w:rPr>
                <w:rFonts w:ascii="Arial" w:hAnsi="Arial" w:cs="Arial"/>
                <w:color w:val="000000"/>
                <w:sz w:val="20"/>
                <w:szCs w:val="20"/>
                <w:shd w:val="clear" w:color="auto" w:fill="FFFFFF"/>
              </w:rPr>
              <w:t>opredeljuje zakon, ki ureja zavarovalništvo</w:t>
            </w:r>
            <w:r>
              <w:rPr>
                <w:rFonts w:ascii="Arial" w:hAnsi="Arial" w:cs="Arial"/>
                <w:color w:val="000000"/>
                <w:sz w:val="20"/>
                <w:szCs w:val="20"/>
                <w:shd w:val="clear" w:color="auto" w:fill="FFFFFF"/>
              </w:rPr>
              <w:t>,</w:t>
            </w:r>
            <w:r w:rsidRPr="0063006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in</w:t>
            </w:r>
            <w:r w:rsidRPr="0063006B">
              <w:rPr>
                <w:rFonts w:ascii="Arial" w:hAnsi="Arial" w:cs="Arial"/>
                <w:color w:val="000000"/>
                <w:sz w:val="20"/>
                <w:szCs w:val="20"/>
                <w:shd w:val="clear" w:color="auto" w:fill="FFFFFF"/>
              </w:rPr>
              <w:t xml:space="preserve"> družb</w:t>
            </w:r>
            <w:r>
              <w:rPr>
                <w:rFonts w:ascii="Arial" w:hAnsi="Arial" w:cs="Arial"/>
                <w:color w:val="000000"/>
                <w:sz w:val="20"/>
                <w:szCs w:val="20"/>
                <w:shd w:val="clear" w:color="auto" w:fill="FFFFFF"/>
              </w:rPr>
              <w:t>a</w:t>
            </w:r>
            <w:r w:rsidRPr="0063006B">
              <w:rPr>
                <w:rFonts w:ascii="Arial" w:hAnsi="Arial" w:cs="Arial"/>
                <w:color w:val="000000"/>
                <w:sz w:val="20"/>
                <w:szCs w:val="20"/>
                <w:shd w:val="clear" w:color="auto" w:fill="FFFFFF"/>
              </w:rPr>
              <w:t xml:space="preserve">, zavezana k obvezni reviziji, v kateri imajo država ali občine skupaj ali samostojno, neposredno ali posredno večinski lastniški delež. Poleg </w:t>
            </w:r>
            <w:r>
              <w:rPr>
                <w:rFonts w:ascii="Arial" w:hAnsi="Arial" w:cs="Arial"/>
                <w:color w:val="000000"/>
                <w:sz w:val="20"/>
                <w:szCs w:val="20"/>
                <w:shd w:val="clear" w:color="auto" w:fill="FFFFFF"/>
              </w:rPr>
              <w:t>teh</w:t>
            </w:r>
            <w:r w:rsidRPr="0063006B">
              <w:rPr>
                <w:rFonts w:ascii="Arial" w:hAnsi="Arial" w:cs="Arial"/>
                <w:color w:val="000000"/>
                <w:sz w:val="20"/>
                <w:szCs w:val="20"/>
                <w:shd w:val="clear" w:color="auto" w:fill="FFFFFF"/>
              </w:rPr>
              <w:t xml:space="preserve"> je bilo </w:t>
            </w:r>
            <w:r>
              <w:rPr>
                <w:rFonts w:ascii="Arial" w:hAnsi="Arial" w:cs="Arial"/>
                <w:color w:val="000000"/>
                <w:sz w:val="20"/>
                <w:szCs w:val="20"/>
                <w:shd w:val="clear" w:color="auto" w:fill="FFFFFF"/>
              </w:rPr>
              <w:t>v</w:t>
            </w:r>
            <w:r w:rsidRPr="0063006B">
              <w:rPr>
                <w:rFonts w:ascii="Arial" w:hAnsi="Arial" w:cs="Arial"/>
                <w:color w:val="000000"/>
                <w:sz w:val="20"/>
                <w:szCs w:val="20"/>
                <w:shd w:val="clear" w:color="auto" w:fill="FFFFFF"/>
              </w:rPr>
              <w:t xml:space="preserve"> </w:t>
            </w:r>
            <w:r>
              <w:rPr>
                <w:rFonts w:ascii="Arial" w:hAnsi="Arial" w:cs="Arial"/>
                <w:color w:val="000000" w:themeColor="text1"/>
                <w:sz w:val="20"/>
                <w:szCs w:val="20"/>
              </w:rPr>
              <w:t>opredelitvi</w:t>
            </w:r>
            <w:r w:rsidRPr="0063006B" w:rsidDel="00216CED">
              <w:rPr>
                <w:rFonts w:ascii="Arial" w:hAnsi="Arial" w:cs="Arial"/>
                <w:color w:val="000000" w:themeColor="text1"/>
                <w:sz w:val="20"/>
                <w:szCs w:val="20"/>
              </w:rPr>
              <w:t xml:space="preserve"> </w:t>
            </w:r>
            <w:r>
              <w:rPr>
                <w:rFonts w:ascii="Arial" w:hAnsi="Arial" w:cs="Arial"/>
                <w:color w:val="000000"/>
                <w:sz w:val="20"/>
                <w:szCs w:val="20"/>
                <w:shd w:val="clear" w:color="auto" w:fill="FFFFFF"/>
              </w:rPr>
              <w:t>navedeno</w:t>
            </w:r>
            <w:r w:rsidRPr="0063006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še</w:t>
            </w:r>
            <w:r w:rsidRPr="0063006B">
              <w:rPr>
                <w:rFonts w:ascii="Arial" w:hAnsi="Arial" w:cs="Arial"/>
                <w:color w:val="000000"/>
                <w:sz w:val="20"/>
                <w:szCs w:val="20"/>
                <w:shd w:val="clear" w:color="auto" w:fill="FFFFFF"/>
              </w:rPr>
              <w:t xml:space="preserve">, da je </w:t>
            </w:r>
            <w:r>
              <w:rPr>
                <w:rFonts w:ascii="Arial" w:hAnsi="Arial" w:cs="Arial"/>
                <w:color w:val="000000"/>
                <w:sz w:val="20"/>
                <w:szCs w:val="20"/>
                <w:shd w:val="clear" w:color="auto" w:fill="FFFFFF"/>
              </w:rPr>
              <w:t>SJI</w:t>
            </w:r>
            <w:r w:rsidRPr="0063006B">
              <w:rPr>
                <w:rFonts w:ascii="Arial" w:hAnsi="Arial" w:cs="Arial"/>
                <w:color w:val="000000"/>
                <w:sz w:val="20"/>
                <w:szCs w:val="20"/>
                <w:shd w:val="clear" w:color="auto" w:fill="FFFFFF"/>
              </w:rPr>
              <w:t xml:space="preserve"> lahko tudi druga pravna oseba, zavezana k obvezni reviziji, če je tako določeno z drugim zakonom. </w:t>
            </w:r>
          </w:p>
          <w:p w14:paraId="72FD783C" w14:textId="77777777" w:rsidR="000C08CA" w:rsidRPr="0063006B" w:rsidRDefault="000C08CA" w:rsidP="4DB7FD0D">
            <w:pPr>
              <w:pStyle w:val="doc-ti"/>
              <w:shd w:val="clear" w:color="auto" w:fill="FFFFFF" w:themeFill="background1"/>
              <w:spacing w:before="240" w:beforeAutospacing="0" w:after="120" w:afterAutospacing="0" w:line="276" w:lineRule="auto"/>
              <w:jc w:val="both"/>
              <w:rPr>
                <w:rFonts w:cs="Arial"/>
                <w:color w:val="000000"/>
                <w:shd w:val="clear" w:color="auto" w:fill="FFFFFF"/>
              </w:rPr>
            </w:pPr>
            <w:r w:rsidRPr="0063006B">
              <w:rPr>
                <w:rFonts w:ascii="Arial" w:hAnsi="Arial" w:cs="Arial"/>
                <w:color w:val="000000"/>
                <w:sz w:val="20"/>
                <w:szCs w:val="20"/>
                <w:shd w:val="clear" w:color="auto" w:fill="FFFFFF"/>
              </w:rPr>
              <w:t xml:space="preserve">Zaradi boljše preglednosti in sistemske ureditve se </w:t>
            </w:r>
            <w:r>
              <w:rPr>
                <w:rFonts w:ascii="Arial" w:hAnsi="Arial" w:cs="Arial"/>
                <w:color w:val="000000"/>
                <w:sz w:val="20"/>
                <w:szCs w:val="20"/>
                <w:shd w:val="clear" w:color="auto" w:fill="FFFFFF"/>
              </w:rPr>
              <w:t xml:space="preserve">je </w:t>
            </w:r>
            <w:r w:rsidRPr="0063006B">
              <w:rPr>
                <w:rFonts w:ascii="Arial" w:hAnsi="Arial" w:cs="Arial"/>
                <w:color w:val="000000"/>
                <w:sz w:val="20"/>
                <w:szCs w:val="20"/>
                <w:shd w:val="clear" w:color="auto" w:fill="FFFFFF"/>
              </w:rPr>
              <w:t>predlaga</w:t>
            </w:r>
            <w:r>
              <w:rPr>
                <w:rFonts w:ascii="Arial" w:hAnsi="Arial" w:cs="Arial"/>
                <w:color w:val="000000"/>
                <w:sz w:val="20"/>
                <w:szCs w:val="20"/>
                <w:shd w:val="clear" w:color="auto" w:fill="FFFFFF"/>
              </w:rPr>
              <w:t>la</w:t>
            </w:r>
            <w:r w:rsidRPr="0063006B">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vnovična</w:t>
            </w:r>
            <w:r w:rsidRPr="0063006B">
              <w:rPr>
                <w:rFonts w:ascii="Arial" w:hAnsi="Arial" w:cs="Arial"/>
                <w:color w:val="000000"/>
                <w:sz w:val="20"/>
                <w:szCs w:val="20"/>
                <w:shd w:val="clear" w:color="auto" w:fill="FFFFFF"/>
              </w:rPr>
              <w:t xml:space="preserve"> ureditev </w:t>
            </w:r>
            <w:r>
              <w:rPr>
                <w:rFonts w:ascii="Arial" w:hAnsi="Arial" w:cs="Arial"/>
                <w:color w:val="000000" w:themeColor="text1"/>
                <w:sz w:val="20"/>
                <w:szCs w:val="20"/>
              </w:rPr>
              <w:t>opredelitve</w:t>
            </w:r>
            <w:r w:rsidRPr="0063006B" w:rsidDel="00216CED">
              <w:rPr>
                <w:rFonts w:ascii="Arial" w:hAnsi="Arial" w:cs="Arial"/>
                <w:color w:val="000000" w:themeColor="text1"/>
                <w:sz w:val="20"/>
                <w:szCs w:val="20"/>
              </w:rPr>
              <w:t xml:space="preserve"> </w:t>
            </w:r>
            <w:r w:rsidRPr="0063006B">
              <w:rPr>
                <w:rFonts w:ascii="Arial" w:hAnsi="Arial" w:cs="Arial"/>
                <w:color w:val="000000"/>
                <w:sz w:val="20"/>
                <w:szCs w:val="20"/>
                <w:shd w:val="clear" w:color="auto" w:fill="FFFFFF"/>
              </w:rPr>
              <w:t>SJI v ZGD-1, v katerem so zanj</w:t>
            </w:r>
            <w:r>
              <w:rPr>
                <w:rFonts w:ascii="Arial" w:hAnsi="Arial" w:cs="Arial"/>
                <w:color w:val="000000"/>
                <w:sz w:val="20"/>
                <w:szCs w:val="20"/>
                <w:shd w:val="clear" w:color="auto" w:fill="FFFFFF"/>
              </w:rPr>
              <w:t>e</w:t>
            </w:r>
            <w:r w:rsidRPr="0063006B">
              <w:rPr>
                <w:rFonts w:ascii="Arial" w:hAnsi="Arial" w:cs="Arial"/>
                <w:color w:val="000000"/>
                <w:sz w:val="20"/>
                <w:szCs w:val="20"/>
                <w:shd w:val="clear" w:color="auto" w:fill="FFFFFF"/>
              </w:rPr>
              <w:t xml:space="preserve"> določene posebne obveznosti glede poročanja in druge zahteve (oblikovanje revizijskih komisij in nadzornih svetov v družbah z omejeno odgovornostjo). Predlaga se sprememb</w:t>
            </w:r>
            <w:r>
              <w:rPr>
                <w:rFonts w:ascii="Arial" w:hAnsi="Arial" w:cs="Arial"/>
                <w:color w:val="000000"/>
                <w:sz w:val="20"/>
                <w:szCs w:val="20"/>
                <w:shd w:val="clear" w:color="auto" w:fill="FFFFFF"/>
              </w:rPr>
              <w:t>a</w:t>
            </w:r>
            <w:r w:rsidRPr="0063006B">
              <w:rPr>
                <w:rFonts w:ascii="Arial" w:hAnsi="Arial" w:cs="Arial"/>
                <w:color w:val="000000"/>
                <w:sz w:val="20"/>
                <w:szCs w:val="20"/>
                <w:shd w:val="clear" w:color="auto" w:fill="FFFFFF"/>
              </w:rPr>
              <w:t xml:space="preserve"> </w:t>
            </w:r>
            <w:r>
              <w:rPr>
                <w:rFonts w:ascii="Arial" w:hAnsi="Arial" w:cs="Arial"/>
                <w:color w:val="000000" w:themeColor="text1"/>
                <w:sz w:val="20"/>
                <w:szCs w:val="20"/>
              </w:rPr>
              <w:t>opredelitve</w:t>
            </w:r>
            <w:r w:rsidRPr="0063006B">
              <w:rPr>
                <w:rFonts w:ascii="Arial" w:hAnsi="Arial" w:cs="Arial"/>
                <w:color w:val="000000" w:themeColor="text1"/>
                <w:sz w:val="20"/>
                <w:szCs w:val="20"/>
              </w:rPr>
              <w:t xml:space="preserve"> </w:t>
            </w:r>
            <w:r w:rsidRPr="0063006B">
              <w:rPr>
                <w:rFonts w:ascii="Arial" w:hAnsi="Arial" w:cs="Arial"/>
                <w:color w:val="000000"/>
                <w:sz w:val="20"/>
                <w:szCs w:val="20"/>
                <w:shd w:val="clear" w:color="auto" w:fill="FFFFFF"/>
              </w:rPr>
              <w:t xml:space="preserve">na način, da se določi, da </w:t>
            </w:r>
            <w:r>
              <w:rPr>
                <w:rFonts w:ascii="Arial" w:hAnsi="Arial" w:cs="Arial"/>
                <w:color w:val="000000"/>
                <w:sz w:val="20"/>
                <w:szCs w:val="20"/>
                <w:shd w:val="clear" w:color="auto" w:fill="FFFFFF"/>
              </w:rPr>
              <w:t>so med SJI</w:t>
            </w:r>
            <w:r w:rsidRPr="0063006B">
              <w:rPr>
                <w:rFonts w:ascii="Arial" w:hAnsi="Arial" w:cs="Arial"/>
                <w:color w:val="000000"/>
                <w:sz w:val="20"/>
                <w:szCs w:val="20"/>
                <w:shd w:val="clear" w:color="auto" w:fill="FFFFFF"/>
              </w:rPr>
              <w:t xml:space="preserve"> samo velike družbe, v katerih ima</w:t>
            </w:r>
            <w:r>
              <w:rPr>
                <w:rFonts w:ascii="Arial" w:hAnsi="Arial" w:cs="Arial"/>
                <w:color w:val="000000"/>
                <w:sz w:val="20"/>
                <w:szCs w:val="20"/>
                <w:shd w:val="clear" w:color="auto" w:fill="FFFFFF"/>
              </w:rPr>
              <w:t>jo</w:t>
            </w:r>
            <w:r w:rsidRPr="0063006B">
              <w:rPr>
                <w:rFonts w:ascii="Arial" w:hAnsi="Arial" w:cs="Arial"/>
                <w:color w:val="000000"/>
                <w:sz w:val="20"/>
                <w:szCs w:val="20"/>
                <w:shd w:val="clear" w:color="auto" w:fill="FFFFFF"/>
              </w:rPr>
              <w:t xml:space="preserve"> večinski (posredni ali neposredni) delež država ali samoupravne lokalne skupnosti. </w:t>
            </w:r>
            <w:r>
              <w:rPr>
                <w:rFonts w:ascii="Arial" w:hAnsi="Arial" w:cs="Arial"/>
                <w:color w:val="000000"/>
                <w:sz w:val="20"/>
                <w:szCs w:val="20"/>
                <w:shd w:val="clear" w:color="auto" w:fill="FFFFFF"/>
              </w:rPr>
              <w:t>Tako</w:t>
            </w:r>
            <w:r w:rsidRPr="0063006B">
              <w:rPr>
                <w:rFonts w:ascii="Arial" w:hAnsi="Arial" w:cs="Arial"/>
                <w:color w:val="000000"/>
                <w:sz w:val="20"/>
                <w:szCs w:val="20"/>
                <w:shd w:val="clear" w:color="auto" w:fill="FFFFFF"/>
              </w:rPr>
              <w:t xml:space="preserve"> bi se iz </w:t>
            </w:r>
            <w:r>
              <w:rPr>
                <w:rFonts w:ascii="Arial" w:hAnsi="Arial" w:cs="Arial"/>
                <w:color w:val="000000" w:themeColor="text1"/>
                <w:sz w:val="20"/>
                <w:szCs w:val="20"/>
              </w:rPr>
              <w:t>opredelitve</w:t>
            </w:r>
            <w:r w:rsidRPr="0063006B" w:rsidDel="00216CED">
              <w:rPr>
                <w:rFonts w:ascii="Arial" w:hAnsi="Arial" w:cs="Arial"/>
                <w:color w:val="000000" w:themeColor="text1"/>
                <w:sz w:val="20"/>
                <w:szCs w:val="20"/>
              </w:rPr>
              <w:t xml:space="preserve"> </w:t>
            </w:r>
            <w:r w:rsidRPr="0063006B">
              <w:rPr>
                <w:rFonts w:ascii="Arial" w:hAnsi="Arial" w:cs="Arial"/>
                <w:color w:val="000000"/>
                <w:sz w:val="20"/>
                <w:szCs w:val="20"/>
                <w:shd w:val="clear" w:color="auto" w:fill="FFFFFF"/>
              </w:rPr>
              <w:t>SJI izvzele srednje družbe, v katerih ima</w:t>
            </w:r>
            <w:r>
              <w:rPr>
                <w:rFonts w:ascii="Arial" w:hAnsi="Arial" w:cs="Arial"/>
                <w:color w:val="000000"/>
                <w:sz w:val="20"/>
                <w:szCs w:val="20"/>
                <w:shd w:val="clear" w:color="auto" w:fill="FFFFFF"/>
              </w:rPr>
              <w:t>jo</w:t>
            </w:r>
            <w:r w:rsidRPr="0063006B">
              <w:rPr>
                <w:rFonts w:ascii="Arial" w:hAnsi="Arial" w:cs="Arial"/>
                <w:color w:val="000000"/>
                <w:sz w:val="20"/>
                <w:szCs w:val="20"/>
                <w:shd w:val="clear" w:color="auto" w:fill="FFFFFF"/>
              </w:rPr>
              <w:t xml:space="preserve"> večinski delež država ali samoupravne lokalne skupnosti</w:t>
            </w:r>
            <w:r>
              <w:rPr>
                <w:rFonts w:ascii="Arial" w:hAnsi="Arial" w:cs="Arial"/>
                <w:color w:val="000000"/>
                <w:sz w:val="20"/>
                <w:szCs w:val="20"/>
                <w:shd w:val="clear" w:color="auto" w:fill="FFFFFF"/>
              </w:rPr>
              <w:t>. Te družbe</w:t>
            </w:r>
            <w:r w:rsidRPr="0063006B">
              <w:rPr>
                <w:rFonts w:ascii="Arial" w:hAnsi="Arial" w:cs="Arial"/>
                <w:color w:val="000000"/>
                <w:sz w:val="20"/>
                <w:szCs w:val="20"/>
                <w:shd w:val="clear" w:color="auto" w:fill="FFFFFF"/>
              </w:rPr>
              <w:t xml:space="preserve"> bi razbremenili dodatnih obveznosti, ki izhajajo iz ZGD-1 in ZRev-2 za SJI</w:t>
            </w:r>
            <w:r>
              <w:rPr>
                <w:rFonts w:ascii="Arial" w:hAnsi="Arial" w:cs="Arial"/>
                <w:color w:val="000000"/>
                <w:sz w:val="20"/>
                <w:szCs w:val="20"/>
                <w:shd w:val="clear" w:color="auto" w:fill="FFFFFF"/>
              </w:rPr>
              <w:t>, in bi to nanje</w:t>
            </w:r>
            <w:r w:rsidRPr="0063006B">
              <w:rPr>
                <w:rFonts w:ascii="Arial" w:hAnsi="Arial" w:cs="Arial"/>
                <w:color w:val="000000" w:themeColor="text1"/>
                <w:sz w:val="20"/>
                <w:szCs w:val="20"/>
              </w:rPr>
              <w:t xml:space="preserve"> pozitivno vplivalo, </w:t>
            </w:r>
            <w:r>
              <w:rPr>
                <w:rFonts w:ascii="Arial" w:hAnsi="Arial" w:cs="Arial"/>
                <w:color w:val="000000" w:themeColor="text1"/>
                <w:sz w:val="20"/>
                <w:szCs w:val="20"/>
              </w:rPr>
              <w:t>saj</w:t>
            </w:r>
            <w:r w:rsidRPr="0063006B">
              <w:rPr>
                <w:rFonts w:ascii="Arial" w:hAnsi="Arial" w:cs="Arial"/>
                <w:color w:val="000000" w:themeColor="text1"/>
                <w:sz w:val="20"/>
                <w:szCs w:val="20"/>
              </w:rPr>
              <w:t xml:space="preserve"> to zanj</w:t>
            </w:r>
            <w:r>
              <w:rPr>
                <w:rFonts w:ascii="Arial" w:hAnsi="Arial" w:cs="Arial"/>
                <w:color w:val="000000" w:themeColor="text1"/>
                <w:sz w:val="20"/>
                <w:szCs w:val="20"/>
              </w:rPr>
              <w:t>e</w:t>
            </w:r>
            <w:r w:rsidRPr="0063006B">
              <w:rPr>
                <w:rFonts w:ascii="Arial" w:hAnsi="Arial" w:cs="Arial"/>
                <w:color w:val="000000" w:themeColor="text1"/>
                <w:sz w:val="20"/>
                <w:szCs w:val="20"/>
              </w:rPr>
              <w:t xml:space="preserve"> pomeni odpravo administrativnih bremen (npr. priprava letnih poročil</w:t>
            </w:r>
            <w:r>
              <w:rPr>
                <w:rFonts w:ascii="Arial" w:hAnsi="Arial" w:cs="Arial"/>
                <w:color w:val="000000" w:themeColor="text1"/>
                <w:sz w:val="20"/>
                <w:szCs w:val="20"/>
              </w:rPr>
              <w:t>,</w:t>
            </w:r>
            <w:r w:rsidRPr="0063006B">
              <w:rPr>
                <w:rFonts w:ascii="Arial" w:hAnsi="Arial" w:cs="Arial"/>
                <w:color w:val="000000" w:themeColor="text1"/>
                <w:sz w:val="20"/>
                <w:szCs w:val="20"/>
              </w:rPr>
              <w:t xml:space="preserve"> kot to velja za velike družbe) in </w:t>
            </w:r>
            <w:r>
              <w:rPr>
                <w:rFonts w:ascii="Arial" w:hAnsi="Arial" w:cs="Arial"/>
                <w:color w:val="000000" w:themeColor="text1"/>
                <w:sz w:val="20"/>
                <w:szCs w:val="20"/>
              </w:rPr>
              <w:t>nekaterih</w:t>
            </w:r>
            <w:r w:rsidRPr="0063006B">
              <w:rPr>
                <w:rFonts w:ascii="Arial" w:hAnsi="Arial" w:cs="Arial"/>
                <w:color w:val="000000" w:themeColor="text1"/>
                <w:sz w:val="20"/>
                <w:szCs w:val="20"/>
              </w:rPr>
              <w:t xml:space="preserve"> zakonskih obveznosti (npr. oblikovanje revizijskih komisij), ki veljajo za SJI. V praksi se je izkazalo, da so srednje družbe, ki se s spremembo tega zakona izloča</w:t>
            </w:r>
            <w:r>
              <w:rPr>
                <w:rFonts w:ascii="Arial" w:hAnsi="Arial" w:cs="Arial"/>
                <w:color w:val="000000" w:themeColor="text1"/>
                <w:sz w:val="20"/>
                <w:szCs w:val="20"/>
              </w:rPr>
              <w:t>jo</w:t>
            </w:r>
            <w:r w:rsidRPr="0063006B">
              <w:rPr>
                <w:rFonts w:ascii="Arial" w:hAnsi="Arial" w:cs="Arial"/>
                <w:color w:val="000000" w:themeColor="text1"/>
                <w:sz w:val="20"/>
                <w:szCs w:val="20"/>
              </w:rPr>
              <w:t xml:space="preserve"> iz SJI, ustanovljene kot družbe z omejeno odgovornostjo. Glede na njihovo velikost, pravnoorganizacijsko obliko in zmožnosti težko sledijo vsem zahtevam</w:t>
            </w:r>
            <w:r>
              <w:rPr>
                <w:rFonts w:ascii="Arial" w:hAnsi="Arial" w:cs="Arial"/>
                <w:color w:val="000000" w:themeColor="text1"/>
                <w:sz w:val="20"/>
                <w:szCs w:val="20"/>
              </w:rPr>
              <w:t>,</w:t>
            </w:r>
            <w:r w:rsidRPr="0063006B">
              <w:rPr>
                <w:rFonts w:ascii="Arial" w:hAnsi="Arial" w:cs="Arial"/>
                <w:color w:val="000000" w:themeColor="text1"/>
                <w:sz w:val="20"/>
                <w:szCs w:val="20"/>
              </w:rPr>
              <w:t xml:space="preserve"> kot to velja za velike družbe, </w:t>
            </w:r>
            <w:r w:rsidRPr="0063006B">
              <w:rPr>
                <w:rFonts w:ascii="Arial" w:hAnsi="Arial" w:cs="Arial"/>
                <w:color w:val="000000" w:themeColor="text1"/>
                <w:sz w:val="20"/>
                <w:szCs w:val="20"/>
              </w:rPr>
              <w:lastRenderedPageBreak/>
              <w:t xml:space="preserve">ki so prepoznane kot SJI </w:t>
            </w:r>
            <w:r>
              <w:rPr>
                <w:rFonts w:ascii="Arial" w:hAnsi="Arial" w:cs="Arial"/>
                <w:color w:val="000000" w:themeColor="text1"/>
                <w:sz w:val="20"/>
                <w:szCs w:val="20"/>
              </w:rPr>
              <w:t>ter</w:t>
            </w:r>
            <w:r w:rsidRPr="0063006B">
              <w:rPr>
                <w:rFonts w:ascii="Arial" w:hAnsi="Arial" w:cs="Arial"/>
                <w:color w:val="000000" w:themeColor="text1"/>
                <w:sz w:val="20"/>
                <w:szCs w:val="20"/>
              </w:rPr>
              <w:t xml:space="preserve"> </w:t>
            </w:r>
            <w:r>
              <w:rPr>
                <w:rFonts w:ascii="Arial" w:hAnsi="Arial" w:cs="Arial"/>
                <w:color w:val="000000" w:themeColor="text1"/>
                <w:sz w:val="20"/>
                <w:szCs w:val="20"/>
              </w:rPr>
              <w:t xml:space="preserve">so </w:t>
            </w:r>
            <w:r w:rsidRPr="0063006B">
              <w:rPr>
                <w:rFonts w:ascii="Arial" w:hAnsi="Arial" w:cs="Arial"/>
                <w:color w:val="000000" w:themeColor="text1"/>
                <w:sz w:val="20"/>
                <w:szCs w:val="20"/>
              </w:rPr>
              <w:t>jim</w:t>
            </w:r>
            <w:r w:rsidRPr="0063006B" w:rsidDel="00216CED">
              <w:rPr>
                <w:rFonts w:ascii="Arial" w:hAnsi="Arial" w:cs="Arial"/>
                <w:color w:val="000000" w:themeColor="text1"/>
                <w:sz w:val="20"/>
                <w:szCs w:val="20"/>
              </w:rPr>
              <w:t xml:space="preserve"> </w:t>
            </w:r>
            <w:r>
              <w:rPr>
                <w:rFonts w:ascii="Arial" w:hAnsi="Arial" w:cs="Arial"/>
                <w:color w:val="000000" w:themeColor="text1"/>
                <w:sz w:val="20"/>
                <w:szCs w:val="20"/>
              </w:rPr>
              <w:t>veljavne</w:t>
            </w:r>
            <w:r w:rsidRPr="0063006B">
              <w:rPr>
                <w:rFonts w:ascii="Arial" w:hAnsi="Arial" w:cs="Arial"/>
                <w:color w:val="000000" w:themeColor="text1"/>
                <w:sz w:val="20"/>
                <w:szCs w:val="20"/>
              </w:rPr>
              <w:t xml:space="preserve"> zakonske zahteve le administrativno breme </w:t>
            </w:r>
            <w:r>
              <w:rPr>
                <w:rFonts w:ascii="Arial" w:hAnsi="Arial" w:cs="Arial"/>
                <w:color w:val="000000" w:themeColor="text1"/>
                <w:sz w:val="20"/>
                <w:szCs w:val="20"/>
              </w:rPr>
              <w:t>in</w:t>
            </w:r>
            <w:r w:rsidRPr="0063006B">
              <w:rPr>
                <w:rFonts w:ascii="Arial" w:hAnsi="Arial" w:cs="Arial"/>
                <w:color w:val="000000" w:themeColor="text1"/>
                <w:sz w:val="20"/>
                <w:szCs w:val="20"/>
              </w:rPr>
              <w:t xml:space="preserve"> ne vplivajo na učinkovit</w:t>
            </w:r>
            <w:r>
              <w:rPr>
                <w:rFonts w:ascii="Arial" w:hAnsi="Arial" w:cs="Arial"/>
                <w:color w:val="000000" w:themeColor="text1"/>
                <w:sz w:val="20"/>
                <w:szCs w:val="20"/>
              </w:rPr>
              <w:t>ejše</w:t>
            </w:r>
            <w:r w:rsidRPr="0063006B">
              <w:rPr>
                <w:rFonts w:ascii="Arial" w:hAnsi="Arial" w:cs="Arial"/>
                <w:color w:val="000000" w:themeColor="text1"/>
                <w:sz w:val="20"/>
                <w:szCs w:val="20"/>
              </w:rPr>
              <w:t xml:space="preserve"> poslovanje ali nadzorovanje</w:t>
            </w:r>
            <w:r>
              <w:rPr>
                <w:rFonts w:ascii="Arial" w:hAnsi="Arial" w:cs="Arial"/>
                <w:color w:val="000000"/>
                <w:sz w:val="20"/>
                <w:szCs w:val="20"/>
                <w:shd w:val="clear" w:color="auto" w:fill="FFFFFF"/>
              </w:rPr>
              <w:t>.</w:t>
            </w:r>
          </w:p>
          <w:p w14:paraId="00FA8465" w14:textId="77777777" w:rsidR="000C08CA" w:rsidRPr="00605612" w:rsidRDefault="000C08CA" w:rsidP="00FE328D">
            <w:pPr>
              <w:jc w:val="both"/>
              <w:rPr>
                <w:rFonts w:cs="Arial"/>
                <w:color w:val="000000" w:themeColor="text1"/>
                <w:szCs w:val="20"/>
              </w:rPr>
            </w:pPr>
          </w:p>
        </w:tc>
      </w:tr>
      <w:tr w:rsidR="000C08CA" w:rsidRPr="00605612" w14:paraId="3B349574" w14:textId="77777777" w:rsidTr="4DB7FD0D">
        <w:tc>
          <w:tcPr>
            <w:tcW w:w="9072" w:type="dxa"/>
          </w:tcPr>
          <w:p w14:paraId="4AAF1E92" w14:textId="77777777" w:rsidR="000C08CA" w:rsidRPr="00605612" w:rsidRDefault="000C08CA" w:rsidP="00FE328D">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2. CILJI, NAČELA IN POGLAVITNE REŠITVE PREDLOGA ZAKONA</w:t>
            </w:r>
          </w:p>
        </w:tc>
      </w:tr>
      <w:tr w:rsidR="000C08CA" w:rsidRPr="00605612" w14:paraId="68DB5624" w14:textId="77777777" w:rsidTr="4DB7FD0D">
        <w:tc>
          <w:tcPr>
            <w:tcW w:w="9072" w:type="dxa"/>
          </w:tcPr>
          <w:p w14:paraId="6B564D2B"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2.1 Cilji</w:t>
            </w:r>
          </w:p>
        </w:tc>
      </w:tr>
      <w:tr w:rsidR="000C08CA" w:rsidRPr="00605612" w14:paraId="651C6F9D" w14:textId="77777777" w:rsidTr="4DB7FD0D">
        <w:tc>
          <w:tcPr>
            <w:tcW w:w="9072" w:type="dxa"/>
          </w:tcPr>
          <w:p w14:paraId="41849618" w14:textId="77777777" w:rsidR="000C08CA" w:rsidRPr="00605612" w:rsidRDefault="000C08CA" w:rsidP="00FE328D">
            <w:pPr>
              <w:pBdr>
                <w:top w:val="nil"/>
                <w:left w:val="nil"/>
                <w:bottom w:val="nil"/>
                <w:right w:val="nil"/>
                <w:between w:val="nil"/>
              </w:pBdr>
              <w:suppressAutoHyphens/>
              <w:spacing w:line="276" w:lineRule="auto"/>
              <w:jc w:val="both"/>
              <w:textDirection w:val="btLr"/>
              <w:textAlignment w:val="top"/>
              <w:outlineLvl w:val="0"/>
              <w:rPr>
                <w:rFonts w:cs="Arial"/>
                <w:color w:val="000000" w:themeColor="text1"/>
                <w:szCs w:val="20"/>
              </w:rPr>
            </w:pPr>
          </w:p>
          <w:p w14:paraId="167EE998" w14:textId="77777777" w:rsidR="000C08CA" w:rsidRPr="00605612" w:rsidRDefault="000C08CA" w:rsidP="00FE328D">
            <w:pPr>
              <w:pBdr>
                <w:top w:val="nil"/>
                <w:left w:val="nil"/>
                <w:bottom w:val="nil"/>
                <w:right w:val="nil"/>
                <w:between w:val="nil"/>
              </w:pBdr>
              <w:spacing w:line="276" w:lineRule="auto"/>
              <w:ind w:hanging="2"/>
              <w:jc w:val="both"/>
              <w:rPr>
                <w:rFonts w:eastAsia="Arial" w:cs="Arial"/>
                <w:color w:val="000000" w:themeColor="text1"/>
                <w:szCs w:val="20"/>
              </w:rPr>
            </w:pPr>
            <w:r w:rsidRPr="00605612">
              <w:rPr>
                <w:rFonts w:eastAsia="Arial" w:cs="Arial"/>
                <w:color w:val="000000" w:themeColor="text1"/>
                <w:szCs w:val="20"/>
              </w:rPr>
              <w:t xml:space="preserve">Pri pripravi predloga zakona </w:t>
            </w:r>
            <w:r>
              <w:rPr>
                <w:rFonts w:eastAsia="Arial" w:cs="Arial"/>
                <w:color w:val="000000" w:themeColor="text1"/>
                <w:szCs w:val="20"/>
              </w:rPr>
              <w:t xml:space="preserve">se je </w:t>
            </w:r>
            <w:r w:rsidRPr="00605612">
              <w:rPr>
                <w:rFonts w:eastAsia="Arial" w:cs="Arial"/>
                <w:color w:val="000000" w:themeColor="text1"/>
                <w:szCs w:val="20"/>
              </w:rPr>
              <w:t>sledil</w:t>
            </w:r>
            <w:r>
              <w:rPr>
                <w:rFonts w:eastAsia="Arial" w:cs="Arial"/>
                <w:color w:val="000000" w:themeColor="text1"/>
                <w:szCs w:val="20"/>
              </w:rPr>
              <w:t>o</w:t>
            </w:r>
            <w:r w:rsidRPr="00605612">
              <w:rPr>
                <w:rFonts w:eastAsia="Arial" w:cs="Arial"/>
                <w:color w:val="000000" w:themeColor="text1"/>
                <w:szCs w:val="20"/>
              </w:rPr>
              <w:t xml:space="preserve"> predvsem naslednjim ciljem:</w:t>
            </w:r>
          </w:p>
          <w:p w14:paraId="1DD41BA7"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uskladiti slovenski pravni red z evropsko zakonodajo, in sicer z</w:t>
            </w:r>
            <w:r w:rsidRPr="00605612">
              <w:rPr>
                <w:rFonts w:cs="Arial"/>
                <w:szCs w:val="20"/>
              </w:rPr>
              <w:t xml:space="preserve"> </w:t>
            </w:r>
            <w:r w:rsidRPr="00605612">
              <w:rPr>
                <w:rFonts w:eastAsia="Arial" w:cs="Arial"/>
                <w:color w:val="000000" w:themeColor="text1"/>
                <w:szCs w:val="20"/>
              </w:rPr>
              <w:t>Direktivo 2021/2101/EU, Direktivo</w:t>
            </w:r>
            <w:r w:rsidRPr="00605612">
              <w:rPr>
                <w:rFonts w:cs="Arial"/>
                <w:szCs w:val="20"/>
              </w:rPr>
              <w:t xml:space="preserve"> </w:t>
            </w:r>
            <w:r w:rsidRPr="00605612">
              <w:rPr>
                <w:rFonts w:eastAsia="Arial" w:cs="Arial"/>
                <w:color w:val="000000" w:themeColor="text1"/>
                <w:szCs w:val="20"/>
              </w:rPr>
              <w:t>2022/2464/EU</w:t>
            </w:r>
            <w:r>
              <w:rPr>
                <w:rFonts w:eastAsia="Arial" w:cs="Arial"/>
                <w:color w:val="000000" w:themeColor="text1"/>
                <w:szCs w:val="20"/>
              </w:rPr>
              <w:t>,</w:t>
            </w:r>
            <w:r w:rsidRPr="00605612">
              <w:rPr>
                <w:rFonts w:eastAsia="Arial" w:cs="Arial"/>
                <w:color w:val="000000" w:themeColor="text1"/>
                <w:szCs w:val="20"/>
              </w:rPr>
              <w:t xml:space="preserve"> </w:t>
            </w:r>
            <w:r w:rsidRPr="00605612">
              <w:rPr>
                <w:rFonts w:cs="Arial"/>
                <w:color w:val="000000" w:themeColor="text1"/>
                <w:szCs w:val="20"/>
              </w:rPr>
              <w:t>Direktivo 2022/2381/EU</w:t>
            </w:r>
            <w:r>
              <w:t xml:space="preserve"> in </w:t>
            </w:r>
            <w:r w:rsidRPr="00B83117">
              <w:rPr>
                <w:rFonts w:cs="Arial"/>
                <w:color w:val="000000" w:themeColor="text1"/>
                <w:szCs w:val="20"/>
              </w:rPr>
              <w:t>Direktiv</w:t>
            </w:r>
            <w:r>
              <w:rPr>
                <w:rFonts w:cs="Arial"/>
                <w:color w:val="000000" w:themeColor="text1"/>
                <w:szCs w:val="20"/>
              </w:rPr>
              <w:t>o</w:t>
            </w:r>
            <w:r w:rsidRPr="00B83117">
              <w:rPr>
                <w:rFonts w:cs="Arial"/>
                <w:color w:val="000000" w:themeColor="text1"/>
                <w:szCs w:val="20"/>
              </w:rPr>
              <w:t xml:space="preserve"> 2023/2775</w:t>
            </w:r>
            <w:r>
              <w:rPr>
                <w:rFonts w:cs="Arial"/>
                <w:color w:val="000000" w:themeColor="text1"/>
                <w:szCs w:val="20"/>
              </w:rPr>
              <w:t>/EU</w:t>
            </w:r>
            <w:r>
              <w:rPr>
                <w:rFonts w:cs="Arial"/>
                <w:color w:val="000000" w:themeColor="text1"/>
                <w:szCs w:val="20"/>
                <w:shd w:val="clear" w:color="auto" w:fill="FFFFFF"/>
              </w:rPr>
              <w:t>,</w:t>
            </w:r>
          </w:p>
          <w:p w14:paraId="6D358851"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zagotoviti pravno podlago za poročanje o davčnih informacijah v zvezi z dohodki gospodarskih družb,</w:t>
            </w:r>
          </w:p>
          <w:p w14:paraId="39BB8389"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okrepiti preglednost poslovanja največjih gospodarskih družb,</w:t>
            </w:r>
          </w:p>
          <w:p w14:paraId="69B1FF33"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shd w:val="clear" w:color="auto" w:fill="FFFFFF"/>
              </w:rPr>
              <w:t>povečati javni nadzor nad poslovanjem družb ter s poročanjem o davčnih informacijah v zvezi z dohodki</w:t>
            </w:r>
            <w:r>
              <w:rPr>
                <w:rFonts w:cs="Arial"/>
                <w:color w:val="000000" w:themeColor="text1"/>
                <w:szCs w:val="20"/>
                <w:shd w:val="clear" w:color="auto" w:fill="FFFFFF"/>
              </w:rPr>
              <w:t xml:space="preserve"> po državah</w:t>
            </w:r>
            <w:r w:rsidRPr="00605612">
              <w:rPr>
                <w:rFonts w:cs="Arial"/>
                <w:color w:val="000000" w:themeColor="text1"/>
                <w:szCs w:val="20"/>
                <w:shd w:val="clear" w:color="auto" w:fill="FFFFFF"/>
              </w:rPr>
              <w:t xml:space="preserve"> družbe </w:t>
            </w:r>
            <w:r>
              <w:rPr>
                <w:rFonts w:cs="Arial"/>
                <w:color w:val="000000" w:themeColor="text1"/>
                <w:szCs w:val="20"/>
                <w:shd w:val="clear" w:color="auto" w:fill="FFFFFF"/>
              </w:rPr>
              <w:t>s</w:t>
            </w:r>
            <w:r w:rsidRPr="00605612">
              <w:rPr>
                <w:rFonts w:cs="Arial"/>
                <w:color w:val="000000" w:themeColor="text1"/>
                <w:szCs w:val="20"/>
                <w:shd w:val="clear" w:color="auto" w:fill="FFFFFF"/>
              </w:rPr>
              <w:t>podbuditi, da davke plačajo tam, kjer ustvarijo dobičke</w:t>
            </w:r>
            <w:r>
              <w:rPr>
                <w:rFonts w:cs="Arial"/>
                <w:color w:val="000000" w:themeColor="text1"/>
                <w:szCs w:val="20"/>
                <w:shd w:val="clear" w:color="auto" w:fill="FFFFFF"/>
              </w:rPr>
              <w:t>,</w:t>
            </w:r>
          </w:p>
          <w:p w14:paraId="6C983EF6"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spodbujati družbeno odgovornost podjetij,</w:t>
            </w:r>
          </w:p>
          <w:p w14:paraId="27B451BD"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Pr>
                <w:rFonts w:eastAsia="Arial" w:cs="Arial"/>
                <w:color w:val="000000" w:themeColor="text1"/>
                <w:szCs w:val="20"/>
              </w:rPr>
              <w:t>na novo opredeliti SJI, pri čemer bodo iz opredelitve izvzete nekatere družbe, ki bodo razbremenjene od obveznosti, ki jih prinaša status SJI,</w:t>
            </w:r>
          </w:p>
          <w:p w14:paraId="4BB08891"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cs="Arial"/>
                <w:color w:val="000000" w:themeColor="text1"/>
                <w:szCs w:val="20"/>
              </w:rPr>
              <w:t>izboljšati korporativno upravljanje gospodarskih družb,</w:t>
            </w:r>
          </w:p>
          <w:p w14:paraId="4E73F266"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doseči bolj uravnoteženo zastopanost spolov na najvišjih vodilnih položajih</w:t>
            </w:r>
            <w:r>
              <w:rPr>
                <w:rFonts w:eastAsia="Arial" w:cs="Arial"/>
                <w:color w:val="000000" w:themeColor="text1"/>
                <w:szCs w:val="20"/>
              </w:rPr>
              <w:t xml:space="preserve">, tj. </w:t>
            </w:r>
            <w:r w:rsidRPr="00605612">
              <w:rPr>
                <w:rFonts w:eastAsia="Arial" w:cs="Arial"/>
                <w:color w:val="000000" w:themeColor="text1"/>
                <w:szCs w:val="20"/>
              </w:rPr>
              <w:t>med člani organov vodenja in nadzora v gospodarskih družbah,</w:t>
            </w:r>
          </w:p>
          <w:p w14:paraId="51271715" w14:textId="77777777" w:rsidR="000C08CA"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00605612">
              <w:rPr>
                <w:rFonts w:eastAsia="Arial" w:cs="Arial"/>
                <w:color w:val="000000" w:themeColor="text1"/>
                <w:szCs w:val="20"/>
              </w:rPr>
              <w:t>vzpostaviti merila in ukrepe, s katerimi se bo pospešil napredek pri zagotavljanju uravnotežene zastopanosti spolov med člani organov vodenja in nadzora družb,</w:t>
            </w:r>
          </w:p>
          <w:p w14:paraId="63AD6D46" w14:textId="77777777" w:rsidR="000C08CA" w:rsidRPr="00723324"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4885E88D">
              <w:rPr>
                <w:rFonts w:eastAsia="Arial" w:cs="Arial"/>
                <w:color w:val="000000" w:themeColor="text1"/>
              </w:rPr>
              <w:t xml:space="preserve">poenostaviti </w:t>
            </w:r>
            <w:r w:rsidRPr="004F6192">
              <w:rPr>
                <w:rFonts w:eastAsia="Arial" w:cs="Arial"/>
                <w:color w:val="000000" w:themeColor="text1"/>
              </w:rPr>
              <w:t>merila za razvrščanje velikosti družb</w:t>
            </w:r>
            <w:r>
              <w:rPr>
                <w:rFonts w:eastAsia="Arial" w:cs="Arial"/>
                <w:color w:val="000000" w:themeColor="text1"/>
              </w:rPr>
              <w:t xml:space="preserve"> in s tem</w:t>
            </w:r>
            <w:r w:rsidRPr="4885E88D">
              <w:rPr>
                <w:rFonts w:eastAsia="Arial" w:cs="Arial"/>
                <w:color w:val="000000" w:themeColor="text1"/>
              </w:rPr>
              <w:t xml:space="preserve"> zahteve glede poročanja </w:t>
            </w:r>
            <w:r>
              <w:rPr>
                <w:rFonts w:eastAsia="Arial" w:cs="Arial"/>
                <w:color w:val="000000" w:themeColor="text1"/>
              </w:rPr>
              <w:t>ter</w:t>
            </w:r>
            <w:r w:rsidRPr="4885E88D">
              <w:rPr>
                <w:rFonts w:eastAsia="Arial" w:cs="Arial"/>
                <w:color w:val="000000" w:themeColor="text1"/>
              </w:rPr>
              <w:t xml:space="preserve"> zmanjšati upravna bremena za gospodarske družbe,</w:t>
            </w:r>
          </w:p>
          <w:p w14:paraId="0F45FECF" w14:textId="77777777" w:rsidR="000C08CA" w:rsidRPr="00605612" w:rsidRDefault="000C08CA" w:rsidP="00FE328D">
            <w:pPr>
              <w:numPr>
                <w:ilvl w:val="0"/>
                <w:numId w:val="7"/>
              </w:numPr>
              <w:pBdr>
                <w:top w:val="nil"/>
                <w:left w:val="nil"/>
                <w:bottom w:val="nil"/>
                <w:right w:val="nil"/>
                <w:between w:val="nil"/>
              </w:pBdr>
              <w:spacing w:line="276" w:lineRule="auto"/>
              <w:jc w:val="both"/>
              <w:outlineLvl w:val="0"/>
              <w:rPr>
                <w:rFonts w:eastAsia="Arial" w:cs="Arial"/>
                <w:color w:val="000000" w:themeColor="text1"/>
                <w:szCs w:val="20"/>
              </w:rPr>
            </w:pPr>
            <w:r w:rsidRPr="4885E88D">
              <w:rPr>
                <w:rFonts w:eastAsia="Arial" w:cs="Arial"/>
                <w:color w:val="000000" w:themeColor="text1"/>
              </w:rPr>
              <w:t>doseči označevanje gospodarskih družb in samostojnih podjetnikov posameznikov na vidnih mestih na poslovnih naslovih,</w:t>
            </w:r>
          </w:p>
          <w:p w14:paraId="0B4CFFA7"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4885E88D">
              <w:rPr>
                <w:rFonts w:eastAsia="Arial" w:cs="Arial"/>
                <w:color w:val="000000" w:themeColor="text1"/>
              </w:rPr>
              <w:t>odpraviti nekatere pomanjkljivosti veljavne ureditve,</w:t>
            </w:r>
          </w:p>
          <w:p w14:paraId="23F862D7" w14:textId="77777777" w:rsidR="000C08CA" w:rsidRPr="00605612" w:rsidRDefault="000C08CA" w:rsidP="00FE328D">
            <w:pPr>
              <w:numPr>
                <w:ilvl w:val="0"/>
                <w:numId w:val="7"/>
              </w:numPr>
              <w:pBdr>
                <w:top w:val="nil"/>
                <w:left w:val="nil"/>
                <w:bottom w:val="nil"/>
                <w:right w:val="nil"/>
                <w:between w:val="nil"/>
              </w:pBdr>
              <w:suppressAutoHyphens/>
              <w:spacing w:line="276" w:lineRule="auto"/>
              <w:jc w:val="both"/>
              <w:textDirection w:val="btLr"/>
              <w:textAlignment w:val="top"/>
              <w:outlineLvl w:val="0"/>
              <w:rPr>
                <w:rFonts w:eastAsia="Arial" w:cs="Arial"/>
                <w:color w:val="000000" w:themeColor="text1"/>
                <w:szCs w:val="20"/>
              </w:rPr>
            </w:pPr>
            <w:r w:rsidRPr="4885E88D">
              <w:rPr>
                <w:rFonts w:eastAsia="Arial" w:cs="Arial"/>
                <w:color w:val="000000" w:themeColor="text1"/>
              </w:rPr>
              <w:t>dopolniti kazenske določbe.</w:t>
            </w:r>
          </w:p>
          <w:p w14:paraId="0AF49C4A" w14:textId="77777777" w:rsidR="000C08CA" w:rsidRPr="00605612" w:rsidRDefault="000C08CA" w:rsidP="00FE328D">
            <w:pPr>
              <w:pBdr>
                <w:top w:val="nil"/>
                <w:left w:val="nil"/>
                <w:bottom w:val="nil"/>
                <w:right w:val="nil"/>
                <w:between w:val="nil"/>
              </w:pBdr>
              <w:suppressAutoHyphens/>
              <w:spacing w:line="276" w:lineRule="auto"/>
              <w:jc w:val="both"/>
              <w:textDirection w:val="btLr"/>
              <w:textAlignment w:val="top"/>
              <w:outlineLvl w:val="0"/>
              <w:rPr>
                <w:rFonts w:cs="Arial"/>
                <w:color w:val="000000" w:themeColor="text1"/>
                <w:szCs w:val="20"/>
              </w:rPr>
            </w:pPr>
          </w:p>
        </w:tc>
      </w:tr>
      <w:tr w:rsidR="000C08CA" w:rsidRPr="00605612" w14:paraId="12722CF4" w14:textId="77777777" w:rsidTr="4DB7FD0D">
        <w:tc>
          <w:tcPr>
            <w:tcW w:w="9072" w:type="dxa"/>
          </w:tcPr>
          <w:p w14:paraId="0EF2C4BD"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2.2 Načela</w:t>
            </w:r>
          </w:p>
        </w:tc>
      </w:tr>
      <w:tr w:rsidR="000C08CA" w:rsidRPr="00605612" w14:paraId="3445C954" w14:textId="77777777" w:rsidTr="4DB7FD0D">
        <w:tc>
          <w:tcPr>
            <w:tcW w:w="9072" w:type="dxa"/>
          </w:tcPr>
          <w:p w14:paraId="41333926" w14:textId="77777777" w:rsidR="000C08CA" w:rsidRPr="00605612" w:rsidRDefault="000C08CA" w:rsidP="00FE328D">
            <w:pPr>
              <w:pStyle w:val="Neotevilenodstavek"/>
              <w:spacing w:before="0" w:after="0" w:line="260" w:lineRule="exact"/>
              <w:rPr>
                <w:color w:val="000000" w:themeColor="text1"/>
                <w:sz w:val="20"/>
                <w:szCs w:val="20"/>
              </w:rPr>
            </w:pPr>
          </w:p>
          <w:p w14:paraId="65243C98"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 xml:space="preserve">Predlog zakona ne odstopa od načel, na katerih temelji sedanja ureditev. </w:t>
            </w:r>
          </w:p>
          <w:p w14:paraId="3A359299" w14:textId="77777777" w:rsidR="000C08CA" w:rsidRPr="00605612" w:rsidRDefault="000C08CA" w:rsidP="00FE328D">
            <w:pPr>
              <w:pStyle w:val="Neotevilenodstavek"/>
              <w:spacing w:before="0" w:after="0" w:line="260" w:lineRule="exact"/>
              <w:rPr>
                <w:color w:val="000000" w:themeColor="text1"/>
                <w:sz w:val="20"/>
                <w:szCs w:val="20"/>
              </w:rPr>
            </w:pPr>
          </w:p>
        </w:tc>
      </w:tr>
      <w:tr w:rsidR="000C08CA" w:rsidRPr="00605612" w14:paraId="2EF8DCE3" w14:textId="77777777" w:rsidTr="4DB7FD0D">
        <w:tc>
          <w:tcPr>
            <w:tcW w:w="9072" w:type="dxa"/>
          </w:tcPr>
          <w:p w14:paraId="74497BDF"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2.3 Poglavitne rešitve</w:t>
            </w:r>
          </w:p>
          <w:p w14:paraId="42220A7B"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tc>
      </w:tr>
      <w:tr w:rsidR="000C08CA" w:rsidRPr="00605612" w14:paraId="2A06BE70" w14:textId="77777777" w:rsidTr="4DB7FD0D">
        <w:trPr>
          <w:trHeight w:val="434"/>
        </w:trPr>
        <w:tc>
          <w:tcPr>
            <w:tcW w:w="9072" w:type="dxa"/>
          </w:tcPr>
          <w:p w14:paraId="1C3EBFE4" w14:textId="77777777" w:rsidR="000C08CA" w:rsidRPr="00605612" w:rsidRDefault="000C08CA" w:rsidP="00FE328D">
            <w:pPr>
              <w:pStyle w:val="ListParagraph"/>
              <w:numPr>
                <w:ilvl w:val="0"/>
                <w:numId w:val="10"/>
              </w:numPr>
              <w:overflowPunct w:val="0"/>
              <w:autoSpaceDE w:val="0"/>
              <w:autoSpaceDN w:val="0"/>
              <w:adjustRightInd w:val="0"/>
              <w:jc w:val="both"/>
              <w:textAlignment w:val="baseline"/>
              <w:rPr>
                <w:rFonts w:ascii="Arial" w:hAnsi="Arial" w:cs="Arial"/>
                <w:b/>
                <w:color w:val="000000" w:themeColor="text1"/>
                <w:sz w:val="20"/>
                <w:szCs w:val="20"/>
              </w:rPr>
            </w:pPr>
            <w:r w:rsidRPr="00605612">
              <w:rPr>
                <w:rFonts w:ascii="Arial" w:hAnsi="Arial" w:cs="Arial"/>
                <w:b/>
                <w:color w:val="000000" w:themeColor="text1"/>
                <w:sz w:val="20"/>
                <w:szCs w:val="20"/>
              </w:rPr>
              <w:t>Predstavitev predlaganih rešitev:</w:t>
            </w:r>
            <w:r w:rsidRPr="00605612">
              <w:rPr>
                <w:rFonts w:ascii="Arial" w:hAnsi="Arial" w:cs="Arial"/>
                <w:color w:val="000000" w:themeColor="text1"/>
                <w:sz w:val="20"/>
                <w:szCs w:val="20"/>
              </w:rPr>
              <w:t xml:space="preserve"> </w:t>
            </w:r>
          </w:p>
          <w:p w14:paraId="2E5455FC" w14:textId="77777777" w:rsidR="000C08CA" w:rsidRPr="00605612" w:rsidRDefault="000C08CA" w:rsidP="00FE328D">
            <w:pPr>
              <w:overflowPunct w:val="0"/>
              <w:autoSpaceDE w:val="0"/>
              <w:autoSpaceDN w:val="0"/>
              <w:adjustRightInd w:val="0"/>
              <w:jc w:val="both"/>
              <w:textAlignment w:val="baseline"/>
              <w:rPr>
                <w:rFonts w:cs="Arial"/>
                <w:color w:val="000000" w:themeColor="text1"/>
                <w:szCs w:val="20"/>
              </w:rPr>
            </w:pPr>
          </w:p>
          <w:p w14:paraId="74737B50" w14:textId="77777777" w:rsidR="000C08CA" w:rsidRPr="00605612" w:rsidRDefault="000C08CA" w:rsidP="00FE328D">
            <w:pPr>
              <w:pStyle w:val="ListParagraph"/>
              <w:numPr>
                <w:ilvl w:val="0"/>
                <w:numId w:val="8"/>
              </w:numPr>
              <w:overflowPunct w:val="0"/>
              <w:autoSpaceDE w:val="0"/>
              <w:autoSpaceDN w:val="0"/>
              <w:adjustRightInd w:val="0"/>
              <w:jc w:val="both"/>
              <w:textAlignment w:val="baseline"/>
              <w:rPr>
                <w:rFonts w:ascii="Arial" w:hAnsi="Arial" w:cs="Arial"/>
                <w:color w:val="000000" w:themeColor="text1"/>
                <w:sz w:val="20"/>
                <w:szCs w:val="20"/>
                <w:u w:val="single"/>
              </w:rPr>
            </w:pPr>
            <w:r w:rsidRPr="00605612">
              <w:rPr>
                <w:rFonts w:ascii="Arial" w:hAnsi="Arial" w:cs="Arial"/>
                <w:color w:val="000000" w:themeColor="text1"/>
                <w:sz w:val="20"/>
                <w:szCs w:val="20"/>
                <w:u w:val="single"/>
              </w:rPr>
              <w:t>Rešitve, povezane z uskladitvijo z Direktivo 2021/2101/EU:</w:t>
            </w:r>
          </w:p>
          <w:p w14:paraId="0D4E92F1" w14:textId="77777777" w:rsidR="000C08CA" w:rsidRPr="00605612" w:rsidRDefault="000C08CA" w:rsidP="00FE328D">
            <w:pPr>
              <w:spacing w:line="260" w:lineRule="atLeast"/>
              <w:jc w:val="both"/>
              <w:rPr>
                <w:rFonts w:cs="Arial"/>
                <w:color w:val="000000" w:themeColor="text1"/>
                <w:szCs w:val="20"/>
              </w:rPr>
            </w:pPr>
            <w:r w:rsidRPr="00605612">
              <w:rPr>
                <w:rFonts w:cs="Arial"/>
                <w:color w:val="000000" w:themeColor="text1"/>
                <w:szCs w:val="20"/>
              </w:rPr>
              <w:t>Predlog zakona ureja pravno podlago za javno poročanje o davčnih informacijah v zvezi z dohodki</w:t>
            </w:r>
            <w:r>
              <w:rPr>
                <w:rFonts w:cs="Arial"/>
                <w:color w:val="000000" w:themeColor="text1"/>
                <w:szCs w:val="20"/>
              </w:rPr>
              <w:t xml:space="preserve"> po državah</w:t>
            </w:r>
            <w:r w:rsidRPr="00605612">
              <w:rPr>
                <w:rFonts w:cs="Arial"/>
                <w:color w:val="000000" w:themeColor="text1"/>
                <w:szCs w:val="20"/>
              </w:rPr>
              <w:t xml:space="preserve">, v skladu s katerim bodo nekatere največje družbe, njihove odvisne družbe in podružnice zavezane razkriti nekatere davčne podatke (podatke, ki so </w:t>
            </w:r>
            <w:r>
              <w:rPr>
                <w:rFonts w:cs="Arial"/>
                <w:color w:val="000000" w:themeColor="text1"/>
                <w:szCs w:val="20"/>
              </w:rPr>
              <w:t>bili na razpolago</w:t>
            </w:r>
            <w:r w:rsidRPr="00605612">
              <w:rPr>
                <w:rFonts w:cs="Arial"/>
                <w:color w:val="000000" w:themeColor="text1"/>
                <w:szCs w:val="20"/>
              </w:rPr>
              <w:t xml:space="preserve"> davčnim organom) javnosti </w:t>
            </w:r>
            <w:r>
              <w:rPr>
                <w:rFonts w:cs="Arial"/>
                <w:color w:val="000000" w:themeColor="text1"/>
                <w:szCs w:val="20"/>
              </w:rPr>
              <w:t>v</w:t>
            </w:r>
            <w:r w:rsidRPr="00605612">
              <w:rPr>
                <w:rFonts w:cs="Arial"/>
                <w:color w:val="000000" w:themeColor="text1"/>
                <w:szCs w:val="20"/>
              </w:rPr>
              <w:t xml:space="preserve"> poročil</w:t>
            </w:r>
            <w:r>
              <w:rPr>
                <w:rFonts w:cs="Arial"/>
                <w:color w:val="000000" w:themeColor="text1"/>
                <w:szCs w:val="20"/>
              </w:rPr>
              <w:t>u</w:t>
            </w:r>
            <w:r w:rsidRPr="00605612">
              <w:rPr>
                <w:rFonts w:cs="Arial"/>
                <w:color w:val="000000" w:themeColor="text1"/>
                <w:szCs w:val="20"/>
              </w:rPr>
              <w:t xml:space="preserve"> </w:t>
            </w:r>
            <w:r>
              <w:rPr>
                <w:rFonts w:cs="Arial"/>
                <w:color w:val="000000" w:themeColor="text1"/>
                <w:szCs w:val="20"/>
              </w:rPr>
              <w:t xml:space="preserve">o davčnih informacijah </w:t>
            </w:r>
            <w:r w:rsidRPr="00605612">
              <w:rPr>
                <w:rFonts w:cs="Arial"/>
                <w:color w:val="000000" w:themeColor="text1"/>
                <w:szCs w:val="20"/>
              </w:rPr>
              <w:t xml:space="preserve">v zvezi z dohodki, </w:t>
            </w:r>
            <w:r>
              <w:rPr>
                <w:rFonts w:cs="Arial"/>
                <w:color w:val="000000" w:themeColor="text1"/>
                <w:szCs w:val="20"/>
              </w:rPr>
              <w:t>to poročilo</w:t>
            </w:r>
            <w:r w:rsidRPr="00605612">
              <w:rPr>
                <w:rFonts w:cs="Arial"/>
                <w:color w:val="000000" w:themeColor="text1"/>
                <w:szCs w:val="20"/>
              </w:rPr>
              <w:t xml:space="preserve"> bo </w:t>
            </w:r>
            <w:r>
              <w:rPr>
                <w:rFonts w:cs="Arial"/>
                <w:color w:val="000000" w:themeColor="text1"/>
                <w:szCs w:val="20"/>
              </w:rPr>
              <w:t>ločeno od</w:t>
            </w:r>
            <w:r w:rsidRPr="00605612">
              <w:rPr>
                <w:rFonts w:cs="Arial"/>
                <w:color w:val="000000" w:themeColor="text1"/>
                <w:szCs w:val="20"/>
              </w:rPr>
              <w:t xml:space="preserve"> letnega poročila </w:t>
            </w:r>
            <w:r>
              <w:rPr>
                <w:rFonts w:cs="Arial"/>
                <w:color w:val="000000" w:themeColor="text1"/>
                <w:szCs w:val="20"/>
              </w:rPr>
              <w:t xml:space="preserve">in </w:t>
            </w:r>
            <w:r w:rsidRPr="00605612">
              <w:rPr>
                <w:rFonts w:cs="Arial"/>
                <w:color w:val="000000" w:themeColor="text1"/>
                <w:szCs w:val="20"/>
              </w:rPr>
              <w:t>objavljeno v registru pri Ajpes</w:t>
            </w:r>
            <w:r>
              <w:rPr>
                <w:rFonts w:cs="Arial"/>
                <w:color w:val="000000" w:themeColor="text1"/>
                <w:szCs w:val="20"/>
              </w:rPr>
              <w:t>u</w:t>
            </w:r>
            <w:r w:rsidRPr="00605612">
              <w:rPr>
                <w:rFonts w:cs="Arial"/>
                <w:color w:val="000000" w:themeColor="text1"/>
                <w:szCs w:val="20"/>
              </w:rPr>
              <w:t>, posamezno pa tudi na spletni strani družbe.</w:t>
            </w:r>
          </w:p>
          <w:p w14:paraId="1A67EA2A" w14:textId="77777777" w:rsidR="000C08CA" w:rsidRPr="00605612" w:rsidRDefault="000C08CA" w:rsidP="00FE328D">
            <w:pPr>
              <w:spacing w:line="260" w:lineRule="atLeast"/>
              <w:jc w:val="both"/>
              <w:rPr>
                <w:rFonts w:cs="Arial"/>
                <w:color w:val="000000" w:themeColor="text1"/>
                <w:szCs w:val="20"/>
              </w:rPr>
            </w:pPr>
          </w:p>
          <w:p w14:paraId="1F8F1318" w14:textId="77777777" w:rsidR="000C08CA" w:rsidRPr="00605612" w:rsidRDefault="000C08CA" w:rsidP="00FE328D">
            <w:pPr>
              <w:spacing w:line="260" w:lineRule="atLeast"/>
              <w:jc w:val="both"/>
              <w:rPr>
                <w:rFonts w:cs="Arial"/>
                <w:color w:val="000000" w:themeColor="text1"/>
                <w:szCs w:val="20"/>
              </w:rPr>
            </w:pPr>
            <w:r w:rsidRPr="00605612">
              <w:rPr>
                <w:rFonts w:cs="Arial"/>
                <w:color w:val="000000" w:themeColor="text1"/>
                <w:szCs w:val="20"/>
              </w:rPr>
              <w:t>S predlogom zakona se:</w:t>
            </w:r>
          </w:p>
          <w:p w14:paraId="4EDC3E49" w14:textId="77777777" w:rsidR="000C08CA" w:rsidRPr="00605612" w:rsidRDefault="000C08CA" w:rsidP="00FE328D">
            <w:pPr>
              <w:spacing w:line="260" w:lineRule="atLeast"/>
              <w:jc w:val="both"/>
              <w:rPr>
                <w:rFonts w:cs="Arial"/>
                <w:color w:val="000000" w:themeColor="text1"/>
                <w:szCs w:val="20"/>
              </w:rPr>
            </w:pPr>
          </w:p>
          <w:p w14:paraId="724E43B1" w14:textId="77777777" w:rsidR="000C08CA" w:rsidRPr="00605612" w:rsidRDefault="000C08CA" w:rsidP="00FE328D">
            <w:pPr>
              <w:spacing w:line="260" w:lineRule="atLeast"/>
              <w:jc w:val="both"/>
              <w:rPr>
                <w:rFonts w:cs="Arial"/>
                <w:color w:val="000000" w:themeColor="text1"/>
                <w:szCs w:val="20"/>
              </w:rPr>
            </w:pPr>
            <w:r w:rsidRPr="00605612">
              <w:rPr>
                <w:rFonts w:cs="Arial"/>
                <w:color w:val="000000" w:themeColor="text1"/>
                <w:szCs w:val="20"/>
              </w:rPr>
              <w:t xml:space="preserve">a) določa krog zavezancev za pripravo in objavo poročila </w:t>
            </w:r>
            <w:r>
              <w:rPr>
                <w:rFonts w:cs="Arial"/>
                <w:color w:val="000000" w:themeColor="text1"/>
                <w:szCs w:val="20"/>
              </w:rPr>
              <w:t xml:space="preserve">o davčnih informacijah </w:t>
            </w:r>
            <w:r w:rsidRPr="00605612">
              <w:rPr>
                <w:rFonts w:cs="Arial"/>
                <w:color w:val="000000" w:themeColor="text1"/>
                <w:szCs w:val="20"/>
              </w:rPr>
              <w:t>v zvezi z dohodki</w:t>
            </w:r>
            <w:r>
              <w:rPr>
                <w:rFonts w:cs="Arial"/>
                <w:color w:val="000000" w:themeColor="text1"/>
                <w:szCs w:val="20"/>
              </w:rPr>
              <w:t>:</w:t>
            </w:r>
          </w:p>
          <w:p w14:paraId="3F87E0F3" w14:textId="77777777" w:rsidR="000C08CA" w:rsidRPr="00605612" w:rsidRDefault="000C08CA" w:rsidP="00FE328D">
            <w:pPr>
              <w:rPr>
                <w:rFonts w:cs="Arial"/>
                <w:szCs w:val="20"/>
              </w:rPr>
            </w:pPr>
          </w:p>
          <w:p w14:paraId="5ACDA9A9" w14:textId="77777777" w:rsidR="000C08CA" w:rsidRPr="00605612" w:rsidRDefault="000C08CA" w:rsidP="00FE328D">
            <w:pPr>
              <w:jc w:val="both"/>
              <w:rPr>
                <w:rFonts w:cs="Arial"/>
                <w:szCs w:val="20"/>
              </w:rPr>
            </w:pPr>
            <w:r w:rsidRPr="00605612">
              <w:rPr>
                <w:rFonts w:cs="Arial"/>
                <w:szCs w:val="20"/>
              </w:rPr>
              <w:t xml:space="preserve">Poročilo </w:t>
            </w:r>
            <w:r>
              <w:rPr>
                <w:rFonts w:cs="Arial"/>
                <w:color w:val="000000" w:themeColor="text1"/>
                <w:szCs w:val="20"/>
              </w:rPr>
              <w:t xml:space="preserve">o davčnih informacijah </w:t>
            </w:r>
            <w:r w:rsidRPr="00605612">
              <w:rPr>
                <w:rFonts w:cs="Arial"/>
                <w:szCs w:val="20"/>
              </w:rPr>
              <w:t>v zvezi z dohodki bodo v skladu s predlogom zakona morale pripraviti</w:t>
            </w:r>
            <w:r>
              <w:rPr>
                <w:rFonts w:cs="Arial"/>
                <w:szCs w:val="20"/>
              </w:rPr>
              <w:t xml:space="preserve">, </w:t>
            </w:r>
            <w:r w:rsidRPr="00605612">
              <w:rPr>
                <w:rFonts w:cs="Arial"/>
                <w:szCs w:val="20"/>
              </w:rPr>
              <w:t xml:space="preserve">objaviti </w:t>
            </w:r>
            <w:r>
              <w:rPr>
                <w:rFonts w:cs="Arial"/>
                <w:color w:val="000000" w:themeColor="text1"/>
                <w:szCs w:val="20"/>
              </w:rPr>
              <w:t xml:space="preserve">in ga predložiti Ajpesu ter </w:t>
            </w:r>
            <w:r w:rsidRPr="00605612">
              <w:rPr>
                <w:rFonts w:cs="Arial"/>
                <w:color w:val="000000" w:themeColor="text1"/>
                <w:szCs w:val="20"/>
              </w:rPr>
              <w:t>omogoči</w:t>
            </w:r>
            <w:r>
              <w:rPr>
                <w:rFonts w:cs="Arial"/>
                <w:color w:val="000000" w:themeColor="text1"/>
                <w:szCs w:val="20"/>
              </w:rPr>
              <w:t>ti</w:t>
            </w:r>
            <w:r w:rsidRPr="00605612">
              <w:rPr>
                <w:rFonts w:cs="Arial"/>
                <w:color w:val="000000" w:themeColor="text1"/>
                <w:szCs w:val="20"/>
              </w:rPr>
              <w:t xml:space="preserve"> dostop do</w:t>
            </w:r>
            <w:r>
              <w:rPr>
                <w:rFonts w:cs="Arial"/>
                <w:color w:val="000000" w:themeColor="text1"/>
                <w:szCs w:val="20"/>
              </w:rPr>
              <w:t xml:space="preserve"> njega ali ga </w:t>
            </w:r>
            <w:r w:rsidRPr="00774A2C">
              <w:rPr>
                <w:rFonts w:cs="Arial"/>
                <w:color w:val="000000" w:themeColor="text1"/>
                <w:szCs w:val="20"/>
              </w:rPr>
              <w:t>objavi</w:t>
            </w:r>
            <w:r>
              <w:rPr>
                <w:rFonts w:cs="Arial"/>
                <w:color w:val="000000" w:themeColor="text1"/>
                <w:szCs w:val="20"/>
              </w:rPr>
              <w:t>ti</w:t>
            </w:r>
            <w:r w:rsidRPr="00774A2C">
              <w:rPr>
                <w:rFonts w:cs="Arial"/>
                <w:color w:val="000000" w:themeColor="text1"/>
                <w:szCs w:val="20"/>
              </w:rPr>
              <w:t xml:space="preserve"> na spletni strani</w:t>
            </w:r>
            <w:r w:rsidRPr="00605612">
              <w:rPr>
                <w:rFonts w:cs="Arial"/>
                <w:szCs w:val="20"/>
              </w:rPr>
              <w:t xml:space="preserve"> družbe, ki so v skladu s 56. členom ZGD-1 zavezane k pripravi konsolidiranega letnega poročila </w:t>
            </w:r>
            <w:r w:rsidRPr="009B1402">
              <w:rPr>
                <w:rFonts w:cs="Arial"/>
                <w:color w:val="000000" w:themeColor="text1"/>
                <w:szCs w:val="20"/>
              </w:rPr>
              <w:t xml:space="preserve">za najširši krog </w:t>
            </w:r>
            <w:r w:rsidRPr="009B1402">
              <w:rPr>
                <w:rFonts w:cs="Arial"/>
                <w:color w:val="000000" w:themeColor="text1"/>
                <w:szCs w:val="20"/>
              </w:rPr>
              <w:lastRenderedPageBreak/>
              <w:t xml:space="preserve">družb </w:t>
            </w:r>
            <w:r>
              <w:rPr>
                <w:rFonts w:cs="Arial"/>
                <w:color w:val="000000" w:themeColor="text1"/>
                <w:szCs w:val="20"/>
              </w:rPr>
              <w:t xml:space="preserve">v skupini, </w:t>
            </w:r>
            <w:r w:rsidRPr="00605612">
              <w:rPr>
                <w:rFonts w:cs="Arial"/>
                <w:szCs w:val="20"/>
              </w:rPr>
              <w:t xml:space="preserve">in </w:t>
            </w:r>
            <w:r>
              <w:rPr>
                <w:rFonts w:cs="Arial"/>
                <w:szCs w:val="20"/>
              </w:rPr>
              <w:t>druge</w:t>
            </w:r>
            <w:r w:rsidRPr="00605612">
              <w:rPr>
                <w:rFonts w:cs="Arial"/>
                <w:szCs w:val="20"/>
              </w:rPr>
              <w:t xml:space="preserve"> družbe, če bo</w:t>
            </w:r>
            <w:r>
              <w:rPr>
                <w:rFonts w:cs="Arial"/>
                <w:szCs w:val="20"/>
              </w:rPr>
              <w:t>do</w:t>
            </w:r>
            <w:r w:rsidRPr="00605612">
              <w:rPr>
                <w:rFonts w:cs="Arial"/>
                <w:szCs w:val="20"/>
              </w:rPr>
              <w:t xml:space="preserve"> njihov</w:t>
            </w:r>
            <w:r>
              <w:rPr>
                <w:rFonts w:cs="Arial"/>
                <w:szCs w:val="20"/>
              </w:rPr>
              <w:t>i</w:t>
            </w:r>
            <w:r w:rsidRPr="00605612">
              <w:rPr>
                <w:rFonts w:cs="Arial"/>
                <w:szCs w:val="20"/>
              </w:rPr>
              <w:t xml:space="preserve"> prihodk</w:t>
            </w:r>
            <w:r>
              <w:rPr>
                <w:rFonts w:cs="Arial"/>
                <w:szCs w:val="20"/>
              </w:rPr>
              <w:t>i</w:t>
            </w:r>
            <w:r w:rsidRPr="00605612">
              <w:rPr>
                <w:rFonts w:cs="Arial"/>
                <w:szCs w:val="20"/>
              </w:rPr>
              <w:t xml:space="preserve"> ali konsolidirani prihodk</w:t>
            </w:r>
            <w:r>
              <w:rPr>
                <w:rFonts w:cs="Arial"/>
                <w:szCs w:val="20"/>
              </w:rPr>
              <w:t>i</w:t>
            </w:r>
            <w:r w:rsidRPr="00605612">
              <w:rPr>
                <w:rFonts w:cs="Arial"/>
                <w:szCs w:val="20"/>
              </w:rPr>
              <w:t xml:space="preserve"> na podlagi podatkov zadnjih dveh zaporednih poslovnih let na bilančni presečni dan bilance stanja obakrat presegl</w:t>
            </w:r>
            <w:r>
              <w:rPr>
                <w:rFonts w:cs="Arial"/>
                <w:szCs w:val="20"/>
              </w:rPr>
              <w:t>i</w:t>
            </w:r>
            <w:r w:rsidRPr="00605612">
              <w:rPr>
                <w:rFonts w:cs="Arial"/>
                <w:szCs w:val="20"/>
              </w:rPr>
              <w:t xml:space="preserve"> 750</w:t>
            </w:r>
            <w:r>
              <w:rPr>
                <w:rFonts w:cs="Arial"/>
                <w:szCs w:val="20"/>
              </w:rPr>
              <w:t>,</w:t>
            </w:r>
            <w:r w:rsidRPr="00605612">
              <w:rPr>
                <w:rFonts w:cs="Arial"/>
                <w:szCs w:val="20"/>
              </w:rPr>
              <w:t xml:space="preserve">000.000 </w:t>
            </w:r>
            <w:r>
              <w:rPr>
                <w:rFonts w:cs="Arial"/>
                <w:szCs w:val="20"/>
              </w:rPr>
              <w:t>EUR</w:t>
            </w:r>
            <w:r w:rsidRPr="00605612">
              <w:rPr>
                <w:rFonts w:cs="Arial"/>
                <w:szCs w:val="20"/>
              </w:rPr>
              <w:t xml:space="preserve">. Gre za največje samostojne družbe ali obvladujoče družbe s sedežem v Republiki Sloveniji, pri čemer predlog zakona za obveznost priprave poročila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določa</w:t>
            </w:r>
            <w:r w:rsidRPr="00605612">
              <w:rPr>
                <w:rFonts w:cs="Arial"/>
                <w:szCs w:val="20"/>
              </w:rPr>
              <w:t xml:space="preserve"> pogoj, da družba prek svojih odvisnih družb in/ali podružnic posluje v več državah. Obveznost priprave in objave poročila </w:t>
            </w:r>
            <w:r>
              <w:rPr>
                <w:rFonts w:cs="Arial"/>
                <w:color w:val="000000" w:themeColor="text1"/>
                <w:szCs w:val="20"/>
              </w:rPr>
              <w:t xml:space="preserve">o davčnih informacijah </w:t>
            </w:r>
            <w:r w:rsidRPr="00605612">
              <w:rPr>
                <w:rFonts w:cs="Arial"/>
                <w:szCs w:val="20"/>
              </w:rPr>
              <w:t xml:space="preserve">v zvezi z dohodki tako ne bo veljala za družbe, povezane družbe in podružnice, če imajo sedež le v Republiki Sloveniji. </w:t>
            </w:r>
          </w:p>
          <w:p w14:paraId="1EF29B01" w14:textId="77777777" w:rsidR="000C08CA" w:rsidRPr="00605612" w:rsidRDefault="000C08CA" w:rsidP="00FE328D">
            <w:pPr>
              <w:jc w:val="both"/>
              <w:rPr>
                <w:rFonts w:cs="Arial"/>
                <w:szCs w:val="20"/>
              </w:rPr>
            </w:pPr>
          </w:p>
          <w:p w14:paraId="5C312A56" w14:textId="77777777" w:rsidR="000C08CA" w:rsidRPr="00605612" w:rsidRDefault="000C08CA" w:rsidP="00FE328D">
            <w:pPr>
              <w:jc w:val="both"/>
              <w:rPr>
                <w:rFonts w:cs="Arial"/>
                <w:szCs w:val="20"/>
              </w:rPr>
            </w:pPr>
            <w:r w:rsidRPr="00605612">
              <w:rPr>
                <w:rFonts w:cs="Arial"/>
                <w:szCs w:val="20"/>
              </w:rPr>
              <w:t xml:space="preserve">K pripravi in objavi poročila </w:t>
            </w:r>
            <w:r>
              <w:rPr>
                <w:rFonts w:cs="Arial"/>
                <w:color w:val="000000" w:themeColor="text1"/>
                <w:szCs w:val="20"/>
              </w:rPr>
              <w:t xml:space="preserve">o davčnih informacijah </w:t>
            </w:r>
            <w:r w:rsidRPr="00605612">
              <w:rPr>
                <w:rFonts w:cs="Arial"/>
                <w:szCs w:val="20"/>
              </w:rPr>
              <w:t>v zvezi z dohodki se s predlogom zakona zavezuje</w:t>
            </w:r>
            <w:r>
              <w:rPr>
                <w:rFonts w:cs="Arial"/>
                <w:szCs w:val="20"/>
              </w:rPr>
              <w:t>jo</w:t>
            </w:r>
            <w:r w:rsidRPr="00605612">
              <w:rPr>
                <w:rFonts w:cs="Arial"/>
                <w:szCs w:val="20"/>
              </w:rPr>
              <w:t xml:space="preserve"> tudi </w:t>
            </w:r>
            <w:r w:rsidRPr="00AF7682">
              <w:rPr>
                <w:rFonts w:cs="Arial"/>
                <w:szCs w:val="20"/>
              </w:rPr>
              <w:t>družbe</w:t>
            </w:r>
            <w:r w:rsidRPr="00605612">
              <w:rPr>
                <w:rFonts w:cs="Arial"/>
                <w:szCs w:val="20"/>
              </w:rPr>
              <w:t xml:space="preserve">, ki so </w:t>
            </w:r>
            <w:r>
              <w:rPr>
                <w:rFonts w:cs="Arial"/>
                <w:szCs w:val="20"/>
              </w:rPr>
              <w:t xml:space="preserve">jih </w:t>
            </w:r>
            <w:r w:rsidRPr="00605612">
              <w:rPr>
                <w:rFonts w:cs="Arial"/>
                <w:szCs w:val="20"/>
              </w:rPr>
              <w:t>v Republiki Sloveniji ustanov</w:t>
            </w:r>
            <w:r>
              <w:rPr>
                <w:rFonts w:cs="Arial"/>
                <w:szCs w:val="20"/>
              </w:rPr>
              <w:t>ila</w:t>
            </w:r>
            <w:r w:rsidRPr="00605612">
              <w:rPr>
                <w:rFonts w:cs="Arial"/>
                <w:szCs w:val="20"/>
              </w:rPr>
              <w:t xml:space="preserve"> </w:t>
            </w:r>
            <w:r w:rsidRPr="00AF7682">
              <w:rPr>
                <w:rFonts w:cs="Arial"/>
                <w:szCs w:val="20"/>
              </w:rPr>
              <w:t>tuja podjetja</w:t>
            </w:r>
            <w:r w:rsidRPr="00605612">
              <w:rPr>
                <w:rFonts w:cs="Arial"/>
                <w:szCs w:val="20"/>
              </w:rPr>
              <w:t xml:space="preserve"> iz tretjih držav (držav </w:t>
            </w:r>
            <w:r>
              <w:rPr>
                <w:rFonts w:cs="Arial"/>
                <w:szCs w:val="20"/>
              </w:rPr>
              <w:t>zunaj</w:t>
            </w:r>
            <w:r w:rsidRPr="00605612">
              <w:rPr>
                <w:rFonts w:cs="Arial"/>
                <w:szCs w:val="20"/>
              </w:rPr>
              <w:t xml:space="preserve"> Evropske unije) in </w:t>
            </w:r>
            <w:r>
              <w:rPr>
                <w:rFonts w:cs="Arial"/>
                <w:szCs w:val="20"/>
              </w:rPr>
              <w:t>tvorijo</w:t>
            </w:r>
            <w:r w:rsidRPr="00605612">
              <w:rPr>
                <w:rFonts w:cs="Arial"/>
                <w:szCs w:val="20"/>
              </w:rPr>
              <w:t xml:space="preserve"> skupino. Gre torej za odvisne družbe, ki jih obvladuje </w:t>
            </w:r>
            <w:r>
              <w:rPr>
                <w:rFonts w:cs="Arial"/>
                <w:szCs w:val="20"/>
              </w:rPr>
              <w:t>tuje podjetje</w:t>
            </w:r>
            <w:r w:rsidRPr="00605612">
              <w:rPr>
                <w:rFonts w:cs="Arial"/>
                <w:szCs w:val="20"/>
              </w:rPr>
              <w:t xml:space="preserve"> iz tretje države. Obveznost poročanja bo po predlogu zakona za odvisno družbo s sedežem v Republiki Sloveniji nastala, če je ta družba srednja ali velika družba v skladu z merili za srednje in velike družbe iz četrtega do šestega odstavka 55. člena ZGD-1 in če bo</w:t>
            </w:r>
            <w:r>
              <w:rPr>
                <w:rFonts w:cs="Arial"/>
                <w:szCs w:val="20"/>
              </w:rPr>
              <w:t>do</w:t>
            </w:r>
            <w:r w:rsidRPr="00605612">
              <w:rPr>
                <w:rFonts w:cs="Arial"/>
                <w:szCs w:val="20"/>
              </w:rPr>
              <w:t xml:space="preserve"> konsolidirani prihodk</w:t>
            </w:r>
            <w:r>
              <w:rPr>
                <w:rFonts w:cs="Arial"/>
                <w:szCs w:val="20"/>
              </w:rPr>
              <w:t>i</w:t>
            </w:r>
            <w:r w:rsidRPr="00605612">
              <w:rPr>
                <w:rFonts w:cs="Arial"/>
                <w:szCs w:val="20"/>
              </w:rPr>
              <w:t xml:space="preserve"> obvladujoče (matične) </w:t>
            </w:r>
            <w:r w:rsidRPr="00AF7682">
              <w:rPr>
                <w:rFonts w:cs="Arial"/>
                <w:szCs w:val="20"/>
              </w:rPr>
              <w:t>družbe</w:t>
            </w:r>
            <w:r w:rsidRPr="00605612">
              <w:rPr>
                <w:rFonts w:cs="Arial"/>
                <w:szCs w:val="20"/>
              </w:rPr>
              <w:t xml:space="preserve"> iz tretje države na podlagi podatkov zadnjih dveh zaporednih poslovnih let na bilančni presečni dan bilance stanja obakrat presegl</w:t>
            </w:r>
            <w:r>
              <w:rPr>
                <w:rFonts w:cs="Arial"/>
                <w:szCs w:val="20"/>
              </w:rPr>
              <w:t>i</w:t>
            </w:r>
            <w:r w:rsidRPr="00605612">
              <w:rPr>
                <w:rFonts w:cs="Arial"/>
                <w:szCs w:val="20"/>
              </w:rPr>
              <w:t xml:space="preserve"> 750</w:t>
            </w:r>
            <w:r>
              <w:rPr>
                <w:rFonts w:cs="Arial"/>
                <w:szCs w:val="20"/>
              </w:rPr>
              <w:t>.</w:t>
            </w:r>
            <w:r w:rsidRPr="00605612">
              <w:rPr>
                <w:rFonts w:cs="Arial"/>
                <w:szCs w:val="20"/>
              </w:rPr>
              <w:t xml:space="preserve">000.000 </w:t>
            </w:r>
            <w:r>
              <w:rPr>
                <w:rFonts w:cs="Arial"/>
                <w:szCs w:val="20"/>
              </w:rPr>
              <w:t>EUR</w:t>
            </w:r>
            <w:r w:rsidRPr="00605612">
              <w:rPr>
                <w:rFonts w:cs="Arial"/>
                <w:szCs w:val="20"/>
              </w:rPr>
              <w:t>. Če bo obvladujoč</w:t>
            </w:r>
            <w:r>
              <w:rPr>
                <w:rFonts w:cs="Arial"/>
                <w:szCs w:val="20"/>
              </w:rPr>
              <w:t>e tuje podjetje</w:t>
            </w:r>
            <w:r w:rsidRPr="00605612" w:rsidDel="00AA0269">
              <w:rPr>
                <w:rFonts w:cs="Arial"/>
                <w:szCs w:val="20"/>
              </w:rPr>
              <w:t xml:space="preserve"> </w:t>
            </w:r>
            <w:r w:rsidRPr="00605612">
              <w:rPr>
                <w:rFonts w:cs="Arial"/>
                <w:szCs w:val="20"/>
              </w:rPr>
              <w:t>iz tretje države, ki preseže naveden</w:t>
            </w:r>
            <w:r>
              <w:rPr>
                <w:rFonts w:cs="Arial"/>
                <w:szCs w:val="20"/>
              </w:rPr>
              <w:t>o</w:t>
            </w:r>
            <w:r w:rsidRPr="00605612" w:rsidDel="00AA0269">
              <w:rPr>
                <w:rFonts w:cs="Arial"/>
                <w:szCs w:val="20"/>
              </w:rPr>
              <w:t xml:space="preserve"> </w:t>
            </w:r>
            <w:r>
              <w:rPr>
                <w:rFonts w:cs="Arial"/>
                <w:szCs w:val="20"/>
              </w:rPr>
              <w:t>merilo</w:t>
            </w:r>
            <w:r w:rsidRPr="00605612">
              <w:rPr>
                <w:rFonts w:cs="Arial"/>
                <w:szCs w:val="20"/>
              </w:rPr>
              <w:t xml:space="preserve"> prihodka, sam</w:t>
            </w:r>
            <w:r>
              <w:rPr>
                <w:rFonts w:cs="Arial"/>
                <w:szCs w:val="20"/>
              </w:rPr>
              <w:t>o</w:t>
            </w:r>
            <w:r w:rsidRPr="00605612">
              <w:rPr>
                <w:rFonts w:cs="Arial"/>
                <w:szCs w:val="20"/>
              </w:rPr>
              <w:t xml:space="preserve"> pripravil</w:t>
            </w:r>
            <w:r>
              <w:rPr>
                <w:rFonts w:cs="Arial"/>
                <w:szCs w:val="20"/>
              </w:rPr>
              <w:t>lo</w:t>
            </w:r>
            <w:r w:rsidRPr="00605612">
              <w:rPr>
                <w:rFonts w:cs="Arial"/>
                <w:szCs w:val="20"/>
              </w:rPr>
              <w:t xml:space="preserve"> poročilo </w:t>
            </w:r>
            <w:r>
              <w:rPr>
                <w:rFonts w:cs="Arial"/>
                <w:color w:val="000000" w:themeColor="text1"/>
                <w:szCs w:val="20"/>
              </w:rPr>
              <w:t xml:space="preserve">o davčnih informacijah </w:t>
            </w:r>
            <w:r w:rsidRPr="00605612">
              <w:rPr>
                <w:rFonts w:cs="Arial"/>
                <w:szCs w:val="20"/>
              </w:rPr>
              <w:t>v zvezi z dohodki, bo nje</w:t>
            </w:r>
            <w:r>
              <w:rPr>
                <w:rFonts w:cs="Arial"/>
                <w:szCs w:val="20"/>
              </w:rPr>
              <w:t>gova</w:t>
            </w:r>
            <w:r w:rsidRPr="00605612">
              <w:rPr>
                <w:rFonts w:cs="Arial"/>
                <w:szCs w:val="20"/>
              </w:rPr>
              <w:t xml:space="preserve"> odvisna družba s sedežem v Republiki Sloveniji zavezana le, da ga objavi </w:t>
            </w:r>
            <w:r>
              <w:rPr>
                <w:rFonts w:cs="Arial"/>
                <w:szCs w:val="20"/>
              </w:rPr>
              <w:t>in</w:t>
            </w:r>
            <w:r w:rsidRPr="00605612">
              <w:rPr>
                <w:rFonts w:cs="Arial"/>
                <w:szCs w:val="20"/>
              </w:rPr>
              <w:t xml:space="preserve"> </w:t>
            </w:r>
            <w:r>
              <w:rPr>
                <w:rFonts w:cs="Arial"/>
                <w:color w:val="000000" w:themeColor="text1"/>
                <w:szCs w:val="20"/>
              </w:rPr>
              <w:t xml:space="preserve">predloži Ajpesu ter </w:t>
            </w:r>
            <w:r w:rsidRPr="00605612">
              <w:rPr>
                <w:rFonts w:cs="Arial"/>
                <w:szCs w:val="20"/>
              </w:rPr>
              <w:t>zagotovi njegov dostop</w:t>
            </w:r>
            <w:r>
              <w:rPr>
                <w:rFonts w:cs="Arial"/>
                <w:szCs w:val="20"/>
              </w:rPr>
              <w:t xml:space="preserve"> </w:t>
            </w:r>
            <w:r>
              <w:rPr>
                <w:rFonts w:cs="Arial"/>
                <w:color w:val="000000" w:themeColor="text1"/>
                <w:szCs w:val="20"/>
              </w:rPr>
              <w:t xml:space="preserve">ali ga </w:t>
            </w:r>
            <w:r w:rsidRPr="00774A2C">
              <w:rPr>
                <w:rFonts w:cs="Arial"/>
                <w:color w:val="000000" w:themeColor="text1"/>
                <w:szCs w:val="20"/>
              </w:rPr>
              <w:t>objavi na spletni strani</w:t>
            </w:r>
            <w:r>
              <w:rPr>
                <w:rFonts w:cs="Arial"/>
                <w:color w:val="000000" w:themeColor="text1"/>
                <w:szCs w:val="20"/>
              </w:rPr>
              <w:t>. Č</w:t>
            </w:r>
            <w:r w:rsidRPr="00605612">
              <w:rPr>
                <w:rFonts w:cs="Arial"/>
                <w:szCs w:val="20"/>
              </w:rPr>
              <w:t xml:space="preserve">e pa odvisna družba od svoje obvladujoče družbe ne bo pridobila poročila </w:t>
            </w:r>
            <w:r>
              <w:rPr>
                <w:rFonts w:cs="Arial"/>
                <w:color w:val="000000" w:themeColor="text1"/>
                <w:szCs w:val="20"/>
              </w:rPr>
              <w:t xml:space="preserve">o davčnih informacijah </w:t>
            </w:r>
            <w:r w:rsidRPr="00605612">
              <w:rPr>
                <w:rFonts w:cs="Arial"/>
                <w:szCs w:val="20"/>
              </w:rPr>
              <w:t xml:space="preserve">v zvezi z dohodki, bo od nje zahtevala, da ji zagotovi vse podatke, potrebne za pripravo poročila. </w:t>
            </w:r>
            <w:r>
              <w:rPr>
                <w:rFonts w:cs="Arial"/>
                <w:szCs w:val="20"/>
              </w:rPr>
              <w:t>Če</w:t>
            </w:r>
            <w:r w:rsidRPr="00605612">
              <w:rPr>
                <w:rFonts w:cs="Arial"/>
                <w:szCs w:val="20"/>
              </w:rPr>
              <w:t xml:space="preserve"> obvladujoč</w:t>
            </w:r>
            <w:r>
              <w:rPr>
                <w:rFonts w:cs="Arial"/>
                <w:szCs w:val="20"/>
              </w:rPr>
              <w:t>e</w:t>
            </w:r>
            <w:r w:rsidRPr="00605612" w:rsidDel="005A08DA">
              <w:rPr>
                <w:rFonts w:cs="Arial"/>
                <w:szCs w:val="20"/>
              </w:rPr>
              <w:t xml:space="preserve"> </w:t>
            </w:r>
            <w:r w:rsidRPr="00AF7682">
              <w:rPr>
                <w:rFonts w:cs="Arial"/>
                <w:szCs w:val="20"/>
              </w:rPr>
              <w:t>tuje podjetje</w:t>
            </w:r>
            <w:r>
              <w:rPr>
                <w:rFonts w:cs="Arial"/>
                <w:szCs w:val="20"/>
              </w:rPr>
              <w:t xml:space="preserve"> iz tretje države</w:t>
            </w:r>
            <w:r w:rsidRPr="00605612">
              <w:rPr>
                <w:rFonts w:cs="Arial"/>
                <w:szCs w:val="20"/>
              </w:rPr>
              <w:t xml:space="preserve"> zahtevanih podatkov ne bo predložil</w:t>
            </w:r>
            <w:r>
              <w:rPr>
                <w:rFonts w:cs="Arial"/>
                <w:szCs w:val="20"/>
              </w:rPr>
              <w:t>o</w:t>
            </w:r>
            <w:r w:rsidRPr="00605612">
              <w:rPr>
                <w:rFonts w:cs="Arial"/>
                <w:szCs w:val="20"/>
              </w:rPr>
              <w:t xml:space="preserve">, bo odvisna </w:t>
            </w:r>
            <w:r w:rsidRPr="00AF7682">
              <w:rPr>
                <w:rFonts w:cs="Arial"/>
                <w:szCs w:val="20"/>
              </w:rPr>
              <w:t>družba</w:t>
            </w:r>
            <w:r w:rsidRPr="00605612">
              <w:rPr>
                <w:rFonts w:cs="Arial"/>
                <w:szCs w:val="20"/>
              </w:rPr>
              <w:t xml:space="preserve"> pripravila</w:t>
            </w:r>
            <w:r>
              <w:rPr>
                <w:rFonts w:cs="Arial"/>
                <w:szCs w:val="20"/>
              </w:rPr>
              <w:t>,</w:t>
            </w:r>
            <w:r w:rsidRPr="00605612" w:rsidDel="002059A5">
              <w:rPr>
                <w:rFonts w:cs="Arial"/>
                <w:szCs w:val="20"/>
              </w:rPr>
              <w:t xml:space="preserve"> </w:t>
            </w:r>
            <w:r w:rsidRPr="00605612">
              <w:rPr>
                <w:rFonts w:cs="Arial"/>
                <w:szCs w:val="20"/>
              </w:rPr>
              <w:t xml:space="preserve">objavila </w:t>
            </w:r>
            <w:r>
              <w:rPr>
                <w:rFonts w:cs="Arial"/>
                <w:szCs w:val="20"/>
              </w:rPr>
              <w:t>in</w:t>
            </w:r>
            <w:r>
              <w:rPr>
                <w:rFonts w:cs="Arial"/>
                <w:color w:val="000000" w:themeColor="text1"/>
                <w:szCs w:val="20"/>
              </w:rPr>
              <w:t xml:space="preserve"> predložila Ajpesu</w:t>
            </w:r>
            <w:r w:rsidRPr="00605612">
              <w:rPr>
                <w:rFonts w:cs="Arial"/>
                <w:szCs w:val="20"/>
              </w:rPr>
              <w:t xml:space="preserve"> </w:t>
            </w:r>
            <w:r>
              <w:rPr>
                <w:rFonts w:cs="Arial"/>
                <w:szCs w:val="20"/>
              </w:rPr>
              <w:t xml:space="preserve">ter </w:t>
            </w:r>
            <w:r w:rsidRPr="00605612">
              <w:rPr>
                <w:rFonts w:cs="Arial"/>
                <w:szCs w:val="20"/>
              </w:rPr>
              <w:t xml:space="preserve">zagotovila dostop do poročila o davčnih podatkih </w:t>
            </w:r>
            <w:r>
              <w:rPr>
                <w:rFonts w:cs="Arial"/>
                <w:color w:val="000000" w:themeColor="text1"/>
                <w:szCs w:val="20"/>
              </w:rPr>
              <w:t xml:space="preserve">o davčnih informacijah </w:t>
            </w:r>
            <w:r w:rsidRPr="00605612">
              <w:rPr>
                <w:rFonts w:cs="Arial"/>
                <w:szCs w:val="20"/>
              </w:rPr>
              <w:t xml:space="preserve">v zvezi z dohodki </w:t>
            </w:r>
            <w:r>
              <w:rPr>
                <w:rFonts w:cs="Arial"/>
                <w:color w:val="000000" w:themeColor="text1"/>
                <w:szCs w:val="20"/>
              </w:rPr>
              <w:t xml:space="preserve">ali ga </w:t>
            </w:r>
            <w:r w:rsidRPr="00774A2C">
              <w:rPr>
                <w:rFonts w:cs="Arial"/>
                <w:color w:val="000000" w:themeColor="text1"/>
                <w:szCs w:val="20"/>
              </w:rPr>
              <w:t>objavi</w:t>
            </w:r>
            <w:r>
              <w:rPr>
                <w:rFonts w:cs="Arial"/>
                <w:color w:val="000000" w:themeColor="text1"/>
                <w:szCs w:val="20"/>
              </w:rPr>
              <w:t>la</w:t>
            </w:r>
            <w:r w:rsidRPr="00774A2C">
              <w:rPr>
                <w:rFonts w:cs="Arial"/>
                <w:color w:val="000000" w:themeColor="text1"/>
                <w:szCs w:val="20"/>
              </w:rPr>
              <w:t xml:space="preserve"> na spletni strani</w:t>
            </w:r>
            <w:r w:rsidRPr="00605612">
              <w:rPr>
                <w:rFonts w:cs="Arial"/>
                <w:szCs w:val="20"/>
              </w:rPr>
              <w:t xml:space="preserve"> s podatki, ki jih bo imela na voljo, jih je </w:t>
            </w:r>
            <w:r w:rsidRPr="00AF7682">
              <w:rPr>
                <w:rFonts w:cs="Arial"/>
                <w:szCs w:val="20"/>
              </w:rPr>
              <w:t>prejela</w:t>
            </w:r>
            <w:r w:rsidRPr="00605612">
              <w:rPr>
                <w:rFonts w:cs="Arial"/>
                <w:szCs w:val="20"/>
              </w:rPr>
              <w:t xml:space="preserve"> </w:t>
            </w:r>
            <w:r w:rsidRPr="00A721F2">
              <w:rPr>
                <w:rFonts w:cs="Arial"/>
                <w:szCs w:val="20"/>
              </w:rPr>
              <w:t>ali pridobila</w:t>
            </w:r>
            <w:r w:rsidRPr="00605612">
              <w:rPr>
                <w:rFonts w:cs="Arial"/>
                <w:szCs w:val="20"/>
              </w:rPr>
              <w:t xml:space="preserve"> od obvladujoče</w:t>
            </w:r>
            <w:r>
              <w:rPr>
                <w:rFonts w:cs="Arial"/>
                <w:szCs w:val="20"/>
              </w:rPr>
              <w:t>ga tujega podjetja iz tretje države</w:t>
            </w:r>
            <w:r w:rsidRPr="00605612">
              <w:rPr>
                <w:rFonts w:cs="Arial"/>
                <w:szCs w:val="20"/>
              </w:rPr>
              <w:t>, skupaj z izjavo, da poročilo ne vsebuje vseh zahtevanih podatkov, ker ji jih njen</w:t>
            </w:r>
            <w:r>
              <w:rPr>
                <w:rFonts w:cs="Arial"/>
                <w:szCs w:val="20"/>
              </w:rPr>
              <w:t>o</w:t>
            </w:r>
            <w:r w:rsidRPr="00605612">
              <w:rPr>
                <w:rFonts w:cs="Arial"/>
                <w:szCs w:val="20"/>
              </w:rPr>
              <w:t xml:space="preserve"> obvladujoč</w:t>
            </w:r>
            <w:r>
              <w:rPr>
                <w:rFonts w:cs="Arial"/>
                <w:szCs w:val="20"/>
              </w:rPr>
              <w:t>e</w:t>
            </w:r>
            <w:r w:rsidRPr="00605612">
              <w:rPr>
                <w:rFonts w:cs="Arial"/>
                <w:szCs w:val="20"/>
              </w:rPr>
              <w:t xml:space="preserve"> </w:t>
            </w:r>
            <w:r>
              <w:rPr>
                <w:rFonts w:cs="Arial"/>
                <w:szCs w:val="20"/>
              </w:rPr>
              <w:t>tuje podjetje iz tretje države</w:t>
            </w:r>
            <w:r w:rsidRPr="00605612">
              <w:rPr>
                <w:rFonts w:cs="Arial"/>
                <w:szCs w:val="20"/>
              </w:rPr>
              <w:t xml:space="preserve"> ni predložil</w:t>
            </w:r>
            <w:r>
              <w:rPr>
                <w:rFonts w:cs="Arial"/>
                <w:szCs w:val="20"/>
              </w:rPr>
              <w:t>o</w:t>
            </w:r>
            <w:r w:rsidRPr="00605612">
              <w:rPr>
                <w:rFonts w:cs="Arial"/>
                <w:szCs w:val="20"/>
              </w:rPr>
              <w:t>.</w:t>
            </w:r>
          </w:p>
          <w:p w14:paraId="65320F30" w14:textId="77777777" w:rsidR="000C08CA" w:rsidRPr="00605612" w:rsidRDefault="000C08CA" w:rsidP="00FE328D">
            <w:pPr>
              <w:jc w:val="both"/>
              <w:rPr>
                <w:rFonts w:cs="Arial"/>
                <w:szCs w:val="20"/>
              </w:rPr>
            </w:pPr>
          </w:p>
          <w:p w14:paraId="4C7D9E7F" w14:textId="77777777" w:rsidR="000C08CA" w:rsidRPr="00605612" w:rsidRDefault="000C08CA" w:rsidP="00FE328D">
            <w:pPr>
              <w:spacing w:line="276" w:lineRule="auto"/>
              <w:jc w:val="both"/>
              <w:rPr>
                <w:rFonts w:cs="Arial"/>
                <w:szCs w:val="20"/>
              </w:rPr>
            </w:pPr>
            <w:r>
              <w:rPr>
                <w:rFonts w:cs="Arial"/>
                <w:szCs w:val="20"/>
              </w:rPr>
              <w:t>K</w:t>
            </w:r>
            <w:r w:rsidRPr="00605612">
              <w:rPr>
                <w:rFonts w:cs="Arial"/>
                <w:szCs w:val="20"/>
              </w:rPr>
              <w:t xml:space="preserve"> pripravi in objavi poročila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 xml:space="preserve">se </w:t>
            </w:r>
            <w:r w:rsidRPr="00605612">
              <w:rPr>
                <w:rFonts w:cs="Arial"/>
                <w:szCs w:val="20"/>
              </w:rPr>
              <w:t>po predlogu zakona zavezuje</w:t>
            </w:r>
            <w:r>
              <w:rPr>
                <w:rFonts w:cs="Arial"/>
                <w:szCs w:val="20"/>
              </w:rPr>
              <w:t>jo tudi</w:t>
            </w:r>
            <w:r w:rsidRPr="00605612">
              <w:rPr>
                <w:rFonts w:cs="Arial"/>
                <w:szCs w:val="20"/>
              </w:rPr>
              <w:t xml:space="preserve"> podružnice oziroma v skladu z ZGD-1 imenovane podružnice tujega podjetja iz tretje države</w:t>
            </w:r>
            <w:r>
              <w:rPr>
                <w:rFonts w:cs="Arial"/>
                <w:szCs w:val="20"/>
              </w:rPr>
              <w:t xml:space="preserve">, če jih je </w:t>
            </w:r>
            <w:r w:rsidRPr="003B2A0D">
              <w:rPr>
                <w:rFonts w:cs="Arial"/>
                <w:szCs w:val="20"/>
              </w:rPr>
              <w:t>ustanovilo tuje podjetje iz tretje države, ki ni v skupini</w:t>
            </w:r>
            <w:r>
              <w:rPr>
                <w:rFonts w:cs="Arial"/>
                <w:szCs w:val="20"/>
              </w:rPr>
              <w:t>,</w:t>
            </w:r>
            <w:r w:rsidRPr="003B2A0D">
              <w:rPr>
                <w:rFonts w:cs="Arial"/>
                <w:szCs w:val="20"/>
              </w:rPr>
              <w:t xml:space="preserve"> ali tuje podjetje </w:t>
            </w:r>
            <w:r>
              <w:rPr>
                <w:rFonts w:cs="Arial"/>
                <w:szCs w:val="20"/>
              </w:rPr>
              <w:t xml:space="preserve">iz </w:t>
            </w:r>
            <w:r w:rsidRPr="003B2A0D">
              <w:rPr>
                <w:rFonts w:cs="Arial"/>
                <w:szCs w:val="20"/>
              </w:rPr>
              <w:t>tretje države, ki je v skupini</w:t>
            </w:r>
            <w:r>
              <w:rPr>
                <w:rFonts w:cs="Arial"/>
                <w:szCs w:val="20"/>
              </w:rPr>
              <w:t>,</w:t>
            </w:r>
            <w:r w:rsidRPr="003B2A0D">
              <w:rPr>
                <w:rFonts w:cs="Arial"/>
                <w:szCs w:val="20"/>
              </w:rPr>
              <w:t xml:space="preserve"> v kateri je zavezano pripraviti konsolidirano letno poročilo za najširši krog družb v skupini</w:t>
            </w:r>
            <w:r>
              <w:rPr>
                <w:rFonts w:cs="Arial"/>
                <w:szCs w:val="20"/>
              </w:rPr>
              <w:t>,</w:t>
            </w:r>
            <w:r w:rsidRPr="003B2A0D">
              <w:rPr>
                <w:rFonts w:cs="Arial"/>
                <w:szCs w:val="20"/>
              </w:rPr>
              <w:t xml:space="preserve"> tuje podjetje iz tretje države</w:t>
            </w:r>
            <w:r w:rsidRPr="00605612">
              <w:rPr>
                <w:rFonts w:cs="Arial"/>
                <w:szCs w:val="20"/>
              </w:rPr>
              <w:t>. Za nastanek obveznosti predlog zakona v skladu z Direktivo 2013/34/EU, ki jo spreminja Direktiva 2021/2101/EU, določa nekatere pogoje, in sicer da</w:t>
            </w:r>
            <w:r>
              <w:rPr>
                <w:rFonts w:cs="Arial"/>
                <w:szCs w:val="20"/>
              </w:rPr>
              <w:t xml:space="preserve"> je obveznost za podružnice podana, če</w:t>
            </w:r>
            <w:r w:rsidRPr="00605612">
              <w:rPr>
                <w:rFonts w:cs="Arial"/>
                <w:szCs w:val="20"/>
              </w:rPr>
              <w:t>:</w:t>
            </w:r>
          </w:p>
          <w:p w14:paraId="0A3643DC" w14:textId="77777777" w:rsidR="000C08CA" w:rsidRPr="00AF7682" w:rsidRDefault="000C08CA" w:rsidP="00FE328D">
            <w:pPr>
              <w:pStyle w:val="ListParagraph"/>
              <w:numPr>
                <w:ilvl w:val="1"/>
                <w:numId w:val="112"/>
              </w:numPr>
              <w:spacing w:line="276" w:lineRule="auto"/>
              <w:ind w:left="357" w:hanging="357"/>
              <w:jc w:val="both"/>
              <w:rPr>
                <w:rFonts w:cs="Arial"/>
                <w:szCs w:val="20"/>
              </w:rPr>
            </w:pPr>
            <w:r w:rsidRPr="00FD3D33">
              <w:rPr>
                <w:rFonts w:ascii="Arial" w:hAnsi="Arial" w:cs="Arial"/>
                <w:sz w:val="20"/>
                <w:szCs w:val="20"/>
              </w:rPr>
              <w:t xml:space="preserve">jo je ustanovilo </w:t>
            </w:r>
            <w:r w:rsidRPr="00AF7682">
              <w:rPr>
                <w:rFonts w:ascii="Arial" w:hAnsi="Arial" w:cs="Arial"/>
                <w:sz w:val="20"/>
                <w:szCs w:val="20"/>
              </w:rPr>
              <w:t>tuje podjetje iz tretje države, ki je organizirano kot kapitalska družba ali kot druga istovrstna pravnoorganizacijska oblika po pravu države sedeža,</w:t>
            </w:r>
          </w:p>
          <w:p w14:paraId="5ED5FA9B" w14:textId="77777777" w:rsidR="000C08CA" w:rsidRPr="00AF7682" w:rsidRDefault="000C08CA" w:rsidP="00FE328D">
            <w:pPr>
              <w:pStyle w:val="ListParagraph"/>
              <w:numPr>
                <w:ilvl w:val="1"/>
                <w:numId w:val="112"/>
              </w:numPr>
              <w:spacing w:line="276" w:lineRule="auto"/>
              <w:ind w:left="357" w:hanging="357"/>
              <w:jc w:val="both"/>
              <w:rPr>
                <w:rFonts w:cs="Arial"/>
                <w:szCs w:val="20"/>
              </w:rPr>
            </w:pPr>
            <w:r w:rsidRPr="00AF7682">
              <w:rPr>
                <w:rFonts w:ascii="Arial" w:hAnsi="Arial" w:cs="Arial"/>
                <w:sz w:val="20"/>
                <w:szCs w:val="20"/>
              </w:rPr>
              <w:t>tuje podjetje iz tretje države, ki je v skupini, v kateri je zavezano pripraviti konsolidirano letno poročilo za najširši krog družb v skupini, nima odvisne družbe,</w:t>
            </w:r>
          </w:p>
          <w:p w14:paraId="51FBE22D" w14:textId="77777777" w:rsidR="000C08CA" w:rsidRPr="00AF7682" w:rsidRDefault="000C08CA" w:rsidP="00FE328D">
            <w:pPr>
              <w:pStyle w:val="ListParagraph"/>
              <w:numPr>
                <w:ilvl w:val="0"/>
                <w:numId w:val="116"/>
              </w:numPr>
              <w:ind w:left="357" w:hanging="357"/>
              <w:jc w:val="both"/>
              <w:rPr>
                <w:rFonts w:cs="Arial"/>
                <w:szCs w:val="20"/>
              </w:rPr>
            </w:pPr>
            <w:r w:rsidRPr="00AF7682">
              <w:rPr>
                <w:rFonts w:ascii="Arial" w:hAnsi="Arial" w:cs="Arial"/>
                <w:sz w:val="20"/>
                <w:szCs w:val="20"/>
              </w:rPr>
              <w:t>prihodki tujega podjetja iz tretje države ali skupine, v kateri je tuje podjetje iz tretje države zavezano pripraviti konsolidirano letno poročilo za najširši krog družb v skupini, na podlagi podatkov zadnjih dveh zaporednih poslovnih let na bilančni presečni dan bilance stanja obakrat presežejo 750</w:t>
            </w:r>
            <w:r>
              <w:rPr>
                <w:rFonts w:ascii="Arial" w:hAnsi="Arial" w:cs="Arial"/>
                <w:sz w:val="20"/>
                <w:szCs w:val="20"/>
              </w:rPr>
              <w:t>.</w:t>
            </w:r>
            <w:r w:rsidRPr="00AF7682">
              <w:rPr>
                <w:rFonts w:ascii="Arial" w:hAnsi="Arial" w:cs="Arial"/>
                <w:sz w:val="20"/>
                <w:szCs w:val="20"/>
              </w:rPr>
              <w:t>000.000 eurov,</w:t>
            </w:r>
          </w:p>
          <w:p w14:paraId="4720B855" w14:textId="77777777" w:rsidR="000C08CA" w:rsidRPr="00AA19A0" w:rsidRDefault="000C08CA" w:rsidP="00FE328D">
            <w:pPr>
              <w:pStyle w:val="ListParagraph"/>
              <w:numPr>
                <w:ilvl w:val="0"/>
                <w:numId w:val="115"/>
              </w:numPr>
              <w:spacing w:after="0" w:line="276" w:lineRule="auto"/>
              <w:ind w:left="357" w:hanging="357"/>
              <w:jc w:val="both"/>
              <w:rPr>
                <w:rFonts w:cs="Arial"/>
                <w:szCs w:val="20"/>
              </w:rPr>
            </w:pPr>
            <w:r w:rsidRPr="00AF7682">
              <w:rPr>
                <w:rFonts w:ascii="Arial" w:hAnsi="Arial" w:cs="Arial"/>
                <w:sz w:val="20"/>
                <w:szCs w:val="20"/>
              </w:rPr>
              <w:t>njeni prihodki presežejo merilo</w:t>
            </w:r>
            <w:r w:rsidRPr="00AA19A0">
              <w:rPr>
                <w:rFonts w:ascii="Arial" w:hAnsi="Arial" w:cs="Arial"/>
                <w:sz w:val="20"/>
                <w:szCs w:val="20"/>
              </w:rPr>
              <w:t xml:space="preserve"> za majhne družbe, določene v tretjem in šestem odstavku 55. člena zakona. </w:t>
            </w:r>
          </w:p>
          <w:p w14:paraId="4D4C6281" w14:textId="77777777" w:rsidR="000C08CA" w:rsidRPr="00605612" w:rsidRDefault="000C08CA" w:rsidP="00FE328D">
            <w:pPr>
              <w:jc w:val="both"/>
              <w:rPr>
                <w:rFonts w:cs="Arial"/>
                <w:szCs w:val="20"/>
              </w:rPr>
            </w:pPr>
          </w:p>
          <w:p w14:paraId="066BCF99" w14:textId="77777777" w:rsidR="000C08CA" w:rsidRPr="00605612" w:rsidRDefault="000C08CA" w:rsidP="00FE328D">
            <w:pPr>
              <w:jc w:val="both"/>
              <w:rPr>
                <w:rFonts w:cs="Arial"/>
                <w:szCs w:val="20"/>
              </w:rPr>
            </w:pPr>
            <w:r w:rsidRPr="00605612">
              <w:rPr>
                <w:rFonts w:cs="Arial"/>
                <w:szCs w:val="20"/>
              </w:rPr>
              <w:t xml:space="preserve">Če bo </w:t>
            </w:r>
            <w:r>
              <w:rPr>
                <w:rFonts w:cs="Arial"/>
                <w:szCs w:val="20"/>
              </w:rPr>
              <w:t>tuje podjetje</w:t>
            </w:r>
            <w:r w:rsidRPr="00605612">
              <w:rPr>
                <w:rFonts w:cs="Arial"/>
                <w:szCs w:val="20"/>
              </w:rPr>
              <w:t xml:space="preserve"> iz tretje države, ki preseže naveden</w:t>
            </w:r>
            <w:r>
              <w:rPr>
                <w:rFonts w:cs="Arial"/>
                <w:szCs w:val="20"/>
              </w:rPr>
              <w:t>o</w:t>
            </w:r>
            <w:r w:rsidRPr="00605612" w:rsidDel="00E453D6">
              <w:rPr>
                <w:rFonts w:cs="Arial"/>
                <w:szCs w:val="20"/>
              </w:rPr>
              <w:t xml:space="preserve"> </w:t>
            </w:r>
            <w:r>
              <w:rPr>
                <w:rFonts w:cs="Arial"/>
                <w:szCs w:val="20"/>
              </w:rPr>
              <w:t>merilo</w:t>
            </w:r>
            <w:r w:rsidRPr="00605612">
              <w:rPr>
                <w:rFonts w:cs="Arial"/>
                <w:szCs w:val="20"/>
              </w:rPr>
              <w:t xml:space="preserve"> prihodk</w:t>
            </w:r>
            <w:r>
              <w:rPr>
                <w:rFonts w:cs="Arial"/>
                <w:szCs w:val="20"/>
              </w:rPr>
              <w:t>ov</w:t>
            </w:r>
            <w:r w:rsidRPr="00605612">
              <w:rPr>
                <w:rFonts w:cs="Arial"/>
                <w:szCs w:val="20"/>
              </w:rPr>
              <w:t xml:space="preserve"> 750</w:t>
            </w:r>
            <w:r>
              <w:rPr>
                <w:rFonts w:cs="Arial"/>
                <w:szCs w:val="20"/>
              </w:rPr>
              <w:t>.000.000</w:t>
            </w:r>
            <w:r w:rsidRPr="00605612">
              <w:rPr>
                <w:rFonts w:cs="Arial"/>
                <w:szCs w:val="20"/>
              </w:rPr>
              <w:t xml:space="preserve"> </w:t>
            </w:r>
            <w:r>
              <w:rPr>
                <w:rFonts w:cs="Arial"/>
                <w:szCs w:val="20"/>
              </w:rPr>
              <w:t>EUR</w:t>
            </w:r>
            <w:r w:rsidRPr="00605612">
              <w:rPr>
                <w:rFonts w:cs="Arial"/>
                <w:szCs w:val="20"/>
              </w:rPr>
              <w:t xml:space="preserve"> in je ustanovil</w:t>
            </w:r>
            <w:r>
              <w:rPr>
                <w:rFonts w:cs="Arial"/>
                <w:szCs w:val="20"/>
              </w:rPr>
              <w:t>o</w:t>
            </w:r>
            <w:r w:rsidRPr="00605612">
              <w:rPr>
                <w:rFonts w:cs="Arial"/>
                <w:szCs w:val="20"/>
              </w:rPr>
              <w:t xml:space="preserve"> podružnico, sam</w:t>
            </w:r>
            <w:r>
              <w:rPr>
                <w:rFonts w:cs="Arial"/>
                <w:szCs w:val="20"/>
              </w:rPr>
              <w:t>o</w:t>
            </w:r>
            <w:r w:rsidRPr="00605612">
              <w:rPr>
                <w:rFonts w:cs="Arial"/>
                <w:szCs w:val="20"/>
              </w:rPr>
              <w:t xml:space="preserve"> pripravil</w:t>
            </w:r>
            <w:r>
              <w:rPr>
                <w:rFonts w:cs="Arial"/>
                <w:szCs w:val="20"/>
              </w:rPr>
              <w:t>o</w:t>
            </w:r>
            <w:r w:rsidRPr="00605612">
              <w:rPr>
                <w:rFonts w:cs="Arial"/>
                <w:szCs w:val="20"/>
              </w:rPr>
              <w:t xml:space="preserve"> poročilo </w:t>
            </w:r>
            <w:r>
              <w:rPr>
                <w:rFonts w:cs="Arial"/>
                <w:color w:val="000000" w:themeColor="text1"/>
                <w:szCs w:val="20"/>
              </w:rPr>
              <w:t xml:space="preserve">o davčnih informacijah </w:t>
            </w:r>
            <w:r w:rsidRPr="00605612">
              <w:rPr>
                <w:rFonts w:cs="Arial"/>
                <w:szCs w:val="20"/>
              </w:rPr>
              <w:t>v zvezi z dohodki, bo nje</w:t>
            </w:r>
            <w:r>
              <w:rPr>
                <w:rFonts w:cs="Arial"/>
                <w:szCs w:val="20"/>
              </w:rPr>
              <w:t>gova</w:t>
            </w:r>
            <w:r w:rsidRPr="00605612">
              <w:rPr>
                <w:rFonts w:cs="Arial"/>
                <w:szCs w:val="20"/>
              </w:rPr>
              <w:t xml:space="preserve"> podružnica s sedežem v Republiki Sloveniji zavezana le, da ga objavi </w:t>
            </w:r>
            <w:r>
              <w:rPr>
                <w:rFonts w:cs="Arial"/>
                <w:szCs w:val="20"/>
              </w:rPr>
              <w:t>in</w:t>
            </w:r>
            <w:r>
              <w:rPr>
                <w:rFonts w:cs="Arial"/>
                <w:color w:val="000000" w:themeColor="text1"/>
                <w:szCs w:val="20"/>
              </w:rPr>
              <w:t xml:space="preserve"> predloži Ajpesu ter</w:t>
            </w:r>
            <w:r>
              <w:rPr>
                <w:rFonts w:cs="Arial"/>
                <w:szCs w:val="20"/>
              </w:rPr>
              <w:t xml:space="preserve"> </w:t>
            </w:r>
            <w:r w:rsidRPr="00605612">
              <w:rPr>
                <w:rFonts w:cs="Arial"/>
                <w:szCs w:val="20"/>
              </w:rPr>
              <w:t>zagotovi njegov dostop</w:t>
            </w:r>
            <w:r>
              <w:rPr>
                <w:rFonts w:cs="Arial"/>
                <w:szCs w:val="20"/>
              </w:rPr>
              <w:t xml:space="preserve"> ali</w:t>
            </w:r>
            <w:r w:rsidRPr="008920C3">
              <w:rPr>
                <w:rFonts w:cs="Arial"/>
                <w:szCs w:val="20"/>
              </w:rPr>
              <w:t xml:space="preserve"> ga objavi na spletni strani</w:t>
            </w:r>
            <w:r w:rsidRPr="00605612">
              <w:rPr>
                <w:rFonts w:cs="Arial"/>
                <w:szCs w:val="20"/>
              </w:rPr>
              <w:t xml:space="preserve">, če pa podružnica ne bo pridobila poročila </w:t>
            </w:r>
            <w:r>
              <w:rPr>
                <w:rFonts w:cs="Arial"/>
                <w:color w:val="000000" w:themeColor="text1"/>
                <w:szCs w:val="20"/>
              </w:rPr>
              <w:t xml:space="preserve">o davčnih informacijah </w:t>
            </w:r>
            <w:r w:rsidRPr="00605612">
              <w:rPr>
                <w:rFonts w:cs="Arial"/>
                <w:szCs w:val="20"/>
              </w:rPr>
              <w:t>v zvezi z dohodki od svoje</w:t>
            </w:r>
            <w:r>
              <w:rPr>
                <w:rFonts w:cs="Arial"/>
                <w:szCs w:val="20"/>
              </w:rPr>
              <w:t>ga</w:t>
            </w:r>
            <w:r w:rsidRPr="00605612">
              <w:rPr>
                <w:rFonts w:cs="Arial"/>
                <w:szCs w:val="20"/>
              </w:rPr>
              <w:t xml:space="preserve"> </w:t>
            </w:r>
            <w:r>
              <w:rPr>
                <w:rFonts w:cs="Arial"/>
                <w:szCs w:val="20"/>
              </w:rPr>
              <w:t xml:space="preserve">tujega podjetja </w:t>
            </w:r>
            <w:r w:rsidRPr="00605612">
              <w:rPr>
                <w:rFonts w:cs="Arial"/>
                <w:szCs w:val="20"/>
              </w:rPr>
              <w:t>ustanovitelj</w:t>
            </w:r>
            <w:r>
              <w:rPr>
                <w:rFonts w:cs="Arial"/>
                <w:szCs w:val="20"/>
              </w:rPr>
              <w:t>a iz tretje države</w:t>
            </w:r>
            <w:r w:rsidRPr="00605612">
              <w:rPr>
                <w:rFonts w:cs="Arial"/>
                <w:szCs w:val="20"/>
              </w:rPr>
              <w:t>, bo moral zastopnik tujega podjetja iz 682. člena ZGD-1 od nje</w:t>
            </w:r>
            <w:r>
              <w:rPr>
                <w:rFonts w:cs="Arial"/>
                <w:szCs w:val="20"/>
              </w:rPr>
              <w:t>ga</w:t>
            </w:r>
            <w:r w:rsidRPr="00605612">
              <w:rPr>
                <w:rFonts w:cs="Arial"/>
                <w:szCs w:val="20"/>
              </w:rPr>
              <w:t xml:space="preserve"> zahtevati, da ji zagotovi vse podatke, potrebne za pripravo poročila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Če</w:t>
            </w:r>
            <w:r w:rsidRPr="00605612">
              <w:rPr>
                <w:rFonts w:cs="Arial"/>
                <w:szCs w:val="20"/>
              </w:rPr>
              <w:t xml:space="preserve"> </w:t>
            </w:r>
            <w:r>
              <w:rPr>
                <w:rFonts w:cs="Arial"/>
                <w:szCs w:val="20"/>
              </w:rPr>
              <w:t>tuje podjetje iz tretje države</w:t>
            </w:r>
            <w:r w:rsidRPr="00605612">
              <w:rPr>
                <w:rFonts w:cs="Arial"/>
                <w:szCs w:val="20"/>
              </w:rPr>
              <w:t xml:space="preserve"> </w:t>
            </w:r>
            <w:r w:rsidRPr="00605612">
              <w:rPr>
                <w:rFonts w:cs="Arial"/>
                <w:szCs w:val="20"/>
              </w:rPr>
              <w:lastRenderedPageBreak/>
              <w:t>zahtevanih podatkov podružnici ne bo predložil</w:t>
            </w:r>
            <w:r>
              <w:rPr>
                <w:rFonts w:cs="Arial"/>
                <w:szCs w:val="20"/>
              </w:rPr>
              <w:t>o</w:t>
            </w:r>
            <w:r w:rsidRPr="00605612">
              <w:rPr>
                <w:rFonts w:cs="Arial"/>
                <w:szCs w:val="20"/>
              </w:rPr>
              <w:t>, bo podružnica pripravila in objavila poročil</w:t>
            </w:r>
            <w:r>
              <w:rPr>
                <w:rFonts w:cs="Arial"/>
                <w:szCs w:val="20"/>
              </w:rPr>
              <w:t>o</w:t>
            </w:r>
            <w:r w:rsidRPr="00605612">
              <w:rPr>
                <w:rFonts w:cs="Arial"/>
                <w:szCs w:val="20"/>
              </w:rPr>
              <w:t xml:space="preserve"> o</w:t>
            </w:r>
            <w:r>
              <w:rPr>
                <w:rFonts w:cs="Arial"/>
                <w:color w:val="000000" w:themeColor="text1"/>
                <w:szCs w:val="20"/>
              </w:rPr>
              <w:t xml:space="preserve"> davčnih informacijah </w:t>
            </w:r>
            <w:r w:rsidRPr="00605612">
              <w:rPr>
                <w:rFonts w:cs="Arial"/>
                <w:szCs w:val="20"/>
              </w:rPr>
              <w:t>v zvezi z dohodki</w:t>
            </w:r>
            <w:r>
              <w:rPr>
                <w:rFonts w:cs="Arial"/>
                <w:szCs w:val="20"/>
              </w:rPr>
              <w:t>, ga</w:t>
            </w:r>
            <w:r w:rsidRPr="00605612">
              <w:rPr>
                <w:rFonts w:cs="Arial"/>
                <w:szCs w:val="20"/>
              </w:rPr>
              <w:t xml:space="preserve"> </w:t>
            </w:r>
            <w:r>
              <w:rPr>
                <w:rFonts w:cs="Arial"/>
                <w:color w:val="000000" w:themeColor="text1"/>
                <w:szCs w:val="20"/>
              </w:rPr>
              <w:t xml:space="preserve">predložila Ajpesu ter </w:t>
            </w:r>
            <w:r w:rsidRPr="00605612">
              <w:rPr>
                <w:rFonts w:cs="Arial"/>
                <w:szCs w:val="20"/>
              </w:rPr>
              <w:t>zagotovila dostop do</w:t>
            </w:r>
            <w:r>
              <w:rPr>
                <w:rFonts w:cs="Arial"/>
                <w:szCs w:val="20"/>
              </w:rPr>
              <w:t xml:space="preserve"> njega</w:t>
            </w:r>
            <w:r w:rsidRPr="00605612">
              <w:rPr>
                <w:rFonts w:cs="Arial"/>
                <w:szCs w:val="20"/>
              </w:rPr>
              <w:t xml:space="preserve"> </w:t>
            </w:r>
            <w:r>
              <w:rPr>
                <w:rFonts w:cs="Arial"/>
                <w:color w:val="000000" w:themeColor="text1"/>
                <w:szCs w:val="20"/>
              </w:rPr>
              <w:t xml:space="preserve">ali ga </w:t>
            </w:r>
            <w:r w:rsidRPr="00774A2C">
              <w:rPr>
                <w:rFonts w:cs="Arial"/>
                <w:color w:val="000000" w:themeColor="text1"/>
                <w:szCs w:val="20"/>
              </w:rPr>
              <w:t>objavi</w:t>
            </w:r>
            <w:r>
              <w:rPr>
                <w:rFonts w:cs="Arial"/>
                <w:color w:val="000000" w:themeColor="text1"/>
                <w:szCs w:val="20"/>
              </w:rPr>
              <w:t>la</w:t>
            </w:r>
            <w:r w:rsidRPr="00774A2C">
              <w:rPr>
                <w:rFonts w:cs="Arial"/>
                <w:color w:val="000000" w:themeColor="text1"/>
                <w:szCs w:val="20"/>
              </w:rPr>
              <w:t xml:space="preserve"> na spletni strani</w:t>
            </w:r>
            <w:r w:rsidRPr="00605612">
              <w:rPr>
                <w:rFonts w:cs="Arial"/>
                <w:szCs w:val="20"/>
              </w:rPr>
              <w:t xml:space="preserve"> s podatki, ki jih bo imela na voljo, jih je prejela ali pridobila od </w:t>
            </w:r>
            <w:r>
              <w:rPr>
                <w:rFonts w:cs="Arial"/>
                <w:szCs w:val="20"/>
              </w:rPr>
              <w:t xml:space="preserve">tujega podjetja </w:t>
            </w:r>
            <w:r w:rsidRPr="00605612">
              <w:rPr>
                <w:rFonts w:cs="Arial"/>
                <w:szCs w:val="20"/>
              </w:rPr>
              <w:t>ustanovitelj</w:t>
            </w:r>
            <w:r>
              <w:rPr>
                <w:rFonts w:cs="Arial"/>
                <w:szCs w:val="20"/>
              </w:rPr>
              <w:t xml:space="preserve">a iz tretje države, </w:t>
            </w:r>
            <w:r w:rsidRPr="00605612">
              <w:rPr>
                <w:rFonts w:cs="Arial"/>
                <w:szCs w:val="20"/>
              </w:rPr>
              <w:t>skupaj z izjavo, da poročilo ne vsebuje vseh zahtevanih podatkov, ker ji jih tuje podjetje iz tretje države ni predložilo.</w:t>
            </w:r>
          </w:p>
          <w:p w14:paraId="7107E729" w14:textId="77777777" w:rsidR="000C08CA" w:rsidRPr="00605612" w:rsidRDefault="000C08CA" w:rsidP="00FE328D">
            <w:pPr>
              <w:jc w:val="both"/>
              <w:rPr>
                <w:rFonts w:cs="Arial"/>
                <w:szCs w:val="20"/>
              </w:rPr>
            </w:pPr>
          </w:p>
          <w:p w14:paraId="573C1424" w14:textId="77777777" w:rsidR="000C08CA" w:rsidRPr="00605612" w:rsidRDefault="000C08CA" w:rsidP="00FE328D">
            <w:pPr>
              <w:jc w:val="both"/>
              <w:rPr>
                <w:rFonts w:cs="Arial"/>
                <w:szCs w:val="20"/>
              </w:rPr>
            </w:pPr>
            <w:r w:rsidRPr="00605612">
              <w:rPr>
                <w:rFonts w:cs="Arial"/>
                <w:szCs w:val="20"/>
              </w:rPr>
              <w:t xml:space="preserve">Poročilo </w:t>
            </w:r>
            <w:r>
              <w:rPr>
                <w:rFonts w:cs="Arial"/>
                <w:color w:val="000000" w:themeColor="text1"/>
                <w:szCs w:val="20"/>
              </w:rPr>
              <w:t xml:space="preserve">o davčnih informacijah </w:t>
            </w:r>
            <w:r w:rsidRPr="00605612">
              <w:rPr>
                <w:rFonts w:cs="Arial"/>
                <w:szCs w:val="20"/>
              </w:rPr>
              <w:t xml:space="preserve">v zvezi z dohodki bo po predlogu zakona </w:t>
            </w:r>
            <w:r>
              <w:rPr>
                <w:rFonts w:cs="Arial"/>
                <w:szCs w:val="20"/>
              </w:rPr>
              <w:t>sestavljeno kot samostojno poročilo, ločeno od</w:t>
            </w:r>
            <w:r w:rsidRPr="00605612">
              <w:rPr>
                <w:rFonts w:cs="Arial"/>
                <w:szCs w:val="20"/>
              </w:rPr>
              <w:t xml:space="preserve"> letnega poročila in bo do njega omogočen dostop </w:t>
            </w:r>
            <w:r>
              <w:rPr>
                <w:rFonts w:cs="Arial"/>
                <w:szCs w:val="20"/>
              </w:rPr>
              <w:t>z</w:t>
            </w:r>
            <w:r w:rsidRPr="00605612">
              <w:rPr>
                <w:rFonts w:cs="Arial"/>
                <w:szCs w:val="20"/>
              </w:rPr>
              <w:t xml:space="preserve"> vpogled</w:t>
            </w:r>
            <w:r>
              <w:rPr>
                <w:rFonts w:cs="Arial"/>
                <w:szCs w:val="20"/>
              </w:rPr>
              <w:t>om</w:t>
            </w:r>
            <w:r w:rsidRPr="00605612">
              <w:rPr>
                <w:rFonts w:cs="Arial"/>
                <w:szCs w:val="20"/>
              </w:rPr>
              <w:t xml:space="preserve"> v Poslovni register Slovenije pri Ajpes</w:t>
            </w:r>
            <w:r>
              <w:rPr>
                <w:rFonts w:cs="Arial"/>
                <w:szCs w:val="20"/>
              </w:rPr>
              <w:t>u</w:t>
            </w:r>
            <w:r w:rsidRPr="00605612">
              <w:rPr>
                <w:rFonts w:cs="Arial"/>
                <w:szCs w:val="20"/>
              </w:rPr>
              <w:t>. P</w:t>
            </w:r>
            <w:r>
              <w:rPr>
                <w:rFonts w:cs="Arial"/>
                <w:szCs w:val="20"/>
              </w:rPr>
              <w:t>oleg tega</w:t>
            </w:r>
            <w:r w:rsidRPr="00605612">
              <w:rPr>
                <w:rFonts w:cs="Arial"/>
                <w:szCs w:val="20"/>
              </w:rPr>
              <w:t xml:space="preserve"> bodo morale družbe dostop do </w:t>
            </w:r>
            <w:r>
              <w:rPr>
                <w:rFonts w:cs="Arial"/>
                <w:szCs w:val="20"/>
              </w:rPr>
              <w:t>tega poročila</w:t>
            </w:r>
            <w:r w:rsidRPr="00605612">
              <w:rPr>
                <w:rFonts w:cs="Arial"/>
                <w:szCs w:val="20"/>
              </w:rPr>
              <w:t xml:space="preserve"> v </w:t>
            </w:r>
            <w:r>
              <w:rPr>
                <w:rFonts w:cs="Arial"/>
                <w:szCs w:val="20"/>
              </w:rPr>
              <w:t>slovenskem jeziku</w:t>
            </w:r>
            <w:r w:rsidRPr="00605612">
              <w:rPr>
                <w:rFonts w:cs="Arial"/>
                <w:szCs w:val="20"/>
              </w:rPr>
              <w:t xml:space="preserve"> na svoji spletni strani</w:t>
            </w:r>
            <w:r>
              <w:rPr>
                <w:rFonts w:cs="Arial"/>
                <w:szCs w:val="20"/>
              </w:rPr>
              <w:t>, dostopni za vso javnost,</w:t>
            </w:r>
            <w:r w:rsidRPr="00605612">
              <w:rPr>
                <w:rFonts w:cs="Arial"/>
                <w:szCs w:val="20"/>
              </w:rPr>
              <w:t xml:space="preserve"> zagotoviti v 12 mesec</w:t>
            </w:r>
            <w:r>
              <w:rPr>
                <w:rFonts w:cs="Arial"/>
                <w:szCs w:val="20"/>
              </w:rPr>
              <w:t>ih</w:t>
            </w:r>
            <w:r w:rsidRPr="00605612">
              <w:rPr>
                <w:rFonts w:cs="Arial"/>
                <w:szCs w:val="20"/>
              </w:rPr>
              <w:t xml:space="preserve"> po koncu poslovnega leta</w:t>
            </w:r>
            <w:r>
              <w:rPr>
                <w:rFonts w:cs="Arial"/>
                <w:szCs w:val="20"/>
              </w:rPr>
              <w:t>,</w:t>
            </w:r>
            <w:r w:rsidRPr="00605612">
              <w:rPr>
                <w:rFonts w:cs="Arial"/>
                <w:szCs w:val="20"/>
              </w:rPr>
              <w:t xml:space="preserve"> </w:t>
            </w:r>
            <w:r>
              <w:rPr>
                <w:rFonts w:cs="Arial"/>
                <w:szCs w:val="20"/>
              </w:rPr>
              <w:t>pri čemer</w:t>
            </w:r>
            <w:r w:rsidRPr="00605612">
              <w:rPr>
                <w:rFonts w:cs="Arial"/>
                <w:szCs w:val="20"/>
              </w:rPr>
              <w:t xml:space="preserve"> bo moralo ostati brezplačno dostopno najmanj pet zaporednih let. </w:t>
            </w:r>
            <w:r>
              <w:rPr>
                <w:rFonts w:cs="Arial"/>
                <w:szCs w:val="20"/>
              </w:rPr>
              <w:t>D</w:t>
            </w:r>
            <w:r w:rsidRPr="001370EE">
              <w:rPr>
                <w:rFonts w:cs="Arial"/>
                <w:szCs w:val="20"/>
              </w:rPr>
              <w:t>oločena</w:t>
            </w:r>
            <w:r>
              <w:rPr>
                <w:rFonts w:cs="Arial"/>
                <w:szCs w:val="20"/>
              </w:rPr>
              <w:t xml:space="preserve"> je</w:t>
            </w:r>
            <w:r w:rsidRPr="001370EE">
              <w:rPr>
                <w:rFonts w:cs="Arial"/>
                <w:szCs w:val="20"/>
              </w:rPr>
              <w:t xml:space="preserve"> tudi izjema</w:t>
            </w:r>
            <w:r>
              <w:rPr>
                <w:rFonts w:cs="Arial"/>
                <w:szCs w:val="20"/>
              </w:rPr>
              <w:t xml:space="preserve"> od objave tega poročila na spletni strani družbe. V tem primeru</w:t>
            </w:r>
            <w:r w:rsidRPr="001370EE">
              <w:rPr>
                <w:rFonts w:cs="Arial"/>
                <w:szCs w:val="20"/>
              </w:rPr>
              <w:t xml:space="preserve"> družba na svoji spletni strani poda le informacijo in pojasnilo, da uporablja to izjemo, poročilo pa je dostopno v registru, ki je dostopen na spletni strani Ajpes</w:t>
            </w:r>
            <w:r>
              <w:rPr>
                <w:rFonts w:cs="Arial"/>
                <w:szCs w:val="20"/>
              </w:rPr>
              <w:t>a</w:t>
            </w:r>
            <w:r w:rsidRPr="001370EE">
              <w:rPr>
                <w:rFonts w:cs="Arial"/>
                <w:szCs w:val="20"/>
              </w:rPr>
              <w:t xml:space="preserve"> skladno s pravili javne objave po 58. členu ZGD-1. </w:t>
            </w:r>
            <w:r w:rsidRPr="00605612">
              <w:rPr>
                <w:rFonts w:cs="Arial"/>
                <w:szCs w:val="20"/>
              </w:rPr>
              <w:t>Pri obveznosti odvisnih družb bo zadostovala objava poročila skupaj z izjavo (da poročilo ne vsebuje vseh zahtevanih podatkov, ker jih družba ustanoviteljica ni predložila) na javnosti dostopni spletni strani katere koli odvisne ali povezane družbe v skupini, na katero se poročilo nanaša, pri obveznosti podružnic pa objava na javnosti dostopni spletni strani katere koli podružnice ali družbe, ki je ustanovil</w:t>
            </w:r>
            <w:r>
              <w:rPr>
                <w:rFonts w:cs="Arial"/>
                <w:szCs w:val="20"/>
              </w:rPr>
              <w:t>a</w:t>
            </w:r>
            <w:r w:rsidRPr="00605612">
              <w:rPr>
                <w:rFonts w:cs="Arial"/>
                <w:szCs w:val="20"/>
              </w:rPr>
              <w:t xml:space="preserve"> podružnico</w:t>
            </w:r>
            <w:r>
              <w:rPr>
                <w:rFonts w:cs="Arial"/>
                <w:szCs w:val="20"/>
              </w:rPr>
              <w:t>,</w:t>
            </w:r>
            <w:r w:rsidRPr="00605612">
              <w:rPr>
                <w:rFonts w:cs="Arial"/>
                <w:szCs w:val="20"/>
              </w:rPr>
              <w:t xml:space="preserve"> ali povezane družbe v skupini, na katero se poročilo nanaša.</w:t>
            </w:r>
            <w:r>
              <w:rPr>
                <w:rFonts w:cs="Arial"/>
                <w:szCs w:val="20"/>
              </w:rPr>
              <w:t xml:space="preserve"> Tudi v teh primerih je d</w:t>
            </w:r>
            <w:r w:rsidRPr="001370EE">
              <w:rPr>
                <w:rFonts w:cs="Arial"/>
                <w:szCs w:val="20"/>
              </w:rPr>
              <w:t>oločena</w:t>
            </w:r>
            <w:r>
              <w:rPr>
                <w:rFonts w:cs="Arial"/>
                <w:szCs w:val="20"/>
              </w:rPr>
              <w:t xml:space="preserve"> </w:t>
            </w:r>
            <w:r w:rsidRPr="001370EE">
              <w:rPr>
                <w:rFonts w:cs="Arial"/>
                <w:szCs w:val="20"/>
              </w:rPr>
              <w:t>izjema</w:t>
            </w:r>
            <w:r>
              <w:rPr>
                <w:rFonts w:cs="Arial"/>
                <w:szCs w:val="20"/>
              </w:rPr>
              <w:t xml:space="preserve"> od objave tega poročila na spletni strani odvisne družbe ali podružnice. Ta v tem primeru</w:t>
            </w:r>
            <w:r w:rsidRPr="001370EE">
              <w:rPr>
                <w:rFonts w:cs="Arial"/>
                <w:szCs w:val="20"/>
              </w:rPr>
              <w:t xml:space="preserve"> na svoji spletni strani poda le informacijo in pojasnilo, da uporablja to izjemo, poročilo pa je dostopno v registru, ki je dostopen na spletni strani Ajpes</w:t>
            </w:r>
            <w:r>
              <w:rPr>
                <w:rFonts w:cs="Arial"/>
                <w:szCs w:val="20"/>
              </w:rPr>
              <w:t>a;</w:t>
            </w:r>
          </w:p>
          <w:p w14:paraId="36DD99D9" w14:textId="77777777" w:rsidR="000C08CA" w:rsidRPr="00605612" w:rsidRDefault="000C08CA" w:rsidP="00FE328D">
            <w:pPr>
              <w:jc w:val="both"/>
              <w:rPr>
                <w:rFonts w:cs="Arial"/>
                <w:szCs w:val="20"/>
              </w:rPr>
            </w:pPr>
          </w:p>
          <w:p w14:paraId="6E63DB77" w14:textId="77777777" w:rsidR="000C08CA" w:rsidRPr="00605612" w:rsidRDefault="000C08CA" w:rsidP="00FE328D">
            <w:pPr>
              <w:rPr>
                <w:rFonts w:cs="Arial"/>
                <w:color w:val="000000" w:themeColor="text1"/>
                <w:szCs w:val="20"/>
              </w:rPr>
            </w:pPr>
            <w:r w:rsidRPr="00605612">
              <w:rPr>
                <w:rFonts w:cs="Arial"/>
                <w:szCs w:val="20"/>
              </w:rPr>
              <w:t xml:space="preserve">b) </w:t>
            </w:r>
            <w:r w:rsidRPr="00605612">
              <w:rPr>
                <w:rFonts w:cs="Arial"/>
                <w:color w:val="000000" w:themeColor="text1"/>
                <w:szCs w:val="20"/>
              </w:rPr>
              <w:t xml:space="preserve">določa vsebina poročila </w:t>
            </w:r>
            <w:r>
              <w:rPr>
                <w:rFonts w:cs="Arial"/>
                <w:color w:val="000000" w:themeColor="text1"/>
                <w:szCs w:val="20"/>
              </w:rPr>
              <w:t xml:space="preserve">o davčnih informacijah </w:t>
            </w:r>
            <w:r w:rsidRPr="00605612">
              <w:rPr>
                <w:rFonts w:cs="Arial"/>
                <w:color w:val="000000" w:themeColor="text1"/>
                <w:szCs w:val="20"/>
              </w:rPr>
              <w:t>v zvezi z dohodki</w:t>
            </w:r>
            <w:r>
              <w:rPr>
                <w:rFonts w:cs="Arial"/>
                <w:color w:val="000000" w:themeColor="text1"/>
                <w:szCs w:val="20"/>
              </w:rPr>
              <w:t>:</w:t>
            </w:r>
          </w:p>
          <w:p w14:paraId="07E768EF" w14:textId="77777777" w:rsidR="000C08CA" w:rsidRPr="00605612" w:rsidRDefault="000C08CA" w:rsidP="00FE328D">
            <w:pPr>
              <w:rPr>
                <w:rFonts w:cs="Arial"/>
                <w:color w:val="000000" w:themeColor="text1"/>
                <w:szCs w:val="20"/>
              </w:rPr>
            </w:pPr>
          </w:p>
          <w:p w14:paraId="53B14050" w14:textId="77777777" w:rsidR="000C08CA" w:rsidRPr="00605612" w:rsidRDefault="000C08CA" w:rsidP="00FE328D">
            <w:pPr>
              <w:jc w:val="both"/>
              <w:rPr>
                <w:rFonts w:cs="Arial"/>
                <w:color w:val="000000" w:themeColor="text1"/>
                <w:szCs w:val="20"/>
              </w:rPr>
            </w:pPr>
            <w:r w:rsidRPr="00605612">
              <w:rPr>
                <w:rFonts w:cs="Arial"/>
                <w:color w:val="000000" w:themeColor="text1"/>
                <w:szCs w:val="20"/>
              </w:rPr>
              <w:t>Predlog zakona določa, da mora poročilo o</w:t>
            </w:r>
            <w:r>
              <w:rPr>
                <w:rFonts w:cs="Arial"/>
                <w:color w:val="000000" w:themeColor="text1"/>
                <w:szCs w:val="20"/>
              </w:rPr>
              <w:t xml:space="preserve"> davčnih informacijah </w:t>
            </w:r>
            <w:r w:rsidRPr="00605612">
              <w:rPr>
                <w:rFonts w:cs="Arial"/>
                <w:color w:val="000000" w:themeColor="text1"/>
                <w:szCs w:val="20"/>
              </w:rPr>
              <w:t>v zvezi z dohodki vsebovati podatke o celotnem poslovanju samostojne ali obvladujoče družbe, katere prihodk</w:t>
            </w:r>
            <w:r>
              <w:rPr>
                <w:rFonts w:cs="Arial"/>
                <w:color w:val="000000" w:themeColor="text1"/>
                <w:szCs w:val="20"/>
              </w:rPr>
              <w:t xml:space="preserve">i ali </w:t>
            </w:r>
            <w:r w:rsidRPr="00605612">
              <w:rPr>
                <w:rFonts w:cs="Arial"/>
                <w:color w:val="000000" w:themeColor="text1"/>
                <w:szCs w:val="20"/>
              </w:rPr>
              <w:t>konsolidirani prihodk</w:t>
            </w:r>
            <w:r>
              <w:rPr>
                <w:rFonts w:cs="Arial"/>
                <w:color w:val="000000" w:themeColor="text1"/>
                <w:szCs w:val="20"/>
              </w:rPr>
              <w:t>i so</w:t>
            </w:r>
            <w:r w:rsidRPr="00605612">
              <w:rPr>
                <w:rFonts w:cs="Arial"/>
                <w:color w:val="000000" w:themeColor="text1"/>
                <w:szCs w:val="20"/>
              </w:rPr>
              <w:t xml:space="preserve"> na podlagi podatkov zadnjih dveh zaporednih poslovnih let na bilančni presečni dan bilance stanja obakrat </w:t>
            </w:r>
            <w:r>
              <w:rPr>
                <w:rFonts w:cs="Arial"/>
                <w:color w:val="000000" w:themeColor="text1"/>
                <w:szCs w:val="20"/>
              </w:rPr>
              <w:t>večji</w:t>
            </w:r>
            <w:r w:rsidRPr="00605612">
              <w:rPr>
                <w:rFonts w:cs="Arial"/>
                <w:color w:val="000000" w:themeColor="text1"/>
                <w:szCs w:val="20"/>
              </w:rPr>
              <w:t xml:space="preserve"> od 750.000.000 </w:t>
            </w:r>
            <w:r>
              <w:rPr>
                <w:rFonts w:cs="Arial"/>
                <w:color w:val="000000" w:themeColor="text1"/>
                <w:szCs w:val="20"/>
              </w:rPr>
              <w:t>EUR</w:t>
            </w:r>
            <w:r w:rsidRPr="00605612">
              <w:rPr>
                <w:rFonts w:cs="Arial"/>
                <w:color w:val="000000" w:themeColor="text1"/>
                <w:szCs w:val="20"/>
              </w:rPr>
              <w:t xml:space="preserve">. Poročilo mora vsebovati </w:t>
            </w:r>
            <w:r>
              <w:rPr>
                <w:rFonts w:cs="Arial"/>
                <w:color w:val="000000" w:themeColor="text1"/>
                <w:szCs w:val="20"/>
              </w:rPr>
              <w:t xml:space="preserve">tudi </w:t>
            </w:r>
            <w:r w:rsidRPr="00605612">
              <w:rPr>
                <w:rFonts w:cs="Arial"/>
                <w:color w:val="000000" w:themeColor="text1"/>
                <w:szCs w:val="20"/>
              </w:rPr>
              <w:t>podatke o poslovanju vseh povezanih družb, vključenih v konsolidirano letno poročilo. S predlogom zakona se v skladu z direktivo določa tudi</w:t>
            </w:r>
            <w:r>
              <w:rPr>
                <w:rFonts w:cs="Arial"/>
                <w:color w:val="000000" w:themeColor="text1"/>
                <w:szCs w:val="20"/>
              </w:rPr>
              <w:t>,</w:t>
            </w:r>
            <w:r w:rsidRPr="00605612">
              <w:rPr>
                <w:rFonts w:cs="Arial"/>
                <w:color w:val="000000" w:themeColor="text1"/>
                <w:szCs w:val="20"/>
              </w:rPr>
              <w:t xml:space="preserve"> kateri podatki morajo biti navedeni ločeno po posamezni državi </w:t>
            </w:r>
            <w:r>
              <w:rPr>
                <w:rFonts w:cs="Arial"/>
                <w:color w:val="000000" w:themeColor="text1"/>
                <w:szCs w:val="20"/>
              </w:rPr>
              <w:t>ali</w:t>
            </w:r>
            <w:r w:rsidRPr="00605612">
              <w:rPr>
                <w:rFonts w:cs="Arial"/>
                <w:color w:val="000000" w:themeColor="text1"/>
                <w:szCs w:val="20"/>
              </w:rPr>
              <w:t xml:space="preserve"> davčni </w:t>
            </w:r>
            <w:r>
              <w:rPr>
                <w:rFonts w:cs="Arial"/>
                <w:color w:val="000000" w:themeColor="text1"/>
                <w:szCs w:val="20"/>
              </w:rPr>
              <w:t>jurisdikciji</w:t>
            </w:r>
            <w:r w:rsidRPr="00605612">
              <w:rPr>
                <w:rFonts w:cs="Arial"/>
                <w:color w:val="000000" w:themeColor="text1"/>
                <w:szCs w:val="20"/>
              </w:rPr>
              <w:t xml:space="preserve"> in kateri se lahko navedejo združeno.</w:t>
            </w:r>
          </w:p>
          <w:p w14:paraId="51FD0C56" w14:textId="77777777" w:rsidR="000C08CA" w:rsidRPr="00605612" w:rsidRDefault="000C08CA" w:rsidP="00FE328D">
            <w:pPr>
              <w:jc w:val="both"/>
              <w:rPr>
                <w:rFonts w:cs="Arial"/>
                <w:color w:val="000000" w:themeColor="text1"/>
                <w:szCs w:val="20"/>
              </w:rPr>
            </w:pPr>
          </w:p>
          <w:p w14:paraId="73CF1FD2" w14:textId="77777777" w:rsidR="000C08CA" w:rsidRPr="00605612" w:rsidRDefault="000C08CA" w:rsidP="00FE328D">
            <w:pPr>
              <w:jc w:val="both"/>
              <w:rPr>
                <w:rFonts w:cs="Arial"/>
                <w:color w:val="000000" w:themeColor="text1"/>
                <w:szCs w:val="20"/>
              </w:rPr>
            </w:pPr>
            <w:r w:rsidRPr="00605612">
              <w:rPr>
                <w:rFonts w:cs="Arial"/>
                <w:color w:val="000000" w:themeColor="text1"/>
                <w:szCs w:val="20"/>
              </w:rPr>
              <w:t xml:space="preserve">Predlog zakona določa nabor podatkov, ki jih mora vsebovati poročilo </w:t>
            </w:r>
            <w:r>
              <w:rPr>
                <w:rFonts w:cs="Arial"/>
                <w:color w:val="000000" w:themeColor="text1"/>
                <w:szCs w:val="20"/>
              </w:rPr>
              <w:t xml:space="preserve">o davčnih informacijah </w:t>
            </w:r>
            <w:r w:rsidRPr="00605612">
              <w:rPr>
                <w:rFonts w:cs="Arial"/>
                <w:color w:val="000000" w:themeColor="text1"/>
                <w:szCs w:val="20"/>
              </w:rPr>
              <w:t>v</w:t>
            </w:r>
            <w:r w:rsidRPr="00605612">
              <w:rPr>
                <w:rFonts w:cs="Arial"/>
                <w:szCs w:val="20"/>
              </w:rPr>
              <w:t xml:space="preserve"> </w:t>
            </w:r>
            <w:r w:rsidRPr="00605612">
              <w:rPr>
                <w:rFonts w:cs="Arial"/>
                <w:color w:val="000000" w:themeColor="text1"/>
                <w:szCs w:val="20"/>
              </w:rPr>
              <w:t xml:space="preserve">zvezi z dohodki. </w:t>
            </w:r>
            <w:r>
              <w:rPr>
                <w:rFonts w:cs="Arial"/>
                <w:color w:val="000000" w:themeColor="text1"/>
                <w:szCs w:val="20"/>
              </w:rPr>
              <w:t>D</w:t>
            </w:r>
            <w:r w:rsidRPr="00605612">
              <w:rPr>
                <w:rFonts w:cs="Arial"/>
                <w:color w:val="000000" w:themeColor="text1"/>
                <w:szCs w:val="20"/>
              </w:rPr>
              <w:t xml:space="preserve">oloča tudi, da družbe podatke razkrijejo z uporabo skupne predloge in elektronskih oblik poročanja, ki so strojno berljive. Skupno predlogo, ki </w:t>
            </w:r>
            <w:r>
              <w:rPr>
                <w:rFonts w:cs="Arial"/>
                <w:color w:val="000000" w:themeColor="text1"/>
                <w:szCs w:val="20"/>
              </w:rPr>
              <w:t xml:space="preserve">se </w:t>
            </w:r>
            <w:r w:rsidRPr="00605612">
              <w:rPr>
                <w:rFonts w:cs="Arial"/>
                <w:color w:val="000000" w:themeColor="text1"/>
                <w:szCs w:val="20"/>
              </w:rPr>
              <w:t xml:space="preserve">bo </w:t>
            </w:r>
            <w:r>
              <w:rPr>
                <w:rFonts w:cs="Arial"/>
                <w:color w:val="000000" w:themeColor="text1"/>
                <w:szCs w:val="20"/>
              </w:rPr>
              <w:t>uporabila</w:t>
            </w:r>
            <w:r w:rsidRPr="00605612">
              <w:rPr>
                <w:rFonts w:cs="Arial"/>
                <w:color w:val="000000" w:themeColor="text1"/>
                <w:szCs w:val="20"/>
              </w:rPr>
              <w:t xml:space="preserve"> za enoten način poročanja</w:t>
            </w:r>
            <w:r>
              <w:rPr>
                <w:rFonts w:cs="Arial"/>
                <w:color w:val="000000" w:themeColor="text1"/>
                <w:szCs w:val="20"/>
              </w:rPr>
              <w:t>,</w:t>
            </w:r>
            <w:r w:rsidRPr="00605612">
              <w:rPr>
                <w:rFonts w:cs="Arial"/>
                <w:color w:val="000000" w:themeColor="text1"/>
                <w:szCs w:val="20"/>
              </w:rPr>
              <w:t xml:space="preserve"> bo </w:t>
            </w:r>
            <w:r>
              <w:rPr>
                <w:rFonts w:cs="Arial"/>
                <w:color w:val="000000" w:themeColor="text1"/>
                <w:szCs w:val="20"/>
              </w:rPr>
              <w:t>K</w:t>
            </w:r>
            <w:r w:rsidRPr="00605612">
              <w:rPr>
                <w:rFonts w:cs="Arial"/>
                <w:color w:val="000000" w:themeColor="text1"/>
                <w:szCs w:val="20"/>
              </w:rPr>
              <w:t>omisija pripravila v obliki izvedbene uredbe</w:t>
            </w:r>
            <w:r>
              <w:rPr>
                <w:rFonts w:cs="Arial"/>
                <w:color w:val="000000" w:themeColor="text1"/>
                <w:szCs w:val="20"/>
              </w:rPr>
              <w:t xml:space="preserve">, ki se bo uporabljala </w:t>
            </w:r>
            <w:r w:rsidRPr="00605612">
              <w:rPr>
                <w:rFonts w:cs="Arial"/>
                <w:color w:val="000000" w:themeColor="text1"/>
                <w:szCs w:val="20"/>
              </w:rPr>
              <w:t>neposredno</w:t>
            </w:r>
            <w:r>
              <w:rPr>
                <w:rFonts w:cs="Arial"/>
                <w:color w:val="000000" w:themeColor="text1"/>
                <w:szCs w:val="20"/>
              </w:rPr>
              <w:t>;</w:t>
            </w:r>
          </w:p>
          <w:p w14:paraId="6C04C0A9" w14:textId="77777777" w:rsidR="000C08CA" w:rsidRPr="00605612" w:rsidRDefault="000C08CA" w:rsidP="00FE328D">
            <w:pPr>
              <w:rPr>
                <w:rFonts w:cs="Arial"/>
                <w:color w:val="000000" w:themeColor="text1"/>
                <w:szCs w:val="20"/>
              </w:rPr>
            </w:pPr>
          </w:p>
          <w:p w14:paraId="0D5FF986" w14:textId="77777777" w:rsidR="000C08CA" w:rsidRPr="00605612" w:rsidRDefault="000C08CA" w:rsidP="00FE328D">
            <w:pPr>
              <w:rPr>
                <w:rFonts w:cs="Arial"/>
                <w:color w:val="000000" w:themeColor="text1"/>
                <w:szCs w:val="20"/>
              </w:rPr>
            </w:pPr>
            <w:r w:rsidRPr="00605612">
              <w:rPr>
                <w:rFonts w:cs="Arial"/>
                <w:color w:val="000000" w:themeColor="text1"/>
                <w:szCs w:val="20"/>
              </w:rPr>
              <w:t>c)</w:t>
            </w:r>
            <w:r w:rsidRPr="00605612">
              <w:rPr>
                <w:rFonts w:cs="Arial"/>
                <w:szCs w:val="20"/>
              </w:rPr>
              <w:t xml:space="preserve"> </w:t>
            </w:r>
            <w:r w:rsidRPr="00605612">
              <w:rPr>
                <w:rFonts w:cs="Arial"/>
                <w:color w:val="000000" w:themeColor="text1"/>
                <w:szCs w:val="20"/>
              </w:rPr>
              <w:t>določajo izjeme v zvezi s poročanjem – komu in pod ka</w:t>
            </w:r>
            <w:r>
              <w:rPr>
                <w:rFonts w:cs="Arial"/>
                <w:color w:val="000000" w:themeColor="text1"/>
                <w:szCs w:val="20"/>
              </w:rPr>
              <w:t>teri</w:t>
            </w:r>
            <w:r w:rsidRPr="00605612">
              <w:rPr>
                <w:rFonts w:cs="Arial"/>
                <w:color w:val="000000" w:themeColor="text1"/>
                <w:szCs w:val="20"/>
              </w:rPr>
              <w:t>mi pogoji poročila ni treba pripraviti in objaviti</w:t>
            </w:r>
            <w:r>
              <w:rPr>
                <w:rFonts w:cs="Arial"/>
                <w:color w:val="000000" w:themeColor="text1"/>
                <w:szCs w:val="20"/>
              </w:rPr>
              <w:t>:</w:t>
            </w:r>
          </w:p>
          <w:p w14:paraId="35F45356" w14:textId="77777777" w:rsidR="000C08CA" w:rsidRPr="00605612" w:rsidRDefault="000C08CA" w:rsidP="00FE328D">
            <w:pPr>
              <w:rPr>
                <w:rFonts w:cs="Arial"/>
                <w:szCs w:val="20"/>
              </w:rPr>
            </w:pPr>
          </w:p>
          <w:p w14:paraId="792DD2EB" w14:textId="77777777" w:rsidR="000C08CA" w:rsidRPr="00605612" w:rsidRDefault="000C08CA" w:rsidP="00FE328D">
            <w:pPr>
              <w:jc w:val="both"/>
              <w:rPr>
                <w:rFonts w:cs="Arial"/>
                <w:szCs w:val="20"/>
              </w:rPr>
            </w:pPr>
            <w:r w:rsidRPr="00605612">
              <w:rPr>
                <w:rFonts w:cs="Arial"/>
                <w:szCs w:val="20"/>
              </w:rPr>
              <w:t xml:space="preserve">S predlogom zakona se v skladu z direktivo posebej določa pravica družbe, da v poročilu ne razkrije tistih podatkov, s katerimi bi lahko resno škodovala svojemu poslovnemu položaju. Ob tem mora biti opustitev razkritja podatkov v poročilu jasno navedena skupaj z ustrezno utemeljeno obrazložitvijo razlogov zanjo. Podatke, ki jih družba izvzame iz tekočega poročila, mora nato vključiti v poznejše poročilo </w:t>
            </w:r>
            <w:r>
              <w:rPr>
                <w:rFonts w:cs="Arial"/>
                <w:color w:val="000000" w:themeColor="text1"/>
                <w:szCs w:val="20"/>
              </w:rPr>
              <w:t xml:space="preserve">o davčnih informacijah </w:t>
            </w:r>
            <w:r w:rsidRPr="00605612">
              <w:rPr>
                <w:rFonts w:cs="Arial"/>
                <w:szCs w:val="20"/>
              </w:rPr>
              <w:t xml:space="preserve">v zvezi z dohodki. To lahko stori naslednje leto ali leto </w:t>
            </w:r>
            <w:r>
              <w:rPr>
                <w:rFonts w:cs="Arial"/>
                <w:szCs w:val="20"/>
              </w:rPr>
              <w:t>poz</w:t>
            </w:r>
            <w:r w:rsidRPr="00605612">
              <w:rPr>
                <w:rFonts w:cs="Arial"/>
                <w:szCs w:val="20"/>
              </w:rPr>
              <w:t>neje, naj</w:t>
            </w:r>
            <w:r>
              <w:rPr>
                <w:rFonts w:cs="Arial"/>
                <w:szCs w:val="20"/>
              </w:rPr>
              <w:t>poz</w:t>
            </w:r>
            <w:r w:rsidRPr="00605612">
              <w:rPr>
                <w:rFonts w:cs="Arial"/>
                <w:szCs w:val="20"/>
              </w:rPr>
              <w:t>neje pa jih mora vključiti v poročilo, pripravljeno v petih let</w:t>
            </w:r>
            <w:r>
              <w:rPr>
                <w:rFonts w:cs="Arial"/>
                <w:szCs w:val="20"/>
              </w:rPr>
              <w:t>ih,</w:t>
            </w:r>
            <w:r w:rsidRPr="00605612">
              <w:rPr>
                <w:rFonts w:cs="Arial"/>
                <w:szCs w:val="20"/>
              </w:rPr>
              <w:t xml:space="preserve"> odkar bi morala poročati o njih. V skladu z direktivo predlog zakona zahteva, da družba podatkov v zvezi z davčnimi </w:t>
            </w:r>
            <w:r>
              <w:rPr>
                <w:rFonts w:cs="Arial"/>
                <w:szCs w:val="20"/>
              </w:rPr>
              <w:t>jurisdikcijami,</w:t>
            </w:r>
            <w:r w:rsidRPr="00605612">
              <w:rPr>
                <w:rFonts w:cs="Arial"/>
                <w:szCs w:val="20"/>
              </w:rPr>
              <w:t xml:space="preserve"> vključenih v </w:t>
            </w:r>
            <w:r>
              <w:rPr>
                <w:rFonts w:cs="Arial"/>
                <w:szCs w:val="20"/>
              </w:rPr>
              <w:t>p</w:t>
            </w:r>
            <w:r w:rsidRPr="00605612">
              <w:rPr>
                <w:rFonts w:cs="Arial"/>
                <w:szCs w:val="20"/>
              </w:rPr>
              <w:t>rilog</w:t>
            </w:r>
            <w:r>
              <w:rPr>
                <w:rFonts w:cs="Arial"/>
                <w:szCs w:val="20"/>
              </w:rPr>
              <w:t>ah</w:t>
            </w:r>
            <w:r w:rsidRPr="00605612">
              <w:rPr>
                <w:rFonts w:cs="Arial"/>
                <w:szCs w:val="20"/>
              </w:rPr>
              <w:t xml:space="preserve"> I in II k sklepom Sveta o posodobljenem seznamu EU z jurisdikcijami, ki niso pripravljene sodelovati v davčne namene, nikoli ne more izvzeti.</w:t>
            </w:r>
          </w:p>
          <w:p w14:paraId="6E0188EA" w14:textId="77777777" w:rsidR="000C08CA" w:rsidRPr="00605612" w:rsidRDefault="000C08CA" w:rsidP="00FE328D">
            <w:pPr>
              <w:jc w:val="both"/>
              <w:rPr>
                <w:rFonts w:cs="Arial"/>
                <w:szCs w:val="20"/>
              </w:rPr>
            </w:pPr>
          </w:p>
          <w:p w14:paraId="4BEE697A" w14:textId="141DCE56" w:rsidR="000C08CA" w:rsidRPr="00605612" w:rsidRDefault="000C08CA" w:rsidP="00FE328D">
            <w:pPr>
              <w:jc w:val="both"/>
              <w:rPr>
                <w:rFonts w:cs="Arial"/>
                <w:szCs w:val="20"/>
              </w:rPr>
            </w:pPr>
            <w:r w:rsidRPr="00605612">
              <w:rPr>
                <w:rFonts w:cs="Arial"/>
                <w:szCs w:val="20"/>
              </w:rPr>
              <w:t xml:space="preserve">V zvezi s poročanjem predlog zakona določa izjeme za odvisne družbe in podružnice tujega podjetja. Zanje obveznost poročanja </w:t>
            </w:r>
            <w:r>
              <w:rPr>
                <w:rFonts w:cs="Arial"/>
                <w:color w:val="000000" w:themeColor="text1"/>
                <w:szCs w:val="20"/>
              </w:rPr>
              <w:t xml:space="preserve">o davčnih informacijah </w:t>
            </w:r>
            <w:r w:rsidRPr="00605612">
              <w:rPr>
                <w:rFonts w:cs="Arial"/>
                <w:szCs w:val="20"/>
              </w:rPr>
              <w:t>v zvezi z dohodki ne velja, če obvladujoč</w:t>
            </w:r>
            <w:r>
              <w:rPr>
                <w:rFonts w:cs="Arial"/>
                <w:szCs w:val="20"/>
              </w:rPr>
              <w:t>e</w:t>
            </w:r>
            <w:r w:rsidRPr="00605612">
              <w:rPr>
                <w:rFonts w:cs="Arial"/>
                <w:szCs w:val="20"/>
              </w:rPr>
              <w:t xml:space="preserve"> </w:t>
            </w:r>
            <w:r>
              <w:rPr>
                <w:rFonts w:cs="Arial"/>
                <w:szCs w:val="20"/>
              </w:rPr>
              <w:t xml:space="preserve">tuje </w:t>
            </w:r>
            <w:r>
              <w:rPr>
                <w:rFonts w:cs="Arial"/>
                <w:szCs w:val="20"/>
              </w:rPr>
              <w:lastRenderedPageBreak/>
              <w:t>podjetje</w:t>
            </w:r>
            <w:r w:rsidRPr="00605612">
              <w:rPr>
                <w:rFonts w:cs="Arial"/>
                <w:szCs w:val="20"/>
              </w:rPr>
              <w:t xml:space="preserve"> iz tretje države pripravi poročilo, ki je popolnoma skladno </w:t>
            </w:r>
            <w:r>
              <w:rPr>
                <w:rFonts w:cs="Arial"/>
                <w:szCs w:val="20"/>
              </w:rPr>
              <w:t xml:space="preserve">z </w:t>
            </w:r>
            <w:r w:rsidRPr="00605612">
              <w:rPr>
                <w:rFonts w:cs="Arial"/>
                <w:szCs w:val="20"/>
              </w:rPr>
              <w:t>zahtevam</w:t>
            </w:r>
            <w:r>
              <w:rPr>
                <w:rFonts w:cs="Arial"/>
                <w:szCs w:val="20"/>
              </w:rPr>
              <w:t>i</w:t>
            </w:r>
            <w:r w:rsidRPr="00605612">
              <w:rPr>
                <w:rFonts w:cs="Arial"/>
                <w:szCs w:val="20"/>
              </w:rPr>
              <w:t xml:space="preserve"> iz predloga zakona in je najpozneje v 12 mesecih po datumu bilance stanja za poslovno leto, za katero je bilo poročilo pripravljeno, </w:t>
            </w:r>
            <w:r w:rsidR="001A3431">
              <w:rPr>
                <w:rFonts w:cs="Arial"/>
                <w:szCs w:val="20"/>
              </w:rPr>
              <w:t>v prevodu</w:t>
            </w:r>
            <w:r w:rsidRPr="003B2A0D">
              <w:rPr>
                <w:rFonts w:cs="Arial"/>
                <w:szCs w:val="20"/>
              </w:rPr>
              <w:t xml:space="preserve"> </w:t>
            </w:r>
            <w:r w:rsidRPr="00605612">
              <w:rPr>
                <w:rFonts w:cs="Arial"/>
                <w:szCs w:val="20"/>
              </w:rPr>
              <w:t xml:space="preserve">brezplačno </w:t>
            </w:r>
            <w:r w:rsidR="001A3431">
              <w:rPr>
                <w:rFonts w:cs="Arial"/>
                <w:szCs w:val="20"/>
              </w:rPr>
              <w:t>objavljeno</w:t>
            </w:r>
            <w:r w:rsidRPr="003B2A0D">
              <w:rPr>
                <w:rFonts w:cs="Arial"/>
                <w:szCs w:val="20"/>
              </w:rPr>
              <w:t xml:space="preserve"> na spletni strani</w:t>
            </w:r>
            <w:r w:rsidR="001A3431">
              <w:rPr>
                <w:rFonts w:cs="Arial"/>
                <w:szCs w:val="20"/>
              </w:rPr>
              <w:t xml:space="preserve"> tega</w:t>
            </w:r>
            <w:r w:rsidRPr="003B2A0D">
              <w:rPr>
                <w:rFonts w:cs="Arial"/>
                <w:szCs w:val="20"/>
              </w:rPr>
              <w:t xml:space="preserve"> tujega podjetja iz tretje države v elektronski obliki poročanja, ki je strojno </w:t>
            </w:r>
            <w:r w:rsidRPr="00605612" w:rsidDel="009A3ECA">
              <w:rPr>
                <w:rFonts w:cs="Arial"/>
                <w:szCs w:val="20"/>
              </w:rPr>
              <w:t xml:space="preserve">berljiva, </w:t>
            </w:r>
            <w:r w:rsidRPr="00605612">
              <w:rPr>
                <w:rFonts w:cs="Arial"/>
                <w:szCs w:val="20"/>
              </w:rPr>
              <w:t xml:space="preserve">ter sta v poročilu navedena </w:t>
            </w:r>
            <w:r>
              <w:rPr>
                <w:rFonts w:cs="Arial"/>
                <w:szCs w:val="20"/>
              </w:rPr>
              <w:t>firma</w:t>
            </w:r>
            <w:r w:rsidRPr="00605612">
              <w:rPr>
                <w:rFonts w:cs="Arial"/>
                <w:szCs w:val="20"/>
              </w:rPr>
              <w:t xml:space="preserve"> in sedež odvisne družbe ali podružnice tujega podjetja</w:t>
            </w:r>
            <w:r>
              <w:rPr>
                <w:rFonts w:cs="Arial"/>
                <w:szCs w:val="20"/>
              </w:rPr>
              <w:t xml:space="preserve"> iz tretje države</w:t>
            </w:r>
            <w:r w:rsidRPr="00605612">
              <w:rPr>
                <w:rFonts w:cs="Arial"/>
                <w:szCs w:val="20"/>
              </w:rPr>
              <w:t xml:space="preserve">, ustanovljene v Republiki Sloveniji, ki je </w:t>
            </w:r>
            <w:r w:rsidRPr="003B2A0D">
              <w:rPr>
                <w:rFonts w:cs="Arial"/>
                <w:szCs w:val="20"/>
              </w:rPr>
              <w:t>poročilo o davčnih informacijah v zvezi z dohodki zaradi javne objave predložila v skladu s pravom države sedeža in s prvim odstavkom 48</w:t>
            </w:r>
            <w:r>
              <w:rPr>
                <w:rFonts w:cs="Arial"/>
                <w:szCs w:val="20"/>
              </w:rPr>
              <w:t>.</w:t>
            </w:r>
            <w:r w:rsidRPr="003B2A0D">
              <w:rPr>
                <w:rFonts w:cs="Arial"/>
                <w:szCs w:val="20"/>
              </w:rPr>
              <w:t>d člena Direktive 2013/34/EU</w:t>
            </w:r>
            <w:r>
              <w:rPr>
                <w:rFonts w:cs="Arial"/>
                <w:szCs w:val="20"/>
              </w:rPr>
              <w:t>:</w:t>
            </w:r>
          </w:p>
          <w:p w14:paraId="14513986" w14:textId="77777777" w:rsidR="000C08CA" w:rsidRPr="00605612" w:rsidRDefault="000C08CA" w:rsidP="00FE328D">
            <w:pPr>
              <w:rPr>
                <w:rFonts w:cs="Arial"/>
                <w:szCs w:val="20"/>
              </w:rPr>
            </w:pPr>
          </w:p>
          <w:p w14:paraId="0B18991B" w14:textId="77777777" w:rsidR="000C08CA" w:rsidRPr="00605612" w:rsidRDefault="000C08CA" w:rsidP="00FE328D">
            <w:pPr>
              <w:rPr>
                <w:rFonts w:cs="Arial"/>
                <w:color w:val="000000" w:themeColor="text1"/>
                <w:szCs w:val="20"/>
              </w:rPr>
            </w:pPr>
            <w:r w:rsidRPr="00605612">
              <w:rPr>
                <w:rFonts w:cs="Arial"/>
                <w:szCs w:val="20"/>
              </w:rPr>
              <w:t xml:space="preserve">č) </w:t>
            </w:r>
            <w:r w:rsidRPr="00605612">
              <w:rPr>
                <w:rFonts w:cs="Arial"/>
                <w:color w:val="000000" w:themeColor="text1"/>
                <w:szCs w:val="20"/>
              </w:rPr>
              <w:t>posebej določa tudi, kdaj obveznost poročanja preneha</w:t>
            </w:r>
            <w:r>
              <w:rPr>
                <w:rFonts w:cs="Arial"/>
                <w:color w:val="000000" w:themeColor="text1"/>
                <w:szCs w:val="20"/>
              </w:rPr>
              <w:t>:</w:t>
            </w:r>
          </w:p>
          <w:p w14:paraId="49B668F7" w14:textId="77777777" w:rsidR="000C08CA" w:rsidRPr="00605612" w:rsidRDefault="000C08CA" w:rsidP="00FE328D">
            <w:pPr>
              <w:rPr>
                <w:rFonts w:cs="Arial"/>
                <w:color w:val="000000" w:themeColor="text1"/>
                <w:szCs w:val="20"/>
              </w:rPr>
            </w:pPr>
          </w:p>
          <w:p w14:paraId="75E5A27F" w14:textId="77777777" w:rsidR="000C08CA" w:rsidRPr="00605612" w:rsidRDefault="000C08CA" w:rsidP="00FE328D">
            <w:pPr>
              <w:jc w:val="both"/>
              <w:rPr>
                <w:rFonts w:cs="Arial"/>
                <w:color w:val="000000" w:themeColor="text1"/>
                <w:szCs w:val="20"/>
              </w:rPr>
            </w:pPr>
            <w:r w:rsidRPr="00605612">
              <w:rPr>
                <w:rFonts w:cs="Arial"/>
                <w:color w:val="000000" w:themeColor="text1"/>
                <w:szCs w:val="20"/>
              </w:rPr>
              <w:t xml:space="preserve">Predlog zakona določa, da obveznost poročanja </w:t>
            </w:r>
            <w:r>
              <w:rPr>
                <w:rFonts w:cs="Arial"/>
                <w:color w:val="000000" w:themeColor="text1"/>
                <w:szCs w:val="20"/>
              </w:rPr>
              <w:t xml:space="preserve">o davčnih informacijah </w:t>
            </w:r>
            <w:r w:rsidRPr="00605612">
              <w:rPr>
                <w:rFonts w:cs="Arial"/>
                <w:color w:val="000000" w:themeColor="text1"/>
                <w:szCs w:val="20"/>
              </w:rPr>
              <w:t xml:space="preserve">v zvezi z dohodki preneha, ko ni več izpolnjen pogoj za njen nastanek. To pomeni, da za družbe obveznost preneha, ko </w:t>
            </w:r>
            <w:r>
              <w:rPr>
                <w:rFonts w:cs="Arial"/>
                <w:color w:val="000000" w:themeColor="text1"/>
                <w:szCs w:val="20"/>
              </w:rPr>
              <w:t>so</w:t>
            </w:r>
            <w:r w:rsidRPr="00605612">
              <w:rPr>
                <w:rFonts w:cs="Arial"/>
                <w:color w:val="000000" w:themeColor="text1"/>
                <w:szCs w:val="20"/>
              </w:rPr>
              <w:t xml:space="preserve"> prihodk</w:t>
            </w:r>
            <w:r>
              <w:rPr>
                <w:rFonts w:cs="Arial"/>
                <w:color w:val="000000" w:themeColor="text1"/>
                <w:szCs w:val="20"/>
              </w:rPr>
              <w:t>i</w:t>
            </w:r>
            <w:r w:rsidRPr="00605612">
              <w:rPr>
                <w:rFonts w:cs="Arial"/>
                <w:color w:val="000000" w:themeColor="text1"/>
                <w:szCs w:val="20"/>
              </w:rPr>
              <w:t xml:space="preserve"> ali konsolidirani prihodk</w:t>
            </w:r>
            <w:r>
              <w:rPr>
                <w:rFonts w:cs="Arial"/>
                <w:color w:val="000000" w:themeColor="text1"/>
                <w:szCs w:val="20"/>
              </w:rPr>
              <w:t>i</w:t>
            </w:r>
            <w:r w:rsidRPr="00605612">
              <w:rPr>
                <w:rFonts w:cs="Arial"/>
                <w:color w:val="000000" w:themeColor="text1"/>
                <w:szCs w:val="20"/>
              </w:rPr>
              <w:t xml:space="preserve"> na podlagi podatkov zadnjih dveh zaporednih poslovnih let na bilančni presečni dan bilance stanja obakrat nižji od 750.000.000 </w:t>
            </w:r>
            <w:r>
              <w:rPr>
                <w:rFonts w:cs="Arial"/>
                <w:color w:val="000000" w:themeColor="text1"/>
                <w:szCs w:val="20"/>
              </w:rPr>
              <w:t>EUR</w:t>
            </w:r>
            <w:r w:rsidRPr="00605612">
              <w:rPr>
                <w:rFonts w:cs="Arial"/>
                <w:color w:val="000000" w:themeColor="text1"/>
                <w:szCs w:val="20"/>
              </w:rPr>
              <w:t>. Ko preneha obveznost za obvladujoč</w:t>
            </w:r>
            <w:r>
              <w:rPr>
                <w:rFonts w:cs="Arial"/>
                <w:color w:val="000000" w:themeColor="text1"/>
                <w:szCs w:val="20"/>
              </w:rPr>
              <w:t>e</w:t>
            </w:r>
            <w:r w:rsidRPr="00605612">
              <w:rPr>
                <w:rFonts w:cs="Arial"/>
                <w:color w:val="000000" w:themeColor="text1"/>
                <w:szCs w:val="20"/>
              </w:rPr>
              <w:t xml:space="preserve"> </w:t>
            </w:r>
            <w:r w:rsidRPr="00233719">
              <w:rPr>
                <w:rFonts w:cs="Arial"/>
                <w:color w:val="000000" w:themeColor="text1"/>
                <w:szCs w:val="20"/>
              </w:rPr>
              <w:t>tuje podjetj</w:t>
            </w:r>
            <w:r>
              <w:rPr>
                <w:rFonts w:cs="Arial"/>
                <w:color w:val="000000" w:themeColor="text1"/>
                <w:szCs w:val="20"/>
              </w:rPr>
              <w:t>e</w:t>
            </w:r>
            <w:r w:rsidRPr="00233719">
              <w:rPr>
                <w:rFonts w:cs="Arial"/>
                <w:color w:val="000000" w:themeColor="text1"/>
                <w:szCs w:val="20"/>
              </w:rPr>
              <w:t xml:space="preserve"> iz tretje države</w:t>
            </w:r>
            <w:r w:rsidRPr="00605612">
              <w:rPr>
                <w:rFonts w:cs="Arial"/>
                <w:color w:val="000000" w:themeColor="text1"/>
                <w:szCs w:val="20"/>
              </w:rPr>
              <w:t>, ker konsolidirani prihodk</w:t>
            </w:r>
            <w:r>
              <w:rPr>
                <w:rFonts w:cs="Arial"/>
                <w:color w:val="000000" w:themeColor="text1"/>
                <w:szCs w:val="20"/>
              </w:rPr>
              <w:t>i</w:t>
            </w:r>
            <w:r w:rsidRPr="00605612">
              <w:rPr>
                <w:rFonts w:cs="Arial"/>
                <w:color w:val="000000" w:themeColor="text1"/>
                <w:szCs w:val="20"/>
              </w:rPr>
              <w:t xml:space="preserve"> ne preseže</w:t>
            </w:r>
            <w:r>
              <w:rPr>
                <w:rFonts w:cs="Arial"/>
                <w:color w:val="000000" w:themeColor="text1"/>
                <w:szCs w:val="20"/>
              </w:rPr>
              <w:t>jo</w:t>
            </w:r>
            <w:r w:rsidRPr="00605612">
              <w:rPr>
                <w:rFonts w:cs="Arial"/>
                <w:color w:val="000000" w:themeColor="text1"/>
                <w:szCs w:val="20"/>
              </w:rPr>
              <w:t xml:space="preserve"> 750.000.000 </w:t>
            </w:r>
            <w:r>
              <w:rPr>
                <w:rFonts w:cs="Arial"/>
                <w:color w:val="000000" w:themeColor="text1"/>
                <w:szCs w:val="20"/>
              </w:rPr>
              <w:t>EUR</w:t>
            </w:r>
            <w:r w:rsidRPr="00605612">
              <w:rPr>
                <w:rFonts w:cs="Arial"/>
                <w:color w:val="000000" w:themeColor="text1"/>
                <w:szCs w:val="20"/>
              </w:rPr>
              <w:t xml:space="preserve">, preneha </w:t>
            </w:r>
            <w:r>
              <w:rPr>
                <w:rFonts w:cs="Arial"/>
                <w:color w:val="000000" w:themeColor="text1"/>
                <w:szCs w:val="20"/>
              </w:rPr>
              <w:t xml:space="preserve">ta </w:t>
            </w:r>
            <w:r w:rsidRPr="00605612">
              <w:rPr>
                <w:rFonts w:cs="Arial"/>
                <w:color w:val="000000" w:themeColor="text1"/>
                <w:szCs w:val="20"/>
              </w:rPr>
              <w:t>obveznost tudi za nje</w:t>
            </w:r>
            <w:r>
              <w:rPr>
                <w:rFonts w:cs="Arial"/>
                <w:color w:val="000000" w:themeColor="text1"/>
                <w:szCs w:val="20"/>
              </w:rPr>
              <w:t>gove</w:t>
            </w:r>
            <w:r w:rsidRPr="00605612">
              <w:rPr>
                <w:rFonts w:cs="Arial"/>
                <w:color w:val="000000" w:themeColor="text1"/>
                <w:szCs w:val="20"/>
              </w:rPr>
              <w:t xml:space="preserve"> odvisne družbe. Za podružnice tujega podjetja pa predlog zakona v skladu z direktivo določa, da obveznost poročanja preneha, k</w:t>
            </w:r>
            <w:r>
              <w:rPr>
                <w:rFonts w:cs="Arial"/>
                <w:color w:val="000000" w:themeColor="text1"/>
                <w:szCs w:val="20"/>
              </w:rPr>
              <w:t xml:space="preserve">adar </w:t>
            </w:r>
            <w:r w:rsidRPr="00605612">
              <w:rPr>
                <w:rFonts w:cs="Arial"/>
                <w:color w:val="000000" w:themeColor="text1"/>
                <w:szCs w:val="20"/>
              </w:rPr>
              <w:t>tuje podjetje iz tretje države, ki je v Republiki Sloveniji ustanovilo podružnico ali je t</w:t>
            </w:r>
            <w:r>
              <w:rPr>
                <w:rFonts w:cs="Arial"/>
                <w:color w:val="000000" w:themeColor="text1"/>
                <w:szCs w:val="20"/>
              </w:rPr>
              <w:t>o</w:t>
            </w:r>
            <w:r w:rsidRPr="00605612">
              <w:rPr>
                <w:rFonts w:cs="Arial"/>
                <w:color w:val="000000" w:themeColor="text1"/>
                <w:szCs w:val="20"/>
              </w:rPr>
              <w:t xml:space="preserve"> podružnic</w:t>
            </w:r>
            <w:r>
              <w:rPr>
                <w:rFonts w:cs="Arial"/>
                <w:color w:val="000000" w:themeColor="text1"/>
                <w:szCs w:val="20"/>
              </w:rPr>
              <w:t>o</w:t>
            </w:r>
            <w:r w:rsidRPr="00605612">
              <w:rPr>
                <w:rFonts w:cs="Arial"/>
                <w:color w:val="000000" w:themeColor="text1"/>
                <w:szCs w:val="20"/>
              </w:rPr>
              <w:t xml:space="preserve"> ustanov</w:t>
            </w:r>
            <w:r>
              <w:rPr>
                <w:rFonts w:cs="Arial"/>
                <w:color w:val="000000" w:themeColor="text1"/>
                <w:szCs w:val="20"/>
              </w:rPr>
              <w:t>i</w:t>
            </w:r>
            <w:r w:rsidRPr="00605612">
              <w:rPr>
                <w:rFonts w:cs="Arial"/>
                <w:color w:val="000000" w:themeColor="text1"/>
                <w:szCs w:val="20"/>
              </w:rPr>
              <w:t>la družb</w:t>
            </w:r>
            <w:r>
              <w:rPr>
                <w:rFonts w:cs="Arial"/>
                <w:color w:val="000000" w:themeColor="text1"/>
                <w:szCs w:val="20"/>
              </w:rPr>
              <w:t>a</w:t>
            </w:r>
            <w:r w:rsidRPr="00605612">
              <w:rPr>
                <w:rFonts w:cs="Arial"/>
                <w:color w:val="000000" w:themeColor="text1"/>
                <w:szCs w:val="20"/>
              </w:rPr>
              <w:t>, ki jo obvladuje</w:t>
            </w:r>
            <w:r w:rsidRPr="00605612" w:rsidDel="00FE71D2">
              <w:rPr>
                <w:rFonts w:cs="Arial"/>
                <w:color w:val="000000" w:themeColor="text1"/>
                <w:szCs w:val="20"/>
              </w:rPr>
              <w:t xml:space="preserve"> </w:t>
            </w:r>
            <w:r w:rsidRPr="00605612">
              <w:rPr>
                <w:rFonts w:cs="Arial"/>
                <w:color w:val="000000" w:themeColor="text1"/>
                <w:szCs w:val="20"/>
              </w:rPr>
              <w:t xml:space="preserve">tuje podjetje iz tretje države, v dveh zaporednih poslovnih letih obakrat ne preseže 750.000.000 </w:t>
            </w:r>
            <w:r>
              <w:rPr>
                <w:rFonts w:cs="Arial"/>
                <w:color w:val="000000" w:themeColor="text1"/>
                <w:szCs w:val="20"/>
              </w:rPr>
              <w:t>EUR</w:t>
            </w:r>
            <w:r w:rsidRPr="00605612">
              <w:rPr>
                <w:rFonts w:cs="Arial"/>
                <w:color w:val="000000" w:themeColor="text1"/>
                <w:szCs w:val="20"/>
              </w:rPr>
              <w:t xml:space="preserve"> prihodk</w:t>
            </w:r>
            <w:r>
              <w:rPr>
                <w:rFonts w:cs="Arial"/>
                <w:color w:val="000000" w:themeColor="text1"/>
                <w:szCs w:val="20"/>
              </w:rPr>
              <w:t>ov</w:t>
            </w:r>
            <w:r w:rsidRPr="00605612">
              <w:rPr>
                <w:rFonts w:cs="Arial"/>
                <w:color w:val="000000" w:themeColor="text1"/>
                <w:szCs w:val="20"/>
              </w:rPr>
              <w:t xml:space="preserve"> in k</w:t>
            </w:r>
            <w:r>
              <w:rPr>
                <w:rFonts w:cs="Arial"/>
                <w:color w:val="000000" w:themeColor="text1"/>
                <w:szCs w:val="20"/>
              </w:rPr>
              <w:t>adar</w:t>
            </w:r>
            <w:r w:rsidRPr="00605612">
              <w:rPr>
                <w:rFonts w:cs="Arial"/>
                <w:color w:val="000000" w:themeColor="text1"/>
                <w:szCs w:val="20"/>
              </w:rPr>
              <w:t xml:space="preserve"> podružnica tujega podjetja obakrat v dveh zaporednih poslovnih letih glede lastn</w:t>
            </w:r>
            <w:r>
              <w:rPr>
                <w:rFonts w:cs="Arial"/>
                <w:color w:val="000000" w:themeColor="text1"/>
                <w:szCs w:val="20"/>
              </w:rPr>
              <w:t>ih</w:t>
            </w:r>
            <w:r w:rsidRPr="00605612">
              <w:rPr>
                <w:rFonts w:cs="Arial"/>
                <w:color w:val="000000" w:themeColor="text1"/>
                <w:szCs w:val="20"/>
              </w:rPr>
              <w:t xml:space="preserve"> čist</w:t>
            </w:r>
            <w:r>
              <w:rPr>
                <w:rFonts w:cs="Arial"/>
                <w:color w:val="000000" w:themeColor="text1"/>
                <w:szCs w:val="20"/>
              </w:rPr>
              <w:t>ih</w:t>
            </w:r>
            <w:r w:rsidRPr="00605612">
              <w:rPr>
                <w:rFonts w:cs="Arial"/>
                <w:color w:val="000000" w:themeColor="text1"/>
                <w:szCs w:val="20"/>
              </w:rPr>
              <w:t xml:space="preserve"> prihodk</w:t>
            </w:r>
            <w:r>
              <w:rPr>
                <w:rFonts w:cs="Arial"/>
                <w:color w:val="000000" w:themeColor="text1"/>
                <w:szCs w:val="20"/>
              </w:rPr>
              <w:t>ov</w:t>
            </w:r>
            <w:r w:rsidRPr="00605612">
              <w:rPr>
                <w:rFonts w:cs="Arial"/>
                <w:color w:val="000000" w:themeColor="text1"/>
                <w:szCs w:val="20"/>
              </w:rPr>
              <w:t xml:space="preserve"> od prodaje ne preseže merila za majhne družbe, določenega v 55. členu ZGD-1, to je 8.000.000 </w:t>
            </w:r>
            <w:r>
              <w:rPr>
                <w:rFonts w:cs="Arial"/>
                <w:color w:val="000000" w:themeColor="text1"/>
                <w:szCs w:val="20"/>
              </w:rPr>
              <w:t>EUR;</w:t>
            </w:r>
          </w:p>
          <w:p w14:paraId="0597C904" w14:textId="77777777" w:rsidR="000C08CA" w:rsidRPr="00605612" w:rsidRDefault="000C08CA" w:rsidP="00FE328D">
            <w:pPr>
              <w:rPr>
                <w:rFonts w:cs="Arial"/>
                <w:color w:val="000000" w:themeColor="text1"/>
                <w:szCs w:val="20"/>
              </w:rPr>
            </w:pPr>
          </w:p>
          <w:p w14:paraId="2B076111" w14:textId="77777777" w:rsidR="000C08CA" w:rsidRPr="00605612" w:rsidRDefault="000C08CA" w:rsidP="00FE328D">
            <w:pPr>
              <w:jc w:val="both"/>
              <w:rPr>
                <w:rFonts w:cs="Arial"/>
                <w:color w:val="000000" w:themeColor="text1"/>
                <w:szCs w:val="20"/>
              </w:rPr>
            </w:pPr>
            <w:r w:rsidRPr="00605612">
              <w:rPr>
                <w:rFonts w:cs="Arial"/>
                <w:color w:val="000000" w:themeColor="text1"/>
                <w:szCs w:val="20"/>
              </w:rPr>
              <w:t xml:space="preserve">d) dopolnjujejo kazenske določbe ZGD-1 v zvezi s poročilom </w:t>
            </w:r>
            <w:r>
              <w:rPr>
                <w:rFonts w:cs="Arial"/>
                <w:color w:val="000000" w:themeColor="text1"/>
                <w:szCs w:val="20"/>
              </w:rPr>
              <w:t xml:space="preserve">o davčnih informacijah </w:t>
            </w:r>
            <w:r w:rsidRPr="00605612">
              <w:rPr>
                <w:rFonts w:cs="Arial"/>
                <w:color w:val="000000" w:themeColor="text1"/>
                <w:szCs w:val="20"/>
              </w:rPr>
              <w:t>v zvezi z dohodki</w:t>
            </w:r>
            <w:r>
              <w:rPr>
                <w:rFonts w:cs="Arial"/>
                <w:color w:val="000000" w:themeColor="text1"/>
                <w:szCs w:val="20"/>
              </w:rPr>
              <w:t>:</w:t>
            </w:r>
          </w:p>
          <w:p w14:paraId="55238F02" w14:textId="77777777" w:rsidR="000C08CA" w:rsidRPr="00605612" w:rsidRDefault="000C08CA" w:rsidP="00FE328D">
            <w:pPr>
              <w:rPr>
                <w:rFonts w:cs="Arial"/>
                <w:szCs w:val="20"/>
              </w:rPr>
            </w:pPr>
          </w:p>
          <w:p w14:paraId="503224A8" w14:textId="77777777" w:rsidR="000C08CA" w:rsidRPr="00605612" w:rsidRDefault="000C08CA" w:rsidP="00FE328D">
            <w:pPr>
              <w:jc w:val="both"/>
              <w:rPr>
                <w:rFonts w:cs="Arial"/>
                <w:szCs w:val="20"/>
              </w:rPr>
            </w:pPr>
            <w:r w:rsidRPr="00605612">
              <w:rPr>
                <w:rFonts w:cs="Arial"/>
                <w:szCs w:val="20"/>
              </w:rPr>
              <w:t>S predlogom zakona se med prekrške družbe (686. člen ZGD-1) in prekrške tujega podjetja, ki je ustanovilo podružnico (687. člen ZGD-1), vključi prekršek</w:t>
            </w:r>
            <w:r>
              <w:rPr>
                <w:rFonts w:cs="Arial"/>
                <w:szCs w:val="20"/>
              </w:rPr>
              <w:t>, če se</w:t>
            </w:r>
            <w:r w:rsidRPr="00605612">
              <w:rPr>
                <w:rFonts w:cs="Arial"/>
                <w:szCs w:val="20"/>
              </w:rPr>
              <w:t xml:space="preserve">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w:t>
            </w:r>
            <w:r w:rsidRPr="003B2A0D">
              <w:rPr>
                <w:rFonts w:cs="Arial"/>
                <w:szCs w:val="20"/>
              </w:rPr>
              <w:t>ne pripravi ali ne predloži Ajpes</w:t>
            </w:r>
            <w:r>
              <w:rPr>
                <w:rFonts w:cs="Arial"/>
                <w:szCs w:val="20"/>
              </w:rPr>
              <w:t>u</w:t>
            </w:r>
            <w:r w:rsidRPr="003B2A0D">
              <w:rPr>
                <w:rFonts w:cs="Arial"/>
                <w:szCs w:val="20"/>
              </w:rPr>
              <w:t xml:space="preserve"> ali ne objavi na spletni strani </w:t>
            </w:r>
            <w:r w:rsidRPr="00605612">
              <w:rPr>
                <w:rFonts w:cs="Arial"/>
                <w:szCs w:val="20"/>
              </w:rPr>
              <w:t xml:space="preserve">družbe, odvisne družbe ali povezane družbe ali v primeru podružnice </w:t>
            </w:r>
            <w:r>
              <w:rPr>
                <w:rFonts w:cs="Arial"/>
                <w:szCs w:val="20"/>
              </w:rPr>
              <w:t xml:space="preserve">tujega </w:t>
            </w:r>
            <w:r w:rsidRPr="00605612">
              <w:rPr>
                <w:rFonts w:cs="Arial"/>
                <w:szCs w:val="20"/>
              </w:rPr>
              <w:t>podjetja</w:t>
            </w:r>
            <w:r>
              <w:rPr>
                <w:rFonts w:cs="Arial"/>
                <w:szCs w:val="20"/>
              </w:rPr>
              <w:t xml:space="preserve"> iz tretje države</w:t>
            </w:r>
            <w:r w:rsidRPr="00605612">
              <w:rPr>
                <w:rFonts w:cs="Arial"/>
                <w:szCs w:val="20"/>
              </w:rPr>
              <w:t xml:space="preserve"> katere koli podružnice ali družbe, ki je ustanovil</w:t>
            </w:r>
            <w:r>
              <w:rPr>
                <w:rFonts w:cs="Arial"/>
                <w:szCs w:val="20"/>
              </w:rPr>
              <w:t>a</w:t>
            </w:r>
            <w:r w:rsidRPr="00605612">
              <w:rPr>
                <w:rFonts w:cs="Arial"/>
                <w:szCs w:val="20"/>
              </w:rPr>
              <w:t xml:space="preserve"> podružnico ali povezane družbe v skupini, na katero se poročilo nanaša.</w:t>
            </w:r>
          </w:p>
          <w:p w14:paraId="2EB50E35"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72EEE489" w14:textId="77777777" w:rsidR="000C08CA" w:rsidRPr="00605612" w:rsidRDefault="000C08CA" w:rsidP="00FE328D">
            <w:pPr>
              <w:pStyle w:val="ListParagraph"/>
              <w:numPr>
                <w:ilvl w:val="0"/>
                <w:numId w:val="8"/>
              </w:numPr>
              <w:overflowPunct w:val="0"/>
              <w:autoSpaceDE w:val="0"/>
              <w:autoSpaceDN w:val="0"/>
              <w:adjustRightInd w:val="0"/>
              <w:jc w:val="both"/>
              <w:textAlignment w:val="baseline"/>
              <w:rPr>
                <w:rFonts w:ascii="Arial" w:hAnsi="Arial" w:cs="Arial"/>
                <w:color w:val="000000" w:themeColor="text1"/>
                <w:sz w:val="20"/>
                <w:szCs w:val="20"/>
                <w:u w:val="single"/>
              </w:rPr>
            </w:pPr>
            <w:r w:rsidRPr="00605612">
              <w:rPr>
                <w:rFonts w:ascii="Arial" w:hAnsi="Arial" w:cs="Arial"/>
                <w:color w:val="000000" w:themeColor="text1"/>
                <w:sz w:val="20"/>
                <w:szCs w:val="20"/>
                <w:u w:val="single"/>
              </w:rPr>
              <w:t>Rešitve, povezane z uskladitvijo z Direktivo 2022/2464/EU:</w:t>
            </w:r>
          </w:p>
          <w:p w14:paraId="51C26171" w14:textId="77777777" w:rsidR="000C08CA" w:rsidRPr="00081B36" w:rsidRDefault="000C08CA" w:rsidP="00FE328D">
            <w:pPr>
              <w:spacing w:line="260" w:lineRule="atLeast"/>
              <w:jc w:val="both"/>
              <w:rPr>
                <w:rFonts w:cs="Arial"/>
                <w:color w:val="000000" w:themeColor="text1"/>
                <w:szCs w:val="20"/>
              </w:rPr>
            </w:pPr>
            <w:r w:rsidRPr="00605612">
              <w:rPr>
                <w:rFonts w:cs="Arial"/>
                <w:color w:val="000000" w:themeColor="text1"/>
                <w:szCs w:val="20"/>
              </w:rPr>
              <w:t xml:space="preserve">Predlog zakona </w:t>
            </w:r>
            <w:r w:rsidRPr="003B7C16">
              <w:rPr>
                <w:rFonts w:cs="Arial"/>
                <w:color w:val="000000" w:themeColor="text1"/>
                <w:szCs w:val="20"/>
              </w:rPr>
              <w:t>posodablja trenutno ureditev glede nefinančnega poročanja iz 70.c člena ZGD-1.</w:t>
            </w:r>
            <w:r w:rsidRPr="003B7C16">
              <w:rPr>
                <w:rFonts w:cs="Arial"/>
                <w:szCs w:val="20"/>
              </w:rPr>
              <w:t xml:space="preserve"> </w:t>
            </w:r>
            <w:r w:rsidRPr="003B7C16">
              <w:rPr>
                <w:rFonts w:cs="Arial"/>
                <w:color w:val="000000" w:themeColor="text1"/>
                <w:szCs w:val="20"/>
              </w:rPr>
              <w:t>Ta določa obveznost priprave izjave o nefinančnem poslovanju za vse družbe, ki so subjekti javnega interesa in katerih povprečno število zaposlenih je večje od 500, ter priprave konsolidirane izjave o nefinančnem poročanju za vse družbe, ki so zavezane k pripravi konsolidiranega</w:t>
            </w:r>
            <w:r w:rsidRPr="00605612">
              <w:rPr>
                <w:rFonts w:cs="Arial"/>
                <w:color w:val="000000" w:themeColor="text1"/>
                <w:szCs w:val="20"/>
              </w:rPr>
              <w:t xml:space="preserve"> letnega poročila in katerih povprečno število zaposlenih je na konsolidirani ravni večje od 500.</w:t>
            </w:r>
            <w:r>
              <w:rPr>
                <w:rFonts w:cs="Arial"/>
                <w:color w:val="000000" w:themeColor="text1"/>
                <w:szCs w:val="20"/>
              </w:rPr>
              <w:t xml:space="preserve"> I</w:t>
            </w:r>
            <w:r w:rsidRPr="00081B36">
              <w:rPr>
                <w:rFonts w:cs="Arial"/>
                <w:color w:val="000000" w:themeColor="text1"/>
                <w:szCs w:val="20"/>
              </w:rPr>
              <w:t>zjav</w:t>
            </w:r>
            <w:r>
              <w:rPr>
                <w:rFonts w:cs="Arial"/>
                <w:color w:val="000000" w:themeColor="text1"/>
                <w:szCs w:val="20"/>
              </w:rPr>
              <w:t>a</w:t>
            </w:r>
            <w:r w:rsidRPr="00081B36">
              <w:rPr>
                <w:rFonts w:cs="Arial"/>
                <w:color w:val="000000" w:themeColor="text1"/>
                <w:szCs w:val="20"/>
              </w:rPr>
              <w:t xml:space="preserve"> o nefinančnem poslovanju </w:t>
            </w:r>
            <w:r>
              <w:rPr>
                <w:rFonts w:cs="Arial"/>
                <w:color w:val="000000" w:themeColor="text1"/>
                <w:szCs w:val="20"/>
              </w:rPr>
              <w:t>mora,</w:t>
            </w:r>
            <w:r w:rsidRPr="00081B36">
              <w:rPr>
                <w:rFonts w:cs="Arial"/>
                <w:color w:val="000000" w:themeColor="text1"/>
                <w:szCs w:val="20"/>
              </w:rPr>
              <w:t xml:space="preserve"> kolikor je potrebno za razumevanje razvoja, uspešnosti in položaja družbe ter učinka njenih dejavnosti, vseb</w:t>
            </w:r>
            <w:r>
              <w:rPr>
                <w:rFonts w:cs="Arial"/>
                <w:color w:val="000000" w:themeColor="text1"/>
                <w:szCs w:val="20"/>
              </w:rPr>
              <w:t>ovati</w:t>
            </w:r>
            <w:r w:rsidRPr="00081B36">
              <w:rPr>
                <w:rFonts w:cs="Arial"/>
                <w:color w:val="000000" w:themeColor="text1"/>
                <w:szCs w:val="20"/>
              </w:rPr>
              <w:t xml:space="preserve"> vsaj informacije o okoljskih, socialnih in kadrovskih zadevah, spoštovanju človekovih pravic ter </w:t>
            </w:r>
            <w:r>
              <w:rPr>
                <w:rFonts w:cs="Arial"/>
                <w:color w:val="000000" w:themeColor="text1"/>
                <w:szCs w:val="20"/>
              </w:rPr>
              <w:t>o</w:t>
            </w:r>
            <w:r w:rsidRPr="00081B36">
              <w:rPr>
                <w:rFonts w:cs="Arial"/>
                <w:color w:val="000000" w:themeColor="text1"/>
                <w:szCs w:val="20"/>
              </w:rPr>
              <w:t xml:space="preserve"> zadevah v zvezi z bojem proti korupciji in podkupovanju, vključno s:</w:t>
            </w:r>
          </w:p>
          <w:p w14:paraId="292107B1" w14:textId="77777777" w:rsidR="000C08CA" w:rsidRPr="0048453C" w:rsidRDefault="000C08CA" w:rsidP="00FE328D">
            <w:pPr>
              <w:spacing w:line="260" w:lineRule="atLeast"/>
              <w:jc w:val="both"/>
              <w:rPr>
                <w:rFonts w:cs="Arial"/>
                <w:color w:val="000000" w:themeColor="text1"/>
                <w:szCs w:val="20"/>
              </w:rPr>
            </w:pPr>
            <w:r w:rsidRPr="0048453C">
              <w:rPr>
                <w:rFonts w:cs="Arial"/>
                <w:color w:val="000000" w:themeColor="text1"/>
                <w:szCs w:val="20"/>
              </w:rPr>
              <w:t>-</w:t>
            </w:r>
            <w:r w:rsidRPr="0048453C">
              <w:rPr>
                <w:rFonts w:cs="Arial"/>
                <w:color w:val="000000" w:themeColor="text1"/>
                <w:szCs w:val="20"/>
              </w:rPr>
              <w:tab/>
              <w:t>kratkim opisom poslovnega modela družbe;</w:t>
            </w:r>
          </w:p>
          <w:p w14:paraId="7330CA65" w14:textId="77777777" w:rsidR="000C08CA" w:rsidRPr="0048453C" w:rsidRDefault="000C08CA" w:rsidP="00FE328D">
            <w:pPr>
              <w:spacing w:line="260" w:lineRule="atLeast"/>
              <w:jc w:val="both"/>
              <w:rPr>
                <w:rFonts w:cs="Arial"/>
                <w:color w:val="000000" w:themeColor="text1"/>
                <w:szCs w:val="20"/>
              </w:rPr>
            </w:pPr>
            <w:r w:rsidRPr="0048453C">
              <w:rPr>
                <w:rFonts w:cs="Arial"/>
                <w:color w:val="000000" w:themeColor="text1"/>
                <w:szCs w:val="20"/>
              </w:rPr>
              <w:t>-</w:t>
            </w:r>
            <w:r w:rsidRPr="0048453C">
              <w:rPr>
                <w:rFonts w:cs="Arial"/>
                <w:color w:val="000000" w:themeColor="text1"/>
                <w:szCs w:val="20"/>
              </w:rPr>
              <w:tab/>
              <w:t>opisom politik družbe glede navedenih zadev, med drugim v zvezi z izvajanjem postopkov skrbnega pregleda;</w:t>
            </w:r>
          </w:p>
          <w:p w14:paraId="31D16E44" w14:textId="77777777" w:rsidR="000C08CA" w:rsidRPr="0048453C" w:rsidRDefault="000C08CA" w:rsidP="00FE328D">
            <w:pPr>
              <w:spacing w:line="260" w:lineRule="atLeast"/>
              <w:jc w:val="both"/>
              <w:rPr>
                <w:rFonts w:cs="Arial"/>
                <w:color w:val="000000" w:themeColor="text1"/>
                <w:szCs w:val="20"/>
              </w:rPr>
            </w:pPr>
            <w:r w:rsidRPr="0048453C">
              <w:rPr>
                <w:rFonts w:cs="Arial"/>
                <w:color w:val="000000" w:themeColor="text1"/>
                <w:szCs w:val="20"/>
              </w:rPr>
              <w:t>-</w:t>
            </w:r>
            <w:r w:rsidRPr="0048453C">
              <w:rPr>
                <w:rFonts w:cs="Arial"/>
                <w:color w:val="000000" w:themeColor="text1"/>
                <w:szCs w:val="20"/>
              </w:rPr>
              <w:tab/>
              <w:t>rezultati teh politik;</w:t>
            </w:r>
          </w:p>
          <w:p w14:paraId="4A7FFDFF" w14:textId="77777777" w:rsidR="000C08CA" w:rsidRPr="0048453C" w:rsidRDefault="000C08CA" w:rsidP="00FE328D">
            <w:pPr>
              <w:spacing w:line="260" w:lineRule="atLeast"/>
              <w:jc w:val="both"/>
              <w:rPr>
                <w:rFonts w:cs="Arial"/>
                <w:color w:val="000000" w:themeColor="text1"/>
                <w:szCs w:val="20"/>
              </w:rPr>
            </w:pPr>
            <w:r w:rsidRPr="0048453C">
              <w:rPr>
                <w:rFonts w:cs="Arial"/>
                <w:color w:val="000000" w:themeColor="text1"/>
                <w:szCs w:val="20"/>
              </w:rPr>
              <w:t>-</w:t>
            </w:r>
            <w:r w:rsidRPr="0048453C">
              <w:rPr>
                <w:rFonts w:cs="Arial"/>
                <w:color w:val="000000" w:themeColor="text1"/>
                <w:szCs w:val="20"/>
              </w:rPr>
              <w:tab/>
              <w:t>glavnimi tveganji v zvezi z navedenimi zadevami, ki so povezana z dejavnostmi družbe, vključno z njenimi poslovnimi odnosi, proizvodi ali storitvami, kadar je to ustrezno in sorazmerno, ki bi lahko povzročili resne škodljive učinke na teh področjih, ter načini, kako družba upravlja ta tveganja in</w:t>
            </w:r>
          </w:p>
          <w:p w14:paraId="2B3FEA91" w14:textId="77777777" w:rsidR="000C08CA" w:rsidRPr="0048453C" w:rsidRDefault="000C08CA" w:rsidP="00FE328D">
            <w:pPr>
              <w:spacing w:line="260" w:lineRule="atLeast"/>
              <w:jc w:val="both"/>
              <w:rPr>
                <w:rFonts w:cs="Arial"/>
                <w:color w:val="000000" w:themeColor="text1"/>
                <w:szCs w:val="20"/>
              </w:rPr>
            </w:pPr>
            <w:r w:rsidRPr="0048453C">
              <w:rPr>
                <w:rFonts w:cs="Arial"/>
                <w:color w:val="000000" w:themeColor="text1"/>
                <w:szCs w:val="20"/>
              </w:rPr>
              <w:t>-</w:t>
            </w:r>
            <w:r w:rsidRPr="0048453C">
              <w:rPr>
                <w:rFonts w:cs="Arial"/>
                <w:color w:val="000000" w:themeColor="text1"/>
                <w:szCs w:val="20"/>
              </w:rPr>
              <w:tab/>
              <w:t>ključnimi nefinančnimi kazalniki uspešnosti, pomembnimi za posamezne dejavnosti.</w:t>
            </w:r>
          </w:p>
          <w:p w14:paraId="4E1688BA" w14:textId="77777777" w:rsidR="000C08CA" w:rsidRPr="00605612" w:rsidRDefault="000C08CA" w:rsidP="00FE328D">
            <w:pPr>
              <w:spacing w:line="260" w:lineRule="atLeast"/>
              <w:jc w:val="both"/>
              <w:rPr>
                <w:rFonts w:cs="Arial"/>
                <w:color w:val="000000" w:themeColor="text1"/>
                <w:szCs w:val="20"/>
              </w:rPr>
            </w:pPr>
            <w:r w:rsidRPr="00081B36">
              <w:rPr>
                <w:rFonts w:cs="Arial"/>
                <w:color w:val="000000" w:themeColor="text1"/>
                <w:szCs w:val="20"/>
              </w:rPr>
              <w:t>Če družba katere od navedenih politik ne izvaja, to v izjavi o nefinančnem poslovanju jasno in utemeljeno obrazloži.</w:t>
            </w:r>
          </w:p>
          <w:p w14:paraId="51882F6C" w14:textId="77777777" w:rsidR="000C08CA" w:rsidRPr="00605612" w:rsidRDefault="000C08CA" w:rsidP="00FE328D">
            <w:pPr>
              <w:spacing w:line="260" w:lineRule="atLeast"/>
              <w:jc w:val="both"/>
              <w:rPr>
                <w:rFonts w:cs="Arial"/>
                <w:color w:val="000000" w:themeColor="text1"/>
                <w:szCs w:val="20"/>
              </w:rPr>
            </w:pPr>
          </w:p>
          <w:p w14:paraId="709012A1" w14:textId="77777777" w:rsidR="000C08CA" w:rsidRPr="00605612" w:rsidRDefault="000C08CA" w:rsidP="00FE328D">
            <w:pPr>
              <w:spacing w:line="260" w:lineRule="atLeast"/>
              <w:jc w:val="both"/>
              <w:rPr>
                <w:rFonts w:cs="Arial"/>
                <w:color w:val="000000" w:themeColor="text1"/>
                <w:szCs w:val="20"/>
              </w:rPr>
            </w:pPr>
            <w:r w:rsidRPr="00605612">
              <w:rPr>
                <w:rFonts w:cs="Arial"/>
                <w:color w:val="000000" w:themeColor="text1"/>
                <w:szCs w:val="20"/>
              </w:rPr>
              <w:lastRenderedPageBreak/>
              <w:t>S predlogom zakona se:</w:t>
            </w:r>
          </w:p>
          <w:p w14:paraId="6227A6DE" w14:textId="77777777" w:rsidR="000C08CA" w:rsidRPr="00605612" w:rsidRDefault="000C08CA" w:rsidP="00FE328D">
            <w:pPr>
              <w:spacing w:line="260" w:lineRule="atLeast"/>
              <w:jc w:val="both"/>
              <w:rPr>
                <w:rFonts w:cs="Arial"/>
                <w:color w:val="000000" w:themeColor="text1"/>
                <w:szCs w:val="20"/>
              </w:rPr>
            </w:pPr>
          </w:p>
          <w:p w14:paraId="26398092" w14:textId="77777777" w:rsidR="000C08CA" w:rsidRPr="001A4A1E" w:rsidRDefault="000C08CA" w:rsidP="00FE328D">
            <w:pPr>
              <w:pStyle w:val="ListParagraph"/>
              <w:numPr>
                <w:ilvl w:val="0"/>
                <w:numId w:val="88"/>
              </w:numPr>
              <w:spacing w:line="260" w:lineRule="atLeast"/>
              <w:jc w:val="both"/>
              <w:rPr>
                <w:rFonts w:cs="Arial"/>
                <w:color w:val="000000" w:themeColor="text1"/>
                <w:szCs w:val="20"/>
                <w:u w:val="single"/>
              </w:rPr>
            </w:pPr>
            <w:r w:rsidRPr="00E91165">
              <w:rPr>
                <w:rFonts w:ascii="Arial" w:hAnsi="Arial" w:cs="Arial"/>
                <w:color w:val="000000" w:themeColor="text1"/>
                <w:sz w:val="20"/>
                <w:szCs w:val="20"/>
                <w:u w:val="single"/>
              </w:rPr>
              <w:t>nadomešča izjava o nefinančnem poslovanju s poročilom o trajnostnosti</w:t>
            </w:r>
            <w:r>
              <w:rPr>
                <w:rFonts w:ascii="Arial" w:hAnsi="Arial" w:cs="Arial"/>
                <w:color w:val="000000" w:themeColor="text1"/>
                <w:sz w:val="20"/>
                <w:szCs w:val="20"/>
                <w:u w:val="single"/>
              </w:rPr>
              <w:t>:</w:t>
            </w:r>
          </w:p>
          <w:p w14:paraId="0706266D" w14:textId="77777777" w:rsidR="000C08CA" w:rsidRPr="00F26C0A" w:rsidRDefault="000C08CA" w:rsidP="00FE328D">
            <w:pPr>
              <w:spacing w:line="260" w:lineRule="atLeast"/>
              <w:jc w:val="both"/>
              <w:rPr>
                <w:rFonts w:cs="Arial"/>
                <w:color w:val="000000" w:themeColor="text1"/>
                <w:szCs w:val="20"/>
                <w:u w:val="single"/>
              </w:rPr>
            </w:pPr>
            <w:r w:rsidRPr="00B22ABF">
              <w:rPr>
                <w:rFonts w:cs="Arial"/>
                <w:szCs w:val="20"/>
              </w:rPr>
              <w:t>Glede na to</w:t>
            </w:r>
            <w:r w:rsidRPr="00605612">
              <w:rPr>
                <w:rFonts w:cs="Arial"/>
                <w:szCs w:val="20"/>
              </w:rPr>
              <w:t xml:space="preserve">, da je v </w:t>
            </w:r>
            <w:r>
              <w:rPr>
                <w:rFonts w:cs="Arial"/>
                <w:szCs w:val="20"/>
              </w:rPr>
              <w:t>nekaterih</w:t>
            </w:r>
            <w:r w:rsidRPr="00605612">
              <w:rPr>
                <w:rFonts w:cs="Arial"/>
                <w:szCs w:val="20"/>
              </w:rPr>
              <w:t xml:space="preserve"> primerih </w:t>
            </w:r>
            <w:r>
              <w:rPr>
                <w:rFonts w:cs="Arial"/>
                <w:szCs w:val="20"/>
              </w:rPr>
              <w:t xml:space="preserve">nefinančno poročanje </w:t>
            </w:r>
            <w:r w:rsidRPr="00605612">
              <w:rPr>
                <w:rFonts w:cs="Arial"/>
                <w:szCs w:val="20"/>
              </w:rPr>
              <w:t>(izjav</w:t>
            </w:r>
            <w:r>
              <w:rPr>
                <w:rFonts w:cs="Arial"/>
                <w:szCs w:val="20"/>
              </w:rPr>
              <w:t>a</w:t>
            </w:r>
            <w:r w:rsidRPr="00605612">
              <w:rPr>
                <w:rFonts w:cs="Arial"/>
                <w:szCs w:val="20"/>
              </w:rPr>
              <w:t xml:space="preserve"> o nefinančnem poslovanju)</w:t>
            </w:r>
            <w:r>
              <w:rPr>
                <w:rFonts w:cs="Arial"/>
                <w:szCs w:val="20"/>
              </w:rPr>
              <w:t xml:space="preserve"> </w:t>
            </w:r>
            <w:r w:rsidRPr="00605612">
              <w:rPr>
                <w:rFonts w:cs="Arial"/>
                <w:szCs w:val="20"/>
              </w:rPr>
              <w:t xml:space="preserve">povezano tudi s finančnimi elementi, se je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w:t>
            </w:r>
            <w:r w:rsidRPr="007B43F2">
              <w:rPr>
                <w:rFonts w:cs="Arial"/>
                <w:szCs w:val="20"/>
              </w:rPr>
              <w:t>Direktivo 2022/2464/EU</w:t>
            </w:r>
            <w:r w:rsidRPr="00605612">
              <w:rPr>
                <w:rFonts w:cs="Arial"/>
                <w:szCs w:val="20"/>
              </w:rPr>
              <w:t xml:space="preserve"> spremenil</w:t>
            </w:r>
            <w:r>
              <w:rPr>
                <w:rFonts w:cs="Arial"/>
                <w:szCs w:val="20"/>
              </w:rPr>
              <w:t>o poimenovanje poročanja</w:t>
            </w:r>
            <w:r w:rsidRPr="00605612">
              <w:rPr>
                <w:rFonts w:cs="Arial"/>
                <w:szCs w:val="20"/>
              </w:rPr>
              <w:t xml:space="preserve">, saj se </w:t>
            </w:r>
            <w:r w:rsidRPr="00B22ABF">
              <w:rPr>
                <w:rFonts w:cs="Arial"/>
                <w:szCs w:val="20"/>
              </w:rPr>
              <w:t>uvaja pojem poročanje o trajnostnosti. Direktiva 2022/2464/EU ne opredeljuje naziv</w:t>
            </w:r>
            <w:r>
              <w:rPr>
                <w:rFonts w:cs="Arial"/>
                <w:szCs w:val="20"/>
              </w:rPr>
              <w:t>a</w:t>
            </w:r>
            <w:r w:rsidRPr="00B22ABF">
              <w:rPr>
                <w:rFonts w:cs="Arial"/>
                <w:szCs w:val="20"/>
              </w:rPr>
              <w:t xml:space="preserve"> takšnega poročanja, ESRS </w:t>
            </w:r>
            <w:r>
              <w:rPr>
                <w:rFonts w:cs="Arial"/>
                <w:szCs w:val="20"/>
              </w:rPr>
              <w:t xml:space="preserve">pa </w:t>
            </w:r>
            <w:r w:rsidRPr="00B22ABF">
              <w:rPr>
                <w:rFonts w:cs="Arial"/>
                <w:szCs w:val="20"/>
              </w:rPr>
              <w:t>določ</w:t>
            </w:r>
            <w:r>
              <w:rPr>
                <w:rFonts w:cs="Arial"/>
                <w:szCs w:val="20"/>
              </w:rPr>
              <w:t>a</w:t>
            </w:r>
            <w:r w:rsidRPr="00B22ABF">
              <w:rPr>
                <w:rFonts w:cs="Arial"/>
                <w:szCs w:val="20"/>
              </w:rPr>
              <w:t xml:space="preserve">jo, da gre za pripravo izjave o trajnostnosti. </w:t>
            </w:r>
            <w:r w:rsidRPr="00F26C0A">
              <w:rPr>
                <w:rFonts w:cs="Arial"/>
                <w:szCs w:val="20"/>
              </w:rPr>
              <w:t xml:space="preserve">Kljub temu se je v predlogu zakona določila obveznost priprave poročila o trajnostnosti, saj gre za zelo širok obseg informacij </w:t>
            </w:r>
            <w:r>
              <w:rPr>
                <w:rFonts w:cs="Arial"/>
                <w:szCs w:val="20"/>
              </w:rPr>
              <w:t>in je vsebina zelo</w:t>
            </w:r>
            <w:r w:rsidRPr="00F26C0A">
              <w:rPr>
                <w:rFonts w:cs="Arial"/>
                <w:szCs w:val="20"/>
              </w:rPr>
              <w:t xml:space="preserve"> pomembn</w:t>
            </w:r>
            <w:r>
              <w:rPr>
                <w:rFonts w:cs="Arial"/>
                <w:szCs w:val="20"/>
              </w:rPr>
              <w:t>a</w:t>
            </w:r>
            <w:r w:rsidRPr="00F26C0A">
              <w:rPr>
                <w:rFonts w:cs="Arial"/>
                <w:szCs w:val="20"/>
              </w:rPr>
              <w:t>, p</w:t>
            </w:r>
            <w:r>
              <w:rPr>
                <w:rFonts w:cs="Arial"/>
                <w:szCs w:val="20"/>
              </w:rPr>
              <w:t xml:space="preserve">oleg tega </w:t>
            </w:r>
            <w:r w:rsidRPr="00F26C0A">
              <w:rPr>
                <w:rFonts w:cs="Arial"/>
                <w:szCs w:val="20"/>
              </w:rPr>
              <w:t>je ta</w:t>
            </w:r>
            <w:r>
              <w:rPr>
                <w:rFonts w:cs="Arial"/>
                <w:szCs w:val="20"/>
              </w:rPr>
              <w:t xml:space="preserve"> </w:t>
            </w:r>
            <w:r w:rsidRPr="00F26C0A">
              <w:rPr>
                <w:rFonts w:cs="Arial"/>
                <w:szCs w:val="20"/>
              </w:rPr>
              <w:t xml:space="preserve">terminologija bolj skladna z ZGD-1 (tudi 70.b člen </w:t>
            </w:r>
            <w:r>
              <w:rPr>
                <w:rFonts w:cs="Arial"/>
                <w:szCs w:val="20"/>
              </w:rPr>
              <w:t>opredeljuje</w:t>
            </w:r>
            <w:r w:rsidRPr="00F26C0A">
              <w:rPr>
                <w:rFonts w:cs="Arial"/>
                <w:szCs w:val="20"/>
              </w:rPr>
              <w:t xml:space="preserve"> poročil</w:t>
            </w:r>
            <w:r>
              <w:rPr>
                <w:rFonts w:cs="Arial"/>
                <w:szCs w:val="20"/>
              </w:rPr>
              <w:t>o</w:t>
            </w:r>
            <w:r w:rsidRPr="00F26C0A">
              <w:rPr>
                <w:rFonts w:cs="Arial"/>
                <w:szCs w:val="20"/>
              </w:rPr>
              <w:t xml:space="preserve"> o plačilih vladam, </w:t>
            </w:r>
            <w:r>
              <w:rPr>
                <w:rFonts w:cs="Arial"/>
                <w:szCs w:val="20"/>
              </w:rPr>
              <w:t>enako tudi</w:t>
            </w:r>
            <w:r w:rsidRPr="00F26C0A">
              <w:rPr>
                <w:rFonts w:cs="Arial"/>
                <w:szCs w:val="20"/>
              </w:rPr>
              <w:t xml:space="preserve"> s tem predlogom zakona dodan</w:t>
            </w:r>
            <w:r>
              <w:rPr>
                <w:rFonts w:cs="Arial"/>
                <w:szCs w:val="20"/>
              </w:rPr>
              <w:t>i</w:t>
            </w:r>
            <w:r w:rsidRPr="00F26C0A">
              <w:rPr>
                <w:rFonts w:cs="Arial"/>
                <w:szCs w:val="20"/>
              </w:rPr>
              <w:t xml:space="preserve"> 70.e člen </w:t>
            </w:r>
            <w:r>
              <w:rPr>
                <w:rFonts w:cs="Arial"/>
                <w:szCs w:val="20"/>
              </w:rPr>
              <w:t xml:space="preserve">opredeljuje </w:t>
            </w:r>
            <w:r w:rsidRPr="00F26C0A">
              <w:rPr>
                <w:rFonts w:cs="Arial"/>
                <w:szCs w:val="20"/>
              </w:rPr>
              <w:t>poročilo o davčnih informacijah v zvezi z dohodki)</w:t>
            </w:r>
            <w:r>
              <w:rPr>
                <w:rFonts w:cs="Arial"/>
                <w:szCs w:val="20"/>
              </w:rPr>
              <w:t>;</w:t>
            </w:r>
            <w:r w:rsidRPr="00F26C0A">
              <w:rPr>
                <w:rFonts w:cs="Arial"/>
                <w:szCs w:val="20"/>
              </w:rPr>
              <w:t xml:space="preserve"> </w:t>
            </w:r>
          </w:p>
          <w:p w14:paraId="11FCDEB8" w14:textId="77777777" w:rsidR="000C08CA" w:rsidRPr="00CD15D5" w:rsidRDefault="000C08CA" w:rsidP="00FE328D">
            <w:pPr>
              <w:spacing w:line="260" w:lineRule="atLeast"/>
              <w:jc w:val="both"/>
              <w:rPr>
                <w:rFonts w:cs="Arial"/>
                <w:color w:val="000000" w:themeColor="text1"/>
                <w:szCs w:val="20"/>
                <w:u w:val="single"/>
              </w:rPr>
            </w:pPr>
          </w:p>
          <w:p w14:paraId="2CF8F862" w14:textId="77777777" w:rsidR="000C08CA" w:rsidRPr="0010046F" w:rsidRDefault="000C08CA" w:rsidP="00FE328D">
            <w:pPr>
              <w:pStyle w:val="ListParagraph"/>
              <w:numPr>
                <w:ilvl w:val="0"/>
                <w:numId w:val="88"/>
              </w:numPr>
              <w:spacing w:line="260" w:lineRule="atLeast"/>
              <w:jc w:val="both"/>
              <w:rPr>
                <w:rFonts w:ascii="Arial" w:hAnsi="Arial" w:cs="Arial"/>
                <w:sz w:val="20"/>
                <w:szCs w:val="20"/>
              </w:rPr>
            </w:pPr>
            <w:r w:rsidRPr="0010046F">
              <w:rPr>
                <w:rFonts w:ascii="Arial" w:hAnsi="Arial" w:cs="Arial"/>
                <w:color w:val="000000" w:themeColor="text1"/>
                <w:sz w:val="20"/>
                <w:szCs w:val="20"/>
                <w:u w:val="single"/>
              </w:rPr>
              <w:t xml:space="preserve">širi obseg </w:t>
            </w:r>
            <w:r>
              <w:rPr>
                <w:rFonts w:ascii="Arial" w:hAnsi="Arial" w:cs="Arial"/>
                <w:color w:val="000000" w:themeColor="text1"/>
                <w:sz w:val="20"/>
                <w:szCs w:val="20"/>
                <w:u w:val="single"/>
              </w:rPr>
              <w:t xml:space="preserve">kroga </w:t>
            </w:r>
            <w:r w:rsidRPr="0010046F">
              <w:rPr>
                <w:rFonts w:ascii="Arial" w:hAnsi="Arial" w:cs="Arial"/>
                <w:color w:val="000000" w:themeColor="text1"/>
                <w:sz w:val="20"/>
                <w:szCs w:val="20"/>
                <w:u w:val="single"/>
              </w:rPr>
              <w:t>zavezancev za poročanje</w:t>
            </w:r>
            <w:r>
              <w:rPr>
                <w:rFonts w:ascii="Arial" w:hAnsi="Arial" w:cs="Arial"/>
                <w:color w:val="000000" w:themeColor="text1"/>
                <w:sz w:val="20"/>
                <w:szCs w:val="20"/>
                <w:u w:val="single"/>
              </w:rPr>
              <w:t>:</w:t>
            </w:r>
          </w:p>
          <w:p w14:paraId="665DA2A3" w14:textId="77777777" w:rsidR="000C08CA" w:rsidRPr="00F26C0A" w:rsidRDefault="000C08CA" w:rsidP="00FE328D">
            <w:pPr>
              <w:spacing w:after="120"/>
              <w:jc w:val="both"/>
              <w:rPr>
                <w:rFonts w:cs="Arial"/>
                <w:szCs w:val="20"/>
              </w:rPr>
            </w:pPr>
            <w:r w:rsidRPr="00CD15D5">
              <w:rPr>
                <w:rFonts w:cs="Arial"/>
                <w:szCs w:val="20"/>
              </w:rPr>
              <w:t xml:space="preserve">Ta obveznost se </w:t>
            </w:r>
            <w:r>
              <w:rPr>
                <w:rFonts w:cs="Arial"/>
                <w:szCs w:val="20"/>
              </w:rPr>
              <w:t xml:space="preserve">v </w:t>
            </w:r>
            <w:r w:rsidRPr="00CD15D5">
              <w:rPr>
                <w:rFonts w:cs="Arial"/>
                <w:szCs w:val="20"/>
              </w:rPr>
              <w:t>sklad</w:t>
            </w:r>
            <w:r>
              <w:rPr>
                <w:rFonts w:cs="Arial"/>
                <w:szCs w:val="20"/>
              </w:rPr>
              <w:t>u</w:t>
            </w:r>
            <w:r w:rsidRPr="00F26C0A">
              <w:rPr>
                <w:rFonts w:cs="Arial"/>
                <w:szCs w:val="20"/>
              </w:rPr>
              <w:t xml:space="preserve"> s predlogom zakona na podlagi Direktive 2022/2464</w:t>
            </w:r>
            <w:r>
              <w:rPr>
                <w:rFonts w:cs="Arial"/>
                <w:szCs w:val="20"/>
              </w:rPr>
              <w:t>/EU</w:t>
            </w:r>
            <w:r w:rsidRPr="00F26C0A">
              <w:rPr>
                <w:rFonts w:cs="Arial"/>
                <w:szCs w:val="20"/>
              </w:rPr>
              <w:t xml:space="preserve"> nalaga:</w:t>
            </w:r>
          </w:p>
          <w:p w14:paraId="31353BA8" w14:textId="77777777" w:rsidR="000C08CA" w:rsidRPr="00B22ABF" w:rsidRDefault="000C08CA" w:rsidP="00FE328D">
            <w:pPr>
              <w:pStyle w:val="ListParagraph"/>
              <w:numPr>
                <w:ilvl w:val="0"/>
                <w:numId w:val="42"/>
              </w:numPr>
              <w:jc w:val="both"/>
              <w:rPr>
                <w:rFonts w:ascii="Arial" w:hAnsi="Arial" w:cs="Arial"/>
                <w:sz w:val="20"/>
                <w:szCs w:val="20"/>
              </w:rPr>
            </w:pPr>
            <w:r w:rsidRPr="00E91165">
              <w:rPr>
                <w:rFonts w:ascii="Arial" w:hAnsi="Arial" w:cs="Arial"/>
                <w:b/>
                <w:sz w:val="20"/>
                <w:szCs w:val="20"/>
              </w:rPr>
              <w:t xml:space="preserve">vsem velikim družbam, ki </w:t>
            </w:r>
            <w:r w:rsidRPr="00AF4622">
              <w:rPr>
                <w:rFonts w:ascii="Arial" w:hAnsi="Arial" w:cs="Arial"/>
                <w:b/>
                <w:sz w:val="20"/>
                <w:szCs w:val="20"/>
              </w:rPr>
              <w:t xml:space="preserve">izpolnjujejo </w:t>
            </w:r>
            <w:r w:rsidRPr="00AF4622">
              <w:rPr>
                <w:rFonts w:ascii="Arial" w:hAnsi="Arial" w:cs="Arial"/>
                <w:b/>
                <w:bCs/>
                <w:sz w:val="20"/>
                <w:szCs w:val="20"/>
              </w:rPr>
              <w:t>številčn</w:t>
            </w:r>
            <w:r>
              <w:rPr>
                <w:rFonts w:ascii="Arial" w:hAnsi="Arial" w:cs="Arial"/>
                <w:b/>
                <w:bCs/>
                <w:sz w:val="20"/>
                <w:szCs w:val="20"/>
              </w:rPr>
              <w:t>o</w:t>
            </w:r>
            <w:r w:rsidRPr="00480CC3">
              <w:rPr>
                <w:rFonts w:ascii="Arial" w:hAnsi="Arial" w:cs="Arial"/>
                <w:b/>
                <w:bCs/>
                <w:sz w:val="20"/>
                <w:szCs w:val="20"/>
              </w:rPr>
              <w:t xml:space="preserve"> </w:t>
            </w:r>
            <w:r>
              <w:rPr>
                <w:rFonts w:ascii="Arial" w:hAnsi="Arial" w:cs="Arial"/>
                <w:b/>
                <w:bCs/>
                <w:sz w:val="20"/>
                <w:szCs w:val="20"/>
              </w:rPr>
              <w:t>merilo</w:t>
            </w:r>
            <w:r w:rsidRPr="00E91165">
              <w:rPr>
                <w:rFonts w:ascii="Arial" w:hAnsi="Arial" w:cs="Arial"/>
                <w:b/>
                <w:sz w:val="20"/>
                <w:szCs w:val="20"/>
              </w:rPr>
              <w:t xml:space="preserve"> velikosti iz </w:t>
            </w:r>
            <w:r w:rsidRPr="00480CC3">
              <w:rPr>
                <w:rFonts w:ascii="Arial" w:hAnsi="Arial" w:cs="Arial"/>
                <w:b/>
                <w:bCs/>
                <w:sz w:val="20"/>
                <w:szCs w:val="20"/>
              </w:rPr>
              <w:t xml:space="preserve">petega odstavka </w:t>
            </w:r>
            <w:r w:rsidRPr="00E91165">
              <w:rPr>
                <w:rFonts w:ascii="Arial" w:hAnsi="Arial" w:cs="Arial"/>
                <w:b/>
                <w:sz w:val="20"/>
                <w:szCs w:val="20"/>
              </w:rPr>
              <w:t xml:space="preserve">55. člena ZGD-1 </w:t>
            </w:r>
            <w:r w:rsidRPr="00480CC3">
              <w:rPr>
                <w:rFonts w:ascii="Arial" w:hAnsi="Arial" w:cs="Arial"/>
                <w:sz w:val="20"/>
                <w:szCs w:val="20"/>
              </w:rPr>
              <w:t>(</w:t>
            </w:r>
            <w:r w:rsidRPr="00B22ABF">
              <w:rPr>
                <w:rFonts w:ascii="Arial" w:hAnsi="Arial" w:cs="Arial"/>
                <w:sz w:val="20"/>
                <w:szCs w:val="20"/>
              </w:rPr>
              <w:t>ni več praga 500 zaposlenih in ne velja le za subjekte javnega interesa)</w:t>
            </w:r>
            <w:r>
              <w:rPr>
                <w:rFonts w:ascii="Arial" w:hAnsi="Arial" w:cs="Arial"/>
                <w:sz w:val="20"/>
                <w:szCs w:val="20"/>
              </w:rPr>
              <w:t>:</w:t>
            </w:r>
          </w:p>
          <w:p w14:paraId="623E59D8" w14:textId="77777777" w:rsidR="000C08CA" w:rsidRPr="00B22ABF" w:rsidRDefault="000C08CA" w:rsidP="00FE328D">
            <w:pPr>
              <w:pStyle w:val="ListParagraph"/>
              <w:ind w:left="360"/>
              <w:jc w:val="both"/>
              <w:rPr>
                <w:rFonts w:ascii="Arial" w:hAnsi="Arial" w:cs="Arial"/>
                <w:sz w:val="20"/>
                <w:szCs w:val="20"/>
              </w:rPr>
            </w:pPr>
          </w:p>
          <w:p w14:paraId="0D09AE0E" w14:textId="77777777" w:rsidR="000C08CA" w:rsidRDefault="000C08CA" w:rsidP="00FE328D">
            <w:pPr>
              <w:pStyle w:val="ListParagraph"/>
              <w:ind w:left="360"/>
              <w:jc w:val="both"/>
              <w:rPr>
                <w:rFonts w:ascii="Arial" w:hAnsi="Arial" w:cs="Arial"/>
                <w:sz w:val="20"/>
                <w:szCs w:val="20"/>
              </w:rPr>
            </w:pPr>
            <w:r w:rsidRPr="00B22ABF">
              <w:rPr>
                <w:rFonts w:ascii="Arial" w:hAnsi="Arial" w:cs="Arial"/>
                <w:sz w:val="20"/>
                <w:szCs w:val="20"/>
              </w:rPr>
              <w:t xml:space="preserve">Pomembno je poudariti, da se za obveznost priprave poročila o trajnostnosti ne uporablja določba osmega odstavka 55. člena ZGD-1. </w:t>
            </w:r>
            <w:r>
              <w:rPr>
                <w:rFonts w:ascii="Arial" w:hAnsi="Arial" w:cs="Arial"/>
                <w:sz w:val="20"/>
                <w:szCs w:val="20"/>
              </w:rPr>
              <w:t>S tem zakonom spremenjena navedena določba določa, da d</w:t>
            </w:r>
            <w:r w:rsidRPr="00C5056A">
              <w:rPr>
                <w:rFonts w:ascii="Arial" w:hAnsi="Arial" w:cs="Arial"/>
                <w:sz w:val="20"/>
                <w:szCs w:val="20"/>
              </w:rPr>
              <w:t xml:space="preserve">oločbe </w:t>
            </w:r>
            <w:r w:rsidRPr="00B22ABF">
              <w:rPr>
                <w:rFonts w:ascii="Arial" w:hAnsi="Arial" w:cs="Arial"/>
                <w:sz w:val="20"/>
                <w:szCs w:val="20"/>
              </w:rPr>
              <w:t>poglavja Poslovne knjige in letno poročilo</w:t>
            </w:r>
            <w:r w:rsidRPr="00C5056A">
              <w:rPr>
                <w:rFonts w:ascii="Arial" w:hAnsi="Arial" w:cs="Arial"/>
                <w:sz w:val="20"/>
                <w:szCs w:val="20"/>
              </w:rPr>
              <w:t>, ki veljajo za velike družbe, razen obveznosti iz 70.c do 70.d člena tega zakona, veljajo tudi za</w:t>
            </w:r>
            <w:r>
              <w:rPr>
                <w:rFonts w:ascii="Arial" w:hAnsi="Arial" w:cs="Arial"/>
                <w:sz w:val="20"/>
                <w:szCs w:val="20"/>
              </w:rPr>
              <w:t xml:space="preserve"> SJI</w:t>
            </w:r>
            <w:r w:rsidRPr="00C5056A">
              <w:rPr>
                <w:rFonts w:ascii="Arial" w:hAnsi="Arial" w:cs="Arial"/>
                <w:sz w:val="20"/>
                <w:szCs w:val="20"/>
              </w:rPr>
              <w:t>, borzo vrednostnih papirjev</w:t>
            </w:r>
            <w:r>
              <w:rPr>
                <w:rFonts w:ascii="Arial" w:hAnsi="Arial" w:cs="Arial"/>
                <w:sz w:val="20"/>
                <w:szCs w:val="20"/>
              </w:rPr>
              <w:t xml:space="preserve"> in </w:t>
            </w:r>
            <w:r w:rsidRPr="00C5056A">
              <w:rPr>
                <w:rFonts w:ascii="Arial" w:hAnsi="Arial" w:cs="Arial"/>
                <w:sz w:val="20"/>
                <w:szCs w:val="20"/>
              </w:rPr>
              <w:t>družbo, ki mora po 56. členu tega zakona pripraviti konsolidirano letno poročilo</w:t>
            </w:r>
            <w:r>
              <w:rPr>
                <w:rFonts w:ascii="Arial" w:hAnsi="Arial" w:cs="Arial"/>
                <w:sz w:val="20"/>
                <w:szCs w:val="20"/>
              </w:rPr>
              <w:t>.</w:t>
            </w:r>
          </w:p>
          <w:p w14:paraId="476708DB" w14:textId="77777777" w:rsidR="000C08CA" w:rsidRPr="00661053" w:rsidRDefault="000C08CA" w:rsidP="00FE328D">
            <w:pPr>
              <w:pStyle w:val="ListParagraph"/>
              <w:ind w:left="360"/>
              <w:jc w:val="both"/>
              <w:rPr>
                <w:rFonts w:ascii="Arial" w:hAnsi="Arial" w:cs="Arial"/>
                <w:sz w:val="20"/>
                <w:szCs w:val="20"/>
              </w:rPr>
            </w:pPr>
          </w:p>
          <w:p w14:paraId="56CB951F" w14:textId="77777777" w:rsidR="000C08CA" w:rsidRPr="00B22ABF" w:rsidRDefault="000C08CA" w:rsidP="00FE328D">
            <w:pPr>
              <w:pStyle w:val="ListParagraph"/>
              <w:ind w:left="360"/>
              <w:jc w:val="both"/>
              <w:rPr>
                <w:rFonts w:ascii="Arial" w:hAnsi="Arial" w:cs="Arial"/>
                <w:sz w:val="20"/>
                <w:szCs w:val="20"/>
              </w:rPr>
            </w:pPr>
            <w:r w:rsidRPr="00B22ABF">
              <w:rPr>
                <w:rFonts w:ascii="Arial" w:hAnsi="Arial" w:cs="Arial"/>
                <w:sz w:val="20"/>
                <w:szCs w:val="20"/>
              </w:rPr>
              <w:t>Predlog zakona je tako sledil namenu Direktive 2022/2464</w:t>
            </w:r>
            <w:r>
              <w:rPr>
                <w:rFonts w:ascii="Arial" w:hAnsi="Arial" w:cs="Arial"/>
                <w:sz w:val="20"/>
                <w:szCs w:val="20"/>
              </w:rPr>
              <w:t>/EU</w:t>
            </w:r>
            <w:r w:rsidRPr="00B22ABF">
              <w:rPr>
                <w:rFonts w:ascii="Arial" w:hAnsi="Arial" w:cs="Arial"/>
                <w:sz w:val="20"/>
                <w:szCs w:val="20"/>
              </w:rPr>
              <w:t>, da se v obvezno poročanje o trajnostnosti vključi</w:t>
            </w:r>
            <w:r>
              <w:rPr>
                <w:rFonts w:ascii="Arial" w:hAnsi="Arial" w:cs="Arial"/>
                <w:sz w:val="20"/>
                <w:szCs w:val="20"/>
              </w:rPr>
              <w:t>jo</w:t>
            </w:r>
            <w:r w:rsidRPr="00B22ABF">
              <w:rPr>
                <w:rFonts w:ascii="Arial" w:hAnsi="Arial" w:cs="Arial"/>
                <w:sz w:val="20"/>
                <w:szCs w:val="20"/>
              </w:rPr>
              <w:t xml:space="preserve"> le tiste velike družbe, ki izpolnjujejo številčn</w:t>
            </w:r>
            <w:r>
              <w:rPr>
                <w:rFonts w:ascii="Arial" w:hAnsi="Arial" w:cs="Arial"/>
                <w:sz w:val="20"/>
                <w:szCs w:val="20"/>
              </w:rPr>
              <w:t>o</w:t>
            </w:r>
            <w:r w:rsidRPr="00B22ABF">
              <w:rPr>
                <w:rFonts w:ascii="Arial" w:hAnsi="Arial" w:cs="Arial"/>
                <w:sz w:val="20"/>
                <w:szCs w:val="20"/>
              </w:rPr>
              <w:t xml:space="preserve"> </w:t>
            </w:r>
            <w:r>
              <w:rPr>
                <w:rFonts w:ascii="Arial" w:hAnsi="Arial" w:cs="Arial"/>
                <w:sz w:val="20"/>
                <w:szCs w:val="20"/>
              </w:rPr>
              <w:t>merilo</w:t>
            </w:r>
            <w:r w:rsidRPr="00B22ABF">
              <w:rPr>
                <w:rFonts w:ascii="Arial" w:hAnsi="Arial" w:cs="Arial"/>
                <w:sz w:val="20"/>
                <w:szCs w:val="20"/>
              </w:rPr>
              <w:t xml:space="preserve"> velikosti.</w:t>
            </w:r>
            <w:r w:rsidRPr="00B22ABF" w:rsidDel="004D3284">
              <w:rPr>
                <w:rFonts w:ascii="Arial" w:hAnsi="Arial" w:cs="Arial"/>
                <w:sz w:val="20"/>
                <w:szCs w:val="20"/>
              </w:rPr>
              <w:t xml:space="preserve"> </w:t>
            </w:r>
            <w:r w:rsidRPr="00B22ABF">
              <w:rPr>
                <w:rFonts w:ascii="Arial" w:hAnsi="Arial" w:cs="Arial"/>
                <w:sz w:val="20"/>
                <w:szCs w:val="20"/>
              </w:rPr>
              <w:t>To so vse družbe, za katere velja 70.c člen (</w:t>
            </w:r>
            <w:r>
              <w:rPr>
                <w:rFonts w:ascii="Arial" w:hAnsi="Arial" w:cs="Arial"/>
                <w:sz w:val="20"/>
                <w:szCs w:val="20"/>
              </w:rPr>
              <w:t xml:space="preserve">ob </w:t>
            </w:r>
            <w:r w:rsidRPr="00B22ABF">
              <w:rPr>
                <w:rFonts w:ascii="Arial" w:hAnsi="Arial" w:cs="Arial"/>
                <w:sz w:val="20"/>
                <w:szCs w:val="20"/>
              </w:rPr>
              <w:t>upošteva</w:t>
            </w:r>
            <w:r>
              <w:rPr>
                <w:rFonts w:ascii="Arial" w:hAnsi="Arial" w:cs="Arial"/>
                <w:sz w:val="20"/>
                <w:szCs w:val="20"/>
              </w:rPr>
              <w:t>nju</w:t>
            </w:r>
            <w:r w:rsidRPr="00B22ABF">
              <w:rPr>
                <w:rFonts w:ascii="Arial" w:hAnsi="Arial" w:cs="Arial"/>
                <w:sz w:val="20"/>
                <w:szCs w:val="20"/>
              </w:rPr>
              <w:t xml:space="preserve"> 53. člena ZGD-1 torej vse kapitalske družbe in vse osebne družbe, pri katerih za njihove obveznosti ni neomejeno odgovorna nobena fizična oseba</w:t>
            </w:r>
            <w:r>
              <w:rPr>
                <w:rFonts w:ascii="Arial" w:hAnsi="Arial" w:cs="Arial"/>
                <w:sz w:val="20"/>
                <w:szCs w:val="20"/>
              </w:rPr>
              <w:t xml:space="preserve"> – določba je smiselno enaka kot prvi odstavek 1. člena </w:t>
            </w:r>
            <w:r w:rsidRPr="00FC01EB">
              <w:rPr>
                <w:rFonts w:ascii="Arial" w:hAnsi="Arial" w:cs="Arial"/>
                <w:sz w:val="20"/>
                <w:szCs w:val="20"/>
              </w:rPr>
              <w:t>Direktive 2013/34/EU</w:t>
            </w:r>
            <w:r w:rsidRPr="00B22ABF">
              <w:rPr>
                <w:rFonts w:ascii="Arial" w:hAnsi="Arial" w:cs="Arial"/>
                <w:sz w:val="20"/>
                <w:szCs w:val="20"/>
              </w:rPr>
              <w:t>), ki dosegajo dve izmed treh meril</w:t>
            </w:r>
            <w:r>
              <w:rPr>
                <w:rFonts w:ascii="Arial" w:hAnsi="Arial" w:cs="Arial"/>
                <w:sz w:val="20"/>
                <w:szCs w:val="20"/>
              </w:rPr>
              <w:t xml:space="preserve"> (ob upoštevanju novih meril velikosti)</w:t>
            </w:r>
            <w:r w:rsidRPr="00B22ABF">
              <w:rPr>
                <w:rFonts w:ascii="Arial" w:hAnsi="Arial" w:cs="Arial"/>
                <w:sz w:val="20"/>
                <w:szCs w:val="20"/>
              </w:rPr>
              <w:t xml:space="preserve">:  </w:t>
            </w:r>
          </w:p>
          <w:p w14:paraId="5B249EC0" w14:textId="77777777" w:rsidR="000C08CA" w:rsidRPr="00B22ABF" w:rsidRDefault="000C08CA" w:rsidP="00FE328D">
            <w:pPr>
              <w:pStyle w:val="ListParagraph"/>
              <w:numPr>
                <w:ilvl w:val="0"/>
                <w:numId w:val="83"/>
              </w:numPr>
              <w:jc w:val="both"/>
              <w:rPr>
                <w:rFonts w:ascii="Arial" w:hAnsi="Arial" w:cs="Arial"/>
                <w:sz w:val="20"/>
                <w:szCs w:val="20"/>
              </w:rPr>
            </w:pPr>
            <w:r w:rsidRPr="00B22ABF">
              <w:rPr>
                <w:rFonts w:ascii="Arial" w:hAnsi="Arial" w:cs="Arial"/>
                <w:sz w:val="20"/>
                <w:szCs w:val="20"/>
              </w:rPr>
              <w:t>povprečno število delavcev v poslovnem letu presega 250,</w:t>
            </w:r>
          </w:p>
          <w:p w14:paraId="26EB1972" w14:textId="77777777" w:rsidR="000C08CA" w:rsidRPr="00B22ABF" w:rsidRDefault="000C08CA" w:rsidP="00FE328D">
            <w:pPr>
              <w:pStyle w:val="ListParagraph"/>
              <w:numPr>
                <w:ilvl w:val="0"/>
                <w:numId w:val="83"/>
              </w:numPr>
              <w:jc w:val="both"/>
              <w:rPr>
                <w:rFonts w:ascii="Arial" w:hAnsi="Arial" w:cs="Arial"/>
                <w:sz w:val="20"/>
                <w:szCs w:val="20"/>
              </w:rPr>
            </w:pPr>
            <w:r w:rsidRPr="00B22ABF">
              <w:rPr>
                <w:rFonts w:ascii="Arial" w:hAnsi="Arial" w:cs="Arial"/>
                <w:sz w:val="20"/>
                <w:szCs w:val="20"/>
              </w:rPr>
              <w:t xml:space="preserve">čisti prihodki od prodaje presegajo </w:t>
            </w:r>
            <w:r>
              <w:rPr>
                <w:rFonts w:ascii="Arial" w:hAnsi="Arial" w:cs="Arial"/>
                <w:sz w:val="20"/>
                <w:szCs w:val="20"/>
              </w:rPr>
              <w:t>5</w:t>
            </w:r>
            <w:r w:rsidRPr="00B22ABF">
              <w:rPr>
                <w:rFonts w:ascii="Arial" w:hAnsi="Arial" w:cs="Arial"/>
                <w:sz w:val="20"/>
                <w:szCs w:val="20"/>
              </w:rPr>
              <w:t>0</w:t>
            </w:r>
            <w:r>
              <w:rPr>
                <w:rFonts w:ascii="Arial" w:hAnsi="Arial" w:cs="Arial"/>
                <w:sz w:val="20"/>
                <w:szCs w:val="20"/>
              </w:rPr>
              <w:t>.</w:t>
            </w:r>
            <w:r w:rsidRPr="00B22ABF">
              <w:rPr>
                <w:rFonts w:ascii="Arial" w:hAnsi="Arial" w:cs="Arial"/>
                <w:sz w:val="20"/>
                <w:szCs w:val="20"/>
              </w:rPr>
              <w:t xml:space="preserve">000.000 </w:t>
            </w:r>
            <w:r>
              <w:rPr>
                <w:rFonts w:ascii="Arial" w:hAnsi="Arial" w:cs="Arial"/>
                <w:sz w:val="20"/>
                <w:szCs w:val="20"/>
              </w:rPr>
              <w:t>EUR</w:t>
            </w:r>
            <w:r w:rsidRPr="00B22ABF">
              <w:rPr>
                <w:rFonts w:ascii="Arial" w:hAnsi="Arial" w:cs="Arial"/>
                <w:sz w:val="20"/>
                <w:szCs w:val="20"/>
              </w:rPr>
              <w:t xml:space="preserve"> in</w:t>
            </w:r>
          </w:p>
          <w:p w14:paraId="243C0142" w14:textId="77777777" w:rsidR="000C08CA" w:rsidRPr="00B22ABF" w:rsidRDefault="000C08CA" w:rsidP="00FE328D">
            <w:pPr>
              <w:pStyle w:val="ListParagraph"/>
              <w:numPr>
                <w:ilvl w:val="0"/>
                <w:numId w:val="83"/>
              </w:numPr>
              <w:jc w:val="both"/>
              <w:rPr>
                <w:rFonts w:ascii="Arial" w:hAnsi="Arial" w:cs="Arial"/>
                <w:sz w:val="20"/>
                <w:szCs w:val="20"/>
              </w:rPr>
            </w:pPr>
            <w:r w:rsidRPr="00B22ABF">
              <w:rPr>
                <w:rFonts w:ascii="Arial" w:hAnsi="Arial" w:cs="Arial"/>
                <w:sz w:val="20"/>
                <w:szCs w:val="20"/>
              </w:rPr>
              <w:t>vrednost aktive presega 2</w:t>
            </w:r>
            <w:r>
              <w:rPr>
                <w:rFonts w:ascii="Arial" w:hAnsi="Arial" w:cs="Arial"/>
                <w:sz w:val="20"/>
                <w:szCs w:val="20"/>
              </w:rPr>
              <w:t>5.</w:t>
            </w:r>
            <w:r w:rsidRPr="00B22ABF">
              <w:rPr>
                <w:rFonts w:ascii="Arial" w:hAnsi="Arial" w:cs="Arial"/>
                <w:sz w:val="20"/>
                <w:szCs w:val="20"/>
              </w:rPr>
              <w:t xml:space="preserve">000.000 </w:t>
            </w:r>
            <w:r>
              <w:rPr>
                <w:rFonts w:ascii="Arial" w:hAnsi="Arial" w:cs="Arial"/>
                <w:sz w:val="20"/>
                <w:szCs w:val="20"/>
              </w:rPr>
              <w:t>EUR;</w:t>
            </w:r>
          </w:p>
          <w:p w14:paraId="2D090876" w14:textId="77777777" w:rsidR="000C08CA" w:rsidRPr="00605612" w:rsidRDefault="000C08CA" w:rsidP="00FE328D">
            <w:pPr>
              <w:pStyle w:val="ListParagraph"/>
              <w:ind w:left="360"/>
              <w:jc w:val="both"/>
              <w:rPr>
                <w:rFonts w:ascii="Arial" w:hAnsi="Arial" w:cs="Arial"/>
                <w:sz w:val="20"/>
                <w:szCs w:val="20"/>
              </w:rPr>
            </w:pPr>
          </w:p>
          <w:p w14:paraId="4E965548" w14:textId="77777777" w:rsidR="000C08CA" w:rsidRPr="00B22ABF" w:rsidRDefault="000C08CA" w:rsidP="00FE328D">
            <w:pPr>
              <w:pStyle w:val="ListParagraph"/>
              <w:numPr>
                <w:ilvl w:val="0"/>
                <w:numId w:val="42"/>
              </w:numPr>
              <w:jc w:val="both"/>
              <w:rPr>
                <w:rFonts w:ascii="Arial" w:hAnsi="Arial" w:cs="Arial"/>
                <w:sz w:val="20"/>
                <w:szCs w:val="20"/>
              </w:rPr>
            </w:pPr>
            <w:r w:rsidRPr="00605612">
              <w:rPr>
                <w:rFonts w:ascii="Arial" w:hAnsi="Arial" w:cs="Arial"/>
                <w:sz w:val="20"/>
                <w:szCs w:val="20"/>
              </w:rPr>
              <w:t xml:space="preserve">z dvoletnim časovnim zamikom (za </w:t>
            </w:r>
            <w:r>
              <w:rPr>
                <w:rFonts w:ascii="Arial" w:hAnsi="Arial" w:cs="Arial"/>
                <w:sz w:val="20"/>
                <w:szCs w:val="20"/>
              </w:rPr>
              <w:t>poslovna</w:t>
            </w:r>
            <w:r w:rsidRPr="00605612">
              <w:rPr>
                <w:rFonts w:ascii="Arial" w:hAnsi="Arial" w:cs="Arial"/>
                <w:sz w:val="20"/>
                <w:szCs w:val="20"/>
              </w:rPr>
              <w:t xml:space="preserve"> leta od 1. 1. 2026) tudi </w:t>
            </w:r>
            <w:r w:rsidRPr="00E91165">
              <w:rPr>
                <w:rFonts w:ascii="Arial" w:hAnsi="Arial" w:cs="Arial"/>
                <w:b/>
                <w:sz w:val="20"/>
                <w:szCs w:val="20"/>
              </w:rPr>
              <w:t xml:space="preserve">vsem majhnim in srednjim družbam, ki </w:t>
            </w:r>
            <w:r w:rsidRPr="00E91165">
              <w:rPr>
                <w:rFonts w:ascii="Arial" w:hAnsi="Arial" w:cs="Arial"/>
                <w:b/>
                <w:bCs/>
                <w:sz w:val="20"/>
                <w:szCs w:val="20"/>
              </w:rPr>
              <w:t>kotirajo</w:t>
            </w:r>
            <w:r w:rsidRPr="00E91165">
              <w:rPr>
                <w:rFonts w:ascii="Arial" w:hAnsi="Arial" w:cs="Arial"/>
                <w:b/>
                <w:sz w:val="20"/>
                <w:szCs w:val="20"/>
              </w:rPr>
              <w:t xml:space="preserve"> na borzi (razen mikro družbam</w:t>
            </w:r>
            <w:r w:rsidRPr="00E91165">
              <w:rPr>
                <w:rFonts w:ascii="Arial" w:hAnsi="Arial" w:cs="Arial"/>
                <w:b/>
                <w:bCs/>
                <w:sz w:val="20"/>
                <w:szCs w:val="20"/>
              </w:rPr>
              <w:t>)</w:t>
            </w:r>
            <w:r w:rsidRPr="00F61B5F">
              <w:rPr>
                <w:rFonts w:ascii="Arial" w:hAnsi="Arial" w:cs="Arial"/>
                <w:sz w:val="20"/>
                <w:szCs w:val="20"/>
              </w:rPr>
              <w:t>:</w:t>
            </w:r>
          </w:p>
          <w:p w14:paraId="785290C2" w14:textId="77777777" w:rsidR="000C08CA" w:rsidRPr="00B22ABF" w:rsidRDefault="000C08CA" w:rsidP="00FE328D">
            <w:pPr>
              <w:pStyle w:val="ListParagraph"/>
              <w:ind w:left="360"/>
              <w:jc w:val="both"/>
              <w:rPr>
                <w:rFonts w:ascii="Arial" w:hAnsi="Arial" w:cs="Arial"/>
                <w:sz w:val="20"/>
                <w:szCs w:val="20"/>
              </w:rPr>
            </w:pPr>
          </w:p>
          <w:p w14:paraId="12884802" w14:textId="77777777" w:rsidR="000C08CA" w:rsidRPr="00605612" w:rsidRDefault="000C08CA" w:rsidP="00FE328D">
            <w:pPr>
              <w:pStyle w:val="ListParagraph"/>
              <w:ind w:left="360"/>
              <w:jc w:val="both"/>
              <w:rPr>
                <w:rFonts w:ascii="Arial" w:hAnsi="Arial" w:cs="Arial"/>
                <w:sz w:val="20"/>
                <w:szCs w:val="20"/>
              </w:rPr>
            </w:pPr>
            <w:r w:rsidRPr="00605612">
              <w:rPr>
                <w:rFonts w:ascii="Arial" w:hAnsi="Arial" w:cs="Arial"/>
                <w:sz w:val="20"/>
                <w:szCs w:val="20"/>
              </w:rPr>
              <w:t xml:space="preserve">Te imajo možnost, da </w:t>
            </w:r>
            <w:r>
              <w:rPr>
                <w:rFonts w:ascii="Arial" w:hAnsi="Arial" w:cs="Arial"/>
                <w:sz w:val="20"/>
                <w:szCs w:val="20"/>
              </w:rPr>
              <w:t xml:space="preserve">prvi </w:t>
            </w:r>
            <w:r w:rsidRPr="00605612">
              <w:rPr>
                <w:rFonts w:ascii="Arial" w:hAnsi="Arial" w:cs="Arial"/>
                <w:sz w:val="20"/>
                <w:szCs w:val="20"/>
              </w:rPr>
              <w:t xml:space="preserve">dve leti ne pripravijo poročila o trajnostnosti, če v poslovnem poročilu navedejo razloge za to. Za preostale majhne in srednje družbe, ki </w:t>
            </w:r>
            <w:r>
              <w:rPr>
                <w:rFonts w:ascii="Arial" w:hAnsi="Arial" w:cs="Arial"/>
                <w:sz w:val="20"/>
                <w:szCs w:val="20"/>
              </w:rPr>
              <w:t xml:space="preserve">ne </w:t>
            </w:r>
            <w:r w:rsidRPr="00DC7142">
              <w:rPr>
                <w:rFonts w:ascii="Arial" w:hAnsi="Arial" w:cs="Arial"/>
                <w:sz w:val="20"/>
                <w:szCs w:val="20"/>
              </w:rPr>
              <w:t xml:space="preserve">kotirajo na </w:t>
            </w:r>
            <w:r w:rsidRPr="00605612">
              <w:rPr>
                <w:rFonts w:ascii="Arial" w:hAnsi="Arial" w:cs="Arial"/>
                <w:sz w:val="20"/>
                <w:szCs w:val="20"/>
              </w:rPr>
              <w:t xml:space="preserve">borzi, bo uporaba standardov in trajnostnega poročanja prostovoljna, </w:t>
            </w:r>
            <w:r>
              <w:rPr>
                <w:rFonts w:ascii="Arial" w:hAnsi="Arial" w:cs="Arial"/>
                <w:sz w:val="20"/>
                <w:szCs w:val="20"/>
              </w:rPr>
              <w:t>cilj</w:t>
            </w:r>
            <w:r w:rsidRPr="00605612">
              <w:rPr>
                <w:rFonts w:ascii="Arial" w:hAnsi="Arial" w:cs="Arial"/>
                <w:sz w:val="20"/>
                <w:szCs w:val="20"/>
              </w:rPr>
              <w:t xml:space="preserve"> pa jih </w:t>
            </w:r>
            <w:r>
              <w:rPr>
                <w:rFonts w:ascii="Arial" w:hAnsi="Arial" w:cs="Arial"/>
                <w:sz w:val="20"/>
                <w:szCs w:val="20"/>
              </w:rPr>
              <w:t xml:space="preserve">je </w:t>
            </w:r>
            <w:r w:rsidRPr="00605612">
              <w:rPr>
                <w:rFonts w:ascii="Arial" w:hAnsi="Arial" w:cs="Arial"/>
                <w:sz w:val="20"/>
                <w:szCs w:val="20"/>
              </w:rPr>
              <w:t>spodbuditi k njihovi uporabi, saj bodo imel</w:t>
            </w:r>
            <w:r>
              <w:rPr>
                <w:rFonts w:ascii="Arial" w:hAnsi="Arial" w:cs="Arial"/>
                <w:sz w:val="20"/>
                <w:szCs w:val="20"/>
              </w:rPr>
              <w:t>e</w:t>
            </w:r>
            <w:r w:rsidRPr="00605612">
              <w:rPr>
                <w:rFonts w:ascii="Arial" w:hAnsi="Arial" w:cs="Arial"/>
                <w:sz w:val="20"/>
                <w:szCs w:val="20"/>
              </w:rPr>
              <w:t xml:space="preserve"> večjo možnost za pridobitev </w:t>
            </w:r>
            <w:r w:rsidRPr="004B356C">
              <w:rPr>
                <w:rFonts w:ascii="Arial" w:hAnsi="Arial" w:cs="Arial"/>
                <w:sz w:val="20"/>
                <w:szCs w:val="20"/>
              </w:rPr>
              <w:t>vlagatel</w:t>
            </w:r>
            <w:r w:rsidRPr="00605612">
              <w:rPr>
                <w:rFonts w:ascii="Arial" w:hAnsi="Arial" w:cs="Arial"/>
                <w:sz w:val="20"/>
                <w:szCs w:val="20"/>
              </w:rPr>
              <w:t>jev</w:t>
            </w:r>
            <w:r>
              <w:rPr>
                <w:rFonts w:ascii="Arial" w:hAnsi="Arial" w:cs="Arial"/>
                <w:sz w:val="20"/>
                <w:szCs w:val="20"/>
              </w:rPr>
              <w:t>;</w:t>
            </w:r>
            <w:r>
              <w:t xml:space="preserve"> </w:t>
            </w:r>
          </w:p>
          <w:p w14:paraId="113F2D00" w14:textId="77777777" w:rsidR="000C08CA" w:rsidRPr="00605612" w:rsidRDefault="000C08CA" w:rsidP="00FE328D">
            <w:pPr>
              <w:jc w:val="both"/>
              <w:rPr>
                <w:rFonts w:cs="Arial"/>
                <w:szCs w:val="20"/>
              </w:rPr>
            </w:pPr>
          </w:p>
          <w:p w14:paraId="3FAE1C49" w14:textId="77777777" w:rsidR="000C08CA" w:rsidRPr="00A11BE1" w:rsidRDefault="000C08CA" w:rsidP="00FE328D">
            <w:pPr>
              <w:pStyle w:val="ListParagraph"/>
              <w:numPr>
                <w:ilvl w:val="0"/>
                <w:numId w:val="88"/>
              </w:numPr>
              <w:jc w:val="both"/>
              <w:rPr>
                <w:rFonts w:cs="Arial"/>
                <w:szCs w:val="20"/>
                <w:u w:val="single"/>
              </w:rPr>
            </w:pPr>
            <w:r w:rsidRPr="00E91165">
              <w:rPr>
                <w:rFonts w:ascii="Arial" w:hAnsi="Arial" w:cs="Arial"/>
                <w:sz w:val="20"/>
                <w:szCs w:val="20"/>
                <w:u w:val="single"/>
              </w:rPr>
              <w:t>širi</w:t>
            </w:r>
            <w:r>
              <w:rPr>
                <w:rFonts w:ascii="Arial" w:hAnsi="Arial" w:cs="Arial"/>
                <w:sz w:val="20"/>
                <w:szCs w:val="20"/>
                <w:u w:val="single"/>
              </w:rPr>
              <w:t>ta</w:t>
            </w:r>
            <w:r w:rsidRPr="00E91165">
              <w:rPr>
                <w:rFonts w:ascii="Arial" w:hAnsi="Arial" w:cs="Arial"/>
                <w:sz w:val="20"/>
                <w:szCs w:val="20"/>
                <w:u w:val="single"/>
              </w:rPr>
              <w:t xml:space="preserve"> obseg in vsebin</w:t>
            </w:r>
            <w:r>
              <w:rPr>
                <w:rFonts w:ascii="Arial" w:hAnsi="Arial" w:cs="Arial"/>
                <w:sz w:val="20"/>
                <w:szCs w:val="20"/>
                <w:u w:val="single"/>
              </w:rPr>
              <w:t>a</w:t>
            </w:r>
            <w:r w:rsidRPr="00E91165">
              <w:rPr>
                <w:rFonts w:ascii="Arial" w:hAnsi="Arial" w:cs="Arial"/>
                <w:sz w:val="20"/>
                <w:szCs w:val="20"/>
                <w:u w:val="single"/>
              </w:rPr>
              <w:t xml:space="preserve"> trajnostnih informacij, </w:t>
            </w:r>
            <w:r>
              <w:rPr>
                <w:rFonts w:ascii="Arial" w:hAnsi="Arial" w:cs="Arial"/>
                <w:sz w:val="20"/>
                <w:szCs w:val="20"/>
                <w:u w:val="single"/>
              </w:rPr>
              <w:t xml:space="preserve">o katerih je treba </w:t>
            </w:r>
            <w:r w:rsidRPr="00E91165">
              <w:rPr>
                <w:rFonts w:ascii="Arial" w:hAnsi="Arial" w:cs="Arial"/>
                <w:sz w:val="20"/>
                <w:szCs w:val="20"/>
                <w:u w:val="single"/>
              </w:rPr>
              <w:t>poročati</w:t>
            </w:r>
            <w:r>
              <w:rPr>
                <w:rFonts w:ascii="Arial" w:hAnsi="Arial" w:cs="Arial"/>
                <w:sz w:val="20"/>
                <w:szCs w:val="20"/>
                <w:u w:val="single"/>
              </w:rPr>
              <w:t>:</w:t>
            </w:r>
          </w:p>
          <w:p w14:paraId="157FFAB5" w14:textId="77777777" w:rsidR="000C08CA" w:rsidRPr="00605612" w:rsidRDefault="000C08CA" w:rsidP="00FE328D">
            <w:pPr>
              <w:jc w:val="both"/>
              <w:rPr>
                <w:rFonts w:cs="Arial"/>
                <w:szCs w:val="20"/>
              </w:rPr>
            </w:pPr>
            <w:r w:rsidRPr="00605612">
              <w:rPr>
                <w:rFonts w:cs="Arial"/>
                <w:szCs w:val="20"/>
              </w:rPr>
              <w:t>Predlog zakona veliko podrobneje opredeljuje informacije, ki jih morajo družbe razkriti. Družbe bodo morale dejavnike, povezane s trajnostnostjo, vključiti v poslovni model, strategijo in cilje, kar bo vplivalo tudi na poslovanje in upravljanje teh družb ter postopke revizije.</w:t>
            </w:r>
            <w:r w:rsidRPr="00605612" w:rsidDel="00D01D71">
              <w:rPr>
                <w:rFonts w:cs="Arial"/>
                <w:szCs w:val="20"/>
              </w:rPr>
              <w:t xml:space="preserve"> </w:t>
            </w:r>
            <w:r w:rsidRPr="00605612">
              <w:rPr>
                <w:rFonts w:cs="Arial"/>
                <w:szCs w:val="20"/>
              </w:rPr>
              <w:t xml:space="preserve">Srednje in majhne družbe, ki </w:t>
            </w:r>
            <w:r w:rsidRPr="001D3D8E">
              <w:rPr>
                <w:rFonts w:cs="Arial"/>
                <w:szCs w:val="20"/>
              </w:rPr>
              <w:t xml:space="preserve">kotirajo na </w:t>
            </w:r>
            <w:r w:rsidRPr="00605612">
              <w:rPr>
                <w:rFonts w:cs="Arial"/>
                <w:szCs w:val="20"/>
              </w:rPr>
              <w:t>borzi, bodo lahko poročilo o trajnostnosti pripravile v poenostavljeni obliki.</w:t>
            </w:r>
          </w:p>
          <w:p w14:paraId="69C1B197" w14:textId="77777777" w:rsidR="000C08CA" w:rsidRPr="00605612" w:rsidRDefault="000C08CA" w:rsidP="00FE328D">
            <w:pPr>
              <w:jc w:val="both"/>
              <w:rPr>
                <w:rFonts w:cs="Arial"/>
                <w:szCs w:val="20"/>
              </w:rPr>
            </w:pPr>
          </w:p>
          <w:p w14:paraId="46C6E4C4" w14:textId="77777777" w:rsidR="000C08CA" w:rsidRDefault="000C08CA" w:rsidP="00FE328D">
            <w:pPr>
              <w:spacing w:line="276" w:lineRule="auto"/>
              <w:jc w:val="both"/>
              <w:rPr>
                <w:rFonts w:cs="Arial"/>
                <w:szCs w:val="20"/>
              </w:rPr>
            </w:pPr>
            <w:r w:rsidRPr="00605612">
              <w:rPr>
                <w:rFonts w:cs="Arial"/>
                <w:szCs w:val="20"/>
              </w:rPr>
              <w:t>Podrobnejš</w:t>
            </w:r>
            <w:r>
              <w:rPr>
                <w:rFonts w:cs="Arial"/>
                <w:szCs w:val="20"/>
              </w:rPr>
              <w:t>a</w:t>
            </w:r>
            <w:r w:rsidRPr="00605612">
              <w:rPr>
                <w:rFonts w:cs="Arial"/>
                <w:szCs w:val="20"/>
              </w:rPr>
              <w:t xml:space="preserve"> vsebin</w:t>
            </w:r>
            <w:r>
              <w:rPr>
                <w:rFonts w:cs="Arial"/>
                <w:szCs w:val="20"/>
              </w:rPr>
              <w:t>a</w:t>
            </w:r>
            <w:r w:rsidRPr="00605612">
              <w:rPr>
                <w:rFonts w:cs="Arial"/>
                <w:szCs w:val="20"/>
              </w:rPr>
              <w:t xml:space="preserve"> in način poročanja bo</w:t>
            </w:r>
            <w:r>
              <w:rPr>
                <w:rFonts w:cs="Arial"/>
                <w:szCs w:val="20"/>
              </w:rPr>
              <w:t>sta opredeljena v</w:t>
            </w:r>
            <w:r w:rsidRPr="00605612">
              <w:rPr>
                <w:rFonts w:cs="Arial"/>
                <w:szCs w:val="20"/>
              </w:rPr>
              <w:t xml:space="preserve"> </w:t>
            </w:r>
            <w:r>
              <w:rPr>
                <w:rFonts w:cs="Arial"/>
                <w:szCs w:val="20"/>
              </w:rPr>
              <w:t>ESRS</w:t>
            </w:r>
            <w:r w:rsidRPr="00605612">
              <w:rPr>
                <w:rFonts w:cs="Arial"/>
                <w:szCs w:val="20"/>
              </w:rPr>
              <w:t xml:space="preserve">. </w:t>
            </w:r>
            <w:r>
              <w:rPr>
                <w:rFonts w:cs="Arial"/>
                <w:szCs w:val="20"/>
              </w:rPr>
              <w:t>K</w:t>
            </w:r>
            <w:r w:rsidRPr="00605612">
              <w:rPr>
                <w:rFonts w:cs="Arial"/>
                <w:szCs w:val="20"/>
              </w:rPr>
              <w:t xml:space="preserve">omisija je </w:t>
            </w:r>
            <w:r>
              <w:rPr>
                <w:rFonts w:cs="Arial"/>
                <w:szCs w:val="20"/>
              </w:rPr>
              <w:t>ESRS, ki veljajo</w:t>
            </w:r>
            <w:r w:rsidRPr="00B22ABF">
              <w:rPr>
                <w:rFonts w:cs="Arial"/>
                <w:szCs w:val="20"/>
              </w:rPr>
              <w:t xml:space="preserve"> </w:t>
            </w:r>
            <w:r w:rsidRPr="00605612">
              <w:rPr>
                <w:rFonts w:cs="Arial"/>
                <w:szCs w:val="20"/>
              </w:rPr>
              <w:t>za velike družbe</w:t>
            </w:r>
            <w:r>
              <w:rPr>
                <w:rFonts w:cs="Arial"/>
                <w:szCs w:val="20"/>
              </w:rPr>
              <w:t>,</w:t>
            </w:r>
            <w:r w:rsidRPr="00605612">
              <w:rPr>
                <w:rFonts w:cs="Arial"/>
                <w:szCs w:val="20"/>
              </w:rPr>
              <w:t xml:space="preserve"> že sprejela</w:t>
            </w:r>
            <w:r w:rsidRPr="00B22ABF">
              <w:rPr>
                <w:rFonts w:cs="Arial"/>
                <w:szCs w:val="20"/>
              </w:rPr>
              <w:t xml:space="preserve"> z Delegirano uredbo </w:t>
            </w:r>
            <w:r>
              <w:rPr>
                <w:rFonts w:cs="Arial"/>
                <w:szCs w:val="20"/>
              </w:rPr>
              <w:t>o</w:t>
            </w:r>
            <w:r w:rsidRPr="005D31C4">
              <w:rPr>
                <w:rFonts w:cs="Arial"/>
                <w:szCs w:val="20"/>
              </w:rPr>
              <w:t xml:space="preserve"> standard</w:t>
            </w:r>
            <w:r>
              <w:rPr>
                <w:rFonts w:cs="Arial"/>
                <w:szCs w:val="20"/>
              </w:rPr>
              <w:t>ih</w:t>
            </w:r>
            <w:r w:rsidRPr="005D31C4">
              <w:rPr>
                <w:rFonts w:cs="Arial"/>
                <w:szCs w:val="20"/>
              </w:rPr>
              <w:t xml:space="preserve"> poročanja</w:t>
            </w:r>
            <w:r>
              <w:rPr>
                <w:rFonts w:cs="Arial"/>
                <w:szCs w:val="20"/>
              </w:rPr>
              <w:t xml:space="preserve"> </w:t>
            </w:r>
            <w:r w:rsidRPr="005D31C4">
              <w:rPr>
                <w:rFonts w:cs="Arial"/>
                <w:szCs w:val="20"/>
              </w:rPr>
              <w:t>o trajnostnosti</w:t>
            </w:r>
            <w:r w:rsidRPr="00B22ABF">
              <w:rPr>
                <w:rFonts w:cs="Arial"/>
                <w:szCs w:val="20"/>
              </w:rPr>
              <w:t>.</w:t>
            </w:r>
            <w:r w:rsidRPr="00605612">
              <w:rPr>
                <w:rFonts w:cs="Arial"/>
                <w:szCs w:val="20"/>
              </w:rPr>
              <w:t xml:space="preserve"> Standardi, ki bodo veljali za srednje in majhne družbe, ki </w:t>
            </w:r>
            <w:r w:rsidRPr="001D3D8E">
              <w:rPr>
                <w:rFonts w:cs="Arial"/>
                <w:szCs w:val="20"/>
              </w:rPr>
              <w:t xml:space="preserve">kotirajo na </w:t>
            </w:r>
            <w:r w:rsidRPr="00605612">
              <w:rPr>
                <w:rFonts w:cs="Arial"/>
                <w:szCs w:val="20"/>
              </w:rPr>
              <w:t>borzi, bodo sprejeti naknadno (rok za spreje</w:t>
            </w:r>
            <w:r>
              <w:rPr>
                <w:rFonts w:cs="Arial"/>
                <w:szCs w:val="20"/>
              </w:rPr>
              <w:t>tje</w:t>
            </w:r>
            <w:r w:rsidRPr="00605612">
              <w:rPr>
                <w:rFonts w:cs="Arial"/>
                <w:szCs w:val="20"/>
              </w:rPr>
              <w:t xml:space="preserve"> je 30. </w:t>
            </w:r>
            <w:r>
              <w:rPr>
                <w:rFonts w:cs="Arial"/>
                <w:szCs w:val="20"/>
              </w:rPr>
              <w:t>junij</w:t>
            </w:r>
            <w:r w:rsidRPr="00605612">
              <w:rPr>
                <w:rFonts w:cs="Arial"/>
                <w:szCs w:val="20"/>
              </w:rPr>
              <w:t xml:space="preserve"> 2024</w:t>
            </w:r>
            <w:r>
              <w:rPr>
                <w:rFonts w:cs="Arial"/>
                <w:szCs w:val="20"/>
              </w:rPr>
              <w:t xml:space="preserve">, </w:t>
            </w:r>
            <w:r w:rsidRPr="005F1CC5">
              <w:rPr>
                <w:rFonts w:cs="Arial"/>
                <w:szCs w:val="20"/>
              </w:rPr>
              <w:t xml:space="preserve">vendar se predvideva, da bodo sprejeti </w:t>
            </w:r>
            <w:r>
              <w:rPr>
                <w:rFonts w:cs="Arial"/>
                <w:szCs w:val="20"/>
              </w:rPr>
              <w:t>pozneje</w:t>
            </w:r>
            <w:r w:rsidRPr="00605612">
              <w:rPr>
                <w:rFonts w:cs="Arial"/>
                <w:szCs w:val="20"/>
              </w:rPr>
              <w:t xml:space="preserve">). </w:t>
            </w:r>
            <w:r>
              <w:rPr>
                <w:rFonts w:cs="Arial"/>
                <w:szCs w:val="20"/>
              </w:rPr>
              <w:t>N</w:t>
            </w:r>
            <w:r w:rsidRPr="00B22ABF">
              <w:rPr>
                <w:rFonts w:cs="Arial"/>
                <w:szCs w:val="20"/>
              </w:rPr>
              <w:t xml:space="preserve">aknadno bodo sprejeti </w:t>
            </w:r>
            <w:r>
              <w:rPr>
                <w:rFonts w:cs="Arial"/>
                <w:szCs w:val="20"/>
              </w:rPr>
              <w:t xml:space="preserve">tudi </w:t>
            </w:r>
            <w:r w:rsidRPr="00B22ABF">
              <w:rPr>
                <w:rFonts w:cs="Arial"/>
                <w:szCs w:val="20"/>
              </w:rPr>
              <w:lastRenderedPageBreak/>
              <w:t>standardi, namenjeni družbam iz posebnih sektorjev (t. i. sektorski standardi</w:t>
            </w:r>
            <w:r>
              <w:rPr>
                <w:rFonts w:cs="Arial"/>
                <w:szCs w:val="20"/>
              </w:rPr>
              <w:t>; rok za sprejetje</w:t>
            </w:r>
            <w:r>
              <w:t xml:space="preserve"> </w:t>
            </w:r>
            <w:r w:rsidRPr="00FE3BB5">
              <w:rPr>
                <w:rFonts w:cs="Arial"/>
                <w:szCs w:val="20"/>
              </w:rPr>
              <w:t xml:space="preserve">je </w:t>
            </w:r>
            <w:r>
              <w:rPr>
                <w:rFonts w:cs="Arial"/>
                <w:szCs w:val="20"/>
              </w:rPr>
              <w:t xml:space="preserve">bil podaljšan, in sicer do </w:t>
            </w:r>
            <w:r w:rsidRPr="00FE3BB5">
              <w:rPr>
                <w:rFonts w:cs="Arial"/>
                <w:szCs w:val="20"/>
              </w:rPr>
              <w:t xml:space="preserve">30. </w:t>
            </w:r>
            <w:r>
              <w:rPr>
                <w:rFonts w:cs="Arial"/>
                <w:szCs w:val="20"/>
              </w:rPr>
              <w:t>junija</w:t>
            </w:r>
            <w:r w:rsidRPr="00FE3BB5">
              <w:rPr>
                <w:rFonts w:cs="Arial"/>
                <w:szCs w:val="20"/>
              </w:rPr>
              <w:t xml:space="preserve"> 202</w:t>
            </w:r>
            <w:r>
              <w:rPr>
                <w:rFonts w:cs="Arial"/>
                <w:szCs w:val="20"/>
              </w:rPr>
              <w:t>6)</w:t>
            </w:r>
            <w:r w:rsidRPr="00B22ABF">
              <w:rPr>
                <w:rFonts w:cs="Arial"/>
                <w:szCs w:val="20"/>
              </w:rPr>
              <w:t>.</w:t>
            </w:r>
            <w:r>
              <w:t xml:space="preserve"> </w:t>
            </w:r>
            <w:r w:rsidRPr="00BD4FA0">
              <w:rPr>
                <w:rFonts w:cs="Arial"/>
                <w:szCs w:val="20"/>
              </w:rPr>
              <w:t xml:space="preserve">Komisija pripravlja </w:t>
            </w:r>
            <w:r>
              <w:rPr>
                <w:rFonts w:cs="Arial"/>
                <w:szCs w:val="20"/>
              </w:rPr>
              <w:t>tudi</w:t>
            </w:r>
            <w:r w:rsidRPr="00E5439C">
              <w:rPr>
                <w:rFonts w:cs="Arial"/>
                <w:szCs w:val="20"/>
              </w:rPr>
              <w:t xml:space="preserve"> posebne standarde, ki bodo prilagojeni prostovoljnemu poročanju o trajnostnosti za majhne in srednje družbe, ki ne kotirajo na borzi.</w:t>
            </w:r>
          </w:p>
          <w:p w14:paraId="57431728" w14:textId="77777777" w:rsidR="000C08CA" w:rsidRDefault="000C08CA" w:rsidP="00FE328D">
            <w:pPr>
              <w:spacing w:line="276" w:lineRule="auto"/>
              <w:jc w:val="both"/>
              <w:rPr>
                <w:rFonts w:cs="Arial"/>
                <w:szCs w:val="20"/>
              </w:rPr>
            </w:pPr>
          </w:p>
          <w:p w14:paraId="43DC3F36" w14:textId="77777777" w:rsidR="000C08CA" w:rsidRPr="00B22ABF" w:rsidRDefault="000C08CA" w:rsidP="00FE328D">
            <w:pPr>
              <w:jc w:val="both"/>
              <w:rPr>
                <w:rFonts w:cs="Arial"/>
                <w:szCs w:val="20"/>
              </w:rPr>
            </w:pPr>
            <w:r w:rsidRPr="00B22ABF">
              <w:rPr>
                <w:rFonts w:cs="Arial"/>
                <w:szCs w:val="20"/>
              </w:rPr>
              <w:t>ESRS, ki veljajo za velike družbe, zelo podrobno opredeljujejo informacije, ki jih morajo družbe razkriti o svojih pomembnih vplivih, tveganjih in priložnostih, povezanih z okoljskimi, socialnimi in upravljavskimi zadevami</w:t>
            </w:r>
            <w:r>
              <w:rPr>
                <w:rFonts w:cs="Arial"/>
                <w:szCs w:val="20"/>
              </w:rPr>
              <w:t xml:space="preserve"> v povezavi s trajnostnostjo</w:t>
            </w:r>
            <w:r w:rsidRPr="00B22ABF">
              <w:rPr>
                <w:rFonts w:cs="Arial"/>
                <w:szCs w:val="20"/>
              </w:rPr>
              <w:t>. Vsebujejo:</w:t>
            </w:r>
          </w:p>
          <w:p w14:paraId="7371C0BF" w14:textId="77777777" w:rsidR="000C08CA" w:rsidRPr="00B22ABF" w:rsidRDefault="000C08CA" w:rsidP="00FE328D">
            <w:pPr>
              <w:pStyle w:val="ListParagraph"/>
              <w:numPr>
                <w:ilvl w:val="0"/>
                <w:numId w:val="85"/>
              </w:numPr>
              <w:jc w:val="both"/>
              <w:rPr>
                <w:rFonts w:ascii="Arial" w:hAnsi="Arial" w:cs="Arial"/>
                <w:sz w:val="20"/>
                <w:szCs w:val="20"/>
              </w:rPr>
            </w:pPr>
            <w:r w:rsidRPr="00E91165">
              <w:rPr>
                <w:rFonts w:ascii="Arial" w:hAnsi="Arial" w:cs="Arial"/>
                <w:sz w:val="20"/>
                <w:szCs w:val="20"/>
              </w:rPr>
              <w:t xml:space="preserve">medsektorske standarde: </w:t>
            </w:r>
          </w:p>
          <w:p w14:paraId="6DFC6030" w14:textId="77777777" w:rsidR="000C08CA" w:rsidRPr="00B22ABF" w:rsidRDefault="000C08CA" w:rsidP="00FE328D">
            <w:pPr>
              <w:pStyle w:val="ListParagraph"/>
              <w:numPr>
                <w:ilvl w:val="0"/>
                <w:numId w:val="86"/>
              </w:numPr>
              <w:jc w:val="both"/>
              <w:rPr>
                <w:rFonts w:ascii="Arial" w:hAnsi="Arial" w:cs="Arial"/>
                <w:sz w:val="20"/>
                <w:szCs w:val="20"/>
              </w:rPr>
            </w:pPr>
            <w:r w:rsidRPr="00E91165">
              <w:rPr>
                <w:rFonts w:ascii="Arial" w:hAnsi="Arial" w:cs="Arial"/>
                <w:sz w:val="20"/>
                <w:szCs w:val="20"/>
              </w:rPr>
              <w:t>ESRS 1 Splošne zahteve</w:t>
            </w:r>
            <w:r w:rsidRPr="00B22ABF">
              <w:rPr>
                <w:rFonts w:ascii="Arial" w:hAnsi="Arial" w:cs="Arial"/>
                <w:sz w:val="20"/>
                <w:szCs w:val="20"/>
              </w:rPr>
              <w:t>: opisana je struktura standardov ESRS, pojasnjen</w:t>
            </w:r>
            <w:r>
              <w:rPr>
                <w:rFonts w:ascii="Arial" w:hAnsi="Arial" w:cs="Arial"/>
                <w:sz w:val="20"/>
                <w:szCs w:val="20"/>
              </w:rPr>
              <w:t>i</w:t>
            </w:r>
            <w:r w:rsidRPr="00B22ABF">
              <w:rPr>
                <w:rFonts w:ascii="Arial" w:hAnsi="Arial" w:cs="Arial"/>
                <w:sz w:val="20"/>
                <w:szCs w:val="20"/>
              </w:rPr>
              <w:t xml:space="preserve"> so pravila pri pripravi in temeljni koncepti ter določene </w:t>
            </w:r>
            <w:r>
              <w:rPr>
                <w:rFonts w:ascii="Arial" w:hAnsi="Arial" w:cs="Arial"/>
                <w:sz w:val="20"/>
                <w:szCs w:val="20"/>
              </w:rPr>
              <w:t xml:space="preserve">so </w:t>
            </w:r>
            <w:r w:rsidRPr="00B22ABF">
              <w:rPr>
                <w:rFonts w:ascii="Arial" w:hAnsi="Arial" w:cs="Arial"/>
                <w:sz w:val="20"/>
                <w:szCs w:val="20"/>
              </w:rPr>
              <w:t>splošne zahteve za pripravo in predstavitev informacij, povezanih s trajnostnostjo,</w:t>
            </w:r>
          </w:p>
          <w:p w14:paraId="0602F492" w14:textId="77777777" w:rsidR="000C08CA" w:rsidRPr="0034569C" w:rsidRDefault="000C08CA" w:rsidP="00FE328D">
            <w:pPr>
              <w:pStyle w:val="ListParagraph"/>
              <w:numPr>
                <w:ilvl w:val="0"/>
                <w:numId w:val="86"/>
              </w:numPr>
              <w:jc w:val="both"/>
              <w:rPr>
                <w:rFonts w:cs="Arial"/>
                <w:szCs w:val="20"/>
              </w:rPr>
            </w:pPr>
            <w:r w:rsidRPr="00E91165">
              <w:rPr>
                <w:rFonts w:ascii="Arial" w:hAnsi="Arial" w:cs="Arial"/>
                <w:sz w:val="20"/>
                <w:szCs w:val="20"/>
              </w:rPr>
              <w:t>ESRS 2 Splošna razkritja: določene so zahteve po razkritju informacij, ki jih družbe zagotovijo na splošni ravni za vse pomembne trajnostnostne zadeve na področjih poročanja, ki zajemajo upravljanje, strategijo, upravljanje vplivov, tveganj in priložnosti ter metrike in cilje. Vključujejo minimalne zahteve po razkritju v zvezi s politikami, ukrepi, metrikami in cilji</w:t>
            </w:r>
            <w:r>
              <w:rPr>
                <w:rFonts w:ascii="Arial" w:hAnsi="Arial" w:cs="Arial"/>
                <w:sz w:val="20"/>
                <w:szCs w:val="20"/>
              </w:rPr>
              <w:t>;</w:t>
            </w:r>
          </w:p>
          <w:p w14:paraId="3A6D4481" w14:textId="77777777" w:rsidR="000C08CA" w:rsidRPr="0034569C" w:rsidRDefault="000C08CA" w:rsidP="00FE328D">
            <w:pPr>
              <w:pStyle w:val="ListParagraph"/>
              <w:numPr>
                <w:ilvl w:val="0"/>
                <w:numId w:val="85"/>
              </w:numPr>
              <w:jc w:val="both"/>
              <w:rPr>
                <w:rFonts w:cs="Arial"/>
                <w:szCs w:val="20"/>
              </w:rPr>
            </w:pPr>
            <w:r w:rsidRPr="00E91165">
              <w:rPr>
                <w:rFonts w:ascii="Arial" w:hAnsi="Arial" w:cs="Arial"/>
                <w:sz w:val="20"/>
                <w:szCs w:val="20"/>
              </w:rPr>
              <w:t xml:space="preserve">tematske standarde, vezane na posamezne vidike trajnostnosti </w:t>
            </w:r>
            <w:r>
              <w:rPr>
                <w:rFonts w:ascii="Arial" w:hAnsi="Arial" w:cs="Arial"/>
                <w:sz w:val="20"/>
                <w:szCs w:val="20"/>
              </w:rPr>
              <w:t>‒</w:t>
            </w:r>
            <w:r w:rsidRPr="00E91165">
              <w:rPr>
                <w:rFonts w:ascii="Arial" w:hAnsi="Arial" w:cs="Arial"/>
                <w:sz w:val="20"/>
                <w:szCs w:val="20"/>
              </w:rPr>
              <w:t xml:space="preserve"> standarde o okoljskih (ESRS E1–E5), socialnih (ESRS S1–S4) in upravljavskih zadevah (ESRS G1). Ti standardi so še podrobneje razčlenjeni, in vsebujejo naslednje standarde:</w:t>
            </w:r>
          </w:p>
          <w:p w14:paraId="0CE9DCF0"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E1 Podnebne spremembe,</w:t>
            </w:r>
          </w:p>
          <w:p w14:paraId="02CD8F06"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E2 Onesnaževanje,</w:t>
            </w:r>
          </w:p>
          <w:p w14:paraId="22F4969F"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E3 Vodni in morski viri,</w:t>
            </w:r>
          </w:p>
          <w:p w14:paraId="1C432982"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E4 Biotska raznovrstnost in ekosistemi,</w:t>
            </w:r>
          </w:p>
          <w:p w14:paraId="579C1F3D"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E5 Raba virov in krožno gospodarstvo,</w:t>
            </w:r>
          </w:p>
          <w:p w14:paraId="1B675E26"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S1 Lastna delovna sila,</w:t>
            </w:r>
          </w:p>
          <w:p w14:paraId="67939C5D"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S2 Delavci v vrednostni verigi,</w:t>
            </w:r>
          </w:p>
          <w:p w14:paraId="24E27D58"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S3 Prizadete skupnosti,</w:t>
            </w:r>
          </w:p>
          <w:p w14:paraId="1FEF5F7B" w14:textId="77777777" w:rsidR="000C08CA" w:rsidRPr="0034569C" w:rsidRDefault="000C08CA" w:rsidP="00FE328D">
            <w:pPr>
              <w:pStyle w:val="ListParagraph"/>
              <w:numPr>
                <w:ilvl w:val="0"/>
                <w:numId w:val="84"/>
              </w:numPr>
              <w:jc w:val="both"/>
              <w:rPr>
                <w:rFonts w:cs="Arial"/>
                <w:szCs w:val="20"/>
              </w:rPr>
            </w:pPr>
            <w:r w:rsidRPr="00E91165">
              <w:rPr>
                <w:rFonts w:ascii="Arial" w:hAnsi="Arial" w:cs="Arial"/>
                <w:sz w:val="20"/>
                <w:szCs w:val="20"/>
              </w:rPr>
              <w:t>ESRS S4 Potrošniki in končni uporabniki,</w:t>
            </w:r>
          </w:p>
          <w:p w14:paraId="3D2EA23D" w14:textId="77777777" w:rsidR="000C08CA" w:rsidRPr="00B22ABF" w:rsidRDefault="000C08CA" w:rsidP="00FE328D">
            <w:pPr>
              <w:pStyle w:val="ListParagraph"/>
              <w:numPr>
                <w:ilvl w:val="0"/>
                <w:numId w:val="84"/>
              </w:numPr>
              <w:jc w:val="both"/>
              <w:rPr>
                <w:rFonts w:ascii="Arial" w:hAnsi="Arial" w:cs="Arial"/>
                <w:sz w:val="20"/>
                <w:szCs w:val="20"/>
              </w:rPr>
            </w:pPr>
            <w:r w:rsidRPr="00E91165">
              <w:rPr>
                <w:rFonts w:ascii="Arial" w:hAnsi="Arial" w:cs="Arial"/>
                <w:sz w:val="20"/>
                <w:szCs w:val="20"/>
              </w:rPr>
              <w:t>ESRS G1 Poslovno ravnanje</w:t>
            </w:r>
            <w:r>
              <w:rPr>
                <w:rFonts w:ascii="Arial" w:hAnsi="Arial" w:cs="Arial"/>
                <w:sz w:val="20"/>
                <w:szCs w:val="20"/>
              </w:rPr>
              <w:t>.</w:t>
            </w:r>
          </w:p>
          <w:p w14:paraId="4112CC9C" w14:textId="77777777" w:rsidR="000C08CA" w:rsidRPr="00B22ABF" w:rsidRDefault="000C08CA" w:rsidP="00FE328D">
            <w:pPr>
              <w:jc w:val="both"/>
              <w:rPr>
                <w:rFonts w:cs="Arial"/>
                <w:szCs w:val="20"/>
              </w:rPr>
            </w:pPr>
            <w:r w:rsidRPr="00B22ABF">
              <w:rPr>
                <w:rFonts w:cs="Arial"/>
                <w:szCs w:val="20"/>
              </w:rPr>
              <w:t>Zahteve po razkritju iz ESRS 2, tematskih ESRS in sektorskih ESRS so razvrščene po naslednjih področjih poročanja:</w:t>
            </w:r>
          </w:p>
          <w:p w14:paraId="09405D55" w14:textId="77777777" w:rsidR="000C08CA" w:rsidRPr="00B22ABF" w:rsidRDefault="000C08CA" w:rsidP="00FE328D">
            <w:pPr>
              <w:ind w:left="720"/>
              <w:jc w:val="both"/>
              <w:rPr>
                <w:rFonts w:cs="Arial"/>
                <w:szCs w:val="20"/>
              </w:rPr>
            </w:pPr>
            <w:r w:rsidRPr="00B22ABF">
              <w:rPr>
                <w:rFonts w:cs="Arial"/>
                <w:szCs w:val="20"/>
              </w:rPr>
              <w:t>(a) upravljanje (GOV): postopki upravljanja, kontrole in postopki, ki se uporabljajo za spremljanje, upravljanje in nadzor vplivov, tveganj in priložnosti</w:t>
            </w:r>
            <w:r>
              <w:rPr>
                <w:rFonts w:cs="Arial"/>
                <w:szCs w:val="20"/>
              </w:rPr>
              <w:t>,</w:t>
            </w:r>
          </w:p>
          <w:p w14:paraId="0549457F" w14:textId="77777777" w:rsidR="000C08CA" w:rsidRPr="00B22ABF" w:rsidRDefault="000C08CA" w:rsidP="00FE328D">
            <w:pPr>
              <w:ind w:left="720"/>
              <w:jc w:val="both"/>
              <w:rPr>
                <w:rFonts w:cs="Arial"/>
                <w:szCs w:val="20"/>
              </w:rPr>
            </w:pPr>
            <w:r w:rsidRPr="00B22ABF">
              <w:rPr>
                <w:rFonts w:cs="Arial"/>
                <w:szCs w:val="20"/>
              </w:rPr>
              <w:t>(b) strategija (SBM): kako strategija in poslovni model podjetja sovplivata na njegove pomembne vplive, tveganja in priložnosti, vključno z načinom, kako podjetje obravnava te vplive, tveganja in priložnosti</w:t>
            </w:r>
            <w:r>
              <w:rPr>
                <w:rFonts w:cs="Arial"/>
                <w:szCs w:val="20"/>
              </w:rPr>
              <w:t>,</w:t>
            </w:r>
          </w:p>
          <w:p w14:paraId="66FBD4C7" w14:textId="77777777" w:rsidR="000C08CA" w:rsidRPr="00B22ABF" w:rsidRDefault="000C08CA" w:rsidP="00FE328D">
            <w:pPr>
              <w:ind w:left="720"/>
              <w:jc w:val="both"/>
              <w:rPr>
                <w:rFonts w:cs="Arial"/>
                <w:szCs w:val="20"/>
              </w:rPr>
            </w:pPr>
            <w:r w:rsidRPr="00B22ABF">
              <w:rPr>
                <w:rFonts w:cs="Arial"/>
                <w:szCs w:val="20"/>
              </w:rPr>
              <w:t>(c) upravljanje vplivov, tveganj in priložnosti (IRO): postopki, s katerimi podjetje:</w:t>
            </w:r>
          </w:p>
          <w:p w14:paraId="661EC69C" w14:textId="77777777" w:rsidR="000C08CA" w:rsidRPr="0034569C" w:rsidRDefault="000C08CA" w:rsidP="00FE328D">
            <w:pPr>
              <w:pStyle w:val="ListParagraph"/>
              <w:numPr>
                <w:ilvl w:val="0"/>
                <w:numId w:val="87"/>
              </w:numPr>
              <w:jc w:val="both"/>
              <w:rPr>
                <w:rFonts w:cs="Arial"/>
                <w:szCs w:val="20"/>
              </w:rPr>
            </w:pPr>
            <w:r w:rsidRPr="00E91165">
              <w:rPr>
                <w:rFonts w:ascii="Arial" w:hAnsi="Arial" w:cs="Arial"/>
                <w:sz w:val="20"/>
                <w:szCs w:val="20"/>
              </w:rPr>
              <w:t xml:space="preserve">opredeli vplive, tveganja in priložnosti ter </w:t>
            </w:r>
            <w:r>
              <w:rPr>
                <w:rFonts w:ascii="Arial" w:hAnsi="Arial" w:cs="Arial"/>
                <w:sz w:val="20"/>
                <w:szCs w:val="20"/>
              </w:rPr>
              <w:t>presodi</w:t>
            </w:r>
            <w:r w:rsidRPr="00E91165">
              <w:rPr>
                <w:rFonts w:ascii="Arial" w:hAnsi="Arial" w:cs="Arial"/>
                <w:sz w:val="20"/>
                <w:szCs w:val="20"/>
              </w:rPr>
              <w:t xml:space="preserve"> njihovo pomembnost</w:t>
            </w:r>
            <w:r>
              <w:rPr>
                <w:rFonts w:ascii="Arial" w:hAnsi="Arial" w:cs="Arial"/>
                <w:sz w:val="20"/>
                <w:szCs w:val="20"/>
              </w:rPr>
              <w:t>,</w:t>
            </w:r>
            <w:r w:rsidRPr="00E91165">
              <w:rPr>
                <w:rFonts w:ascii="Arial" w:hAnsi="Arial" w:cs="Arial"/>
                <w:sz w:val="20"/>
                <w:szCs w:val="20"/>
              </w:rPr>
              <w:t xml:space="preserve"> </w:t>
            </w:r>
          </w:p>
          <w:p w14:paraId="45B6333A" w14:textId="77777777" w:rsidR="000C08CA" w:rsidRPr="0034569C" w:rsidRDefault="000C08CA" w:rsidP="00FE328D">
            <w:pPr>
              <w:pStyle w:val="ListParagraph"/>
              <w:numPr>
                <w:ilvl w:val="0"/>
                <w:numId w:val="87"/>
              </w:numPr>
              <w:spacing w:after="0"/>
              <w:ind w:left="1797" w:hanging="357"/>
              <w:jc w:val="both"/>
              <w:rPr>
                <w:rFonts w:cs="Arial"/>
                <w:szCs w:val="20"/>
              </w:rPr>
            </w:pPr>
            <w:r w:rsidRPr="00E91165">
              <w:rPr>
                <w:rFonts w:ascii="Arial" w:hAnsi="Arial" w:cs="Arial"/>
                <w:sz w:val="20"/>
                <w:szCs w:val="20"/>
              </w:rPr>
              <w:t>s politikami in ukrepi upravlja pomembne trajnostnostne zadeve</w:t>
            </w:r>
            <w:r>
              <w:rPr>
                <w:rFonts w:ascii="Arial" w:hAnsi="Arial" w:cs="Arial"/>
                <w:sz w:val="20"/>
                <w:szCs w:val="20"/>
              </w:rPr>
              <w:t>,</w:t>
            </w:r>
            <w:r w:rsidRPr="00E91165">
              <w:rPr>
                <w:rFonts w:ascii="Arial" w:hAnsi="Arial" w:cs="Arial"/>
                <w:sz w:val="20"/>
                <w:szCs w:val="20"/>
              </w:rPr>
              <w:t xml:space="preserve"> </w:t>
            </w:r>
          </w:p>
          <w:p w14:paraId="79D808C4" w14:textId="77777777" w:rsidR="000C08CA" w:rsidRDefault="000C08CA" w:rsidP="00FE328D">
            <w:pPr>
              <w:ind w:left="720"/>
              <w:jc w:val="both"/>
              <w:rPr>
                <w:rFonts w:cs="Arial"/>
                <w:szCs w:val="20"/>
              </w:rPr>
            </w:pPr>
            <w:r w:rsidRPr="00B22ABF">
              <w:rPr>
                <w:rFonts w:cs="Arial"/>
                <w:szCs w:val="20"/>
              </w:rPr>
              <w:t>(d) metrike in cilji (MT): uspešnost podjetja, vključno z zastavljenimi cilji in napredkom pri njihovem doseganju.</w:t>
            </w:r>
          </w:p>
          <w:p w14:paraId="6FD53917" w14:textId="77777777" w:rsidR="000C08CA" w:rsidRPr="00B22ABF" w:rsidRDefault="000C08CA" w:rsidP="00FE328D">
            <w:pPr>
              <w:ind w:left="720"/>
              <w:jc w:val="both"/>
              <w:rPr>
                <w:rFonts w:cs="Arial"/>
                <w:szCs w:val="20"/>
              </w:rPr>
            </w:pPr>
          </w:p>
          <w:p w14:paraId="61FC2B27" w14:textId="77777777" w:rsidR="000C08CA" w:rsidRPr="00781C81" w:rsidRDefault="000C08CA" w:rsidP="00FE328D">
            <w:pPr>
              <w:jc w:val="both"/>
              <w:rPr>
                <w:rFonts w:cs="Arial"/>
                <w:szCs w:val="20"/>
              </w:rPr>
            </w:pPr>
            <w:r>
              <w:rPr>
                <w:rFonts w:cs="Arial"/>
                <w:szCs w:val="20"/>
              </w:rPr>
              <w:t xml:space="preserve">Družba, ki je zavezana pripraviti poročilo o trajnostnosti, bo morala izvesti </w:t>
            </w:r>
            <w:r w:rsidRPr="00DF4E4F">
              <w:rPr>
                <w:rFonts w:cs="Arial"/>
                <w:szCs w:val="20"/>
              </w:rPr>
              <w:t xml:space="preserve">postopek </w:t>
            </w:r>
            <w:r>
              <w:rPr>
                <w:rFonts w:cs="Arial"/>
                <w:szCs w:val="20"/>
              </w:rPr>
              <w:t>presojanja</w:t>
            </w:r>
            <w:r w:rsidRPr="00DF4E4F">
              <w:rPr>
                <w:rFonts w:cs="Arial"/>
                <w:szCs w:val="20"/>
              </w:rPr>
              <w:t xml:space="preserve"> pomembnosti</w:t>
            </w:r>
            <w:r>
              <w:rPr>
                <w:rFonts w:cs="Arial"/>
                <w:szCs w:val="20"/>
              </w:rPr>
              <w:t>, v katerem bo morala presoditi, katera tveganja ali vplivi so zanjo relevantni. Upošteva se torej vidik dvojne pomembnosti, na podlagi katerega se zahteva</w:t>
            </w:r>
            <w:r w:rsidRPr="00781C81">
              <w:rPr>
                <w:rFonts w:cs="Arial"/>
                <w:szCs w:val="20"/>
              </w:rPr>
              <w:t>, da morajo družbe poročati:</w:t>
            </w:r>
          </w:p>
          <w:p w14:paraId="2210647E" w14:textId="77777777" w:rsidR="000C08CA" w:rsidRPr="00781C81" w:rsidRDefault="000C08CA" w:rsidP="00FE328D">
            <w:pPr>
              <w:jc w:val="both"/>
              <w:rPr>
                <w:rFonts w:cs="Arial"/>
                <w:szCs w:val="20"/>
              </w:rPr>
            </w:pPr>
            <w:r w:rsidRPr="00781C81">
              <w:rPr>
                <w:rFonts w:cs="Arial"/>
                <w:szCs w:val="20"/>
              </w:rPr>
              <w:t>1)</w:t>
            </w:r>
            <w:r>
              <w:rPr>
                <w:rFonts w:cs="Arial"/>
                <w:szCs w:val="20"/>
              </w:rPr>
              <w:t xml:space="preserve"> o </w:t>
            </w:r>
            <w:r w:rsidRPr="00781C81">
              <w:rPr>
                <w:rFonts w:cs="Arial"/>
                <w:szCs w:val="20"/>
              </w:rPr>
              <w:t>tem</w:t>
            </w:r>
            <w:r>
              <w:rPr>
                <w:rFonts w:cs="Arial"/>
                <w:szCs w:val="20"/>
              </w:rPr>
              <w:t>,</w:t>
            </w:r>
            <w:r w:rsidRPr="00781C81">
              <w:rPr>
                <w:rFonts w:cs="Arial"/>
                <w:szCs w:val="20"/>
              </w:rPr>
              <w:t xml:space="preserve"> kako zadeve v zvezi s trajnostnostjo vplivajo na njihovo uspešnost, položaj in razvoj (vidik od zunaj navznoter), ter </w:t>
            </w:r>
          </w:p>
          <w:p w14:paraId="69EBE9C5" w14:textId="77777777" w:rsidR="000C08CA" w:rsidRDefault="000C08CA" w:rsidP="00FE328D">
            <w:pPr>
              <w:jc w:val="both"/>
              <w:rPr>
                <w:rFonts w:cs="Arial"/>
                <w:szCs w:val="20"/>
              </w:rPr>
            </w:pPr>
            <w:r w:rsidRPr="00781C81">
              <w:rPr>
                <w:rFonts w:cs="Arial"/>
                <w:szCs w:val="20"/>
              </w:rPr>
              <w:t>2)</w:t>
            </w:r>
            <w:r>
              <w:rPr>
                <w:rFonts w:cs="Arial"/>
                <w:szCs w:val="20"/>
              </w:rPr>
              <w:t xml:space="preserve"> o </w:t>
            </w:r>
            <w:r w:rsidRPr="00781C81">
              <w:rPr>
                <w:rFonts w:cs="Arial"/>
                <w:szCs w:val="20"/>
              </w:rPr>
              <w:t>njihovem vplivu na ljudi in okolje (vidik od znotraj navzven).</w:t>
            </w:r>
          </w:p>
          <w:p w14:paraId="1A742D05" w14:textId="77777777" w:rsidR="000C08CA" w:rsidRPr="00B22ABF" w:rsidRDefault="000C08CA" w:rsidP="00FE328D">
            <w:pPr>
              <w:spacing w:line="276" w:lineRule="auto"/>
              <w:jc w:val="both"/>
              <w:rPr>
                <w:rFonts w:cs="Arial"/>
                <w:szCs w:val="20"/>
              </w:rPr>
            </w:pPr>
            <w:r w:rsidRPr="00B22ABF">
              <w:rPr>
                <w:rFonts w:cs="Arial"/>
                <w:szCs w:val="20"/>
              </w:rPr>
              <w:t xml:space="preserve">Družba bo morala za vse standarde ter vse zahteve po razkritju in podatkovne točke v okviru posameznega standarda </w:t>
            </w:r>
            <w:r>
              <w:rPr>
                <w:rFonts w:cs="Arial"/>
                <w:szCs w:val="20"/>
              </w:rPr>
              <w:t>presoditi</w:t>
            </w:r>
            <w:r w:rsidRPr="00B22ABF">
              <w:rPr>
                <w:rFonts w:cs="Arial"/>
                <w:szCs w:val="20"/>
              </w:rPr>
              <w:t xml:space="preserve"> pomembnost, razen za zahteve po razkritju, določene v standardu Splošna razkritja</w:t>
            </w:r>
            <w:r>
              <w:rPr>
                <w:rFonts w:cs="Arial"/>
                <w:szCs w:val="20"/>
              </w:rPr>
              <w:t>;</w:t>
            </w:r>
            <w:r w:rsidRPr="00B22ABF">
              <w:rPr>
                <w:rFonts w:cs="Arial"/>
                <w:szCs w:val="20"/>
              </w:rPr>
              <w:t xml:space="preserve"> </w:t>
            </w:r>
          </w:p>
          <w:p w14:paraId="75EFD55B" w14:textId="77777777" w:rsidR="000C08CA" w:rsidRPr="00605612" w:rsidRDefault="000C08CA" w:rsidP="00FE328D">
            <w:pPr>
              <w:jc w:val="both"/>
              <w:rPr>
                <w:rFonts w:cs="Arial"/>
                <w:szCs w:val="20"/>
              </w:rPr>
            </w:pPr>
          </w:p>
          <w:p w14:paraId="0CD8FB46" w14:textId="77777777" w:rsidR="000C08CA" w:rsidRPr="00A11BE1" w:rsidRDefault="000C08CA" w:rsidP="00FE328D">
            <w:pPr>
              <w:pStyle w:val="ListParagraph"/>
              <w:numPr>
                <w:ilvl w:val="0"/>
                <w:numId w:val="88"/>
              </w:numPr>
              <w:jc w:val="both"/>
              <w:rPr>
                <w:rFonts w:cs="Arial"/>
                <w:szCs w:val="20"/>
                <w:u w:val="single"/>
              </w:rPr>
            </w:pPr>
            <w:r w:rsidRPr="00E91165">
              <w:rPr>
                <w:rFonts w:ascii="Arial" w:hAnsi="Arial" w:cs="Arial"/>
                <w:sz w:val="20"/>
                <w:szCs w:val="20"/>
                <w:u w:val="single"/>
              </w:rPr>
              <w:lastRenderedPageBreak/>
              <w:t xml:space="preserve">določa objava v enotni elektronski obliki </w:t>
            </w:r>
            <w:r>
              <w:rPr>
                <w:rFonts w:ascii="Arial" w:hAnsi="Arial" w:cs="Arial"/>
                <w:sz w:val="20"/>
                <w:szCs w:val="20"/>
                <w:u w:val="single"/>
              </w:rPr>
              <w:t>v</w:t>
            </w:r>
            <w:r w:rsidRPr="00E91165">
              <w:rPr>
                <w:rFonts w:ascii="Arial" w:hAnsi="Arial" w:cs="Arial"/>
                <w:sz w:val="20"/>
                <w:szCs w:val="20"/>
                <w:u w:val="single"/>
              </w:rPr>
              <w:t xml:space="preserve"> poslovne</w:t>
            </w:r>
            <w:r>
              <w:rPr>
                <w:rFonts w:ascii="Arial" w:hAnsi="Arial" w:cs="Arial"/>
                <w:sz w:val="20"/>
                <w:szCs w:val="20"/>
                <w:u w:val="single"/>
              </w:rPr>
              <w:t>m</w:t>
            </w:r>
            <w:r w:rsidRPr="00E91165">
              <w:rPr>
                <w:rFonts w:ascii="Arial" w:hAnsi="Arial" w:cs="Arial"/>
                <w:sz w:val="20"/>
                <w:szCs w:val="20"/>
                <w:u w:val="single"/>
              </w:rPr>
              <w:t xml:space="preserve"> poročil</w:t>
            </w:r>
            <w:r>
              <w:rPr>
                <w:rFonts w:ascii="Arial" w:hAnsi="Arial" w:cs="Arial"/>
                <w:sz w:val="20"/>
                <w:szCs w:val="20"/>
                <w:u w:val="single"/>
              </w:rPr>
              <w:t>u:</w:t>
            </w:r>
          </w:p>
          <w:p w14:paraId="7B2C5F9A" w14:textId="77777777" w:rsidR="000C08CA" w:rsidRPr="00605612" w:rsidRDefault="000C08CA" w:rsidP="00FE328D">
            <w:pPr>
              <w:jc w:val="both"/>
              <w:rPr>
                <w:rFonts w:cs="Arial"/>
                <w:szCs w:val="20"/>
              </w:rPr>
            </w:pPr>
            <w:r w:rsidRPr="00605612">
              <w:rPr>
                <w:rFonts w:cs="Arial"/>
                <w:szCs w:val="20"/>
              </w:rPr>
              <w:t>S predlogom zakona se vsem družbam, ki so zavezane pripraviti (konsolidirano</w:t>
            </w:r>
            <w:r>
              <w:rPr>
                <w:rFonts w:cs="Arial"/>
                <w:szCs w:val="20"/>
              </w:rPr>
              <w:t>)</w:t>
            </w:r>
            <w:r w:rsidRPr="00605612">
              <w:rPr>
                <w:rFonts w:cs="Arial"/>
                <w:szCs w:val="20"/>
              </w:rPr>
              <w:t xml:space="preserve"> poročilo o trajnostnosti, nalaga</w:t>
            </w:r>
            <w:r>
              <w:rPr>
                <w:rFonts w:cs="Arial"/>
                <w:szCs w:val="20"/>
              </w:rPr>
              <w:t>,</w:t>
            </w:r>
            <w:r w:rsidRPr="00605612">
              <w:rPr>
                <w:rFonts w:cs="Arial"/>
                <w:szCs w:val="20"/>
              </w:rPr>
              <w:t xml:space="preserve"> da predložijo Ajpes</w:t>
            </w:r>
            <w:r>
              <w:rPr>
                <w:rFonts w:cs="Arial"/>
                <w:szCs w:val="20"/>
              </w:rPr>
              <w:t>u</w:t>
            </w:r>
            <w:r w:rsidRPr="00605612">
              <w:rPr>
                <w:rFonts w:cs="Arial"/>
                <w:szCs w:val="20"/>
              </w:rPr>
              <w:t xml:space="preserve"> za javno objavo celotno letno poročilo, pripravljeno v enotni elektronski obliki (oblika XHTML), </w:t>
            </w:r>
            <w:r>
              <w:rPr>
                <w:rFonts w:cs="Arial"/>
                <w:szCs w:val="20"/>
              </w:rPr>
              <w:t>kot to</w:t>
            </w:r>
            <w:r w:rsidRPr="00605612">
              <w:rPr>
                <w:rFonts w:cs="Arial"/>
                <w:szCs w:val="20"/>
              </w:rPr>
              <w:t xml:space="preserve"> določa 3. člen ESEF uredb</w:t>
            </w:r>
            <w:r>
              <w:rPr>
                <w:rFonts w:cs="Arial"/>
                <w:szCs w:val="20"/>
              </w:rPr>
              <w:t>e</w:t>
            </w:r>
            <w:r w:rsidRPr="00605612">
              <w:rPr>
                <w:rFonts w:cs="Arial"/>
                <w:szCs w:val="20"/>
              </w:rPr>
              <w:t xml:space="preserve">, </w:t>
            </w:r>
            <w:r>
              <w:rPr>
                <w:rFonts w:cs="Arial"/>
                <w:szCs w:val="20"/>
              </w:rPr>
              <w:t>ta oblika</w:t>
            </w:r>
            <w:r w:rsidRPr="00605612">
              <w:rPr>
                <w:rFonts w:cs="Arial"/>
                <w:szCs w:val="20"/>
              </w:rPr>
              <w:t xml:space="preserve"> že velja za družbe</w:t>
            </w:r>
            <w:r>
              <w:rPr>
                <w:rFonts w:cs="Arial"/>
                <w:szCs w:val="20"/>
              </w:rPr>
              <w:t>, ki kotirajo na borzi</w:t>
            </w:r>
            <w:r w:rsidRPr="00605612">
              <w:rPr>
                <w:rFonts w:cs="Arial"/>
                <w:szCs w:val="20"/>
              </w:rPr>
              <w:t xml:space="preserve">. </w:t>
            </w:r>
            <w:r>
              <w:rPr>
                <w:rFonts w:cs="Arial"/>
                <w:szCs w:val="20"/>
              </w:rPr>
              <w:t>N</w:t>
            </w:r>
            <w:r w:rsidRPr="00605612">
              <w:rPr>
                <w:rFonts w:cs="Arial"/>
                <w:szCs w:val="20"/>
              </w:rPr>
              <w:t>alaga se jim</w:t>
            </w:r>
            <w:r>
              <w:rPr>
                <w:rFonts w:cs="Arial"/>
                <w:szCs w:val="20"/>
              </w:rPr>
              <w:t xml:space="preserve"> tudi</w:t>
            </w:r>
            <w:r w:rsidRPr="00605612">
              <w:rPr>
                <w:rFonts w:cs="Arial"/>
                <w:szCs w:val="20"/>
              </w:rPr>
              <w:t xml:space="preserve">, da poročilo o trajnostnosti, vključno z informacijami, ki jih je treba razkriti v skladu z 8. členom </w:t>
            </w:r>
            <w:r w:rsidRPr="002131B9">
              <w:rPr>
                <w:rFonts w:cs="Arial"/>
                <w:szCs w:val="20"/>
              </w:rPr>
              <w:t>Uredb</w:t>
            </w:r>
            <w:r>
              <w:rPr>
                <w:rFonts w:cs="Arial"/>
                <w:szCs w:val="20"/>
              </w:rPr>
              <w:t>e</w:t>
            </w:r>
            <w:r w:rsidRPr="002131B9">
              <w:rPr>
                <w:rFonts w:cs="Arial"/>
                <w:szCs w:val="20"/>
              </w:rPr>
              <w:t xml:space="preserve"> 2020/</w:t>
            </w:r>
            <w:r w:rsidRPr="00605612">
              <w:rPr>
                <w:rFonts w:cs="Arial"/>
                <w:szCs w:val="20"/>
              </w:rPr>
              <w:t>852</w:t>
            </w:r>
            <w:r>
              <w:rPr>
                <w:rFonts w:cs="Arial"/>
                <w:szCs w:val="20"/>
              </w:rPr>
              <w:t>/EU</w:t>
            </w:r>
            <w:r w:rsidRPr="00605612">
              <w:rPr>
                <w:rFonts w:cs="Arial"/>
                <w:szCs w:val="20"/>
              </w:rPr>
              <w:t>, opremijo z oznakami v skladu z elektronsko obliko poročanja, določeno v navedeni delegirani uredbi.</w:t>
            </w:r>
            <w:r>
              <w:t xml:space="preserve"> Komisija bo naknadno sprejela </w:t>
            </w:r>
            <w:r w:rsidRPr="007343CC">
              <w:rPr>
                <w:rFonts w:cs="Arial"/>
                <w:szCs w:val="20"/>
              </w:rPr>
              <w:t>digitalno taksonomijo (delegiran</w:t>
            </w:r>
            <w:r>
              <w:rPr>
                <w:rFonts w:cs="Arial"/>
                <w:szCs w:val="20"/>
              </w:rPr>
              <w:t>i</w:t>
            </w:r>
            <w:r w:rsidRPr="007343CC">
              <w:rPr>
                <w:rFonts w:cs="Arial"/>
                <w:szCs w:val="20"/>
              </w:rPr>
              <w:t xml:space="preserve"> akt, s katerim bo določila podlago za označevanje informacij o trajnostnosti)</w:t>
            </w:r>
            <w:r>
              <w:rPr>
                <w:rFonts w:cs="Arial"/>
                <w:szCs w:val="20"/>
              </w:rPr>
              <w:t>.</w:t>
            </w:r>
          </w:p>
          <w:p w14:paraId="705C9978" w14:textId="77777777" w:rsidR="000C08CA" w:rsidRPr="00B22ABF" w:rsidRDefault="000C08CA" w:rsidP="00FE328D">
            <w:pPr>
              <w:jc w:val="both"/>
              <w:rPr>
                <w:rFonts w:cs="Arial"/>
                <w:szCs w:val="20"/>
              </w:rPr>
            </w:pPr>
          </w:p>
          <w:p w14:paraId="2B787A9E" w14:textId="77777777" w:rsidR="000C08CA" w:rsidRPr="00B22ABF" w:rsidRDefault="000C08CA" w:rsidP="00FE328D">
            <w:pPr>
              <w:jc w:val="both"/>
              <w:rPr>
                <w:rFonts w:cs="Arial"/>
                <w:szCs w:val="20"/>
              </w:rPr>
            </w:pPr>
            <w:r>
              <w:rPr>
                <w:rFonts w:cs="Arial"/>
                <w:szCs w:val="20"/>
              </w:rPr>
              <w:t xml:space="preserve">V </w:t>
            </w:r>
            <w:r w:rsidRPr="00B22ABF">
              <w:rPr>
                <w:rFonts w:cs="Arial"/>
                <w:szCs w:val="20"/>
              </w:rPr>
              <w:t>člen</w:t>
            </w:r>
            <w:r>
              <w:rPr>
                <w:rFonts w:cs="Arial"/>
                <w:szCs w:val="20"/>
              </w:rPr>
              <w:t>u</w:t>
            </w:r>
            <w:r w:rsidRPr="00B22ABF">
              <w:rPr>
                <w:rFonts w:cs="Arial"/>
                <w:szCs w:val="20"/>
              </w:rPr>
              <w:t xml:space="preserve"> 29d Direktive 2013/34/EU </w:t>
            </w:r>
            <w:r>
              <w:rPr>
                <w:rFonts w:cs="Arial"/>
                <w:szCs w:val="20"/>
              </w:rPr>
              <w:t xml:space="preserve">je </w:t>
            </w:r>
            <w:r w:rsidRPr="00B22ABF">
              <w:rPr>
                <w:rFonts w:cs="Arial"/>
                <w:szCs w:val="20"/>
              </w:rPr>
              <w:t>določ</w:t>
            </w:r>
            <w:r>
              <w:rPr>
                <w:rFonts w:cs="Arial"/>
                <w:szCs w:val="20"/>
              </w:rPr>
              <w:t>en</w:t>
            </w:r>
            <w:r w:rsidRPr="00B22ABF">
              <w:rPr>
                <w:rFonts w:cs="Arial"/>
                <w:szCs w:val="20"/>
              </w:rPr>
              <w:t>a enotn</w:t>
            </w:r>
            <w:r>
              <w:rPr>
                <w:rFonts w:cs="Arial"/>
                <w:szCs w:val="20"/>
              </w:rPr>
              <w:t>a</w:t>
            </w:r>
            <w:r w:rsidRPr="00B22ABF">
              <w:rPr>
                <w:rFonts w:cs="Arial"/>
                <w:szCs w:val="20"/>
              </w:rPr>
              <w:t xml:space="preserve"> elektronsk</w:t>
            </w:r>
            <w:r>
              <w:rPr>
                <w:rFonts w:cs="Arial"/>
                <w:szCs w:val="20"/>
              </w:rPr>
              <w:t>a</w:t>
            </w:r>
            <w:r w:rsidRPr="00B22ABF">
              <w:rPr>
                <w:rFonts w:cs="Arial"/>
                <w:szCs w:val="20"/>
              </w:rPr>
              <w:t xml:space="preserve"> oblik</w:t>
            </w:r>
            <w:r>
              <w:rPr>
                <w:rFonts w:cs="Arial"/>
                <w:szCs w:val="20"/>
              </w:rPr>
              <w:t>a</w:t>
            </w:r>
            <w:r w:rsidRPr="00B22ABF">
              <w:rPr>
                <w:rFonts w:cs="Arial"/>
                <w:szCs w:val="20"/>
              </w:rPr>
              <w:t xml:space="preserve"> zgolj za </w:t>
            </w:r>
            <w:r>
              <w:rPr>
                <w:rFonts w:cs="Arial"/>
                <w:szCs w:val="20"/>
              </w:rPr>
              <w:t>(</w:t>
            </w:r>
            <w:r w:rsidRPr="00B22ABF">
              <w:rPr>
                <w:rFonts w:cs="Arial"/>
                <w:szCs w:val="20"/>
              </w:rPr>
              <w:t>konsolidirano</w:t>
            </w:r>
            <w:r>
              <w:rPr>
                <w:rFonts w:cs="Arial"/>
                <w:szCs w:val="20"/>
              </w:rPr>
              <w:t>)</w:t>
            </w:r>
            <w:r w:rsidRPr="00B22ABF">
              <w:rPr>
                <w:rFonts w:cs="Arial"/>
                <w:szCs w:val="20"/>
              </w:rPr>
              <w:t xml:space="preserve"> poslovno poročilo. Ker je letno poročilo s svojimi sestavnimi deli enovit dokument, iz katerega je mogoče izločiti in drugje objaviti le tiste dele, ki jih ZGD-1 posebej navaja, se je v predlogu zakona sledilo zgledu </w:t>
            </w:r>
            <w:r>
              <w:rPr>
                <w:rFonts w:cs="Arial"/>
                <w:szCs w:val="20"/>
              </w:rPr>
              <w:t xml:space="preserve">iz </w:t>
            </w:r>
            <w:r w:rsidRPr="00B22ABF">
              <w:rPr>
                <w:rFonts w:cs="Arial"/>
                <w:szCs w:val="20"/>
              </w:rPr>
              <w:t>četrtega odstavka 134. člena Zakona o trgu finančnih instrumentov (v nadalj</w:t>
            </w:r>
            <w:r>
              <w:rPr>
                <w:rFonts w:cs="Arial"/>
                <w:szCs w:val="20"/>
              </w:rPr>
              <w:t>njem</w:t>
            </w:r>
            <w:r w:rsidRPr="00B22ABF">
              <w:rPr>
                <w:rFonts w:cs="Arial"/>
                <w:szCs w:val="20"/>
              </w:rPr>
              <w:t xml:space="preserve"> besedil</w:t>
            </w:r>
            <w:r>
              <w:rPr>
                <w:rFonts w:cs="Arial"/>
                <w:szCs w:val="20"/>
              </w:rPr>
              <w:t>u</w:t>
            </w:r>
            <w:r w:rsidRPr="00B22ABF">
              <w:rPr>
                <w:rFonts w:cs="Arial"/>
                <w:szCs w:val="20"/>
              </w:rPr>
              <w:t>: ZTFI-1), ki podobno obveznost že določa za družbe, ki kotirajo na borzi. Posledično se družbe zaveže</w:t>
            </w:r>
            <w:r>
              <w:rPr>
                <w:rFonts w:cs="Arial"/>
                <w:szCs w:val="20"/>
              </w:rPr>
              <w:t>jo</w:t>
            </w:r>
            <w:r w:rsidRPr="00B22ABF">
              <w:rPr>
                <w:rFonts w:cs="Arial"/>
                <w:szCs w:val="20"/>
              </w:rPr>
              <w:t xml:space="preserve"> k pripravi celotnega letnega poročila v enotni elektronski obliki.</w:t>
            </w:r>
          </w:p>
          <w:p w14:paraId="4804DA23" w14:textId="77777777" w:rsidR="000C08CA" w:rsidRPr="00605612" w:rsidRDefault="000C08CA" w:rsidP="00FE328D">
            <w:pPr>
              <w:jc w:val="both"/>
              <w:rPr>
                <w:rFonts w:cs="Arial"/>
                <w:szCs w:val="20"/>
              </w:rPr>
            </w:pPr>
          </w:p>
          <w:p w14:paraId="7D314947" w14:textId="77777777" w:rsidR="000C08CA" w:rsidRPr="00A11BE1" w:rsidRDefault="000C08CA" w:rsidP="00FE328D">
            <w:pPr>
              <w:pStyle w:val="ListParagraph"/>
              <w:numPr>
                <w:ilvl w:val="0"/>
                <w:numId w:val="88"/>
              </w:numPr>
              <w:jc w:val="both"/>
              <w:rPr>
                <w:rFonts w:cs="Arial"/>
                <w:szCs w:val="20"/>
                <w:u w:val="single"/>
              </w:rPr>
            </w:pPr>
            <w:r w:rsidRPr="00E91165">
              <w:rPr>
                <w:rFonts w:ascii="Arial" w:hAnsi="Arial" w:cs="Arial"/>
                <w:sz w:val="20"/>
                <w:szCs w:val="20"/>
                <w:u w:val="single"/>
              </w:rPr>
              <w:t>določa pomembnejš</w:t>
            </w:r>
            <w:r>
              <w:rPr>
                <w:rFonts w:ascii="Arial" w:hAnsi="Arial" w:cs="Arial"/>
                <w:sz w:val="20"/>
                <w:szCs w:val="20"/>
                <w:u w:val="single"/>
              </w:rPr>
              <w:t>a</w:t>
            </w:r>
            <w:r w:rsidRPr="00E91165">
              <w:rPr>
                <w:rFonts w:ascii="Arial" w:hAnsi="Arial" w:cs="Arial"/>
                <w:sz w:val="20"/>
                <w:szCs w:val="20"/>
                <w:u w:val="single"/>
              </w:rPr>
              <w:t xml:space="preserve"> vlog</w:t>
            </w:r>
            <w:r>
              <w:rPr>
                <w:rFonts w:ascii="Arial" w:hAnsi="Arial" w:cs="Arial"/>
                <w:sz w:val="20"/>
                <w:szCs w:val="20"/>
                <w:u w:val="single"/>
              </w:rPr>
              <w:t>a</w:t>
            </w:r>
            <w:r w:rsidRPr="00E91165">
              <w:rPr>
                <w:rFonts w:ascii="Arial" w:hAnsi="Arial" w:cs="Arial"/>
                <w:sz w:val="20"/>
                <w:szCs w:val="20"/>
                <w:u w:val="single"/>
              </w:rPr>
              <w:t xml:space="preserve"> zakonitih revizorjev pri dajanju zagotovil v zvezi s poročanjem o trajnostnosti</w:t>
            </w:r>
            <w:r>
              <w:rPr>
                <w:rFonts w:ascii="Arial" w:hAnsi="Arial" w:cs="Arial"/>
                <w:sz w:val="20"/>
                <w:szCs w:val="20"/>
                <w:u w:val="single"/>
              </w:rPr>
              <w:t>:</w:t>
            </w:r>
          </w:p>
          <w:p w14:paraId="66D51D74" w14:textId="77777777" w:rsidR="000C08CA" w:rsidRPr="00605612" w:rsidRDefault="000C08CA" w:rsidP="00FE328D">
            <w:pPr>
              <w:jc w:val="both"/>
              <w:rPr>
                <w:rFonts w:cs="Arial"/>
                <w:szCs w:val="20"/>
              </w:rPr>
            </w:pPr>
            <w:r w:rsidRPr="00605612">
              <w:rPr>
                <w:rFonts w:cs="Arial"/>
                <w:szCs w:val="20"/>
              </w:rPr>
              <w:t xml:space="preserve">Glede na to, da bo poročilo o trajnostnosti del poslovnega poročila, ga bodo morali pregledati tudi revizorji ter podati </w:t>
            </w:r>
            <w:r w:rsidRPr="00E91165">
              <w:rPr>
                <w:rFonts w:cs="Arial"/>
                <w:szCs w:val="20"/>
              </w:rPr>
              <w:t>zagotovilo</w:t>
            </w:r>
            <w:r w:rsidRPr="00611751">
              <w:rPr>
                <w:rFonts w:cs="Arial"/>
                <w:szCs w:val="20"/>
              </w:rPr>
              <w:t xml:space="preserve"> o trajnostnosti</w:t>
            </w:r>
            <w:r w:rsidRPr="00605612">
              <w:rPr>
                <w:rFonts w:cs="Arial"/>
                <w:szCs w:val="20"/>
              </w:rPr>
              <w:t xml:space="preserve">. Celotno letno poročilo bo lahko </w:t>
            </w:r>
            <w:r>
              <w:rPr>
                <w:rFonts w:cs="Arial"/>
                <w:szCs w:val="20"/>
              </w:rPr>
              <w:t>pregledal</w:t>
            </w:r>
            <w:r w:rsidRPr="00605612">
              <w:rPr>
                <w:rFonts w:cs="Arial"/>
                <w:szCs w:val="20"/>
              </w:rPr>
              <w:t xml:space="preserve"> en revizor (revizijska družba), lahko pa bo družba za revizijo poročila o trajnostnosti angažirala drugega revizorja</w:t>
            </w:r>
            <w:r>
              <w:rPr>
                <w:rFonts w:cs="Arial"/>
                <w:szCs w:val="20"/>
              </w:rPr>
              <w:t>,</w:t>
            </w:r>
            <w:r w:rsidRPr="007C1043">
              <w:rPr>
                <w:rFonts w:cs="Arial"/>
                <w:szCs w:val="20"/>
              </w:rPr>
              <w:t xml:space="preserve"> kot je tisti, ki pregled</w:t>
            </w:r>
            <w:r>
              <w:rPr>
                <w:rFonts w:cs="Arial"/>
                <w:szCs w:val="20"/>
              </w:rPr>
              <w:t>a</w:t>
            </w:r>
            <w:r w:rsidRPr="007C1043">
              <w:rPr>
                <w:rFonts w:cs="Arial"/>
                <w:szCs w:val="20"/>
              </w:rPr>
              <w:t xml:space="preserve"> preostal</w:t>
            </w:r>
            <w:r>
              <w:rPr>
                <w:rFonts w:cs="Arial"/>
                <w:szCs w:val="20"/>
              </w:rPr>
              <w:t>i</w:t>
            </w:r>
            <w:r w:rsidRPr="007C1043">
              <w:rPr>
                <w:rFonts w:cs="Arial"/>
                <w:szCs w:val="20"/>
              </w:rPr>
              <w:t xml:space="preserve"> del letnega poročila</w:t>
            </w:r>
            <w:r w:rsidRPr="00605612">
              <w:rPr>
                <w:rFonts w:cs="Arial"/>
                <w:szCs w:val="20"/>
              </w:rPr>
              <w:t xml:space="preserve">. </w:t>
            </w:r>
          </w:p>
          <w:p w14:paraId="18D7E44D" w14:textId="77777777" w:rsidR="000C08CA" w:rsidRPr="00B22ABF" w:rsidRDefault="000C08CA" w:rsidP="00FE328D">
            <w:pPr>
              <w:jc w:val="both"/>
              <w:rPr>
                <w:rFonts w:cs="Arial"/>
                <w:szCs w:val="20"/>
              </w:rPr>
            </w:pPr>
          </w:p>
          <w:p w14:paraId="2D5E2CCC" w14:textId="77777777" w:rsidR="000C08CA" w:rsidRDefault="000C08CA" w:rsidP="00FE328D">
            <w:pPr>
              <w:jc w:val="both"/>
              <w:rPr>
                <w:rFonts w:cs="Arial"/>
                <w:szCs w:val="20"/>
              </w:rPr>
            </w:pPr>
            <w:r w:rsidRPr="00B22ABF">
              <w:rPr>
                <w:rFonts w:cs="Arial"/>
                <w:szCs w:val="20"/>
              </w:rPr>
              <w:t xml:space="preserve">Podrobneje bodo obveznosti revizorja opredeljene v </w:t>
            </w:r>
            <w:r>
              <w:rPr>
                <w:rFonts w:cs="Arial"/>
                <w:szCs w:val="20"/>
              </w:rPr>
              <w:t xml:space="preserve">ZRev-2, ki prenaša del določb Direktive </w:t>
            </w:r>
            <w:r w:rsidRPr="00F966B5">
              <w:rPr>
                <w:rFonts w:cs="Arial"/>
                <w:szCs w:val="20"/>
              </w:rPr>
              <w:t>2022/2464</w:t>
            </w:r>
            <w:r>
              <w:rPr>
                <w:rFonts w:cs="Arial"/>
                <w:szCs w:val="20"/>
              </w:rPr>
              <w:t>/EU</w:t>
            </w:r>
            <w:r w:rsidRPr="00B22ABF">
              <w:rPr>
                <w:rFonts w:cs="Arial"/>
                <w:szCs w:val="20"/>
              </w:rPr>
              <w:t>. Sprva se bo za poročilo o trajnostnosti zahtevalo mnenje na podlagi posla dajanja omejenega zagotovila glede skladnosti poročanja o trajnostnosti. Ko bo</w:t>
            </w:r>
            <w:r>
              <w:rPr>
                <w:rFonts w:cs="Arial"/>
                <w:szCs w:val="20"/>
              </w:rPr>
              <w:t xml:space="preserve"> to</w:t>
            </w:r>
            <w:r w:rsidRPr="00B22ABF">
              <w:rPr>
                <w:rFonts w:cs="Arial"/>
                <w:szCs w:val="20"/>
              </w:rPr>
              <w:t xml:space="preserve"> primern</w:t>
            </w:r>
            <w:r>
              <w:rPr>
                <w:rFonts w:cs="Arial"/>
                <w:szCs w:val="20"/>
              </w:rPr>
              <w:t>o,</w:t>
            </w:r>
            <w:r w:rsidRPr="00B22ABF">
              <w:rPr>
                <w:rFonts w:cs="Arial"/>
                <w:szCs w:val="20"/>
              </w:rPr>
              <w:t xml:space="preserve"> se bo zagotovilo na poročilo o trajnostnosti spremenilo in bo </w:t>
            </w:r>
            <w:r>
              <w:rPr>
                <w:rFonts w:cs="Arial"/>
                <w:szCs w:val="20"/>
              </w:rPr>
              <w:t>treba</w:t>
            </w:r>
            <w:r w:rsidRPr="00B22ABF">
              <w:rPr>
                <w:rFonts w:cs="Arial"/>
                <w:szCs w:val="20"/>
              </w:rPr>
              <w:t xml:space="preserve"> podati mnenje na podlagi posla dajanja razumnega zagotovila – to bo izvedeno na podlagi delegiranih aktov Komisij</w:t>
            </w:r>
            <w:r>
              <w:rPr>
                <w:rFonts w:cs="Arial"/>
                <w:szCs w:val="20"/>
              </w:rPr>
              <w:t>e</w:t>
            </w:r>
            <w:r w:rsidRPr="00B22ABF">
              <w:rPr>
                <w:rFonts w:cs="Arial"/>
                <w:szCs w:val="20"/>
              </w:rPr>
              <w:t xml:space="preserve"> po predhodni </w:t>
            </w:r>
            <w:r>
              <w:rPr>
                <w:rFonts w:cs="Arial"/>
                <w:szCs w:val="20"/>
              </w:rPr>
              <w:t>presoji</w:t>
            </w:r>
            <w:r w:rsidRPr="00B22ABF">
              <w:rPr>
                <w:rFonts w:cs="Arial"/>
                <w:szCs w:val="20"/>
              </w:rPr>
              <w:t xml:space="preserve"> primernosti</w:t>
            </w:r>
            <w:r>
              <w:rPr>
                <w:rFonts w:cs="Arial"/>
                <w:szCs w:val="20"/>
              </w:rPr>
              <w:t>;</w:t>
            </w:r>
            <w:r w:rsidRPr="00B22ABF">
              <w:rPr>
                <w:rFonts w:cs="Arial"/>
                <w:szCs w:val="20"/>
              </w:rPr>
              <w:t xml:space="preserve"> </w:t>
            </w:r>
          </w:p>
          <w:p w14:paraId="10E96B40" w14:textId="77777777" w:rsidR="000C08CA" w:rsidRPr="00605612" w:rsidRDefault="000C08CA" w:rsidP="00FE328D">
            <w:pPr>
              <w:jc w:val="both"/>
              <w:rPr>
                <w:rFonts w:cs="Arial"/>
                <w:szCs w:val="20"/>
              </w:rPr>
            </w:pPr>
          </w:p>
          <w:p w14:paraId="65C42142" w14:textId="77777777" w:rsidR="000C08CA" w:rsidRDefault="000C08CA" w:rsidP="00FE328D">
            <w:pPr>
              <w:pStyle w:val="ListParagraph"/>
              <w:numPr>
                <w:ilvl w:val="0"/>
                <w:numId w:val="88"/>
              </w:numPr>
              <w:jc w:val="both"/>
              <w:rPr>
                <w:rFonts w:ascii="Arial" w:hAnsi="Arial" w:cs="Arial"/>
                <w:sz w:val="20"/>
                <w:szCs w:val="20"/>
                <w:u w:val="single"/>
              </w:rPr>
            </w:pPr>
            <w:r>
              <w:rPr>
                <w:rFonts w:ascii="Arial" w:hAnsi="Arial" w:cs="Arial"/>
                <w:sz w:val="20"/>
                <w:szCs w:val="20"/>
                <w:u w:val="single"/>
              </w:rPr>
              <w:t xml:space="preserve">določa </w:t>
            </w:r>
            <w:r w:rsidRPr="00B22FF6">
              <w:rPr>
                <w:rFonts w:ascii="Arial" w:hAnsi="Arial" w:cs="Arial"/>
                <w:sz w:val="20"/>
                <w:szCs w:val="20"/>
                <w:u w:val="single"/>
              </w:rPr>
              <w:t xml:space="preserve">obveznost predložitve </w:t>
            </w:r>
            <w:r>
              <w:rPr>
                <w:rFonts w:ascii="Arial" w:hAnsi="Arial" w:cs="Arial"/>
                <w:sz w:val="20"/>
                <w:szCs w:val="20"/>
                <w:u w:val="single"/>
              </w:rPr>
              <w:t xml:space="preserve">posebnega </w:t>
            </w:r>
            <w:r w:rsidRPr="00B22FF6">
              <w:rPr>
                <w:rFonts w:ascii="Arial" w:hAnsi="Arial" w:cs="Arial"/>
                <w:sz w:val="20"/>
                <w:szCs w:val="20"/>
                <w:u w:val="single"/>
              </w:rPr>
              <w:t>poročila o trajnostnosti za odvisne družbe, ki jih obvladuje družba iz tretje države</w:t>
            </w:r>
            <w:r>
              <w:rPr>
                <w:rFonts w:ascii="Arial" w:hAnsi="Arial" w:cs="Arial"/>
                <w:sz w:val="20"/>
                <w:szCs w:val="20"/>
                <w:u w:val="single"/>
              </w:rPr>
              <w:t xml:space="preserve"> (poročilo o trajnostnosti v zvezi s tujim podjetjem iz tretje države):</w:t>
            </w:r>
            <w:r w:rsidRPr="00B22FF6">
              <w:rPr>
                <w:rFonts w:ascii="Arial" w:hAnsi="Arial" w:cs="Arial"/>
                <w:sz w:val="20"/>
                <w:szCs w:val="20"/>
                <w:u w:val="single"/>
              </w:rPr>
              <w:t xml:space="preserve"> </w:t>
            </w:r>
          </w:p>
          <w:p w14:paraId="303CC4DB" w14:textId="77777777" w:rsidR="000C08CA" w:rsidRPr="00E91165" w:rsidRDefault="000C08CA" w:rsidP="00FE328D">
            <w:pPr>
              <w:pStyle w:val="ListParagraph"/>
              <w:ind w:left="360"/>
              <w:jc w:val="both"/>
              <w:rPr>
                <w:rFonts w:ascii="Arial" w:hAnsi="Arial" w:cs="Arial"/>
                <w:sz w:val="20"/>
                <w:szCs w:val="20"/>
              </w:rPr>
            </w:pPr>
          </w:p>
          <w:p w14:paraId="2658E445" w14:textId="77777777" w:rsidR="000C08CA" w:rsidRDefault="000C08CA" w:rsidP="00FE328D">
            <w:pPr>
              <w:pStyle w:val="ListParagraph"/>
              <w:ind w:left="0"/>
              <w:jc w:val="both"/>
              <w:rPr>
                <w:rFonts w:ascii="Arial" w:hAnsi="Arial" w:cs="Arial"/>
                <w:sz w:val="20"/>
                <w:szCs w:val="20"/>
              </w:rPr>
            </w:pPr>
            <w:r w:rsidRPr="00E91165">
              <w:rPr>
                <w:rFonts w:ascii="Arial" w:hAnsi="Arial" w:cs="Arial"/>
                <w:sz w:val="20"/>
                <w:szCs w:val="20"/>
              </w:rPr>
              <w:t xml:space="preserve">Zavezana je odvisna družba, ki mora pripraviti poročilo o trajnostnosti </w:t>
            </w:r>
            <w:r w:rsidRPr="007958B8">
              <w:rPr>
                <w:rFonts w:ascii="Arial" w:hAnsi="Arial" w:cs="Arial"/>
                <w:sz w:val="20"/>
                <w:szCs w:val="20"/>
              </w:rPr>
              <w:t xml:space="preserve">v skladu s 70.c členom </w:t>
            </w:r>
            <w:r>
              <w:rPr>
                <w:rFonts w:ascii="Arial" w:hAnsi="Arial" w:cs="Arial"/>
                <w:sz w:val="20"/>
                <w:szCs w:val="20"/>
              </w:rPr>
              <w:t xml:space="preserve">ZGD-1 </w:t>
            </w:r>
            <w:r w:rsidRPr="007958B8">
              <w:rPr>
                <w:rFonts w:ascii="Arial" w:hAnsi="Arial" w:cs="Arial"/>
                <w:sz w:val="20"/>
                <w:szCs w:val="20"/>
              </w:rPr>
              <w:t>in ki je v skupini, v kateri je zavezano pripraviti konsolidirano letno poročilo za najširši krog družb v skupini tuje podjetje iz tretje države</w:t>
            </w:r>
            <w:r w:rsidRPr="00E91165">
              <w:rPr>
                <w:rFonts w:ascii="Arial" w:hAnsi="Arial" w:cs="Arial"/>
                <w:sz w:val="20"/>
                <w:szCs w:val="20"/>
              </w:rPr>
              <w:t xml:space="preserve"> (</w:t>
            </w:r>
            <w:r w:rsidRPr="00DC4BD8">
              <w:rPr>
                <w:rFonts w:ascii="Arial" w:hAnsi="Arial" w:cs="Arial"/>
                <w:sz w:val="20"/>
                <w:szCs w:val="20"/>
              </w:rPr>
              <w:t>če čisti prihodki od prodaje na ravni skupine v Evropski uniji na podlagi podatkov zadnjih dveh zaporednih poslovnih let na bilančni presečni dan bilance stanja obakrat presežejo 150.000.000 eurov</w:t>
            </w:r>
            <w:r w:rsidRPr="00E91165">
              <w:rPr>
                <w:rFonts w:ascii="Arial" w:hAnsi="Arial" w:cs="Arial"/>
                <w:sz w:val="20"/>
                <w:szCs w:val="20"/>
              </w:rPr>
              <w:t>). Odvisna družba zaradi javne objave v 12 mesecih po koncu poslovnega leta predloži Ajpes</w:t>
            </w:r>
            <w:r>
              <w:rPr>
                <w:rFonts w:ascii="Arial" w:hAnsi="Arial" w:cs="Arial"/>
                <w:sz w:val="20"/>
                <w:szCs w:val="20"/>
              </w:rPr>
              <w:t>u</w:t>
            </w:r>
            <w:r w:rsidRPr="00E91165">
              <w:rPr>
                <w:rFonts w:ascii="Arial" w:hAnsi="Arial" w:cs="Arial"/>
                <w:sz w:val="20"/>
                <w:szCs w:val="20"/>
              </w:rPr>
              <w:t xml:space="preserve"> </w:t>
            </w:r>
            <w:r>
              <w:rPr>
                <w:rFonts w:ascii="Arial" w:hAnsi="Arial" w:cs="Arial"/>
                <w:sz w:val="20"/>
                <w:szCs w:val="20"/>
              </w:rPr>
              <w:t xml:space="preserve">posebno </w:t>
            </w:r>
            <w:r w:rsidRPr="00E91165">
              <w:rPr>
                <w:rFonts w:ascii="Arial" w:hAnsi="Arial" w:cs="Arial"/>
                <w:sz w:val="20"/>
                <w:szCs w:val="20"/>
              </w:rPr>
              <w:t>poročilo o trajnostnosti</w:t>
            </w:r>
            <w:r>
              <w:t xml:space="preserve"> </w:t>
            </w:r>
            <w:r w:rsidRPr="001B29FE">
              <w:rPr>
                <w:rFonts w:ascii="Arial" w:hAnsi="Arial" w:cs="Arial"/>
                <w:sz w:val="20"/>
                <w:szCs w:val="20"/>
              </w:rPr>
              <w:t>v zvezi s tujim podjetjem iz tretje države</w:t>
            </w:r>
            <w:r w:rsidRPr="00E91165">
              <w:rPr>
                <w:rFonts w:ascii="Arial" w:hAnsi="Arial" w:cs="Arial"/>
                <w:sz w:val="20"/>
                <w:szCs w:val="20"/>
              </w:rPr>
              <w:t xml:space="preserve">, ki vsebuje informacije na ravni skupine. </w:t>
            </w:r>
          </w:p>
          <w:p w14:paraId="3B39F552" w14:textId="77777777" w:rsidR="000C08CA" w:rsidRDefault="000C08CA" w:rsidP="00FE328D">
            <w:pPr>
              <w:pStyle w:val="ListParagraph"/>
              <w:ind w:left="0"/>
              <w:jc w:val="both"/>
              <w:rPr>
                <w:rFonts w:ascii="Arial" w:hAnsi="Arial" w:cs="Arial"/>
                <w:sz w:val="20"/>
                <w:szCs w:val="20"/>
              </w:rPr>
            </w:pPr>
            <w:r w:rsidRPr="00E91165">
              <w:rPr>
                <w:rFonts w:ascii="Arial" w:hAnsi="Arial" w:cs="Arial"/>
                <w:sz w:val="20"/>
                <w:szCs w:val="20"/>
              </w:rPr>
              <w:t>To poročilo pripravi bodisi obvladujoča družba bodisi odvisna družba na podlagi informacij, ki jih ima in pridobi od obvladujoče družbe (če nima vseh informacij</w:t>
            </w:r>
            <w:r>
              <w:rPr>
                <w:rFonts w:ascii="Arial" w:hAnsi="Arial" w:cs="Arial"/>
                <w:sz w:val="20"/>
                <w:szCs w:val="20"/>
              </w:rPr>
              <w:t>,</w:t>
            </w:r>
            <w:r w:rsidRPr="00E91165">
              <w:rPr>
                <w:rFonts w:ascii="Arial" w:hAnsi="Arial" w:cs="Arial"/>
                <w:sz w:val="20"/>
                <w:szCs w:val="20"/>
              </w:rPr>
              <w:t xml:space="preserve"> to izjavi v poročilu). Poročilo o trajnostnosti mora biti skladno s standardi poročanja o trajnostnosti. </w:t>
            </w:r>
            <w:r>
              <w:rPr>
                <w:rFonts w:ascii="Arial" w:hAnsi="Arial" w:cs="Arial"/>
                <w:sz w:val="20"/>
                <w:szCs w:val="20"/>
              </w:rPr>
              <w:t>P</w:t>
            </w:r>
            <w:r w:rsidRPr="00E91165">
              <w:rPr>
                <w:rFonts w:ascii="Arial" w:hAnsi="Arial" w:cs="Arial"/>
                <w:sz w:val="20"/>
                <w:szCs w:val="20"/>
              </w:rPr>
              <w:t xml:space="preserve">redloženo mora biti tudi </w:t>
            </w:r>
            <w:r w:rsidRPr="008D5E41">
              <w:rPr>
                <w:rFonts w:ascii="Arial" w:hAnsi="Arial" w:cs="Arial"/>
                <w:sz w:val="20"/>
                <w:szCs w:val="20"/>
              </w:rPr>
              <w:t>mnenje o skladnosti poročila o trajnostnosti s pravili trajnostnega poročanja</w:t>
            </w:r>
            <w:r w:rsidRPr="008A0873">
              <w:rPr>
                <w:rFonts w:ascii="Arial" w:hAnsi="Arial" w:cs="Arial"/>
                <w:sz w:val="20"/>
                <w:szCs w:val="20"/>
              </w:rPr>
              <w:t>, izdan</w:t>
            </w:r>
            <w:r>
              <w:rPr>
                <w:rFonts w:ascii="Arial" w:hAnsi="Arial" w:cs="Arial"/>
                <w:sz w:val="20"/>
                <w:szCs w:val="20"/>
              </w:rPr>
              <w:t>o</w:t>
            </w:r>
            <w:r w:rsidRPr="008A0873">
              <w:rPr>
                <w:rFonts w:ascii="Arial" w:hAnsi="Arial" w:cs="Arial"/>
                <w:sz w:val="20"/>
                <w:szCs w:val="20"/>
              </w:rPr>
              <w:t xml:space="preserve"> v skladu s tem zakonom ali nacionalnim pravom države obvladujoče družbe </w:t>
            </w:r>
            <w:r w:rsidRPr="00E91165">
              <w:rPr>
                <w:rFonts w:ascii="Arial" w:hAnsi="Arial" w:cs="Arial"/>
                <w:sz w:val="20"/>
                <w:szCs w:val="20"/>
              </w:rPr>
              <w:t>(če tega obvladujoča družba ne predloži</w:t>
            </w:r>
            <w:r>
              <w:rPr>
                <w:rFonts w:ascii="Arial" w:hAnsi="Arial" w:cs="Arial"/>
                <w:sz w:val="20"/>
                <w:szCs w:val="20"/>
              </w:rPr>
              <w:t>,</w:t>
            </w:r>
            <w:r w:rsidRPr="00E91165">
              <w:rPr>
                <w:rFonts w:ascii="Arial" w:hAnsi="Arial" w:cs="Arial"/>
                <w:sz w:val="20"/>
                <w:szCs w:val="20"/>
              </w:rPr>
              <w:t xml:space="preserve"> odvisna družba to izjavi v poročilu). </w:t>
            </w:r>
          </w:p>
          <w:p w14:paraId="398524DB" w14:textId="77777777" w:rsidR="000C08CA" w:rsidRDefault="000C08CA" w:rsidP="00FE328D">
            <w:pPr>
              <w:pStyle w:val="ListParagraph"/>
              <w:ind w:left="0"/>
              <w:jc w:val="both"/>
              <w:rPr>
                <w:rFonts w:ascii="Arial" w:hAnsi="Arial" w:cs="Arial"/>
                <w:sz w:val="20"/>
                <w:szCs w:val="20"/>
              </w:rPr>
            </w:pPr>
          </w:p>
          <w:p w14:paraId="43E3A5C6" w14:textId="77777777" w:rsidR="000C08CA" w:rsidRDefault="000C08CA" w:rsidP="00FE328D">
            <w:pPr>
              <w:pStyle w:val="ListParagraph"/>
              <w:ind w:left="0"/>
              <w:jc w:val="both"/>
              <w:rPr>
                <w:rFonts w:ascii="Arial" w:hAnsi="Arial" w:cs="Arial"/>
                <w:sz w:val="20"/>
                <w:szCs w:val="20"/>
              </w:rPr>
            </w:pPr>
            <w:r w:rsidRPr="00E91165">
              <w:rPr>
                <w:rFonts w:ascii="Arial" w:hAnsi="Arial" w:cs="Arial"/>
                <w:sz w:val="20"/>
                <w:szCs w:val="20"/>
              </w:rPr>
              <w:t>Podobn</w:t>
            </w:r>
            <w:r>
              <w:rPr>
                <w:rFonts w:ascii="Arial" w:hAnsi="Arial" w:cs="Arial"/>
                <w:sz w:val="20"/>
                <w:szCs w:val="20"/>
              </w:rPr>
              <w:t>a</w:t>
            </w:r>
            <w:r w:rsidRPr="00E91165">
              <w:rPr>
                <w:rFonts w:ascii="Arial" w:hAnsi="Arial" w:cs="Arial"/>
                <w:sz w:val="20"/>
                <w:szCs w:val="20"/>
              </w:rPr>
              <w:t xml:space="preserve"> obveznost se določa tudi za podružnico tujega podjetja iz tretje države, kadar ta v predhodnem poslovnem letu ustvari </w:t>
            </w:r>
            <w:r w:rsidRPr="00A221BD">
              <w:rPr>
                <w:rFonts w:ascii="Arial" w:hAnsi="Arial" w:cs="Arial"/>
                <w:sz w:val="20"/>
                <w:szCs w:val="20"/>
              </w:rPr>
              <w:t xml:space="preserve">čiste prihodke od prodaje </w:t>
            </w:r>
            <w:r w:rsidRPr="00E91165">
              <w:rPr>
                <w:rFonts w:ascii="Arial" w:hAnsi="Arial" w:cs="Arial"/>
                <w:sz w:val="20"/>
                <w:szCs w:val="20"/>
              </w:rPr>
              <w:t>v višini več kot 40 milijonov EUR</w:t>
            </w:r>
            <w:r>
              <w:rPr>
                <w:rFonts w:ascii="Arial" w:hAnsi="Arial" w:cs="Arial"/>
                <w:sz w:val="20"/>
                <w:szCs w:val="20"/>
              </w:rPr>
              <w:t>;</w:t>
            </w:r>
          </w:p>
          <w:p w14:paraId="0F5B69F6" w14:textId="77777777" w:rsidR="000C08CA" w:rsidRPr="00E91165" w:rsidRDefault="000C08CA" w:rsidP="00FE328D">
            <w:pPr>
              <w:pStyle w:val="ListParagraph"/>
              <w:ind w:left="360"/>
              <w:jc w:val="both"/>
              <w:rPr>
                <w:rFonts w:ascii="Arial" w:hAnsi="Arial" w:cs="Arial"/>
                <w:sz w:val="20"/>
                <w:szCs w:val="20"/>
              </w:rPr>
            </w:pPr>
          </w:p>
          <w:p w14:paraId="40FCAB5A" w14:textId="77777777" w:rsidR="000C08CA" w:rsidRPr="00E91165" w:rsidRDefault="000C08CA" w:rsidP="00FE328D">
            <w:pPr>
              <w:pStyle w:val="ListParagraph"/>
              <w:numPr>
                <w:ilvl w:val="0"/>
                <w:numId w:val="88"/>
              </w:numPr>
              <w:jc w:val="both"/>
              <w:rPr>
                <w:rFonts w:cs="Arial"/>
                <w:szCs w:val="20"/>
                <w:u w:val="single"/>
              </w:rPr>
            </w:pPr>
            <w:r w:rsidRPr="00E91165">
              <w:rPr>
                <w:rFonts w:ascii="Arial" w:hAnsi="Arial" w:cs="Arial"/>
                <w:sz w:val="20"/>
                <w:szCs w:val="20"/>
                <w:u w:val="single"/>
              </w:rPr>
              <w:t>dopolnjujejo kazenske določbe ZGD-1 v zvezi s poročilom o trajnostnosti</w:t>
            </w:r>
            <w:r>
              <w:rPr>
                <w:rFonts w:ascii="Arial" w:hAnsi="Arial" w:cs="Arial"/>
                <w:sz w:val="20"/>
                <w:szCs w:val="20"/>
                <w:u w:val="single"/>
              </w:rPr>
              <w:t>:</w:t>
            </w:r>
          </w:p>
          <w:p w14:paraId="3846833F" w14:textId="77777777" w:rsidR="000C08CA" w:rsidRPr="00605612" w:rsidRDefault="000C08CA" w:rsidP="00FE328D">
            <w:pPr>
              <w:jc w:val="both"/>
              <w:rPr>
                <w:rFonts w:cs="Arial"/>
                <w:szCs w:val="20"/>
              </w:rPr>
            </w:pPr>
            <w:r>
              <w:rPr>
                <w:rFonts w:cs="Arial"/>
                <w:szCs w:val="20"/>
              </w:rPr>
              <w:lastRenderedPageBreak/>
              <w:t>M</w:t>
            </w:r>
            <w:r w:rsidRPr="00605612">
              <w:rPr>
                <w:rFonts w:cs="Arial"/>
                <w:szCs w:val="20"/>
              </w:rPr>
              <w:t xml:space="preserve">ed prekrške družbe (686. člen ZGD-1) in prekrške tujega podjetja, ki je ustanovilo podružnico (687. člen ZGD-1), </w:t>
            </w:r>
            <w:r>
              <w:rPr>
                <w:rFonts w:cs="Arial"/>
                <w:szCs w:val="20"/>
              </w:rPr>
              <w:t xml:space="preserve">se </w:t>
            </w:r>
            <w:r w:rsidRPr="00605612">
              <w:rPr>
                <w:rFonts w:cs="Arial"/>
                <w:szCs w:val="20"/>
              </w:rPr>
              <w:t xml:space="preserve">vključi prekršek zaradi nepredložitve poročila o trajnostnosti </w:t>
            </w:r>
            <w:r>
              <w:rPr>
                <w:rFonts w:cs="Arial"/>
                <w:szCs w:val="20"/>
              </w:rPr>
              <w:t xml:space="preserve">v zvezi s tujim podjetjem iz tretje države </w:t>
            </w:r>
            <w:r w:rsidRPr="00605612">
              <w:rPr>
                <w:rFonts w:cs="Arial"/>
                <w:szCs w:val="20"/>
              </w:rPr>
              <w:t>Ajpes</w:t>
            </w:r>
            <w:r>
              <w:rPr>
                <w:rFonts w:cs="Arial"/>
                <w:szCs w:val="20"/>
              </w:rPr>
              <w:t>u</w:t>
            </w:r>
            <w:r w:rsidRPr="00605612">
              <w:rPr>
                <w:rFonts w:cs="Arial"/>
                <w:szCs w:val="20"/>
              </w:rPr>
              <w:t xml:space="preserve"> zaradi javne objave. </w:t>
            </w:r>
          </w:p>
          <w:p w14:paraId="0425E2C7" w14:textId="77777777" w:rsidR="000C08CA" w:rsidRPr="00605612" w:rsidRDefault="000C08CA" w:rsidP="00FE328D">
            <w:pPr>
              <w:pStyle w:val="ListParagraph"/>
              <w:overflowPunct w:val="0"/>
              <w:autoSpaceDE w:val="0"/>
              <w:autoSpaceDN w:val="0"/>
              <w:adjustRightInd w:val="0"/>
              <w:jc w:val="both"/>
              <w:textAlignment w:val="baseline"/>
              <w:rPr>
                <w:rFonts w:ascii="Arial" w:hAnsi="Arial" w:cs="Arial"/>
                <w:color w:val="000000" w:themeColor="text1"/>
                <w:sz w:val="20"/>
                <w:szCs w:val="20"/>
                <w:u w:val="single"/>
              </w:rPr>
            </w:pPr>
          </w:p>
          <w:p w14:paraId="3C79AC6F" w14:textId="77777777" w:rsidR="000C08CA" w:rsidRPr="00605612" w:rsidRDefault="000C08CA" w:rsidP="00FE328D">
            <w:pPr>
              <w:pStyle w:val="ListParagraph"/>
              <w:numPr>
                <w:ilvl w:val="0"/>
                <w:numId w:val="8"/>
              </w:numPr>
              <w:overflowPunct w:val="0"/>
              <w:autoSpaceDE w:val="0"/>
              <w:autoSpaceDN w:val="0"/>
              <w:adjustRightInd w:val="0"/>
              <w:jc w:val="both"/>
              <w:textAlignment w:val="baseline"/>
              <w:rPr>
                <w:rFonts w:ascii="Arial" w:hAnsi="Arial" w:cs="Arial"/>
                <w:color w:val="000000" w:themeColor="text1"/>
                <w:sz w:val="20"/>
                <w:szCs w:val="20"/>
                <w:u w:val="single"/>
              </w:rPr>
            </w:pPr>
            <w:r w:rsidRPr="00605612">
              <w:rPr>
                <w:rFonts w:ascii="Arial" w:hAnsi="Arial" w:cs="Arial"/>
                <w:color w:val="000000" w:themeColor="text1"/>
                <w:sz w:val="20"/>
                <w:szCs w:val="20"/>
                <w:u w:val="single"/>
              </w:rPr>
              <w:t>Rešitve, povezane z uskladitvijo z Direktivo 2022/2381/EU:</w:t>
            </w:r>
          </w:p>
          <w:p w14:paraId="22D8E462" w14:textId="77777777" w:rsidR="000C08CA" w:rsidRPr="00605612" w:rsidRDefault="000C08CA" w:rsidP="00FE328D">
            <w:pPr>
              <w:overflowPunct w:val="0"/>
              <w:autoSpaceDE w:val="0"/>
              <w:autoSpaceDN w:val="0"/>
              <w:adjustRightInd w:val="0"/>
              <w:jc w:val="both"/>
              <w:textAlignment w:val="baseline"/>
              <w:rPr>
                <w:rFonts w:cs="Arial"/>
                <w:color w:val="000000" w:themeColor="text1"/>
                <w:szCs w:val="20"/>
                <w:u w:val="single"/>
              </w:rPr>
            </w:pPr>
          </w:p>
          <w:p w14:paraId="75BE5712" w14:textId="77777777" w:rsidR="000C08CA" w:rsidRPr="00605612" w:rsidRDefault="000C08CA" w:rsidP="00FE328D">
            <w:pPr>
              <w:spacing w:line="276" w:lineRule="auto"/>
              <w:jc w:val="both"/>
              <w:rPr>
                <w:rFonts w:cs="Arial"/>
                <w:szCs w:val="20"/>
              </w:rPr>
            </w:pPr>
            <w:r w:rsidRPr="00605612">
              <w:rPr>
                <w:rFonts w:cs="Arial"/>
                <w:color w:val="000000" w:themeColor="text1"/>
                <w:szCs w:val="20"/>
              </w:rPr>
              <w:t xml:space="preserve">Predlog zakona ureja pravno podlago za izvajanje ukrepov </w:t>
            </w:r>
            <w:r>
              <w:rPr>
                <w:rFonts w:cs="Arial"/>
                <w:color w:val="000000" w:themeColor="text1"/>
                <w:szCs w:val="20"/>
              </w:rPr>
              <w:t>nekaterih</w:t>
            </w:r>
            <w:r w:rsidRPr="00605612">
              <w:rPr>
                <w:rFonts w:cs="Arial"/>
                <w:color w:val="000000" w:themeColor="text1"/>
                <w:szCs w:val="20"/>
              </w:rPr>
              <w:t xml:space="preserve"> gospodarskih družb, na podlagi katerih bodo te dosegle bolj uravnoteženo zastopanost žensk in moških</w:t>
            </w:r>
            <w:r w:rsidRPr="00605612">
              <w:rPr>
                <w:rFonts w:cs="Arial"/>
                <w:szCs w:val="20"/>
              </w:rPr>
              <w:t xml:space="preserve"> med osebami</w:t>
            </w:r>
            <w:r>
              <w:rPr>
                <w:rFonts w:cs="Arial"/>
                <w:szCs w:val="20"/>
              </w:rPr>
              <w:t>,</w:t>
            </w:r>
            <w:r w:rsidRPr="00605612">
              <w:rPr>
                <w:rFonts w:cs="Arial"/>
                <w:szCs w:val="20"/>
              </w:rPr>
              <w:t xml:space="preserve"> odgovornimi za nadzor in vodenje poslov družbe.</w:t>
            </w:r>
          </w:p>
          <w:p w14:paraId="221F34B8" w14:textId="77777777" w:rsidR="000C08CA" w:rsidRPr="00605612" w:rsidRDefault="000C08CA" w:rsidP="00FE328D">
            <w:pPr>
              <w:spacing w:line="276" w:lineRule="auto"/>
              <w:jc w:val="both"/>
              <w:rPr>
                <w:rFonts w:cs="Arial"/>
                <w:color w:val="000000" w:themeColor="text1"/>
                <w:szCs w:val="20"/>
              </w:rPr>
            </w:pPr>
          </w:p>
          <w:p w14:paraId="22362EF8" w14:textId="77777777" w:rsidR="000C08CA" w:rsidRPr="00605612" w:rsidRDefault="000C08CA" w:rsidP="00FE328D">
            <w:pPr>
              <w:spacing w:line="276" w:lineRule="auto"/>
              <w:rPr>
                <w:rFonts w:cs="Arial"/>
                <w:color w:val="000000" w:themeColor="text1"/>
                <w:szCs w:val="20"/>
              </w:rPr>
            </w:pPr>
            <w:r w:rsidRPr="00605612">
              <w:rPr>
                <w:rFonts w:cs="Arial"/>
                <w:color w:val="000000" w:themeColor="text1"/>
                <w:szCs w:val="20"/>
              </w:rPr>
              <w:t>S predlogom zakona se:</w:t>
            </w:r>
          </w:p>
          <w:p w14:paraId="13B49572" w14:textId="77777777" w:rsidR="000C08CA" w:rsidRPr="00605612" w:rsidRDefault="000C08CA" w:rsidP="00FE328D">
            <w:pPr>
              <w:spacing w:line="276" w:lineRule="auto"/>
              <w:jc w:val="both"/>
              <w:rPr>
                <w:rFonts w:cs="Arial"/>
                <w:color w:val="000000" w:themeColor="text1"/>
                <w:szCs w:val="20"/>
                <w:u w:val="single"/>
              </w:rPr>
            </w:pPr>
          </w:p>
          <w:p w14:paraId="11D5F67B"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d</w:t>
            </w:r>
            <w:r w:rsidRPr="00605612">
              <w:rPr>
                <w:rFonts w:ascii="Arial" w:hAnsi="Arial" w:cs="Arial"/>
                <w:color w:val="000000" w:themeColor="text1"/>
                <w:sz w:val="20"/>
                <w:szCs w:val="20"/>
              </w:rPr>
              <w:t xml:space="preserve">oloča obseg </w:t>
            </w:r>
            <w:r>
              <w:rPr>
                <w:rFonts w:ascii="Arial" w:hAnsi="Arial" w:cs="Arial"/>
                <w:color w:val="000000" w:themeColor="text1"/>
                <w:sz w:val="20"/>
                <w:szCs w:val="20"/>
              </w:rPr>
              <w:t xml:space="preserve">kroga </w:t>
            </w:r>
            <w:r w:rsidRPr="00605612">
              <w:rPr>
                <w:rFonts w:ascii="Arial" w:hAnsi="Arial" w:cs="Arial"/>
                <w:color w:val="000000" w:themeColor="text1"/>
                <w:sz w:val="20"/>
                <w:szCs w:val="20"/>
              </w:rPr>
              <w:t xml:space="preserve">zavezancev, ki morajo zagotoviti </w:t>
            </w:r>
            <w:r>
              <w:rPr>
                <w:rFonts w:ascii="Arial" w:hAnsi="Arial" w:cs="Arial"/>
                <w:color w:val="000000" w:themeColor="text1"/>
                <w:sz w:val="20"/>
                <w:szCs w:val="20"/>
              </w:rPr>
              <w:t>določen</w:t>
            </w:r>
            <w:r w:rsidRPr="00605612">
              <w:rPr>
                <w:rFonts w:ascii="Arial" w:hAnsi="Arial" w:cs="Arial"/>
                <w:color w:val="000000" w:themeColor="text1"/>
                <w:sz w:val="20"/>
                <w:szCs w:val="20"/>
              </w:rPr>
              <w:t xml:space="preserve"> delež zastopanosti manj zastopanega spola med osebami na najvišjih položajih </w:t>
            </w:r>
            <w:r>
              <w:rPr>
                <w:rFonts w:ascii="Arial" w:hAnsi="Arial" w:cs="Arial"/>
                <w:color w:val="000000" w:themeColor="text1"/>
                <w:sz w:val="20"/>
                <w:szCs w:val="20"/>
              </w:rPr>
              <w:t xml:space="preserve">odločanja v </w:t>
            </w:r>
            <w:r w:rsidRPr="00605612">
              <w:rPr>
                <w:rFonts w:ascii="Arial" w:hAnsi="Arial" w:cs="Arial"/>
                <w:color w:val="000000" w:themeColor="text1"/>
                <w:sz w:val="20"/>
                <w:szCs w:val="20"/>
              </w:rPr>
              <w:t>gospodarskih družb</w:t>
            </w:r>
            <w:r>
              <w:rPr>
                <w:rFonts w:ascii="Arial" w:hAnsi="Arial" w:cs="Arial"/>
                <w:color w:val="000000" w:themeColor="text1"/>
                <w:sz w:val="20"/>
                <w:szCs w:val="20"/>
              </w:rPr>
              <w:t>ah:</w:t>
            </w:r>
          </w:p>
          <w:p w14:paraId="585D8BC6" w14:textId="77777777" w:rsidR="000C08CA" w:rsidRPr="00605612" w:rsidRDefault="000C08CA" w:rsidP="00FE328D">
            <w:pPr>
              <w:spacing w:line="276" w:lineRule="auto"/>
              <w:jc w:val="both"/>
              <w:rPr>
                <w:rFonts w:cs="Arial"/>
                <w:szCs w:val="20"/>
              </w:rPr>
            </w:pPr>
            <w:r w:rsidRPr="00605612">
              <w:rPr>
                <w:rFonts w:cs="Arial"/>
                <w:color w:val="000000" w:themeColor="text1"/>
                <w:szCs w:val="20"/>
              </w:rPr>
              <w:t>Direktiva 2022/2381/EU določa,</w:t>
            </w:r>
            <w:r w:rsidRPr="00605612">
              <w:rPr>
                <w:rFonts w:cs="Arial"/>
                <w:szCs w:val="20"/>
              </w:rPr>
              <w:t xml:space="preserve"> da velja za vse družbe, </w:t>
            </w:r>
            <w:r>
              <w:rPr>
                <w:rFonts w:cs="Arial"/>
                <w:szCs w:val="20"/>
              </w:rPr>
              <w:t>z</w:t>
            </w:r>
            <w:r w:rsidRPr="00605612">
              <w:rPr>
                <w:rFonts w:cs="Arial"/>
                <w:szCs w:val="20"/>
              </w:rPr>
              <w:t xml:space="preserve"> vrednostni papirji </w:t>
            </w:r>
            <w:r>
              <w:rPr>
                <w:rFonts w:cs="Arial"/>
                <w:szCs w:val="20"/>
              </w:rPr>
              <w:t xml:space="preserve">katerih </w:t>
            </w:r>
            <w:r w:rsidRPr="00605612">
              <w:rPr>
                <w:rFonts w:cs="Arial"/>
                <w:szCs w:val="20"/>
              </w:rPr>
              <w:t xml:space="preserve">se trguje na organiziranem trgu (v nadaljnjem besedilu: borzne družbe), ter da ne velja za mikro, majhne in srednje družbe. Zavezanci </w:t>
            </w:r>
            <w:r>
              <w:rPr>
                <w:rFonts w:cs="Arial"/>
                <w:szCs w:val="20"/>
              </w:rPr>
              <w:t xml:space="preserve">so v </w:t>
            </w:r>
            <w:r w:rsidRPr="00605612">
              <w:rPr>
                <w:rFonts w:cs="Arial"/>
                <w:szCs w:val="20"/>
              </w:rPr>
              <w:t>sklad</w:t>
            </w:r>
            <w:r>
              <w:rPr>
                <w:rFonts w:cs="Arial"/>
                <w:szCs w:val="20"/>
              </w:rPr>
              <w:t>u</w:t>
            </w:r>
            <w:r w:rsidRPr="00605612">
              <w:rPr>
                <w:rFonts w:cs="Arial"/>
                <w:szCs w:val="20"/>
              </w:rPr>
              <w:t xml:space="preserve"> z </w:t>
            </w:r>
            <w:r>
              <w:rPr>
                <w:rFonts w:cs="Arial"/>
                <w:szCs w:val="20"/>
              </w:rPr>
              <w:t>navedeno d</w:t>
            </w:r>
            <w:r w:rsidRPr="00605612">
              <w:rPr>
                <w:rFonts w:cs="Arial"/>
                <w:szCs w:val="20"/>
              </w:rPr>
              <w:t>irektivo</w:t>
            </w:r>
            <w:r w:rsidRPr="00605612" w:rsidDel="00AC6836">
              <w:rPr>
                <w:rFonts w:cs="Arial"/>
                <w:szCs w:val="20"/>
              </w:rPr>
              <w:t xml:space="preserve"> </w:t>
            </w:r>
            <w:r w:rsidRPr="00605612">
              <w:rPr>
                <w:rFonts w:cs="Arial"/>
                <w:szCs w:val="20"/>
              </w:rPr>
              <w:t>torej velike borzne družbe, ki imajo več kot 250 zaposlenih in 50 milijonov eurov čisti</w:t>
            </w:r>
            <w:r>
              <w:rPr>
                <w:rFonts w:cs="Arial"/>
                <w:szCs w:val="20"/>
              </w:rPr>
              <w:t>h</w:t>
            </w:r>
            <w:r w:rsidRPr="00605612">
              <w:rPr>
                <w:rFonts w:cs="Arial"/>
                <w:szCs w:val="20"/>
              </w:rPr>
              <w:t xml:space="preserve"> prihodk</w:t>
            </w:r>
            <w:r>
              <w:rPr>
                <w:rFonts w:cs="Arial"/>
                <w:szCs w:val="20"/>
              </w:rPr>
              <w:t>ov</w:t>
            </w:r>
            <w:r w:rsidRPr="00605612">
              <w:rPr>
                <w:rFonts w:cs="Arial"/>
                <w:szCs w:val="20"/>
              </w:rPr>
              <w:t xml:space="preserve"> od prodaje ali </w:t>
            </w:r>
            <w:r>
              <w:rPr>
                <w:rFonts w:cs="Arial"/>
                <w:szCs w:val="20"/>
              </w:rPr>
              <w:t xml:space="preserve">njihova </w:t>
            </w:r>
            <w:r w:rsidRPr="00605612">
              <w:rPr>
                <w:rFonts w:cs="Arial"/>
                <w:szCs w:val="20"/>
              </w:rPr>
              <w:t>vrednost aktive presega 43</w:t>
            </w:r>
            <w:r>
              <w:rPr>
                <w:rFonts w:cs="Arial"/>
                <w:szCs w:val="20"/>
              </w:rPr>
              <w:t> </w:t>
            </w:r>
            <w:r w:rsidRPr="00605612">
              <w:rPr>
                <w:rFonts w:cs="Arial"/>
                <w:szCs w:val="20"/>
              </w:rPr>
              <w:t xml:space="preserve">milijonov eurov. Na podlagi navedenih meril bi bilo v Republiki Sloveniji k spoštovanju pravil iz </w:t>
            </w:r>
            <w:r>
              <w:rPr>
                <w:rFonts w:cs="Arial"/>
                <w:szCs w:val="20"/>
              </w:rPr>
              <w:t>navedene d</w:t>
            </w:r>
            <w:r w:rsidRPr="00605612">
              <w:rPr>
                <w:rFonts w:cs="Arial"/>
                <w:szCs w:val="20"/>
              </w:rPr>
              <w:t>irektive</w:t>
            </w:r>
            <w:r w:rsidRPr="00605612" w:rsidDel="00AC6836">
              <w:rPr>
                <w:rFonts w:cs="Arial"/>
                <w:szCs w:val="20"/>
              </w:rPr>
              <w:t xml:space="preserve"> </w:t>
            </w:r>
            <w:r w:rsidRPr="00605612">
              <w:rPr>
                <w:rFonts w:cs="Arial"/>
                <w:szCs w:val="20"/>
              </w:rPr>
              <w:t xml:space="preserve">zavezanih 11 od </w:t>
            </w:r>
            <w:r>
              <w:rPr>
                <w:rFonts w:cs="Arial"/>
                <w:szCs w:val="20"/>
              </w:rPr>
              <w:t>29</w:t>
            </w:r>
            <w:r w:rsidRPr="00605612">
              <w:rPr>
                <w:rStyle w:val="FootnoteReference"/>
                <w:rFonts w:cs="Arial"/>
                <w:szCs w:val="20"/>
              </w:rPr>
              <w:footnoteReference w:id="30"/>
            </w:r>
            <w:r w:rsidRPr="00605612">
              <w:rPr>
                <w:rFonts w:cs="Arial"/>
                <w:szCs w:val="20"/>
              </w:rPr>
              <w:t xml:space="preserve"> borznih družb. V uvodnem delu </w:t>
            </w:r>
            <w:r>
              <w:rPr>
                <w:rFonts w:cs="Arial"/>
                <w:szCs w:val="20"/>
              </w:rPr>
              <w:t>navedene d</w:t>
            </w:r>
            <w:r w:rsidRPr="00605612">
              <w:rPr>
                <w:rFonts w:cs="Arial"/>
                <w:szCs w:val="20"/>
              </w:rPr>
              <w:t>irektive</w:t>
            </w:r>
            <w:r w:rsidRPr="00605612" w:rsidDel="00AC6836">
              <w:rPr>
                <w:rFonts w:cs="Arial"/>
                <w:szCs w:val="20"/>
              </w:rPr>
              <w:t xml:space="preserve"> </w:t>
            </w:r>
            <w:r w:rsidRPr="00605612">
              <w:rPr>
                <w:rFonts w:cs="Arial"/>
                <w:szCs w:val="20"/>
              </w:rPr>
              <w:t>je pojasnjeno, da imajo</w:t>
            </w:r>
            <w:r>
              <w:rPr>
                <w:rFonts w:cs="Arial"/>
                <w:szCs w:val="20"/>
              </w:rPr>
              <w:t xml:space="preserve"> borzne</w:t>
            </w:r>
            <w:r w:rsidRPr="00605612">
              <w:rPr>
                <w:rFonts w:cs="Arial"/>
                <w:szCs w:val="20"/>
              </w:rPr>
              <w:t xml:space="preserve"> družbe poseben gospodarski pomen, prepoznavnost in </w:t>
            </w:r>
            <w:r>
              <w:rPr>
                <w:rFonts w:cs="Arial"/>
                <w:szCs w:val="20"/>
              </w:rPr>
              <w:t>pomembno</w:t>
            </w:r>
            <w:r w:rsidRPr="00605612">
              <w:rPr>
                <w:rFonts w:cs="Arial"/>
                <w:szCs w:val="20"/>
              </w:rPr>
              <w:t xml:space="preserve"> vplivajo na celoten trg</w:t>
            </w:r>
            <w:r>
              <w:rPr>
                <w:rFonts w:cs="Arial"/>
                <w:szCs w:val="20"/>
              </w:rPr>
              <w:t xml:space="preserve"> ter </w:t>
            </w:r>
            <w:r w:rsidRPr="00605612">
              <w:rPr>
                <w:rFonts w:cs="Arial"/>
                <w:szCs w:val="20"/>
              </w:rPr>
              <w:t>da</w:t>
            </w:r>
            <w:r w:rsidRPr="00605612" w:rsidDel="00AC6836">
              <w:rPr>
                <w:rFonts w:cs="Arial"/>
                <w:szCs w:val="20"/>
              </w:rPr>
              <w:t xml:space="preserve"> </w:t>
            </w:r>
            <w:r w:rsidRPr="00605612">
              <w:rPr>
                <w:rFonts w:cs="Arial"/>
                <w:szCs w:val="20"/>
              </w:rPr>
              <w:t>določajo standarde za širše gospodarstvo</w:t>
            </w:r>
            <w:r>
              <w:rPr>
                <w:rFonts w:cs="Arial"/>
                <w:szCs w:val="20"/>
              </w:rPr>
              <w:t>,</w:t>
            </w:r>
            <w:r w:rsidRPr="00605612">
              <w:rPr>
                <w:rFonts w:cs="Arial"/>
                <w:szCs w:val="20"/>
              </w:rPr>
              <w:t xml:space="preserve"> zato se pričakuje, da bodo njihove prakse prevzele tudi druge družbe. Ker</w:t>
            </w:r>
            <w:r w:rsidRPr="00605612" w:rsidDel="00AC6836">
              <w:rPr>
                <w:rFonts w:cs="Arial"/>
                <w:szCs w:val="20"/>
              </w:rPr>
              <w:t xml:space="preserve"> </w:t>
            </w:r>
            <w:r w:rsidRPr="00605612">
              <w:rPr>
                <w:rFonts w:cs="Arial"/>
                <w:szCs w:val="20"/>
              </w:rPr>
              <w:t>je v Republiki Sloveniji slabo razvit kapitalski trg in je zelo malo borznih družb, ki bi bile zavezane k spoštovanju pravil</w:t>
            </w:r>
            <w:r>
              <w:rPr>
                <w:rFonts w:cs="Arial"/>
                <w:szCs w:val="20"/>
              </w:rPr>
              <w:t xml:space="preserve"> iz</w:t>
            </w:r>
            <w:r w:rsidRPr="00605612">
              <w:rPr>
                <w:rFonts w:cs="Arial"/>
                <w:szCs w:val="20"/>
              </w:rPr>
              <w:t xml:space="preserve"> </w:t>
            </w:r>
            <w:r>
              <w:rPr>
                <w:rFonts w:cs="Arial"/>
                <w:szCs w:val="20"/>
              </w:rPr>
              <w:t>navedene d</w:t>
            </w:r>
            <w:r w:rsidRPr="00605612">
              <w:rPr>
                <w:rFonts w:cs="Arial"/>
                <w:szCs w:val="20"/>
              </w:rPr>
              <w:t xml:space="preserve">irektive, smo s predlogom </w:t>
            </w:r>
            <w:r>
              <w:rPr>
                <w:rFonts w:cs="Arial"/>
                <w:szCs w:val="20"/>
              </w:rPr>
              <w:t>zakona</w:t>
            </w:r>
            <w:r w:rsidRPr="00605612">
              <w:rPr>
                <w:rFonts w:cs="Arial"/>
                <w:szCs w:val="20"/>
              </w:rPr>
              <w:t xml:space="preserve"> razširili obseg zavezancev na </w:t>
            </w:r>
            <w:r>
              <w:rPr>
                <w:rFonts w:cs="Arial"/>
                <w:szCs w:val="20"/>
              </w:rPr>
              <w:t xml:space="preserve">velike </w:t>
            </w:r>
            <w:r w:rsidRPr="00605612">
              <w:rPr>
                <w:rFonts w:cs="Arial"/>
                <w:szCs w:val="20"/>
              </w:rPr>
              <w:t xml:space="preserve">družbe s kapitalsko naložbo države in lokalnih skupnosti, v katerih ima država </w:t>
            </w:r>
            <w:r>
              <w:rPr>
                <w:rFonts w:cs="Arial"/>
                <w:szCs w:val="20"/>
              </w:rPr>
              <w:t>ali</w:t>
            </w:r>
            <w:r w:rsidRPr="00605612">
              <w:rPr>
                <w:rFonts w:cs="Arial"/>
                <w:szCs w:val="20"/>
              </w:rPr>
              <w:t xml:space="preserve"> lokalna skupnost večinski delež v kapitalu ali večino glasovalnih pravic ter imajo več kot 250 zaposlenih. Družbe s kapitalsko naložbo države morajo biti zgled, so prepoznavne in imajo pomembno vlogo v slovenskem gospodarskem prostoru. </w:t>
            </w:r>
          </w:p>
          <w:p w14:paraId="17C80286" w14:textId="77777777" w:rsidR="000C08CA" w:rsidRPr="00605612" w:rsidRDefault="000C08CA" w:rsidP="00FE328D">
            <w:pPr>
              <w:spacing w:line="276" w:lineRule="auto"/>
              <w:jc w:val="both"/>
              <w:rPr>
                <w:rFonts w:cs="Arial"/>
                <w:szCs w:val="20"/>
                <w:highlight w:val="yellow"/>
              </w:rPr>
            </w:pPr>
          </w:p>
          <w:p w14:paraId="6F158F1E" w14:textId="77777777" w:rsidR="000C08CA" w:rsidRPr="00605612" w:rsidRDefault="000C08CA" w:rsidP="00FE328D">
            <w:pPr>
              <w:spacing w:line="276" w:lineRule="auto"/>
              <w:jc w:val="both"/>
              <w:rPr>
                <w:rFonts w:cs="Arial"/>
                <w:color w:val="000000"/>
                <w:szCs w:val="20"/>
              </w:rPr>
            </w:pPr>
            <w:r w:rsidRPr="00605612">
              <w:rPr>
                <w:rStyle w:val="normaltextrun"/>
                <w:rFonts w:cs="Arial"/>
                <w:color w:val="000000"/>
                <w:szCs w:val="20"/>
                <w:shd w:val="clear" w:color="auto" w:fill="FFFFFF"/>
              </w:rPr>
              <w:t>Skladno z d</w:t>
            </w:r>
            <w:r w:rsidRPr="00605612">
              <w:rPr>
                <w:rFonts w:cs="Arial"/>
                <w:szCs w:val="20"/>
              </w:rPr>
              <w:t>irektivo morajo biti ukrepi v zvezi z uravnoteženo zastopanostjo spolo</w:t>
            </w:r>
            <w:r>
              <w:rPr>
                <w:rFonts w:cs="Arial"/>
                <w:szCs w:val="20"/>
              </w:rPr>
              <w:t>v</w:t>
            </w:r>
            <w:r w:rsidRPr="00605612">
              <w:rPr>
                <w:rFonts w:cs="Arial"/>
                <w:szCs w:val="20"/>
              </w:rPr>
              <w:t xml:space="preserve"> sprejeti za izvršne in neizvršne direktorje. Direktiva opredeljuje, da je direktor član organa družbe, vključno s članom, ki je predstavnik zaposlenih. Glede na to določbo </w:t>
            </w:r>
            <w:r>
              <w:rPr>
                <w:rFonts w:cs="Arial"/>
                <w:szCs w:val="20"/>
              </w:rPr>
              <w:t xml:space="preserve">v </w:t>
            </w:r>
            <w:r w:rsidRPr="00605612">
              <w:rPr>
                <w:rFonts w:cs="Arial"/>
                <w:szCs w:val="20"/>
              </w:rPr>
              <w:t>direktiv</w:t>
            </w:r>
            <w:r>
              <w:rPr>
                <w:rFonts w:cs="Arial"/>
                <w:szCs w:val="20"/>
              </w:rPr>
              <w:t>i</w:t>
            </w:r>
            <w:r w:rsidRPr="00605612">
              <w:rPr>
                <w:rFonts w:cs="Arial"/>
                <w:szCs w:val="20"/>
              </w:rPr>
              <w:t xml:space="preserve"> se </w:t>
            </w:r>
            <w:r>
              <w:rPr>
                <w:rFonts w:cs="Arial"/>
                <w:color w:val="000000"/>
                <w:szCs w:val="20"/>
                <w:lang w:eastAsia="sl-SI"/>
              </w:rPr>
              <w:t xml:space="preserve">v </w:t>
            </w:r>
            <w:r w:rsidRPr="00605612">
              <w:rPr>
                <w:rFonts w:cs="Arial"/>
                <w:color w:val="000000"/>
                <w:szCs w:val="20"/>
                <w:lang w:eastAsia="sl-SI"/>
              </w:rPr>
              <w:t>sklad</w:t>
            </w:r>
            <w:r>
              <w:rPr>
                <w:rFonts w:cs="Arial"/>
                <w:color w:val="000000"/>
                <w:szCs w:val="20"/>
                <w:lang w:eastAsia="sl-SI"/>
              </w:rPr>
              <w:t>u</w:t>
            </w:r>
            <w:r w:rsidRPr="00605612">
              <w:rPr>
                <w:rFonts w:cs="Arial"/>
                <w:color w:val="000000"/>
                <w:szCs w:val="20"/>
                <w:lang w:eastAsia="sl-SI"/>
              </w:rPr>
              <w:t xml:space="preserve"> z </w:t>
            </w:r>
            <w:r w:rsidRPr="00605612">
              <w:rPr>
                <w:rFonts w:cs="Arial"/>
                <w:szCs w:val="20"/>
              </w:rPr>
              <w:t xml:space="preserve">ZGD-1 za direktorje štejejo člani </w:t>
            </w:r>
            <w:r w:rsidRPr="00605612">
              <w:rPr>
                <w:rFonts w:cs="Arial"/>
                <w:color w:val="000000"/>
                <w:szCs w:val="20"/>
              </w:rPr>
              <w:t>organov vodenja ali nadzora družbe</w:t>
            </w:r>
            <w:r w:rsidRPr="00605612">
              <w:rPr>
                <w:rFonts w:cs="Arial"/>
                <w:szCs w:val="20"/>
              </w:rPr>
              <w:t>, torej</w:t>
            </w:r>
            <w:r w:rsidRPr="00605612">
              <w:rPr>
                <w:rFonts w:cs="Arial"/>
                <w:color w:val="000000"/>
                <w:szCs w:val="20"/>
              </w:rPr>
              <w:t xml:space="preserve"> uprava, upravni odbor in nadzorni svet. Družba lahko izbere dvotirni sistem upravljanja družbe z upravo in nadzornim svetom ali enotirni sistem upravljanja družbe z upravnim odborom. </w:t>
            </w:r>
          </w:p>
          <w:p w14:paraId="292053D5" w14:textId="77777777" w:rsidR="000C08CA" w:rsidRPr="00605612" w:rsidRDefault="000C08CA" w:rsidP="00FE328D">
            <w:pPr>
              <w:spacing w:line="276" w:lineRule="auto"/>
              <w:jc w:val="both"/>
              <w:rPr>
                <w:rFonts w:cs="Arial"/>
                <w:color w:val="000000"/>
                <w:szCs w:val="20"/>
                <w:lang w:eastAsia="sl-SI"/>
              </w:rPr>
            </w:pPr>
          </w:p>
          <w:p w14:paraId="583CD570" w14:textId="77777777" w:rsidR="000C08CA" w:rsidRPr="00605612" w:rsidRDefault="000C08CA" w:rsidP="00FE328D">
            <w:pPr>
              <w:spacing w:line="276" w:lineRule="auto"/>
              <w:jc w:val="both"/>
              <w:rPr>
                <w:rFonts w:cs="Arial"/>
                <w:szCs w:val="20"/>
              </w:rPr>
            </w:pPr>
            <w:r w:rsidRPr="00605612">
              <w:rPr>
                <w:rFonts w:cs="Arial"/>
                <w:color w:val="000000"/>
                <w:szCs w:val="20"/>
                <w:lang w:eastAsia="sl-SI"/>
              </w:rPr>
              <w:t xml:space="preserve">Izvršni direktor </w:t>
            </w:r>
            <w:r w:rsidRPr="00605612">
              <w:rPr>
                <w:rFonts w:cs="Arial"/>
                <w:szCs w:val="20"/>
                <w:lang w:eastAsia="sl-SI"/>
              </w:rPr>
              <w:t>je v direktivi</w:t>
            </w:r>
            <w:r w:rsidRPr="00605612" w:rsidDel="00AC6836">
              <w:rPr>
                <w:rFonts w:cs="Arial"/>
                <w:szCs w:val="20"/>
                <w:lang w:eastAsia="sl-SI"/>
              </w:rPr>
              <w:t xml:space="preserve"> </w:t>
            </w:r>
            <w:r>
              <w:rPr>
                <w:rFonts w:cs="Arial"/>
                <w:szCs w:val="20"/>
                <w:lang w:eastAsia="sl-SI"/>
              </w:rPr>
              <w:t>opredeljen</w:t>
            </w:r>
            <w:r w:rsidRPr="00605612">
              <w:rPr>
                <w:rFonts w:cs="Arial"/>
                <w:szCs w:val="20"/>
                <w:lang w:eastAsia="sl-SI"/>
              </w:rPr>
              <w:t xml:space="preserve"> kot </w:t>
            </w:r>
            <w:r w:rsidRPr="00605612">
              <w:rPr>
                <w:rFonts w:cs="Arial"/>
                <w:color w:val="000000"/>
                <w:szCs w:val="20"/>
                <w:lang w:eastAsia="sl-SI"/>
              </w:rPr>
              <w:t xml:space="preserve">član upravnega odbora v enotirnem sistemu upravljanja, ki je zadolžen za vsakodnevno vodenje družbe, ali član organa družbe, ki opravlja vodstveno funkcijo v družbi v dvotirnem sistemu upravljanja. Neizvršni direktor pomeni člana upravnega odbora družbe v enotirnem sistemu upravljanja, ki ni izvršni direktor, ali člana organa, ki opravlja nadzorno funkcijo v dvotirnem sistemu upravljanja. V enotirnem sistemu lahko </w:t>
            </w:r>
            <w:r>
              <w:rPr>
                <w:rFonts w:cs="Arial"/>
                <w:color w:val="000000"/>
                <w:szCs w:val="20"/>
                <w:lang w:eastAsia="sl-SI"/>
              </w:rPr>
              <w:t xml:space="preserve">v </w:t>
            </w:r>
            <w:r w:rsidRPr="00605612">
              <w:rPr>
                <w:rFonts w:cs="Arial"/>
                <w:color w:val="000000"/>
                <w:szCs w:val="20"/>
                <w:lang w:eastAsia="sl-SI"/>
              </w:rPr>
              <w:t>sklad</w:t>
            </w:r>
            <w:r>
              <w:rPr>
                <w:rFonts w:cs="Arial"/>
                <w:color w:val="000000"/>
                <w:szCs w:val="20"/>
                <w:lang w:eastAsia="sl-SI"/>
              </w:rPr>
              <w:t>u</w:t>
            </w:r>
            <w:r w:rsidRPr="00605612">
              <w:rPr>
                <w:rFonts w:cs="Arial"/>
                <w:color w:val="000000"/>
                <w:szCs w:val="20"/>
                <w:lang w:eastAsia="sl-SI"/>
              </w:rPr>
              <w:t xml:space="preserve"> z ZGD-1 upravni odbor, ki je pristojen za vodenje in nadzor poslov družbe</w:t>
            </w:r>
            <w:r>
              <w:rPr>
                <w:rFonts w:cs="Arial"/>
                <w:color w:val="000000"/>
                <w:szCs w:val="20"/>
                <w:lang w:eastAsia="sl-SI"/>
              </w:rPr>
              <w:t>,</w:t>
            </w:r>
            <w:r w:rsidRPr="00605612">
              <w:rPr>
                <w:rFonts w:cs="Arial"/>
                <w:color w:val="000000"/>
                <w:szCs w:val="20"/>
                <w:lang w:eastAsia="sl-SI"/>
              </w:rPr>
              <w:t xml:space="preserve"> imenuje enega ali več izvršnih direktorjev, ki niso člani upravnega odbora</w:t>
            </w:r>
            <w:r>
              <w:rPr>
                <w:rFonts w:cs="Arial"/>
                <w:color w:val="000000"/>
                <w:szCs w:val="20"/>
                <w:lang w:eastAsia="sl-SI"/>
              </w:rPr>
              <w:t>,</w:t>
            </w:r>
            <w:r w:rsidRPr="00605612">
              <w:rPr>
                <w:rFonts w:cs="Arial"/>
                <w:color w:val="000000"/>
                <w:szCs w:val="20"/>
                <w:lang w:eastAsia="sl-SI"/>
              </w:rPr>
              <w:t xml:space="preserve"> in nanje prenese naloge glede vodenja tekočih poslov, prijave vpisov in predložitve listin v registru, skrb za vodenje poslovnih knjig in sestavo letnega poročila. </w:t>
            </w:r>
            <w:r>
              <w:rPr>
                <w:rFonts w:cs="Arial"/>
                <w:color w:val="000000"/>
                <w:szCs w:val="20"/>
                <w:lang w:eastAsia="sl-SI"/>
              </w:rPr>
              <w:t>Čeprav</w:t>
            </w:r>
            <w:r w:rsidRPr="00605612">
              <w:rPr>
                <w:rFonts w:cs="Arial"/>
                <w:color w:val="000000"/>
                <w:szCs w:val="20"/>
                <w:lang w:eastAsia="sl-SI"/>
              </w:rPr>
              <w:t xml:space="preserve"> navedeni izvršni direktorji v enotirnem sistemu niso člani upravnega odbora, </w:t>
            </w:r>
            <w:r w:rsidRPr="00605612">
              <w:rPr>
                <w:rFonts w:cs="Arial"/>
                <w:szCs w:val="20"/>
                <w:lang w:eastAsia="sl-SI"/>
              </w:rPr>
              <w:t xml:space="preserve">se po predlogu zakona štejejo </w:t>
            </w:r>
            <w:r w:rsidRPr="00605612">
              <w:rPr>
                <w:rFonts w:cs="Arial"/>
                <w:color w:val="000000"/>
                <w:szCs w:val="20"/>
                <w:lang w:eastAsia="sl-SI"/>
              </w:rPr>
              <w:t xml:space="preserve">v delež za doseganje </w:t>
            </w:r>
            <w:r w:rsidRPr="00605612">
              <w:rPr>
                <w:rFonts w:cs="Arial"/>
                <w:szCs w:val="20"/>
                <w:lang w:eastAsia="sl-SI"/>
              </w:rPr>
              <w:t>predvidenih ciljnih deležev glede zastopanosti spolov</w:t>
            </w:r>
            <w:r w:rsidRPr="00605612">
              <w:rPr>
                <w:rFonts w:cs="Arial"/>
                <w:color w:val="000000"/>
                <w:szCs w:val="20"/>
                <w:lang w:eastAsia="sl-SI"/>
              </w:rPr>
              <w:t>, saj se s tem sledi cilju in namenu direktive, da se doseže uravnotežen</w:t>
            </w:r>
            <w:r w:rsidRPr="00605612">
              <w:rPr>
                <w:rFonts w:cs="Arial"/>
                <w:szCs w:val="20"/>
                <w:lang w:eastAsia="sl-SI"/>
              </w:rPr>
              <w:t>a</w:t>
            </w:r>
            <w:r w:rsidRPr="00605612">
              <w:rPr>
                <w:rFonts w:cs="Arial"/>
                <w:color w:val="000000"/>
                <w:szCs w:val="20"/>
                <w:lang w:eastAsia="sl-SI"/>
              </w:rPr>
              <w:t xml:space="preserve"> zastopanost spolov na najvišjih vodstvenih položajih v družbah</w:t>
            </w:r>
            <w:r>
              <w:rPr>
                <w:rFonts w:cs="Arial"/>
                <w:color w:val="000000"/>
                <w:szCs w:val="20"/>
                <w:lang w:eastAsia="sl-SI"/>
              </w:rPr>
              <w:t xml:space="preserve"> med obema vrstama direktorjev (neizvršni in izvršni)</w:t>
            </w:r>
            <w:r w:rsidRPr="00605612">
              <w:rPr>
                <w:rFonts w:cs="Arial"/>
                <w:color w:val="000000"/>
                <w:szCs w:val="20"/>
                <w:lang w:eastAsia="sl-SI"/>
              </w:rPr>
              <w:t xml:space="preserve">. V skladu z navedenim je v </w:t>
            </w:r>
            <w:r w:rsidRPr="00605612">
              <w:rPr>
                <w:rFonts w:cs="Arial"/>
                <w:szCs w:val="20"/>
                <w:lang w:eastAsia="sl-SI"/>
              </w:rPr>
              <w:t xml:space="preserve">predlogu </w:t>
            </w:r>
            <w:r w:rsidRPr="00605612">
              <w:rPr>
                <w:rFonts w:cs="Arial"/>
                <w:color w:val="000000"/>
                <w:szCs w:val="20"/>
                <w:lang w:eastAsia="sl-SI"/>
              </w:rPr>
              <w:t xml:space="preserve">zakonu opredeljeno, da ukrepi veljajo za člane </w:t>
            </w:r>
            <w:r w:rsidRPr="00605612">
              <w:rPr>
                <w:rFonts w:cs="Arial"/>
                <w:szCs w:val="20"/>
                <w:lang w:eastAsia="sl-SI"/>
              </w:rPr>
              <w:t xml:space="preserve">organov </w:t>
            </w:r>
            <w:r w:rsidRPr="00605612">
              <w:rPr>
                <w:rFonts w:cs="Arial"/>
                <w:color w:val="000000"/>
                <w:szCs w:val="20"/>
                <w:lang w:eastAsia="sl-SI"/>
              </w:rPr>
              <w:t xml:space="preserve">vodenja in nadzora ter </w:t>
            </w:r>
            <w:r w:rsidRPr="00605612">
              <w:rPr>
                <w:rFonts w:cs="Arial"/>
                <w:szCs w:val="20"/>
                <w:lang w:eastAsia="sl-SI"/>
              </w:rPr>
              <w:t xml:space="preserve">za </w:t>
            </w:r>
            <w:r w:rsidRPr="00605612">
              <w:rPr>
                <w:rFonts w:cs="Arial"/>
                <w:color w:val="000000"/>
                <w:szCs w:val="20"/>
                <w:lang w:eastAsia="sl-SI"/>
              </w:rPr>
              <w:t xml:space="preserve">izvršne </w:t>
            </w:r>
            <w:r w:rsidRPr="00605612">
              <w:rPr>
                <w:rFonts w:cs="Arial"/>
                <w:color w:val="000000"/>
                <w:szCs w:val="20"/>
                <w:lang w:eastAsia="sl-SI"/>
              </w:rPr>
              <w:lastRenderedPageBreak/>
              <w:t>direktorje</w:t>
            </w:r>
            <w:r w:rsidRPr="00605612">
              <w:rPr>
                <w:rFonts w:cs="Arial"/>
                <w:szCs w:val="20"/>
                <w:lang w:eastAsia="sl-SI"/>
              </w:rPr>
              <w:t xml:space="preserve"> (pri čemer v enotirnem sistemu upravljanja ni pomembno, ali so člani organov družbe ali ne)</w:t>
            </w:r>
            <w:r>
              <w:rPr>
                <w:rFonts w:cs="Arial"/>
                <w:color w:val="000000"/>
                <w:szCs w:val="20"/>
                <w:lang w:eastAsia="sl-SI"/>
              </w:rPr>
              <w:t>;</w:t>
            </w:r>
            <w:r w:rsidRPr="00605612">
              <w:rPr>
                <w:rFonts w:cs="Arial"/>
                <w:color w:val="000000"/>
                <w:szCs w:val="20"/>
                <w:lang w:eastAsia="sl-SI"/>
              </w:rPr>
              <w:t xml:space="preserve"> </w:t>
            </w:r>
          </w:p>
          <w:p w14:paraId="30D51955"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7A399E14"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u</w:t>
            </w:r>
            <w:r w:rsidRPr="00605612">
              <w:rPr>
                <w:rFonts w:ascii="Arial" w:hAnsi="Arial" w:cs="Arial"/>
                <w:color w:val="000000" w:themeColor="text1"/>
                <w:sz w:val="20"/>
                <w:szCs w:val="20"/>
              </w:rPr>
              <w:t>rejajo delež</w:t>
            </w:r>
            <w:r>
              <w:rPr>
                <w:rFonts w:ascii="Arial" w:hAnsi="Arial" w:cs="Arial"/>
                <w:color w:val="000000" w:themeColor="text1"/>
                <w:sz w:val="20"/>
                <w:szCs w:val="20"/>
              </w:rPr>
              <w:t>i glede</w:t>
            </w:r>
            <w:r w:rsidRPr="00605612">
              <w:rPr>
                <w:rFonts w:ascii="Arial" w:hAnsi="Arial" w:cs="Arial"/>
                <w:color w:val="000000" w:themeColor="text1"/>
                <w:sz w:val="20"/>
                <w:szCs w:val="20"/>
              </w:rPr>
              <w:t xml:space="preserve"> zastopanosti manj zastopanega spola med osebami, odgovornimi za vodenje in nadzor poslov družbe</w:t>
            </w:r>
            <w:r>
              <w:rPr>
                <w:rFonts w:ascii="Arial" w:hAnsi="Arial" w:cs="Arial"/>
                <w:color w:val="000000" w:themeColor="text1"/>
                <w:sz w:val="20"/>
                <w:szCs w:val="20"/>
              </w:rPr>
              <w:t>:</w:t>
            </w:r>
          </w:p>
          <w:p w14:paraId="0F725B0E"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 xml:space="preserve">Direktiva 2022/2381/EU določa, da družbe, ki kotirajo na borzi, </w:t>
            </w:r>
            <w:r>
              <w:rPr>
                <w:rFonts w:cs="Arial"/>
                <w:color w:val="000000" w:themeColor="text1"/>
                <w:szCs w:val="20"/>
              </w:rPr>
              <w:t>zagotovijo</w:t>
            </w:r>
            <w:r w:rsidRPr="00605612">
              <w:rPr>
                <w:rFonts w:cs="Arial"/>
                <w:color w:val="000000" w:themeColor="text1"/>
                <w:szCs w:val="20"/>
              </w:rPr>
              <w:t xml:space="preserve"> kater</w:t>
            </w:r>
            <w:r>
              <w:rPr>
                <w:rFonts w:cs="Arial"/>
                <w:color w:val="000000" w:themeColor="text1"/>
                <w:szCs w:val="20"/>
              </w:rPr>
              <w:t>ega</w:t>
            </w:r>
            <w:r w:rsidRPr="00605612">
              <w:rPr>
                <w:rFonts w:cs="Arial"/>
                <w:color w:val="000000" w:themeColor="text1"/>
                <w:szCs w:val="20"/>
              </w:rPr>
              <w:t xml:space="preserve"> koli od naslednjih </w:t>
            </w:r>
            <w:r>
              <w:rPr>
                <w:rFonts w:cs="Arial"/>
                <w:color w:val="000000" w:themeColor="text1"/>
                <w:szCs w:val="20"/>
              </w:rPr>
              <w:t>deležev</w:t>
            </w:r>
            <w:r w:rsidRPr="00605612">
              <w:rPr>
                <w:rFonts w:cs="Arial"/>
                <w:color w:val="000000" w:themeColor="text1"/>
                <w:szCs w:val="20"/>
              </w:rPr>
              <w:t>, ki ju je treba doseči do 30. junija 2026:</w:t>
            </w:r>
          </w:p>
          <w:p w14:paraId="311BF03E" w14:textId="77777777" w:rsidR="000C08CA" w:rsidRPr="00605612" w:rsidRDefault="000C08CA" w:rsidP="00FE328D">
            <w:pPr>
              <w:pStyle w:val="ListParagraph"/>
              <w:numPr>
                <w:ilvl w:val="0"/>
                <w:numId w:val="74"/>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605612">
              <w:rPr>
                <w:rFonts w:ascii="Arial" w:hAnsi="Arial" w:cs="Arial"/>
                <w:color w:val="000000" w:themeColor="text1"/>
                <w:sz w:val="20"/>
                <w:szCs w:val="20"/>
              </w:rPr>
              <w:t xml:space="preserve">osebe manj zastopanega spola zasedajo vsaj 40 % med </w:t>
            </w:r>
            <w:r w:rsidRPr="00605612">
              <w:rPr>
                <w:rStyle w:val="normaltextrun"/>
                <w:rFonts w:ascii="Arial" w:hAnsi="Arial" w:cs="Arial"/>
                <w:color w:val="000000"/>
                <w:sz w:val="20"/>
                <w:szCs w:val="20"/>
                <w:bdr w:val="none" w:sz="0" w:space="0" w:color="auto" w:frame="1"/>
              </w:rPr>
              <w:t>člani organov nadzora</w:t>
            </w:r>
            <w:r w:rsidRPr="00605612">
              <w:rPr>
                <w:rFonts w:ascii="Arial" w:hAnsi="Arial" w:cs="Arial"/>
                <w:color w:val="000000" w:themeColor="text1"/>
                <w:sz w:val="20"/>
                <w:szCs w:val="20"/>
              </w:rPr>
              <w:t xml:space="preserve"> (neizvršni direktorji)</w:t>
            </w:r>
            <w:r>
              <w:rPr>
                <w:rFonts w:ascii="Arial" w:hAnsi="Arial" w:cs="Arial"/>
                <w:color w:val="000000" w:themeColor="text1"/>
                <w:sz w:val="20"/>
                <w:szCs w:val="20"/>
              </w:rPr>
              <w:t>,</w:t>
            </w:r>
          </w:p>
          <w:p w14:paraId="17DC514B" w14:textId="77777777" w:rsidR="000C08CA" w:rsidRPr="00605612" w:rsidRDefault="000C08CA" w:rsidP="00FE328D">
            <w:pPr>
              <w:pStyle w:val="ListParagraph"/>
              <w:numPr>
                <w:ilvl w:val="0"/>
                <w:numId w:val="74"/>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sidRPr="00605612">
              <w:rPr>
                <w:rFonts w:ascii="Arial" w:hAnsi="Arial" w:cs="Arial"/>
                <w:color w:val="000000" w:themeColor="text1"/>
                <w:sz w:val="20"/>
                <w:szCs w:val="20"/>
              </w:rPr>
              <w:t xml:space="preserve">osebe manj zastopanega spola zasedajo vsaj 33 % med </w:t>
            </w:r>
            <w:r w:rsidRPr="00605612">
              <w:rPr>
                <w:rStyle w:val="normaltextrun"/>
                <w:rFonts w:ascii="Arial" w:hAnsi="Arial" w:cs="Arial"/>
                <w:color w:val="000000"/>
                <w:sz w:val="20"/>
                <w:szCs w:val="20"/>
                <w:bdr w:val="none" w:sz="0" w:space="0" w:color="auto" w:frame="1"/>
              </w:rPr>
              <w:t>člani organov vodenja in nadzora ter izvršnimi direktorji</w:t>
            </w:r>
            <w:r w:rsidRPr="00605612">
              <w:rPr>
                <w:rFonts w:ascii="Arial" w:hAnsi="Arial" w:cs="Arial"/>
                <w:color w:val="000000" w:themeColor="text1"/>
                <w:sz w:val="20"/>
                <w:szCs w:val="20"/>
              </w:rPr>
              <w:t xml:space="preserve"> (izvršni in neizvršni direktorji) skup</w:t>
            </w:r>
            <w:r>
              <w:rPr>
                <w:rFonts w:ascii="Arial" w:hAnsi="Arial" w:cs="Arial"/>
                <w:color w:val="000000" w:themeColor="text1"/>
                <w:sz w:val="20"/>
                <w:szCs w:val="20"/>
              </w:rPr>
              <w:t>aj</w:t>
            </w:r>
            <w:r w:rsidRPr="00605612">
              <w:rPr>
                <w:rFonts w:ascii="Arial" w:hAnsi="Arial" w:cs="Arial"/>
                <w:color w:val="000000" w:themeColor="text1"/>
                <w:sz w:val="20"/>
                <w:szCs w:val="20"/>
              </w:rPr>
              <w:t>.</w:t>
            </w:r>
          </w:p>
          <w:p w14:paraId="7A276AC2"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Države članice lahko na različne načine uredijo, da bodo družbe dosegle naveden</w:t>
            </w:r>
            <w:r>
              <w:rPr>
                <w:rFonts w:cs="Arial"/>
                <w:color w:val="000000" w:themeColor="text1"/>
                <w:szCs w:val="20"/>
              </w:rPr>
              <w:t>a</w:t>
            </w:r>
            <w:r w:rsidDel="00C36E9F">
              <w:rPr>
                <w:rFonts w:cs="Arial"/>
                <w:color w:val="000000" w:themeColor="text1"/>
                <w:szCs w:val="20"/>
              </w:rPr>
              <w:t xml:space="preserve"> </w:t>
            </w:r>
            <w:r>
              <w:rPr>
                <w:rFonts w:cs="Arial"/>
                <w:color w:val="000000" w:themeColor="text1"/>
                <w:szCs w:val="20"/>
              </w:rPr>
              <w:t>deleža glede uravnotežene zastopanosti spolov med osebami, odgovornimi za vodenje in nadzor</w:t>
            </w:r>
            <w:r w:rsidRPr="00605612">
              <w:rPr>
                <w:rFonts w:cs="Arial"/>
                <w:color w:val="000000" w:themeColor="text1"/>
                <w:szCs w:val="20"/>
              </w:rPr>
              <w:t xml:space="preserve">. </w:t>
            </w:r>
            <w:r>
              <w:rPr>
                <w:rFonts w:cs="Arial"/>
                <w:color w:val="000000" w:themeColor="text1"/>
                <w:szCs w:val="20"/>
              </w:rPr>
              <w:t xml:space="preserve">V </w:t>
            </w:r>
            <w:r w:rsidRPr="00605612">
              <w:rPr>
                <w:rFonts w:cs="Arial"/>
                <w:color w:val="000000" w:themeColor="text1"/>
                <w:szCs w:val="20"/>
              </w:rPr>
              <w:t>nacionalni zakonodaji</w:t>
            </w:r>
            <w:r>
              <w:rPr>
                <w:rFonts w:cs="Arial"/>
                <w:color w:val="000000" w:themeColor="text1"/>
                <w:szCs w:val="20"/>
              </w:rPr>
              <w:t xml:space="preserve"> lahko</w:t>
            </w:r>
            <w:r w:rsidRPr="00605612">
              <w:rPr>
                <w:rFonts w:cs="Arial"/>
                <w:color w:val="000000" w:themeColor="text1"/>
                <w:szCs w:val="20"/>
              </w:rPr>
              <w:t xml:space="preserve"> določijo enega izmed </w:t>
            </w:r>
            <w:r>
              <w:rPr>
                <w:rFonts w:cs="Arial"/>
                <w:color w:val="000000" w:themeColor="text1"/>
                <w:szCs w:val="20"/>
              </w:rPr>
              <w:t>deležev</w:t>
            </w:r>
            <w:r w:rsidRPr="00605612">
              <w:rPr>
                <w:rFonts w:cs="Arial"/>
                <w:color w:val="000000" w:themeColor="text1"/>
                <w:szCs w:val="20"/>
              </w:rPr>
              <w:t>, ki bo veljal za družbe</w:t>
            </w:r>
            <w:r>
              <w:rPr>
                <w:rFonts w:cs="Arial"/>
                <w:color w:val="000000" w:themeColor="text1"/>
                <w:szCs w:val="20"/>
              </w:rPr>
              <w:t>, lahko pa določijo</w:t>
            </w:r>
            <w:r w:rsidRPr="00605612">
              <w:rPr>
                <w:rFonts w:cs="Arial"/>
                <w:color w:val="000000" w:themeColor="text1"/>
                <w:szCs w:val="20"/>
              </w:rPr>
              <w:t xml:space="preserve"> </w:t>
            </w:r>
            <w:r>
              <w:rPr>
                <w:rFonts w:cs="Arial"/>
                <w:color w:val="000000" w:themeColor="text1"/>
                <w:szCs w:val="20"/>
              </w:rPr>
              <w:t xml:space="preserve">obveznost izpolnjevanja </w:t>
            </w:r>
            <w:r w:rsidRPr="00605612">
              <w:rPr>
                <w:rFonts w:cs="Arial"/>
                <w:color w:val="000000" w:themeColor="text1"/>
                <w:szCs w:val="20"/>
              </w:rPr>
              <w:t>ob</w:t>
            </w:r>
            <w:r>
              <w:rPr>
                <w:rFonts w:cs="Arial"/>
                <w:color w:val="000000" w:themeColor="text1"/>
                <w:szCs w:val="20"/>
              </w:rPr>
              <w:t>eh deležev</w:t>
            </w:r>
            <w:r w:rsidRPr="00605612">
              <w:rPr>
                <w:rFonts w:cs="Arial"/>
                <w:color w:val="000000" w:themeColor="text1"/>
                <w:szCs w:val="20"/>
              </w:rPr>
              <w:t>. V predlog zakona smo prenesli določbo na način, da si družbe same izberejo, kater</w:t>
            </w:r>
            <w:r>
              <w:rPr>
                <w:rFonts w:cs="Arial"/>
                <w:color w:val="000000" w:themeColor="text1"/>
                <w:szCs w:val="20"/>
              </w:rPr>
              <w:t>i</w:t>
            </w:r>
            <w:r w:rsidRPr="00605612">
              <w:rPr>
                <w:rFonts w:cs="Arial"/>
                <w:color w:val="000000" w:themeColor="text1"/>
                <w:szCs w:val="20"/>
              </w:rPr>
              <w:t xml:space="preserve"> delež bodo dosegle. Družba bo morala naveden</w:t>
            </w:r>
            <w:r>
              <w:rPr>
                <w:rFonts w:cs="Arial"/>
                <w:color w:val="000000" w:themeColor="text1"/>
                <w:szCs w:val="20"/>
              </w:rPr>
              <w:t>i</w:t>
            </w:r>
            <w:r w:rsidRPr="00605612">
              <w:rPr>
                <w:rFonts w:cs="Arial"/>
                <w:color w:val="000000" w:themeColor="text1"/>
                <w:szCs w:val="20"/>
              </w:rPr>
              <w:t xml:space="preserve"> </w:t>
            </w:r>
            <w:r>
              <w:rPr>
                <w:rFonts w:cs="Arial"/>
                <w:color w:val="000000" w:themeColor="text1"/>
                <w:szCs w:val="20"/>
              </w:rPr>
              <w:t>delež</w:t>
            </w:r>
            <w:r w:rsidRPr="00605612">
              <w:rPr>
                <w:rFonts w:cs="Arial"/>
                <w:color w:val="000000" w:themeColor="text1"/>
                <w:szCs w:val="20"/>
              </w:rPr>
              <w:t xml:space="preserve"> določiti v </w:t>
            </w:r>
            <w:r>
              <w:rPr>
                <w:rFonts w:cs="Arial"/>
                <w:color w:val="000000" w:themeColor="text1"/>
                <w:szCs w:val="20"/>
              </w:rPr>
              <w:t>p</w:t>
            </w:r>
            <w:r w:rsidRPr="00605612">
              <w:rPr>
                <w:rFonts w:cs="Arial"/>
                <w:color w:val="000000" w:themeColor="text1"/>
                <w:szCs w:val="20"/>
              </w:rPr>
              <w:t>olitiki raznolikosti, spreje</w:t>
            </w:r>
            <w:r>
              <w:rPr>
                <w:rFonts w:cs="Arial"/>
                <w:color w:val="000000" w:themeColor="text1"/>
                <w:szCs w:val="20"/>
              </w:rPr>
              <w:t>tje</w:t>
            </w:r>
            <w:r w:rsidRPr="00605612">
              <w:rPr>
                <w:rFonts w:cs="Arial"/>
                <w:color w:val="000000" w:themeColor="text1"/>
                <w:szCs w:val="20"/>
              </w:rPr>
              <w:t xml:space="preserve"> katere bo obvez</w:t>
            </w:r>
            <w:r>
              <w:rPr>
                <w:rFonts w:cs="Arial"/>
                <w:color w:val="000000" w:themeColor="text1"/>
                <w:szCs w:val="20"/>
              </w:rPr>
              <w:t>no</w:t>
            </w:r>
            <w:r w:rsidRPr="00605612">
              <w:rPr>
                <w:rFonts w:cs="Arial"/>
                <w:color w:val="000000" w:themeColor="text1"/>
                <w:szCs w:val="20"/>
              </w:rPr>
              <w:t xml:space="preserve"> za družbe, ki bodo zavezane upoštevati pravila v zvezi z zagotavljanjem uravnotežene zastopanosti spolov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w:t>
            </w:r>
          </w:p>
          <w:p w14:paraId="55377D60"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4CD1B11A"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Style w:val="normaltextrun"/>
                <w:rFonts w:cs="Arial"/>
                <w:color w:val="000000"/>
                <w:szCs w:val="20"/>
                <w:shd w:val="clear" w:color="auto" w:fill="FFFFFF"/>
              </w:rPr>
              <w:t xml:space="preserve">Zaradi enakomerne porazdelitve odgovornosti pri imenovanju predstavnikov v organe vodenja in nadzora ter za izvršne direktorje je za Svet delavcev določen poseben delež glede </w:t>
            </w:r>
            <w:r w:rsidRPr="00605612">
              <w:rPr>
                <w:rFonts w:cs="Arial"/>
                <w:color w:val="000000" w:themeColor="text1"/>
                <w:szCs w:val="20"/>
              </w:rPr>
              <w:t xml:space="preserve">uravnotežene zastopanosti spolov </w:t>
            </w:r>
            <w:r>
              <w:rPr>
                <w:rStyle w:val="normaltextrun"/>
                <w:rFonts w:cs="Arial"/>
                <w:color w:val="000000"/>
                <w:szCs w:val="20"/>
                <w:shd w:val="clear" w:color="auto" w:fill="FFFFFF"/>
              </w:rPr>
              <w:t>m</w:t>
            </w:r>
            <w:r>
              <w:rPr>
                <w:rStyle w:val="normaltextrun"/>
                <w:color w:val="000000"/>
                <w:shd w:val="clear" w:color="auto" w:fill="FFFFFF"/>
              </w:rPr>
              <w:t xml:space="preserve">ed </w:t>
            </w:r>
            <w:r w:rsidRPr="00605612">
              <w:rPr>
                <w:rStyle w:val="normaltextrun"/>
                <w:rFonts w:cs="Arial"/>
                <w:color w:val="000000"/>
                <w:szCs w:val="20"/>
                <w:shd w:val="clear" w:color="auto" w:fill="FFFFFF"/>
              </w:rPr>
              <w:t>predstavnik</w:t>
            </w:r>
            <w:r>
              <w:rPr>
                <w:rStyle w:val="normaltextrun"/>
                <w:rFonts w:cs="Arial"/>
                <w:color w:val="000000"/>
                <w:szCs w:val="20"/>
                <w:shd w:val="clear" w:color="auto" w:fill="FFFFFF"/>
              </w:rPr>
              <w:t>i</w:t>
            </w:r>
            <w:r w:rsidRPr="00605612">
              <w:rPr>
                <w:rStyle w:val="normaltextrun"/>
                <w:rFonts w:cs="Arial"/>
                <w:color w:val="000000"/>
                <w:szCs w:val="20"/>
                <w:shd w:val="clear" w:color="auto" w:fill="FFFFFF"/>
              </w:rPr>
              <w:t xml:space="preserve"> delavcev v organih, ki ga morajo upoštevati. Svet delavcev je pri imenovanju predstavnikov delavcev v organe nadzora in vodenja ter za izvršne direktorje družbe zavezanke po zakonu, ki ureja sodelovanje delavcev pri upravljanju, dolžan glede svojih predstavnikov zagotoviti vsaj 33</w:t>
            </w:r>
            <w:r>
              <w:rPr>
                <w:rStyle w:val="normaltextrun"/>
                <w:rFonts w:cs="Arial"/>
                <w:color w:val="000000"/>
                <w:szCs w:val="20"/>
                <w:shd w:val="clear" w:color="auto" w:fill="FFFFFF"/>
              </w:rPr>
              <w:t>-odstotno</w:t>
            </w:r>
            <w:r w:rsidRPr="00605612" w:rsidDel="006E0C85">
              <w:rPr>
                <w:rStyle w:val="normaltextrun"/>
                <w:rFonts w:cs="Arial"/>
                <w:color w:val="000000"/>
                <w:szCs w:val="20"/>
                <w:shd w:val="clear" w:color="auto" w:fill="FFFFFF"/>
              </w:rPr>
              <w:t xml:space="preserve"> </w:t>
            </w:r>
            <w:r w:rsidRPr="00605612">
              <w:rPr>
                <w:rStyle w:val="normaltextrun"/>
                <w:rFonts w:cs="Arial"/>
                <w:color w:val="000000"/>
                <w:szCs w:val="20"/>
                <w:shd w:val="clear" w:color="auto" w:fill="FFFFFF"/>
              </w:rPr>
              <w:t xml:space="preserve">zastopanost manj zastopanega spola. Delež je skladen z zahtevami iz direktive. </w:t>
            </w:r>
            <w:r>
              <w:rPr>
                <w:lang w:eastAsia="sl-SI"/>
              </w:rPr>
              <w:t>Urejena je tudi</w:t>
            </w:r>
            <w:r w:rsidRPr="00695095">
              <w:rPr>
                <w:rFonts w:cs="Arial"/>
                <w:szCs w:val="20"/>
                <w:lang w:eastAsia="sl-SI"/>
              </w:rPr>
              <w:t xml:space="preserve"> izjem</w:t>
            </w:r>
            <w:r>
              <w:rPr>
                <w:rFonts w:cs="Arial"/>
                <w:szCs w:val="20"/>
                <w:lang w:eastAsia="sl-SI"/>
              </w:rPr>
              <w:t>a</w:t>
            </w:r>
            <w:r w:rsidRPr="00695095">
              <w:rPr>
                <w:rFonts w:cs="Arial"/>
                <w:szCs w:val="20"/>
                <w:lang w:eastAsia="sl-SI"/>
              </w:rPr>
              <w:t>, k</w:t>
            </w:r>
            <w:r>
              <w:rPr>
                <w:rFonts w:cs="Arial"/>
                <w:szCs w:val="20"/>
                <w:lang w:eastAsia="sl-SI"/>
              </w:rPr>
              <w:t>adar</w:t>
            </w:r>
            <w:r w:rsidRPr="00695095">
              <w:rPr>
                <w:rFonts w:cs="Arial"/>
                <w:szCs w:val="20"/>
                <w:lang w:eastAsia="sl-SI"/>
              </w:rPr>
              <w:t xml:space="preserve"> v družbi v času imenovanja ni oseb manj zastopanega spola in zato deleža ne morejo zagotoviti. </w:t>
            </w:r>
            <w:r w:rsidRPr="00605612">
              <w:rPr>
                <w:rStyle w:val="normaltextrun"/>
                <w:rFonts w:cs="Arial"/>
                <w:color w:val="000000"/>
                <w:szCs w:val="20"/>
                <w:shd w:val="clear" w:color="auto" w:fill="FFFFFF"/>
              </w:rPr>
              <w:t>Ne glede na delež, ki ga mora</w:t>
            </w:r>
            <w:r>
              <w:rPr>
                <w:rStyle w:val="normaltextrun"/>
                <w:rFonts w:cs="Arial"/>
                <w:color w:val="000000"/>
                <w:szCs w:val="20"/>
                <w:shd w:val="clear" w:color="auto" w:fill="FFFFFF"/>
              </w:rPr>
              <w:t xml:space="preserve"> Svet delavcev</w:t>
            </w:r>
            <w:r w:rsidRPr="00605612">
              <w:rPr>
                <w:rStyle w:val="normaltextrun"/>
                <w:rFonts w:cs="Arial"/>
                <w:color w:val="000000"/>
                <w:szCs w:val="20"/>
                <w:shd w:val="clear" w:color="auto" w:fill="FFFFFF"/>
              </w:rPr>
              <w:t xml:space="preserve"> upoštevati pri imenovanju predstavnikov delavcev, mora  skupni delež</w:t>
            </w:r>
            <w:r>
              <w:rPr>
                <w:rStyle w:val="normaltextrun"/>
                <w:rFonts w:cs="Arial"/>
                <w:color w:val="000000"/>
                <w:szCs w:val="20"/>
                <w:shd w:val="clear" w:color="auto" w:fill="FFFFFF"/>
              </w:rPr>
              <w:t>,</w:t>
            </w:r>
            <w:r w:rsidRPr="00605612">
              <w:rPr>
                <w:rStyle w:val="normaltextrun"/>
                <w:rFonts w:cs="Arial"/>
                <w:color w:val="000000"/>
                <w:szCs w:val="20"/>
                <w:shd w:val="clear" w:color="auto" w:fill="FFFFFF"/>
              </w:rPr>
              <w:t xml:space="preserve"> določen v politiki raznolikosti</w:t>
            </w:r>
            <w:r>
              <w:rPr>
                <w:rStyle w:val="normaltextrun"/>
                <w:rFonts w:cs="Arial"/>
                <w:color w:val="000000"/>
                <w:szCs w:val="20"/>
                <w:shd w:val="clear" w:color="auto" w:fill="FFFFFF"/>
              </w:rPr>
              <w:t>,</w:t>
            </w:r>
            <w:r w:rsidRPr="00605612">
              <w:rPr>
                <w:rStyle w:val="normaltextrun"/>
                <w:rFonts w:cs="Arial"/>
                <w:color w:val="000000"/>
                <w:szCs w:val="20"/>
                <w:shd w:val="clear" w:color="auto" w:fill="FFFFFF"/>
              </w:rPr>
              <w:t xml:space="preserve"> izpolniti družba kot celota.</w:t>
            </w:r>
            <w:r w:rsidRPr="00605612">
              <w:rPr>
                <w:rStyle w:val="eop"/>
                <w:rFonts w:cs="Arial"/>
                <w:color w:val="000000"/>
                <w:szCs w:val="20"/>
                <w:shd w:val="clear" w:color="auto" w:fill="FFFFFF"/>
              </w:rPr>
              <w:t> </w:t>
            </w:r>
          </w:p>
          <w:p w14:paraId="23841B7F"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1E1FA3F1"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 xml:space="preserve">V predlogu zakona je </w:t>
            </w:r>
            <w:r>
              <w:rPr>
                <w:rFonts w:cs="Arial"/>
                <w:color w:val="000000" w:themeColor="text1"/>
                <w:szCs w:val="20"/>
              </w:rPr>
              <w:t xml:space="preserve">v </w:t>
            </w:r>
            <w:r w:rsidRPr="00605612">
              <w:rPr>
                <w:rFonts w:cs="Arial"/>
                <w:color w:val="000000" w:themeColor="text1"/>
                <w:szCs w:val="20"/>
              </w:rPr>
              <w:t>sklad</w:t>
            </w:r>
            <w:r>
              <w:rPr>
                <w:rFonts w:cs="Arial"/>
                <w:color w:val="000000" w:themeColor="text1"/>
                <w:szCs w:val="20"/>
              </w:rPr>
              <w:t>u</w:t>
            </w:r>
            <w:r w:rsidRPr="00605612">
              <w:rPr>
                <w:rFonts w:cs="Arial"/>
                <w:color w:val="000000" w:themeColor="text1"/>
                <w:szCs w:val="20"/>
              </w:rPr>
              <w:t xml:space="preserve"> z zahtevami </w:t>
            </w:r>
            <w:r>
              <w:rPr>
                <w:rFonts w:cs="Arial"/>
                <w:color w:val="000000" w:themeColor="text1"/>
                <w:szCs w:val="20"/>
              </w:rPr>
              <w:t xml:space="preserve">iz </w:t>
            </w:r>
            <w:r w:rsidRPr="00605612">
              <w:rPr>
                <w:rFonts w:cs="Arial"/>
                <w:color w:val="000000" w:themeColor="text1"/>
                <w:szCs w:val="20"/>
              </w:rPr>
              <w:t xml:space="preserve">Direktive 2022/2381/EU za družbe, ki si določijo, da bodo izpolnile </w:t>
            </w:r>
            <w:r>
              <w:rPr>
                <w:rFonts w:cs="Arial"/>
                <w:color w:val="000000" w:themeColor="text1"/>
                <w:szCs w:val="20"/>
              </w:rPr>
              <w:t>delež</w:t>
            </w:r>
            <w:r w:rsidRPr="00605612">
              <w:rPr>
                <w:rFonts w:cs="Arial"/>
                <w:color w:val="000000" w:themeColor="text1"/>
                <w:szCs w:val="20"/>
              </w:rPr>
              <w:t xml:space="preserve"> 40</w:t>
            </w:r>
            <w:r>
              <w:rPr>
                <w:rFonts w:cs="Arial"/>
                <w:color w:val="000000" w:themeColor="text1"/>
                <w:szCs w:val="20"/>
              </w:rPr>
              <w:t>-odstotne</w:t>
            </w:r>
            <w:r w:rsidRPr="00605612" w:rsidDel="006E0C85">
              <w:rPr>
                <w:rFonts w:cs="Arial"/>
                <w:color w:val="000000" w:themeColor="text1"/>
                <w:szCs w:val="20"/>
              </w:rPr>
              <w:t xml:space="preserve"> </w:t>
            </w:r>
            <w:r w:rsidRPr="00605612">
              <w:rPr>
                <w:rFonts w:cs="Arial"/>
                <w:color w:val="000000" w:themeColor="text1"/>
                <w:szCs w:val="20"/>
              </w:rPr>
              <w:t>zastopanosti manj zastopanega spola med člani organov nadzora (neizvršni direktorji), določeno</w:t>
            </w:r>
            <w:r>
              <w:rPr>
                <w:rFonts w:cs="Arial"/>
                <w:color w:val="000000" w:themeColor="text1"/>
                <w:szCs w:val="20"/>
              </w:rPr>
              <w:t>,</w:t>
            </w:r>
            <w:r w:rsidRPr="00605612">
              <w:rPr>
                <w:rFonts w:cs="Arial"/>
                <w:color w:val="000000" w:themeColor="text1"/>
                <w:szCs w:val="20"/>
              </w:rPr>
              <w:t xml:space="preserve"> da morajo določiti tudi delež zastopanosti spolov med čl</w:t>
            </w:r>
            <w:r>
              <w:rPr>
                <w:rFonts w:cs="Arial"/>
                <w:color w:val="000000" w:themeColor="text1"/>
                <w:szCs w:val="20"/>
              </w:rPr>
              <w:t>a</w:t>
            </w:r>
            <w:r w:rsidRPr="00605612">
              <w:rPr>
                <w:rFonts w:cs="Arial"/>
                <w:color w:val="000000" w:themeColor="text1"/>
                <w:szCs w:val="20"/>
              </w:rPr>
              <w:t xml:space="preserve">ni organov vodenja ter izvršnimi direktorji (v enotirnih sistemih upravljanja). Družba bo morala v </w:t>
            </w:r>
            <w:r>
              <w:rPr>
                <w:rFonts w:cs="Arial"/>
                <w:color w:val="000000" w:themeColor="text1"/>
                <w:szCs w:val="20"/>
              </w:rPr>
              <w:t>p</w:t>
            </w:r>
            <w:r w:rsidRPr="00605612">
              <w:rPr>
                <w:rFonts w:cs="Arial"/>
                <w:color w:val="000000" w:themeColor="text1"/>
                <w:szCs w:val="20"/>
              </w:rPr>
              <w:t xml:space="preserve">olitiki raznolikosti določiti delež </w:t>
            </w:r>
            <w:r>
              <w:rPr>
                <w:rFonts w:cs="Arial"/>
                <w:color w:val="000000" w:themeColor="text1"/>
                <w:szCs w:val="20"/>
              </w:rPr>
              <w:t xml:space="preserve">uravnotežene </w:t>
            </w:r>
            <w:r w:rsidRPr="00605612">
              <w:rPr>
                <w:rFonts w:cs="Arial"/>
                <w:color w:val="000000" w:themeColor="text1"/>
                <w:szCs w:val="20"/>
              </w:rPr>
              <w:t>zastopanosti</w:t>
            </w:r>
            <w:r>
              <w:rPr>
                <w:rFonts w:cs="Arial"/>
                <w:color w:val="000000" w:themeColor="text1"/>
                <w:szCs w:val="20"/>
              </w:rPr>
              <w:t xml:space="preserve"> spolov</w:t>
            </w:r>
            <w:r w:rsidRPr="00605612">
              <w:rPr>
                <w:rFonts w:cs="Arial"/>
                <w:color w:val="000000" w:themeColor="text1"/>
                <w:szCs w:val="20"/>
              </w:rPr>
              <w:t>, ki ga namerava izpolniti</w:t>
            </w:r>
            <w:r w:rsidRPr="00605612">
              <w:rPr>
                <w:rFonts w:cs="Arial"/>
                <w:szCs w:val="20"/>
              </w:rPr>
              <w:t>.</w:t>
            </w:r>
            <w:r w:rsidRPr="00605612">
              <w:rPr>
                <w:rFonts w:cs="Arial"/>
                <w:color w:val="FF0000"/>
                <w:szCs w:val="20"/>
              </w:rPr>
              <w:t xml:space="preserve"> </w:t>
            </w:r>
            <w:r w:rsidRPr="00605612">
              <w:rPr>
                <w:rFonts w:cs="Arial"/>
                <w:color w:val="000000" w:themeColor="text1"/>
                <w:szCs w:val="20"/>
              </w:rPr>
              <w:t xml:space="preserve">Pomembno je, da si družbe prizadevajo zagotoviti uravnoteženo zastopanost spolov med obema skupinama direktorjev oziroma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V </w:t>
            </w:r>
            <w:r>
              <w:rPr>
                <w:rFonts w:cs="Arial"/>
                <w:color w:val="000000" w:themeColor="text1"/>
                <w:szCs w:val="20"/>
              </w:rPr>
              <w:t>navedeni d</w:t>
            </w:r>
            <w:r w:rsidRPr="00605612">
              <w:rPr>
                <w:rFonts w:cs="Arial"/>
                <w:color w:val="000000" w:themeColor="text1"/>
                <w:szCs w:val="20"/>
              </w:rPr>
              <w:t>irektivi</w:t>
            </w:r>
            <w:r w:rsidRPr="00605612" w:rsidDel="006E0C85">
              <w:rPr>
                <w:rFonts w:cs="Arial"/>
                <w:color w:val="000000" w:themeColor="text1"/>
                <w:szCs w:val="20"/>
              </w:rPr>
              <w:t xml:space="preserve"> </w:t>
            </w:r>
            <w:r w:rsidRPr="00605612">
              <w:rPr>
                <w:rFonts w:cs="Arial"/>
                <w:color w:val="000000" w:themeColor="text1"/>
                <w:szCs w:val="20"/>
              </w:rPr>
              <w:t xml:space="preserve">je tudi določilo, ki podrobneje ureja, kako se izračuna število vodilnih mest, ki je potrebno za izpolnitev zgoraj navedenih deležev zastopanosti manj zastopanega spola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Pogosto ni mogoče doseči točno 40</w:t>
            </w:r>
            <w:r>
              <w:rPr>
                <w:rFonts w:cs="Arial"/>
                <w:color w:val="000000" w:themeColor="text1"/>
                <w:szCs w:val="20"/>
              </w:rPr>
              <w:t>-</w:t>
            </w:r>
            <w:r w:rsidRPr="00605612">
              <w:rPr>
                <w:rFonts w:cs="Arial"/>
                <w:color w:val="000000" w:themeColor="text1"/>
                <w:szCs w:val="20"/>
              </w:rPr>
              <w:t xml:space="preserve"> ali 33</w:t>
            </w:r>
            <w:r>
              <w:rPr>
                <w:rFonts w:cs="Arial"/>
                <w:color w:val="000000" w:themeColor="text1"/>
                <w:szCs w:val="20"/>
              </w:rPr>
              <w:t>-odstotnega</w:t>
            </w:r>
            <w:r w:rsidRPr="00605612">
              <w:rPr>
                <w:rFonts w:cs="Arial"/>
                <w:color w:val="000000" w:themeColor="text1"/>
                <w:szCs w:val="20"/>
              </w:rPr>
              <w:t xml:space="preserve"> deleža, zato mora biti število vodilnih mest, ki je potrebno za </w:t>
            </w:r>
            <w:r>
              <w:rPr>
                <w:rFonts w:cs="Arial"/>
                <w:color w:val="000000" w:themeColor="text1"/>
                <w:szCs w:val="20"/>
              </w:rPr>
              <w:t>njegovo</w:t>
            </w:r>
            <w:r w:rsidRPr="00605612">
              <w:rPr>
                <w:rFonts w:cs="Arial"/>
                <w:color w:val="000000" w:themeColor="text1"/>
                <w:szCs w:val="20"/>
              </w:rPr>
              <w:t xml:space="preserve"> dosego, tisto, ki je najbližje deležu 40 % oziroma 33 %, vendar ne sme preseči deleža 49 %. V prilogi </w:t>
            </w:r>
            <w:r>
              <w:rPr>
                <w:rFonts w:cs="Arial"/>
                <w:color w:val="000000" w:themeColor="text1"/>
                <w:szCs w:val="20"/>
              </w:rPr>
              <w:t>navedene d</w:t>
            </w:r>
            <w:r w:rsidRPr="00605612">
              <w:rPr>
                <w:rFonts w:cs="Arial"/>
                <w:color w:val="000000" w:themeColor="text1"/>
                <w:szCs w:val="20"/>
              </w:rPr>
              <w:t>irektive</w:t>
            </w:r>
            <w:r w:rsidRPr="00605612" w:rsidDel="006E0C85">
              <w:rPr>
                <w:rFonts w:cs="Arial"/>
                <w:color w:val="000000" w:themeColor="text1"/>
                <w:szCs w:val="20"/>
              </w:rPr>
              <w:t xml:space="preserve"> </w:t>
            </w:r>
            <w:r w:rsidRPr="00605612">
              <w:rPr>
                <w:rFonts w:cs="Arial"/>
                <w:color w:val="000000" w:themeColor="text1"/>
                <w:szCs w:val="20"/>
              </w:rPr>
              <w:t>je tudi tabela, v kateri je navedeno minimalno število mest</w:t>
            </w:r>
            <w:r>
              <w:rPr>
                <w:rFonts w:cs="Arial"/>
                <w:color w:val="000000" w:themeColor="text1"/>
                <w:szCs w:val="20"/>
              </w:rPr>
              <w:t>,</w:t>
            </w:r>
            <w:r w:rsidRPr="00605612">
              <w:rPr>
                <w:rFonts w:cs="Arial"/>
                <w:color w:val="000000" w:themeColor="text1"/>
                <w:szCs w:val="20"/>
              </w:rPr>
              <w:t xml:space="preserve"> ki jih morajo zasesti predstavniki manj zastopanega spola med </w:t>
            </w:r>
            <w:r w:rsidRPr="00605612">
              <w:rPr>
                <w:rStyle w:val="normaltextrun"/>
                <w:rFonts w:cs="Arial"/>
                <w:color w:val="000000"/>
                <w:szCs w:val="20"/>
                <w:bdr w:val="none" w:sz="0" w:space="0" w:color="auto" w:frame="1"/>
              </w:rPr>
              <w:t>člani organov vodenja in nadzora ter izvršnimi direktorji</w:t>
            </w:r>
            <w:r>
              <w:rPr>
                <w:rStyle w:val="normaltextrun"/>
                <w:rFonts w:cs="Arial"/>
                <w:color w:val="000000"/>
                <w:szCs w:val="20"/>
                <w:bdr w:val="none" w:sz="0" w:space="0" w:color="auto" w:frame="1"/>
              </w:rPr>
              <w:t>,</w:t>
            </w:r>
            <w:r w:rsidRPr="00605612">
              <w:rPr>
                <w:rFonts w:cs="Arial"/>
                <w:color w:val="000000" w:themeColor="text1"/>
                <w:szCs w:val="20"/>
              </w:rPr>
              <w:t xml:space="preserve"> za oba deleža glede na skupno število mest v organih družbe, na katero </w:t>
            </w:r>
            <w:r>
              <w:rPr>
                <w:rFonts w:cs="Arial"/>
                <w:color w:val="000000" w:themeColor="text1"/>
                <w:szCs w:val="20"/>
              </w:rPr>
              <w:t>se</w:t>
            </w:r>
            <w:r w:rsidRPr="00605612">
              <w:rPr>
                <w:rFonts w:cs="Arial"/>
                <w:color w:val="000000" w:themeColor="text1"/>
                <w:szCs w:val="20"/>
              </w:rPr>
              <w:t xml:space="preserve"> sklic</w:t>
            </w:r>
            <w:r>
              <w:rPr>
                <w:rFonts w:cs="Arial"/>
                <w:color w:val="000000" w:themeColor="text1"/>
                <w:szCs w:val="20"/>
              </w:rPr>
              <w:t>uje</w:t>
            </w:r>
            <w:r w:rsidRPr="00605612">
              <w:rPr>
                <w:rFonts w:cs="Arial"/>
                <w:color w:val="000000" w:themeColor="text1"/>
                <w:szCs w:val="20"/>
              </w:rPr>
              <w:t xml:space="preserve"> predlog zakona</w:t>
            </w:r>
            <w:r>
              <w:rPr>
                <w:rFonts w:cs="Arial"/>
                <w:color w:val="000000" w:themeColor="text1"/>
                <w:szCs w:val="20"/>
              </w:rPr>
              <w:t>;</w:t>
            </w:r>
          </w:p>
          <w:p w14:paraId="3EE10EFF"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5B091A30"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u</w:t>
            </w:r>
            <w:r w:rsidRPr="00605612">
              <w:rPr>
                <w:rFonts w:ascii="Arial" w:hAnsi="Arial" w:cs="Arial"/>
                <w:color w:val="000000" w:themeColor="text1"/>
                <w:sz w:val="20"/>
                <w:szCs w:val="20"/>
              </w:rPr>
              <w:t xml:space="preserve">rejajo izbirni postopki kandidatov za imenovanje </w:t>
            </w:r>
            <w:r w:rsidRPr="00605612">
              <w:rPr>
                <w:rStyle w:val="normaltextrun"/>
                <w:rFonts w:ascii="Arial" w:hAnsi="Arial" w:cs="Arial"/>
                <w:color w:val="000000"/>
                <w:sz w:val="20"/>
                <w:szCs w:val="20"/>
                <w:bdr w:val="none" w:sz="0" w:space="0" w:color="auto" w:frame="1"/>
              </w:rPr>
              <w:t>članov organov vodenja in nadzora ter izvršne direktorje,</w:t>
            </w:r>
            <w:r w:rsidRPr="00605612">
              <w:rPr>
                <w:rFonts w:ascii="Arial" w:hAnsi="Arial" w:cs="Arial"/>
                <w:color w:val="FF0000"/>
                <w:sz w:val="20"/>
                <w:szCs w:val="20"/>
              </w:rPr>
              <w:t xml:space="preserve"> </w:t>
            </w:r>
            <w:r w:rsidRPr="00765033">
              <w:rPr>
                <w:rFonts w:ascii="Arial" w:hAnsi="Arial" w:cs="Arial"/>
                <w:sz w:val="20"/>
                <w:szCs w:val="20"/>
              </w:rPr>
              <w:t xml:space="preserve">kadar </w:t>
            </w:r>
            <w:r>
              <w:rPr>
                <w:rFonts w:ascii="Arial" w:hAnsi="Arial" w:cs="Arial"/>
                <w:color w:val="000000" w:themeColor="text1"/>
                <w:sz w:val="20"/>
                <w:szCs w:val="20"/>
              </w:rPr>
              <w:t xml:space="preserve">se določena </w:t>
            </w:r>
            <w:r w:rsidRPr="00605612">
              <w:rPr>
                <w:rFonts w:ascii="Arial" w:hAnsi="Arial" w:cs="Arial"/>
                <w:color w:val="000000" w:themeColor="text1"/>
                <w:sz w:val="20"/>
                <w:szCs w:val="20"/>
              </w:rPr>
              <w:t>delež</w:t>
            </w:r>
            <w:r>
              <w:rPr>
                <w:rFonts w:ascii="Arial" w:hAnsi="Arial" w:cs="Arial"/>
                <w:color w:val="000000" w:themeColor="text1"/>
                <w:sz w:val="20"/>
                <w:szCs w:val="20"/>
              </w:rPr>
              <w:t>a glede uravnotežene zastopanosti spolov</w:t>
            </w:r>
            <w:r w:rsidRPr="00605612">
              <w:rPr>
                <w:rFonts w:ascii="Arial" w:hAnsi="Arial" w:cs="Arial"/>
                <w:color w:val="000000" w:themeColor="text1"/>
                <w:sz w:val="20"/>
                <w:szCs w:val="20"/>
              </w:rPr>
              <w:t xml:space="preserve"> ne</w:t>
            </w:r>
            <w:r>
              <w:rPr>
                <w:rFonts w:ascii="Arial" w:hAnsi="Arial" w:cs="Arial"/>
                <w:color w:val="000000" w:themeColor="text1"/>
                <w:sz w:val="20"/>
                <w:szCs w:val="20"/>
              </w:rPr>
              <w:t xml:space="preserve"> dosežeta:</w:t>
            </w:r>
          </w:p>
          <w:p w14:paraId="073E7D35"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 xml:space="preserve">Družba, ki ne bo </w:t>
            </w:r>
            <w:r>
              <w:rPr>
                <w:rFonts w:cs="Arial"/>
                <w:color w:val="000000" w:themeColor="text1"/>
                <w:szCs w:val="20"/>
              </w:rPr>
              <w:t>dosegla</w:t>
            </w:r>
            <w:r w:rsidRPr="00605612">
              <w:rPr>
                <w:rFonts w:cs="Arial"/>
                <w:color w:val="000000" w:themeColor="text1"/>
                <w:szCs w:val="20"/>
              </w:rPr>
              <w:t xml:space="preserve"> </w:t>
            </w:r>
            <w:r>
              <w:rPr>
                <w:rFonts w:cs="Arial"/>
                <w:color w:val="000000" w:themeColor="text1"/>
                <w:szCs w:val="20"/>
              </w:rPr>
              <w:t xml:space="preserve">določena </w:t>
            </w:r>
            <w:r w:rsidRPr="00605612">
              <w:rPr>
                <w:rFonts w:cs="Arial"/>
                <w:color w:val="000000" w:themeColor="text1"/>
                <w:szCs w:val="20"/>
              </w:rPr>
              <w:t xml:space="preserve">deleža </w:t>
            </w:r>
            <w:r>
              <w:rPr>
                <w:rFonts w:cs="Arial"/>
                <w:color w:val="000000" w:themeColor="text1"/>
                <w:szCs w:val="20"/>
              </w:rPr>
              <w:t xml:space="preserve">uravnotežene </w:t>
            </w:r>
            <w:r w:rsidRPr="00605612">
              <w:rPr>
                <w:rFonts w:cs="Arial"/>
                <w:color w:val="000000" w:themeColor="text1"/>
                <w:szCs w:val="20"/>
              </w:rPr>
              <w:t xml:space="preserve">zastopanosti spolov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določenega v </w:t>
            </w:r>
            <w:r>
              <w:rPr>
                <w:rFonts w:cs="Arial"/>
                <w:color w:val="000000" w:themeColor="text1"/>
                <w:szCs w:val="20"/>
              </w:rPr>
              <w:t>p</w:t>
            </w:r>
            <w:r w:rsidRPr="00605612">
              <w:rPr>
                <w:rFonts w:cs="Arial"/>
                <w:color w:val="000000" w:themeColor="text1"/>
                <w:szCs w:val="20"/>
              </w:rPr>
              <w:t xml:space="preserve">olitiki raznolikosti, bo morala prilagoditi </w:t>
            </w:r>
            <w:r w:rsidRPr="00605612">
              <w:rPr>
                <w:rFonts w:cs="Arial"/>
                <w:color w:val="000000" w:themeColor="text1"/>
                <w:szCs w:val="20"/>
              </w:rPr>
              <w:lastRenderedPageBreak/>
              <w:t xml:space="preserve">izbirni postopek kandidatov za imenovanje ali izvolitev na </w:t>
            </w:r>
            <w:r>
              <w:rPr>
                <w:rFonts w:cs="Arial"/>
                <w:szCs w:val="20"/>
              </w:rPr>
              <w:t>omenjena</w:t>
            </w:r>
            <w:r w:rsidRPr="00605612">
              <w:rPr>
                <w:rFonts w:cs="Arial"/>
                <w:color w:val="FF0000"/>
                <w:szCs w:val="20"/>
              </w:rPr>
              <w:t xml:space="preserve"> </w:t>
            </w:r>
            <w:r w:rsidRPr="00605612">
              <w:rPr>
                <w:rFonts w:cs="Arial"/>
                <w:color w:val="000000" w:themeColor="text1"/>
                <w:szCs w:val="20"/>
              </w:rPr>
              <w:t xml:space="preserve">mesta v družbi. Najbolj usposobljeni kandidati se izberejo na podlagi primerjalne </w:t>
            </w:r>
            <w:r>
              <w:rPr>
                <w:rFonts w:cs="Arial"/>
                <w:color w:val="000000" w:themeColor="text1"/>
                <w:szCs w:val="20"/>
              </w:rPr>
              <w:t>presoje</w:t>
            </w:r>
            <w:r w:rsidRPr="00605612">
              <w:rPr>
                <w:rFonts w:cs="Arial"/>
                <w:color w:val="000000" w:themeColor="text1"/>
                <w:szCs w:val="20"/>
              </w:rPr>
              <w:t xml:space="preserve"> kvalifikacij, družba pa mora pri tem upoštevati jasna, nevtralna in nedvoumna merila, ki jih določi pred izbirnim postopkom. </w:t>
            </w:r>
            <w:r>
              <w:rPr>
                <w:rFonts w:cs="Arial"/>
                <w:color w:val="000000" w:themeColor="text1"/>
                <w:szCs w:val="20"/>
              </w:rPr>
              <w:t>Če</w:t>
            </w:r>
            <w:r w:rsidRPr="00605612">
              <w:rPr>
                <w:rFonts w:cs="Arial"/>
                <w:color w:val="000000" w:themeColor="text1"/>
                <w:szCs w:val="20"/>
              </w:rPr>
              <w:t xml:space="preserve"> dva kandidata izpolnjujeta enaka merila in pogoje z vidika primernosti, usposobljenosti in delovne uspešnosti, mora družba dati prednost osebi manj zastopanega spola. Od navedenega načela se lahko odstopa v izjemnih primerih, k</w:t>
            </w:r>
            <w:r>
              <w:rPr>
                <w:rFonts w:cs="Arial"/>
                <w:color w:val="000000" w:themeColor="text1"/>
                <w:szCs w:val="20"/>
              </w:rPr>
              <w:t>adar</w:t>
            </w:r>
            <w:r w:rsidRPr="00605612">
              <w:rPr>
                <w:rFonts w:cs="Arial"/>
                <w:szCs w:val="20"/>
              </w:rPr>
              <w:t xml:space="preserve"> je treba zaradi objektivno utemeljenih razlogov dati prednost kandidatu nasprotnega spola, na primer zaradi upoštevanja politik raznolikosti, kar mora družba posebej utemeljiti</w:t>
            </w:r>
            <w:r>
              <w:rPr>
                <w:rFonts w:cs="Arial"/>
                <w:szCs w:val="20"/>
              </w:rPr>
              <w:t>;</w:t>
            </w:r>
          </w:p>
          <w:p w14:paraId="0355FE99"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1514EABB"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z</w:t>
            </w:r>
            <w:r w:rsidRPr="00605612">
              <w:rPr>
                <w:rFonts w:ascii="Arial" w:hAnsi="Arial" w:cs="Arial"/>
                <w:color w:val="000000" w:themeColor="text1"/>
                <w:sz w:val="20"/>
                <w:szCs w:val="20"/>
              </w:rPr>
              <w:t>agotavlja pravic</w:t>
            </w:r>
            <w:r>
              <w:rPr>
                <w:rFonts w:ascii="Arial" w:hAnsi="Arial" w:cs="Arial"/>
                <w:color w:val="000000" w:themeColor="text1"/>
                <w:sz w:val="20"/>
                <w:szCs w:val="20"/>
              </w:rPr>
              <w:t>a</w:t>
            </w:r>
            <w:r w:rsidRPr="00605612">
              <w:rPr>
                <w:rFonts w:ascii="Arial" w:hAnsi="Arial" w:cs="Arial"/>
                <w:color w:val="000000" w:themeColor="text1"/>
                <w:sz w:val="20"/>
                <w:szCs w:val="20"/>
              </w:rPr>
              <w:t xml:space="preserve"> do podatkov in (pravn</w:t>
            </w:r>
            <w:r>
              <w:rPr>
                <w:rFonts w:ascii="Arial" w:hAnsi="Arial" w:cs="Arial"/>
                <w:color w:val="000000" w:themeColor="text1"/>
                <w:sz w:val="20"/>
                <w:szCs w:val="20"/>
              </w:rPr>
              <w:t>ega</w:t>
            </w:r>
            <w:r w:rsidRPr="00605612">
              <w:rPr>
                <w:rFonts w:ascii="Arial" w:hAnsi="Arial" w:cs="Arial"/>
                <w:color w:val="000000" w:themeColor="text1"/>
                <w:sz w:val="20"/>
                <w:szCs w:val="20"/>
              </w:rPr>
              <w:t>) varstv</w:t>
            </w:r>
            <w:r>
              <w:rPr>
                <w:rFonts w:ascii="Arial" w:hAnsi="Arial" w:cs="Arial"/>
                <w:color w:val="000000" w:themeColor="text1"/>
                <w:sz w:val="20"/>
                <w:szCs w:val="20"/>
              </w:rPr>
              <w:t>a</w:t>
            </w:r>
            <w:r w:rsidRPr="00605612">
              <w:rPr>
                <w:rFonts w:ascii="Arial" w:hAnsi="Arial" w:cs="Arial"/>
                <w:color w:val="000000" w:themeColor="text1"/>
                <w:sz w:val="20"/>
                <w:szCs w:val="20"/>
              </w:rPr>
              <w:t xml:space="preserve"> neizbranim kandidatom manj zastopanega spola</w:t>
            </w:r>
            <w:r>
              <w:rPr>
                <w:rFonts w:ascii="Arial" w:hAnsi="Arial" w:cs="Arial"/>
                <w:color w:val="000000" w:themeColor="text1"/>
                <w:sz w:val="20"/>
                <w:szCs w:val="20"/>
              </w:rPr>
              <w:t>:</w:t>
            </w:r>
          </w:p>
          <w:p w14:paraId="5E7DD5C8"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szCs w:val="20"/>
              </w:rPr>
              <w:t xml:space="preserve">Neizbrani kandidati lahko od družbe, ki ne </w:t>
            </w:r>
            <w:r>
              <w:rPr>
                <w:rFonts w:cs="Arial"/>
                <w:szCs w:val="20"/>
              </w:rPr>
              <w:t xml:space="preserve">dosega </w:t>
            </w:r>
            <w:r w:rsidRPr="00605612">
              <w:rPr>
                <w:rFonts w:cs="Arial"/>
                <w:szCs w:val="20"/>
              </w:rPr>
              <w:t>delež</w:t>
            </w:r>
            <w:r>
              <w:rPr>
                <w:rFonts w:cs="Arial"/>
                <w:szCs w:val="20"/>
              </w:rPr>
              <w:t>ev glede</w:t>
            </w:r>
            <w:r w:rsidRPr="00605612">
              <w:rPr>
                <w:rFonts w:cs="Arial"/>
                <w:szCs w:val="20"/>
              </w:rPr>
              <w:t xml:space="preserve"> </w:t>
            </w:r>
            <w:r>
              <w:rPr>
                <w:rFonts w:cs="Arial"/>
                <w:color w:val="000000" w:themeColor="text1"/>
                <w:szCs w:val="20"/>
              </w:rPr>
              <w:t xml:space="preserve">uravnotežene </w:t>
            </w:r>
            <w:r w:rsidRPr="00605612">
              <w:rPr>
                <w:rFonts w:cs="Arial"/>
                <w:szCs w:val="20"/>
              </w:rPr>
              <w:t>zastopanosti spol</w:t>
            </w:r>
            <w:r>
              <w:rPr>
                <w:rFonts w:cs="Arial"/>
                <w:szCs w:val="20"/>
              </w:rPr>
              <w:t>ov</w:t>
            </w:r>
            <w:r w:rsidRPr="00605612">
              <w:rPr>
                <w:rFonts w:cs="Arial"/>
                <w:szCs w:val="20"/>
              </w:rPr>
              <w:t xml:space="preserve">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sidRPr="00605612">
              <w:rPr>
                <w:rFonts w:cs="Arial"/>
                <w:szCs w:val="20"/>
              </w:rPr>
              <w:t xml:space="preserve">, zahtevajo podatke </w:t>
            </w:r>
            <w:r w:rsidRPr="00605612">
              <w:rPr>
                <w:rFonts w:cs="Arial"/>
                <w:color w:val="000000"/>
                <w:szCs w:val="20"/>
                <w:shd w:val="clear" w:color="auto" w:fill="FFFFFF"/>
              </w:rPr>
              <w:t xml:space="preserve">o merilih in pogojih, na katerih je temeljil izbor, o objektivni oceni kandidatov na podlagi teh meril in po potrebi o posebnih vidikih, ki so izjemoma pretehtali v korist kandidata, ki ni oseba manj zastopanega spola. Neizbrani kandidat se lahko obrne </w:t>
            </w:r>
            <w:r>
              <w:rPr>
                <w:rFonts w:cs="Arial"/>
                <w:color w:val="000000"/>
                <w:szCs w:val="20"/>
                <w:shd w:val="clear" w:color="auto" w:fill="FFFFFF"/>
              </w:rPr>
              <w:t xml:space="preserve">tudi </w:t>
            </w:r>
            <w:r w:rsidRPr="00605612">
              <w:rPr>
                <w:rFonts w:cs="Arial"/>
                <w:color w:val="000000"/>
                <w:szCs w:val="20"/>
                <w:shd w:val="clear" w:color="auto" w:fill="FFFFFF"/>
              </w:rPr>
              <w:t xml:space="preserve">na pristojne institucije (npr. Zagovornik načela enakosti, pristojna inšpekcija, sodišče itd.) in zahteva obravnavo postopka, če meni, da je bil enako kvalificiran kot izbrani kandidat, ki ni oseba manj zastopanega spola. Družba mora v tovrstnih primerih pri pristojni instituciji dokazati, da ni bil kršen izbirni postopek </w:t>
            </w:r>
            <w:r>
              <w:rPr>
                <w:rFonts w:cs="Arial"/>
                <w:color w:val="000000"/>
                <w:szCs w:val="20"/>
                <w:shd w:val="clear" w:color="auto" w:fill="FFFFFF"/>
              </w:rPr>
              <w:t>iz tega</w:t>
            </w:r>
            <w:r w:rsidRPr="00605612">
              <w:rPr>
                <w:rFonts w:cs="Arial"/>
                <w:color w:val="000000"/>
                <w:szCs w:val="20"/>
                <w:shd w:val="clear" w:color="auto" w:fill="FFFFFF"/>
              </w:rPr>
              <w:t xml:space="preserve"> zakon</w:t>
            </w:r>
            <w:r>
              <w:rPr>
                <w:rFonts w:cs="Arial"/>
                <w:color w:val="000000"/>
                <w:szCs w:val="20"/>
                <w:shd w:val="clear" w:color="auto" w:fill="FFFFFF"/>
              </w:rPr>
              <w:t>a;</w:t>
            </w:r>
            <w:r w:rsidRPr="00605612">
              <w:rPr>
                <w:rFonts w:cs="Arial"/>
                <w:color w:val="000000"/>
                <w:szCs w:val="20"/>
                <w:shd w:val="clear" w:color="auto" w:fill="FFFFFF"/>
              </w:rPr>
              <w:t xml:space="preserve"> </w:t>
            </w:r>
          </w:p>
          <w:p w14:paraId="1C7F4F4C"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5B11D0D4"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u</w:t>
            </w:r>
            <w:r w:rsidRPr="00605612">
              <w:rPr>
                <w:rFonts w:ascii="Arial" w:hAnsi="Arial" w:cs="Arial"/>
                <w:color w:val="000000" w:themeColor="text1"/>
                <w:sz w:val="20"/>
                <w:szCs w:val="20"/>
              </w:rPr>
              <w:t xml:space="preserve">reja obveznost poročanja o </w:t>
            </w:r>
            <w:r>
              <w:rPr>
                <w:rFonts w:ascii="Arial" w:hAnsi="Arial" w:cs="Arial"/>
                <w:color w:val="000000" w:themeColor="text1"/>
                <w:sz w:val="20"/>
                <w:szCs w:val="20"/>
              </w:rPr>
              <w:t xml:space="preserve">uravnoteženi </w:t>
            </w:r>
            <w:r w:rsidRPr="00605612">
              <w:rPr>
                <w:rFonts w:ascii="Arial" w:hAnsi="Arial" w:cs="Arial"/>
                <w:color w:val="000000" w:themeColor="text1"/>
                <w:sz w:val="20"/>
                <w:szCs w:val="20"/>
              </w:rPr>
              <w:t xml:space="preserve">zastopanosti </w:t>
            </w:r>
            <w:r>
              <w:rPr>
                <w:rFonts w:ascii="Arial" w:hAnsi="Arial" w:cs="Arial"/>
                <w:color w:val="000000" w:themeColor="text1"/>
                <w:sz w:val="20"/>
                <w:szCs w:val="20"/>
              </w:rPr>
              <w:t xml:space="preserve">spolov </w:t>
            </w:r>
            <w:r w:rsidRPr="00605612">
              <w:rPr>
                <w:rFonts w:ascii="Arial" w:hAnsi="Arial" w:cs="Arial"/>
                <w:color w:val="000000" w:themeColor="text1"/>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r>
              <w:rPr>
                <w:rStyle w:val="normaltextrun"/>
                <w:rFonts w:ascii="Arial" w:hAnsi="Arial" w:cs="Arial"/>
                <w:color w:val="000000"/>
                <w:sz w:val="20"/>
                <w:szCs w:val="20"/>
                <w:bdr w:val="none" w:sz="0" w:space="0" w:color="auto" w:frame="1"/>
              </w:rPr>
              <w:t>:</w:t>
            </w:r>
          </w:p>
          <w:p w14:paraId="55853406" w14:textId="77777777" w:rsidR="000C08CA" w:rsidRPr="00605612" w:rsidRDefault="000C08CA" w:rsidP="00FE328D">
            <w:pPr>
              <w:spacing w:line="276" w:lineRule="auto"/>
              <w:jc w:val="both"/>
              <w:rPr>
                <w:rFonts w:cs="Arial"/>
                <w:szCs w:val="20"/>
              </w:rPr>
            </w:pPr>
            <w:r w:rsidRPr="00605612">
              <w:rPr>
                <w:rFonts w:cs="Arial"/>
                <w:color w:val="000000" w:themeColor="text1"/>
                <w:szCs w:val="20"/>
              </w:rPr>
              <w:t xml:space="preserve">Družba mora </w:t>
            </w:r>
            <w:r>
              <w:rPr>
                <w:rFonts w:cs="Arial"/>
                <w:color w:val="000000" w:themeColor="text1"/>
                <w:szCs w:val="20"/>
              </w:rPr>
              <w:t xml:space="preserve">enkrat letno </w:t>
            </w:r>
            <w:r w:rsidRPr="00605612">
              <w:rPr>
                <w:rFonts w:cs="Arial"/>
                <w:color w:val="000000" w:themeColor="text1"/>
                <w:szCs w:val="20"/>
              </w:rPr>
              <w:t>javno objaviti podatke o:</w:t>
            </w:r>
            <w:r w:rsidRPr="00605612">
              <w:rPr>
                <w:rFonts w:cs="Arial"/>
                <w:szCs w:val="20"/>
              </w:rPr>
              <w:t xml:space="preserve"> </w:t>
            </w:r>
          </w:p>
          <w:p w14:paraId="7229B04E" w14:textId="77777777" w:rsidR="000C08CA" w:rsidRPr="00605612" w:rsidRDefault="000C08CA" w:rsidP="00FE328D">
            <w:pPr>
              <w:pStyle w:val="ListParagraph"/>
              <w:numPr>
                <w:ilvl w:val="0"/>
                <w:numId w:val="29"/>
              </w:numPr>
              <w:spacing w:line="276" w:lineRule="auto"/>
              <w:jc w:val="both"/>
              <w:rPr>
                <w:rFonts w:ascii="Arial" w:hAnsi="Arial" w:cs="Arial"/>
                <w:sz w:val="20"/>
                <w:szCs w:val="20"/>
              </w:rPr>
            </w:pPr>
            <w:r w:rsidRPr="00605612">
              <w:rPr>
                <w:rFonts w:ascii="Arial" w:hAnsi="Arial" w:cs="Arial"/>
                <w:sz w:val="20"/>
                <w:szCs w:val="20"/>
              </w:rPr>
              <w:t xml:space="preserve">deležu zastopanosti žensk in moških </w:t>
            </w:r>
            <w:r w:rsidRPr="00605612">
              <w:rPr>
                <w:rFonts w:ascii="Arial" w:hAnsi="Arial" w:cs="Arial"/>
                <w:color w:val="000000" w:themeColor="text1"/>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r w:rsidRPr="00605612">
              <w:rPr>
                <w:rFonts w:ascii="Arial" w:hAnsi="Arial" w:cs="Arial"/>
                <w:sz w:val="20"/>
                <w:szCs w:val="20"/>
              </w:rPr>
              <w:t>,</w:t>
            </w:r>
          </w:p>
          <w:p w14:paraId="445D9047" w14:textId="77777777" w:rsidR="000C08CA" w:rsidRPr="00605612" w:rsidRDefault="000C08CA" w:rsidP="00FE328D">
            <w:pPr>
              <w:pStyle w:val="ListParagraph"/>
              <w:numPr>
                <w:ilvl w:val="0"/>
                <w:numId w:val="29"/>
              </w:numPr>
              <w:spacing w:line="276" w:lineRule="auto"/>
              <w:jc w:val="both"/>
              <w:rPr>
                <w:rFonts w:ascii="Arial" w:hAnsi="Arial" w:cs="Arial"/>
                <w:sz w:val="20"/>
                <w:szCs w:val="20"/>
              </w:rPr>
            </w:pPr>
            <w:r w:rsidRPr="00605612">
              <w:rPr>
                <w:rFonts w:ascii="Arial" w:hAnsi="Arial" w:cs="Arial"/>
                <w:sz w:val="20"/>
                <w:szCs w:val="20"/>
              </w:rPr>
              <w:t>ukrepih, sprejetih za dosego deležev zastopanosti posameznega spola,</w:t>
            </w:r>
          </w:p>
          <w:p w14:paraId="5474DC04" w14:textId="77777777" w:rsidR="000C08CA" w:rsidRPr="00605612" w:rsidRDefault="000C08CA" w:rsidP="00FE328D">
            <w:pPr>
              <w:pStyle w:val="ListParagraph"/>
              <w:numPr>
                <w:ilvl w:val="0"/>
                <w:numId w:val="29"/>
              </w:numPr>
              <w:spacing w:line="276" w:lineRule="auto"/>
              <w:jc w:val="both"/>
              <w:rPr>
                <w:rFonts w:ascii="Arial" w:hAnsi="Arial" w:cs="Arial"/>
                <w:sz w:val="20"/>
                <w:szCs w:val="20"/>
              </w:rPr>
            </w:pPr>
            <w:r w:rsidRPr="00605612">
              <w:rPr>
                <w:rFonts w:ascii="Arial" w:hAnsi="Arial" w:cs="Arial"/>
                <w:sz w:val="20"/>
                <w:szCs w:val="20"/>
              </w:rPr>
              <w:t xml:space="preserve">razlogih, če </w:t>
            </w:r>
            <w:r w:rsidRPr="00605612" w:rsidDel="006E0C85">
              <w:rPr>
                <w:rFonts w:ascii="Arial" w:hAnsi="Arial" w:cs="Arial"/>
                <w:sz w:val="20"/>
                <w:szCs w:val="20"/>
              </w:rPr>
              <w:t>delež</w:t>
            </w:r>
            <w:r w:rsidDel="006E0C85">
              <w:rPr>
                <w:rFonts w:ascii="Arial" w:hAnsi="Arial" w:cs="Arial"/>
                <w:sz w:val="20"/>
                <w:szCs w:val="20"/>
              </w:rPr>
              <w:t>i</w:t>
            </w:r>
            <w:r w:rsidRPr="00605612" w:rsidDel="006E0C85">
              <w:rPr>
                <w:rFonts w:ascii="Arial" w:hAnsi="Arial" w:cs="Arial"/>
                <w:sz w:val="20"/>
                <w:szCs w:val="20"/>
              </w:rPr>
              <w:t xml:space="preserve"> </w:t>
            </w:r>
            <w:r w:rsidRPr="00605612">
              <w:rPr>
                <w:rFonts w:ascii="Arial" w:hAnsi="Arial" w:cs="Arial"/>
                <w:sz w:val="20"/>
                <w:szCs w:val="20"/>
              </w:rPr>
              <w:t xml:space="preserve">zastopanosti spolov </w:t>
            </w:r>
            <w:r w:rsidRPr="00605612" w:rsidDel="006E0C85">
              <w:rPr>
                <w:rFonts w:ascii="Arial" w:hAnsi="Arial" w:cs="Arial"/>
                <w:sz w:val="20"/>
                <w:szCs w:val="20"/>
              </w:rPr>
              <w:t xml:space="preserve">niso bili </w:t>
            </w:r>
            <w:r w:rsidRPr="00605612">
              <w:rPr>
                <w:rFonts w:ascii="Arial" w:hAnsi="Arial" w:cs="Arial"/>
                <w:sz w:val="20"/>
                <w:szCs w:val="20"/>
              </w:rPr>
              <w:t>doseženi</w:t>
            </w:r>
            <w:r>
              <w:rPr>
                <w:rFonts w:ascii="Arial" w:hAnsi="Arial" w:cs="Arial"/>
                <w:sz w:val="20"/>
                <w:szCs w:val="20"/>
              </w:rPr>
              <w:t xml:space="preserve"> </w:t>
            </w:r>
            <w:r w:rsidRPr="00605612">
              <w:rPr>
                <w:rFonts w:ascii="Arial" w:hAnsi="Arial" w:cs="Arial"/>
                <w:sz w:val="20"/>
                <w:szCs w:val="20"/>
              </w:rPr>
              <w:t xml:space="preserve">in opisom ukrepov, ki jih je družba izvedla </w:t>
            </w:r>
            <w:r>
              <w:rPr>
                <w:rFonts w:ascii="Arial" w:hAnsi="Arial" w:cs="Arial"/>
                <w:sz w:val="20"/>
                <w:szCs w:val="20"/>
              </w:rPr>
              <w:t>ali</w:t>
            </w:r>
            <w:r w:rsidRPr="00605612">
              <w:rPr>
                <w:rFonts w:ascii="Arial" w:hAnsi="Arial" w:cs="Arial"/>
                <w:sz w:val="20"/>
                <w:szCs w:val="20"/>
              </w:rPr>
              <w:t xml:space="preserve"> jih namerava izvesti za izpolnitev</w:t>
            </w:r>
            <w:r>
              <w:rPr>
                <w:rFonts w:ascii="Arial" w:hAnsi="Arial" w:cs="Arial"/>
                <w:sz w:val="20"/>
                <w:szCs w:val="20"/>
              </w:rPr>
              <w:t xml:space="preserve"> deležev</w:t>
            </w:r>
            <w:r w:rsidRPr="00605612">
              <w:rPr>
                <w:rFonts w:ascii="Arial" w:hAnsi="Arial" w:cs="Arial"/>
                <w:sz w:val="20"/>
                <w:szCs w:val="20"/>
              </w:rPr>
              <w:t>.</w:t>
            </w:r>
          </w:p>
          <w:p w14:paraId="222978B2" w14:textId="77777777" w:rsidR="000C08CA" w:rsidRPr="00605612" w:rsidRDefault="000C08CA" w:rsidP="00FE328D">
            <w:pPr>
              <w:spacing w:line="276" w:lineRule="auto"/>
              <w:jc w:val="both"/>
              <w:rPr>
                <w:rFonts w:cs="Arial"/>
                <w:szCs w:val="20"/>
              </w:rPr>
            </w:pPr>
            <w:r w:rsidRPr="00605612">
              <w:rPr>
                <w:rFonts w:cs="Arial"/>
                <w:szCs w:val="20"/>
              </w:rPr>
              <w:t xml:space="preserve">Navedene podatke mora družba vključiti v izjavo o upravljanju, ki je del poslovnega poročila, </w:t>
            </w:r>
            <w:r>
              <w:rPr>
                <w:rFonts w:cs="Arial"/>
                <w:szCs w:val="20"/>
              </w:rPr>
              <w:t xml:space="preserve">ta </w:t>
            </w:r>
            <w:r w:rsidRPr="00605612">
              <w:rPr>
                <w:rFonts w:cs="Arial"/>
                <w:szCs w:val="20"/>
              </w:rPr>
              <w:t xml:space="preserve">pa je del letnega poročila. </w:t>
            </w:r>
            <w:r>
              <w:rPr>
                <w:rFonts w:cs="Arial"/>
                <w:szCs w:val="20"/>
              </w:rPr>
              <w:t>V s</w:t>
            </w:r>
            <w:r w:rsidRPr="00605612">
              <w:rPr>
                <w:rFonts w:cs="Arial"/>
                <w:szCs w:val="20"/>
              </w:rPr>
              <w:t>klad</w:t>
            </w:r>
            <w:r>
              <w:rPr>
                <w:rFonts w:cs="Arial"/>
                <w:szCs w:val="20"/>
              </w:rPr>
              <w:t>u</w:t>
            </w:r>
            <w:r w:rsidRPr="00605612">
              <w:rPr>
                <w:rFonts w:cs="Arial"/>
                <w:szCs w:val="20"/>
              </w:rPr>
              <w:t xml:space="preserve"> z veljavnimi določbami ZGD-1 lahko družba ločeno objav</w:t>
            </w:r>
            <w:r>
              <w:rPr>
                <w:rFonts w:cs="Arial"/>
                <w:szCs w:val="20"/>
              </w:rPr>
              <w:t>i</w:t>
            </w:r>
            <w:r w:rsidRPr="00605612">
              <w:rPr>
                <w:rFonts w:cs="Arial"/>
                <w:szCs w:val="20"/>
              </w:rPr>
              <w:t xml:space="preserve"> </w:t>
            </w:r>
            <w:r>
              <w:rPr>
                <w:rFonts w:cs="Arial"/>
                <w:szCs w:val="20"/>
              </w:rPr>
              <w:t>i</w:t>
            </w:r>
            <w:r w:rsidRPr="00605612">
              <w:rPr>
                <w:rFonts w:cs="Arial"/>
                <w:szCs w:val="20"/>
              </w:rPr>
              <w:t xml:space="preserve">zjavo o upravljanju v elektronskem mediju, na katerega </w:t>
            </w:r>
            <w:r>
              <w:rPr>
                <w:rFonts w:cs="Arial"/>
                <w:szCs w:val="20"/>
              </w:rPr>
              <w:t>se</w:t>
            </w:r>
            <w:r w:rsidRPr="00605612">
              <w:rPr>
                <w:rFonts w:cs="Arial"/>
                <w:szCs w:val="20"/>
              </w:rPr>
              <w:t xml:space="preserve"> sklic</w:t>
            </w:r>
            <w:r>
              <w:rPr>
                <w:rFonts w:cs="Arial"/>
                <w:szCs w:val="20"/>
              </w:rPr>
              <w:t>uje</w:t>
            </w:r>
            <w:r w:rsidRPr="00605612">
              <w:rPr>
                <w:rFonts w:cs="Arial"/>
                <w:szCs w:val="20"/>
              </w:rPr>
              <w:t xml:space="preserve"> v poslovnem poročilu. Družba mora zgoraj navedene podatke objaviti </w:t>
            </w:r>
            <w:r>
              <w:rPr>
                <w:rFonts w:cs="Arial"/>
                <w:szCs w:val="20"/>
              </w:rPr>
              <w:t xml:space="preserve">tudi </w:t>
            </w:r>
            <w:r w:rsidRPr="00605612">
              <w:rPr>
                <w:rFonts w:cs="Arial"/>
                <w:szCs w:val="20"/>
              </w:rPr>
              <w:t>na svoji spletni strani</w:t>
            </w:r>
            <w:r>
              <w:rPr>
                <w:rFonts w:cs="Arial"/>
                <w:szCs w:val="20"/>
              </w:rPr>
              <w:t>;</w:t>
            </w:r>
          </w:p>
          <w:p w14:paraId="2C080614"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4ADDF6B2" w14:textId="77777777" w:rsidR="000C08CA" w:rsidRPr="00605612" w:rsidRDefault="000C08CA" w:rsidP="00FE328D">
            <w:pPr>
              <w:pStyle w:val="ListParagraph"/>
              <w:numPr>
                <w:ilvl w:val="0"/>
                <w:numId w:val="73"/>
              </w:numPr>
              <w:overflowPunct w:val="0"/>
              <w:autoSpaceDE w:val="0"/>
              <w:autoSpaceDN w:val="0"/>
              <w:adjustRightInd w:val="0"/>
              <w:spacing w:line="276" w:lineRule="auto"/>
              <w:jc w:val="both"/>
              <w:textAlignment w:val="baseline"/>
              <w:rPr>
                <w:rFonts w:ascii="Arial" w:hAnsi="Arial" w:cs="Arial"/>
                <w:color w:val="000000" w:themeColor="text1"/>
                <w:sz w:val="20"/>
                <w:szCs w:val="20"/>
              </w:rPr>
            </w:pPr>
            <w:r>
              <w:rPr>
                <w:rFonts w:ascii="Arial" w:hAnsi="Arial" w:cs="Arial"/>
                <w:color w:val="000000" w:themeColor="text1"/>
                <w:sz w:val="20"/>
                <w:szCs w:val="20"/>
              </w:rPr>
              <w:t>d</w:t>
            </w:r>
            <w:r w:rsidRPr="00605612">
              <w:rPr>
                <w:rFonts w:ascii="Arial" w:hAnsi="Arial" w:cs="Arial"/>
                <w:color w:val="000000" w:themeColor="text1"/>
                <w:sz w:val="20"/>
                <w:szCs w:val="20"/>
              </w:rPr>
              <w:t>oloča organ za</w:t>
            </w:r>
            <w:r w:rsidRPr="00605612">
              <w:rPr>
                <w:rFonts w:ascii="Arial" w:hAnsi="Arial" w:cs="Arial"/>
                <w:color w:val="000000"/>
                <w:sz w:val="20"/>
                <w:szCs w:val="20"/>
                <w:shd w:val="clear" w:color="auto" w:fill="FFFFFF"/>
              </w:rPr>
              <w:t xml:space="preserve"> spodbujanje, analiziranje, spremljanje in podpiranje uravnotežene zastopanosti spolov </w:t>
            </w:r>
            <w:r w:rsidRPr="00605612">
              <w:rPr>
                <w:rFonts w:ascii="Arial" w:hAnsi="Arial" w:cs="Arial"/>
                <w:sz w:val="20"/>
                <w:szCs w:val="20"/>
              </w:rPr>
              <w:t xml:space="preserve">med </w:t>
            </w:r>
            <w:r w:rsidRPr="00605612">
              <w:rPr>
                <w:rStyle w:val="normaltextrun"/>
                <w:rFonts w:ascii="Arial" w:hAnsi="Arial" w:cs="Arial"/>
                <w:color w:val="000000"/>
                <w:sz w:val="20"/>
                <w:szCs w:val="20"/>
                <w:bdr w:val="none" w:sz="0" w:space="0" w:color="auto" w:frame="1"/>
              </w:rPr>
              <w:t>člani organov vodenja in nadzora ter izvršnimi direktorji</w:t>
            </w:r>
            <w:r>
              <w:rPr>
                <w:rStyle w:val="normaltextrun"/>
                <w:rFonts w:ascii="Arial" w:hAnsi="Arial" w:cs="Arial"/>
                <w:color w:val="000000"/>
                <w:sz w:val="20"/>
                <w:szCs w:val="20"/>
                <w:bdr w:val="none" w:sz="0" w:space="0" w:color="auto" w:frame="1"/>
              </w:rPr>
              <w:t>:</w:t>
            </w:r>
          </w:p>
          <w:p w14:paraId="404DE4CE" w14:textId="77777777" w:rsidR="000C08CA" w:rsidRPr="00A7309E" w:rsidRDefault="000C08CA" w:rsidP="00FE328D">
            <w:pPr>
              <w:overflowPunct w:val="0"/>
              <w:autoSpaceDE w:val="0"/>
              <w:autoSpaceDN w:val="0"/>
              <w:adjustRightInd w:val="0"/>
              <w:spacing w:line="276" w:lineRule="auto"/>
              <w:jc w:val="both"/>
              <w:textAlignment w:val="baseline"/>
              <w:rPr>
                <w:rFonts w:cs="Arial"/>
                <w:szCs w:val="20"/>
              </w:rPr>
            </w:pPr>
            <w:r>
              <w:rPr>
                <w:rFonts w:cs="Arial"/>
                <w:szCs w:val="20"/>
              </w:rPr>
              <w:t>Z</w:t>
            </w:r>
            <w:r w:rsidRPr="00605612">
              <w:rPr>
                <w:rFonts w:cs="Arial"/>
                <w:szCs w:val="20"/>
              </w:rPr>
              <w:t xml:space="preserve">a spremljanje, spodbujanje, analiziranje in nudenje podpore pri spodbujanju uravnotežene zastopanosti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Pr>
                <w:rStyle w:val="normaltextrun"/>
                <w:rFonts w:cs="Arial"/>
                <w:color w:val="000000"/>
                <w:szCs w:val="20"/>
                <w:bdr w:val="none" w:sz="0" w:space="0" w:color="auto" w:frame="1"/>
              </w:rPr>
              <w:t xml:space="preserve"> </w:t>
            </w:r>
            <w:r w:rsidRPr="00605612">
              <w:rPr>
                <w:rFonts w:cs="Arial"/>
                <w:szCs w:val="20"/>
              </w:rPr>
              <w:t>je pristojen</w:t>
            </w:r>
            <w:r>
              <w:rPr>
                <w:rFonts w:cs="Arial"/>
                <w:szCs w:val="20"/>
              </w:rPr>
              <w:t xml:space="preserve"> </w:t>
            </w:r>
            <w:r w:rsidRPr="00605612">
              <w:rPr>
                <w:rFonts w:cs="Arial"/>
                <w:szCs w:val="20"/>
              </w:rPr>
              <w:t xml:space="preserve">Zagovornik načela enakosti. </w:t>
            </w:r>
            <w:r>
              <w:rPr>
                <w:rFonts w:cs="Arial"/>
                <w:szCs w:val="20"/>
              </w:rPr>
              <w:t xml:space="preserve">Ministrstvo, pristojno za gospodarstvo, </w:t>
            </w:r>
            <w:r w:rsidRPr="00605612">
              <w:rPr>
                <w:rFonts w:cs="Arial"/>
                <w:szCs w:val="20"/>
              </w:rPr>
              <w:t xml:space="preserve">mora na svoji spletni strani objaviti seznam družb zavezank in dosežene deleže glede zastopanosti spolov </w:t>
            </w:r>
            <w:r w:rsidRPr="00605612">
              <w:rPr>
                <w:rFonts w:cs="Arial"/>
                <w:color w:val="000000" w:themeColor="text1"/>
                <w:szCs w:val="20"/>
              </w:rPr>
              <w:t xml:space="preserve">med </w:t>
            </w:r>
            <w:r w:rsidRPr="00605612">
              <w:rPr>
                <w:rStyle w:val="normaltextrun"/>
                <w:rFonts w:cs="Arial"/>
                <w:color w:val="000000"/>
                <w:szCs w:val="20"/>
                <w:bdr w:val="none" w:sz="0" w:space="0" w:color="auto" w:frame="1"/>
              </w:rPr>
              <w:t>člani organov vodenja in nadzora ter izvršnimi direktorji</w:t>
            </w:r>
            <w:r>
              <w:rPr>
                <w:rStyle w:val="normaltextrun"/>
                <w:rFonts w:cs="Arial"/>
                <w:color w:val="000000"/>
                <w:szCs w:val="20"/>
                <w:bdr w:val="none" w:sz="0" w:space="0" w:color="auto" w:frame="1"/>
              </w:rPr>
              <w:t>;</w:t>
            </w:r>
            <w:r w:rsidRPr="00605612">
              <w:rPr>
                <w:rFonts w:cs="Arial"/>
                <w:color w:val="000000" w:themeColor="text1"/>
                <w:szCs w:val="20"/>
              </w:rPr>
              <w:t xml:space="preserve"> </w:t>
            </w:r>
          </w:p>
          <w:p w14:paraId="074F7A06"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0F08DABA" w14:textId="77777777" w:rsidR="000C08CA" w:rsidRPr="00C11C70" w:rsidRDefault="000C08CA" w:rsidP="00FE328D">
            <w:pPr>
              <w:pStyle w:val="ListParagraph"/>
              <w:numPr>
                <w:ilvl w:val="0"/>
                <w:numId w:val="73"/>
              </w:numPr>
              <w:jc w:val="both"/>
              <w:rPr>
                <w:rFonts w:ascii="Arial" w:hAnsi="Arial" w:cs="Arial"/>
                <w:color w:val="000000" w:themeColor="text1"/>
                <w:sz w:val="20"/>
                <w:szCs w:val="20"/>
              </w:rPr>
            </w:pPr>
            <w:r w:rsidRPr="0098196F">
              <w:rPr>
                <w:rFonts w:ascii="Arial" w:hAnsi="Arial" w:cs="Arial"/>
                <w:color w:val="000000" w:themeColor="text1"/>
                <w:sz w:val="20"/>
                <w:szCs w:val="20"/>
              </w:rPr>
              <w:t xml:space="preserve">dopolnjujejo kazenske določbe v primeru kršitev s področja </w:t>
            </w:r>
            <w:r>
              <w:rPr>
                <w:rFonts w:ascii="Arial" w:hAnsi="Arial" w:cs="Arial"/>
                <w:color w:val="000000" w:themeColor="text1"/>
                <w:sz w:val="20"/>
                <w:szCs w:val="20"/>
              </w:rPr>
              <w:t xml:space="preserve">zagotavljanja </w:t>
            </w:r>
            <w:r w:rsidRPr="0098196F">
              <w:rPr>
                <w:rFonts w:ascii="Arial" w:hAnsi="Arial" w:cs="Arial"/>
                <w:color w:val="000000" w:themeColor="text1"/>
                <w:sz w:val="20"/>
                <w:szCs w:val="20"/>
              </w:rPr>
              <w:t>uravnotežene zastopanosti spolov med člani organov vodenja in nadzora ter izvršnimi direktorji</w:t>
            </w:r>
            <w:r>
              <w:rPr>
                <w:rFonts w:ascii="Arial" w:hAnsi="Arial" w:cs="Arial"/>
                <w:color w:val="000000" w:themeColor="text1"/>
                <w:sz w:val="20"/>
                <w:szCs w:val="20"/>
              </w:rPr>
              <w:t>:</w:t>
            </w:r>
          </w:p>
          <w:p w14:paraId="61BBBAEE"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r w:rsidRPr="00605612">
              <w:rPr>
                <w:rFonts w:cs="Arial"/>
                <w:color w:val="000000" w:themeColor="text1"/>
                <w:szCs w:val="20"/>
              </w:rPr>
              <w:t xml:space="preserve">Sankcije so predvidene za naslednje kršitve: če družba v politiki raznolikosti ne določi deleža zastopanosti manj zastopanega spola med </w:t>
            </w:r>
            <w:r w:rsidRPr="00605612">
              <w:rPr>
                <w:rStyle w:val="normaltextrun"/>
                <w:rFonts w:cs="Arial"/>
                <w:color w:val="000000"/>
                <w:szCs w:val="20"/>
                <w:bdr w:val="none" w:sz="0" w:space="0" w:color="auto" w:frame="1"/>
              </w:rPr>
              <w:t xml:space="preserve">člani organov vodenja in nadzora ter izvršnimi direktorji, </w:t>
            </w:r>
            <w:r w:rsidRPr="00605612">
              <w:rPr>
                <w:rFonts w:cs="Arial"/>
                <w:szCs w:val="20"/>
                <w:lang w:eastAsia="sl-SI"/>
              </w:rPr>
              <w:t xml:space="preserve">če se družba odloči, da bo </w:t>
            </w:r>
            <w:r>
              <w:rPr>
                <w:rFonts w:cs="Arial"/>
                <w:szCs w:val="20"/>
                <w:lang w:eastAsia="sl-SI"/>
              </w:rPr>
              <w:t>dosegala delež</w:t>
            </w:r>
            <w:r w:rsidRPr="00605612">
              <w:rPr>
                <w:rFonts w:cs="Arial"/>
                <w:szCs w:val="20"/>
                <w:lang w:eastAsia="sl-SI"/>
              </w:rPr>
              <w:t xml:space="preserve"> 40</w:t>
            </w:r>
            <w:r>
              <w:rPr>
                <w:rFonts w:cs="Arial"/>
                <w:szCs w:val="20"/>
                <w:lang w:eastAsia="sl-SI"/>
              </w:rPr>
              <w:t>-odstotne</w:t>
            </w:r>
            <w:r w:rsidRPr="00605612">
              <w:rPr>
                <w:rFonts w:cs="Arial"/>
                <w:szCs w:val="20"/>
                <w:lang w:eastAsia="sl-SI"/>
              </w:rPr>
              <w:t xml:space="preserve"> zastopanosti manj zastopanega spola med člani organov nadzora (neizvršni direktorji)</w:t>
            </w:r>
            <w:r>
              <w:rPr>
                <w:rFonts w:cs="Arial"/>
                <w:szCs w:val="20"/>
                <w:lang w:eastAsia="sl-SI"/>
              </w:rPr>
              <w:t>,</w:t>
            </w:r>
            <w:r w:rsidRPr="00605612">
              <w:rPr>
                <w:rFonts w:cs="Arial"/>
                <w:szCs w:val="20"/>
                <w:lang w:eastAsia="sl-SI"/>
              </w:rPr>
              <w:t xml:space="preserve"> in si ne zastavi </w:t>
            </w:r>
            <w:r>
              <w:rPr>
                <w:rFonts w:cs="Arial"/>
                <w:szCs w:val="20"/>
                <w:lang w:eastAsia="sl-SI"/>
              </w:rPr>
              <w:t>deleža</w:t>
            </w:r>
            <w:r w:rsidRPr="00605612">
              <w:rPr>
                <w:rFonts w:cs="Arial"/>
                <w:szCs w:val="20"/>
                <w:lang w:eastAsia="sl-SI"/>
              </w:rPr>
              <w:t xml:space="preserve"> glede zastopanosti manj zastopanega spola med člani organov vodenja ter izvršnimi direktorji (v enotirnih sistemih upravljanja),</w:t>
            </w:r>
            <w:r w:rsidRPr="00605612">
              <w:rPr>
                <w:rFonts w:cs="Arial"/>
                <w:color w:val="000000" w:themeColor="text1"/>
                <w:szCs w:val="20"/>
              </w:rPr>
              <w:t xml:space="preserve"> če družba ne upošteva določil o izbirnih postopkih kandidatov za imenovanje oseb</w:t>
            </w:r>
            <w:r>
              <w:rPr>
                <w:rFonts w:cs="Arial"/>
                <w:color w:val="000000" w:themeColor="text1"/>
                <w:szCs w:val="20"/>
              </w:rPr>
              <w:t>,</w:t>
            </w:r>
            <w:r w:rsidRPr="00605612">
              <w:rPr>
                <w:rFonts w:cs="Arial"/>
                <w:color w:val="000000" w:themeColor="text1"/>
                <w:szCs w:val="20"/>
              </w:rPr>
              <w:t xml:space="preserve"> </w:t>
            </w:r>
            <w:r w:rsidRPr="00605612">
              <w:rPr>
                <w:rFonts w:cs="Arial"/>
                <w:color w:val="000000" w:themeColor="text1"/>
                <w:szCs w:val="20"/>
              </w:rPr>
              <w:lastRenderedPageBreak/>
              <w:t>odgovornih za vodenje in nadzor poslov (</w:t>
            </w:r>
            <w:r>
              <w:rPr>
                <w:rFonts w:cs="Arial"/>
                <w:color w:val="000000" w:themeColor="text1"/>
                <w:szCs w:val="20"/>
              </w:rPr>
              <w:t>če</w:t>
            </w:r>
            <w:r w:rsidRPr="00605612">
              <w:rPr>
                <w:rFonts w:cs="Arial"/>
                <w:color w:val="000000" w:themeColor="text1"/>
                <w:szCs w:val="20"/>
              </w:rPr>
              <w:t xml:space="preserve"> deležev ne dosega) in če ne objavi zahtevanih podatkov </w:t>
            </w:r>
            <w:r>
              <w:rPr>
                <w:rFonts w:cs="Arial"/>
                <w:color w:val="000000" w:themeColor="text1"/>
                <w:szCs w:val="20"/>
              </w:rPr>
              <w:t xml:space="preserve">v skladu </w:t>
            </w:r>
            <w:r w:rsidRPr="00605612">
              <w:rPr>
                <w:rFonts w:cs="Arial"/>
                <w:color w:val="000000" w:themeColor="text1"/>
                <w:szCs w:val="20"/>
              </w:rPr>
              <w:t xml:space="preserve">s tem zakonom. Za navedene kršitve so predpisane globe. Pristojni nadzorni organ je Zagovornik načela enakosti, </w:t>
            </w:r>
            <w:r>
              <w:rPr>
                <w:rFonts w:cs="Arial"/>
                <w:color w:val="000000" w:themeColor="text1"/>
                <w:szCs w:val="20"/>
              </w:rPr>
              <w:t>ta</w:t>
            </w:r>
            <w:r w:rsidRPr="00605612" w:rsidDel="00514380">
              <w:rPr>
                <w:rFonts w:cs="Arial"/>
                <w:color w:val="000000" w:themeColor="text1"/>
                <w:szCs w:val="20"/>
              </w:rPr>
              <w:t xml:space="preserve"> </w:t>
            </w:r>
            <w:r w:rsidRPr="00605612">
              <w:rPr>
                <w:rFonts w:cs="Arial"/>
                <w:color w:val="000000" w:themeColor="text1"/>
                <w:szCs w:val="20"/>
              </w:rPr>
              <w:t>postopke ugotavljanja navedenih kršitev vodi na podlagi Zakona o prekrških</w:t>
            </w:r>
            <w:r w:rsidRPr="00605612">
              <w:rPr>
                <w:rStyle w:val="FootnoteReference"/>
                <w:rFonts w:cs="Arial"/>
                <w:color w:val="000000" w:themeColor="text1"/>
                <w:szCs w:val="20"/>
              </w:rPr>
              <w:footnoteReference w:id="31"/>
            </w:r>
            <w:r w:rsidRPr="00605612">
              <w:rPr>
                <w:rFonts w:cs="Arial"/>
                <w:color w:val="000000" w:themeColor="text1"/>
                <w:szCs w:val="20"/>
              </w:rPr>
              <w:t xml:space="preserve">. </w:t>
            </w:r>
            <w:r>
              <w:rPr>
                <w:rFonts w:cs="Arial"/>
                <w:color w:val="000000" w:themeColor="text1"/>
                <w:szCs w:val="20"/>
              </w:rPr>
              <w:t>Č</w:t>
            </w:r>
            <w:r w:rsidRPr="00605612">
              <w:rPr>
                <w:rFonts w:cs="Arial"/>
                <w:color w:val="000000" w:themeColor="text1"/>
                <w:szCs w:val="20"/>
              </w:rPr>
              <w:t xml:space="preserve">e družba v politiki raznolikosti ne določi deleža zastopanosti vsakega </w:t>
            </w:r>
            <w:r>
              <w:rPr>
                <w:rFonts w:cs="Arial"/>
                <w:color w:val="000000" w:themeColor="text1"/>
                <w:szCs w:val="20"/>
              </w:rPr>
              <w:t>izme</w:t>
            </w:r>
            <w:r w:rsidRPr="00605612">
              <w:rPr>
                <w:rFonts w:cs="Arial"/>
                <w:color w:val="000000" w:themeColor="text1"/>
                <w:szCs w:val="20"/>
              </w:rPr>
              <w:t xml:space="preserve">d spolov med </w:t>
            </w:r>
            <w:r w:rsidRPr="00605612">
              <w:rPr>
                <w:rStyle w:val="normaltextrun"/>
                <w:rFonts w:cs="Arial"/>
                <w:color w:val="000000"/>
                <w:szCs w:val="20"/>
                <w:bdr w:val="none" w:sz="0" w:space="0" w:color="auto" w:frame="1"/>
              </w:rPr>
              <w:t>člani organov vodenja in nadzora ter izvršnimi direktorji</w:t>
            </w:r>
            <w:r w:rsidRPr="00605612">
              <w:rPr>
                <w:rFonts w:cs="Arial"/>
                <w:color w:val="000000" w:themeColor="text1"/>
                <w:szCs w:val="20"/>
              </w:rPr>
              <w:t xml:space="preserve"> in če ne upošteva določila glede izbirnih postopkov kandidatov</w:t>
            </w:r>
            <w:r>
              <w:rPr>
                <w:rFonts w:cs="Arial"/>
                <w:color w:val="000000" w:themeColor="text1"/>
                <w:szCs w:val="20"/>
              </w:rPr>
              <w:t>,</w:t>
            </w:r>
            <w:r w:rsidRPr="00605612">
              <w:rPr>
                <w:rFonts w:cs="Arial"/>
                <w:color w:val="000000" w:themeColor="text1"/>
                <w:szCs w:val="20"/>
              </w:rPr>
              <w:t xml:space="preserve"> so </w:t>
            </w:r>
            <w:r>
              <w:rPr>
                <w:rFonts w:cs="Arial"/>
                <w:color w:val="000000" w:themeColor="text1"/>
                <w:szCs w:val="20"/>
              </w:rPr>
              <w:t>z</w:t>
            </w:r>
            <w:r w:rsidRPr="00605612">
              <w:rPr>
                <w:rFonts w:cs="Arial"/>
                <w:color w:val="000000" w:themeColor="text1"/>
                <w:szCs w:val="20"/>
              </w:rPr>
              <w:t xml:space="preserve">a kršitve predvidene globe od 6.000 do 30.000 </w:t>
            </w:r>
            <w:r>
              <w:rPr>
                <w:rFonts w:cs="Arial"/>
                <w:color w:val="000000" w:themeColor="text1"/>
                <w:szCs w:val="20"/>
              </w:rPr>
              <w:t>EUR</w:t>
            </w:r>
            <w:r w:rsidRPr="00605612">
              <w:rPr>
                <w:rFonts w:cs="Arial"/>
                <w:color w:val="000000" w:themeColor="text1"/>
                <w:szCs w:val="20"/>
              </w:rPr>
              <w:t xml:space="preserve"> za družbo. </w:t>
            </w:r>
            <w:r>
              <w:rPr>
                <w:rFonts w:cs="Arial"/>
                <w:color w:val="000000" w:themeColor="text1"/>
                <w:szCs w:val="20"/>
              </w:rPr>
              <w:t>G</w:t>
            </w:r>
            <w:r w:rsidRPr="00605612">
              <w:rPr>
                <w:rFonts w:cs="Arial"/>
                <w:color w:val="000000" w:themeColor="text1"/>
                <w:szCs w:val="20"/>
              </w:rPr>
              <w:t xml:space="preserve">lede poročanja </w:t>
            </w:r>
            <w:r>
              <w:rPr>
                <w:rFonts w:cs="Arial"/>
                <w:color w:val="000000" w:themeColor="text1"/>
                <w:szCs w:val="20"/>
              </w:rPr>
              <w:t>ali</w:t>
            </w:r>
            <w:r w:rsidRPr="00605612">
              <w:rPr>
                <w:rFonts w:cs="Arial"/>
                <w:color w:val="000000" w:themeColor="text1"/>
                <w:szCs w:val="20"/>
              </w:rPr>
              <w:t xml:space="preserve"> če družba ne objavi zahtevanih podatkov o deležu zastopanosti spolov med osebami</w:t>
            </w:r>
            <w:r>
              <w:rPr>
                <w:rFonts w:cs="Arial"/>
                <w:color w:val="000000" w:themeColor="text1"/>
                <w:szCs w:val="20"/>
              </w:rPr>
              <w:t>,</w:t>
            </w:r>
            <w:r w:rsidRPr="00605612">
              <w:rPr>
                <w:rFonts w:cs="Arial"/>
                <w:color w:val="000000" w:themeColor="text1"/>
                <w:szCs w:val="20"/>
              </w:rPr>
              <w:t xml:space="preserve"> odgovornimi za vodenje in nadziranje poslov družbe ter po potrebi drugih podatkov</w:t>
            </w:r>
            <w:r>
              <w:rPr>
                <w:rFonts w:cs="Arial"/>
                <w:color w:val="000000" w:themeColor="text1"/>
                <w:szCs w:val="20"/>
              </w:rPr>
              <w:t>,</w:t>
            </w:r>
            <w:r w:rsidRPr="00605612">
              <w:rPr>
                <w:rFonts w:cs="Arial"/>
                <w:color w:val="000000" w:themeColor="text1"/>
                <w:szCs w:val="20"/>
              </w:rPr>
              <w:t xml:space="preserve"> je </w:t>
            </w:r>
            <w:r>
              <w:rPr>
                <w:rFonts w:cs="Arial"/>
                <w:color w:val="000000" w:themeColor="text1"/>
                <w:szCs w:val="20"/>
              </w:rPr>
              <w:t>z</w:t>
            </w:r>
            <w:r w:rsidRPr="00605612">
              <w:rPr>
                <w:rFonts w:cs="Arial"/>
                <w:color w:val="000000" w:themeColor="text1"/>
                <w:szCs w:val="20"/>
              </w:rPr>
              <w:t xml:space="preserve">a kršitev predvidena globa od 2.000 do 10.000 </w:t>
            </w:r>
            <w:r>
              <w:rPr>
                <w:rFonts w:cs="Arial"/>
                <w:color w:val="000000" w:themeColor="text1"/>
                <w:szCs w:val="20"/>
              </w:rPr>
              <w:t>EUR</w:t>
            </w:r>
            <w:r w:rsidRPr="00605612">
              <w:rPr>
                <w:rFonts w:cs="Arial"/>
                <w:color w:val="000000" w:themeColor="text1"/>
                <w:szCs w:val="20"/>
              </w:rPr>
              <w:t xml:space="preserve"> za družbo in od 300 do 4.000 </w:t>
            </w:r>
            <w:r>
              <w:rPr>
                <w:rFonts w:cs="Arial"/>
                <w:color w:val="000000" w:themeColor="text1"/>
                <w:szCs w:val="20"/>
              </w:rPr>
              <w:t>EUR</w:t>
            </w:r>
            <w:r w:rsidRPr="00605612">
              <w:rPr>
                <w:rFonts w:cs="Arial"/>
                <w:color w:val="000000" w:themeColor="text1"/>
                <w:szCs w:val="20"/>
              </w:rPr>
              <w:t xml:space="preserve"> za odgovorno osebo. </w:t>
            </w:r>
          </w:p>
          <w:p w14:paraId="79FF207D" w14:textId="77777777" w:rsidR="000C08CA" w:rsidRPr="00605612" w:rsidRDefault="000C08CA" w:rsidP="00FE328D">
            <w:pPr>
              <w:overflowPunct w:val="0"/>
              <w:autoSpaceDE w:val="0"/>
              <w:autoSpaceDN w:val="0"/>
              <w:adjustRightInd w:val="0"/>
              <w:spacing w:line="276" w:lineRule="auto"/>
              <w:jc w:val="both"/>
              <w:textAlignment w:val="baseline"/>
              <w:rPr>
                <w:rFonts w:cs="Arial"/>
                <w:color w:val="000000" w:themeColor="text1"/>
                <w:szCs w:val="20"/>
              </w:rPr>
            </w:pPr>
          </w:p>
          <w:p w14:paraId="4B8E480E" w14:textId="77777777" w:rsidR="000C08CA" w:rsidRDefault="000C08CA" w:rsidP="00FE328D">
            <w:pPr>
              <w:overflowPunct w:val="0"/>
              <w:autoSpaceDE w:val="0"/>
              <w:autoSpaceDN w:val="0"/>
              <w:adjustRightInd w:val="0"/>
              <w:spacing w:line="276" w:lineRule="auto"/>
              <w:jc w:val="both"/>
              <w:textAlignment w:val="baseline"/>
              <w:rPr>
                <w:rFonts w:cs="Arial"/>
                <w:color w:val="000000" w:themeColor="text1"/>
                <w:szCs w:val="20"/>
                <w:u w:val="single"/>
              </w:rPr>
            </w:pPr>
            <w:r w:rsidRPr="00605612">
              <w:rPr>
                <w:rFonts w:eastAsia="Arial" w:cs="Arial"/>
                <w:color w:val="000000" w:themeColor="text1"/>
                <w:szCs w:val="20"/>
              </w:rPr>
              <w:t>Veljavni ZGD-1 v 392. členu predvideva ničnost volitev članov nadzornega sveta ali upravnega odbora, če je nadzorni svet ali upravni odbor sestavljen v nasprotju z zakonom ali statutom</w:t>
            </w:r>
            <w:r>
              <w:rPr>
                <w:rFonts w:eastAsia="Arial" w:cs="Arial"/>
                <w:color w:val="000000" w:themeColor="text1"/>
                <w:szCs w:val="20"/>
              </w:rPr>
              <w:t>,</w:t>
            </w:r>
            <w:r w:rsidRPr="00605612">
              <w:rPr>
                <w:rFonts w:eastAsia="Arial" w:cs="Arial"/>
                <w:color w:val="000000" w:themeColor="text1"/>
                <w:szCs w:val="20"/>
              </w:rPr>
              <w:t xml:space="preserve"> skupščina izvoli osebo, ki ni bila predlagana v skladu z zakonom ali statutom, ali</w:t>
            </w:r>
            <w:r w:rsidRPr="00605612" w:rsidDel="00C65CC4">
              <w:rPr>
                <w:rFonts w:eastAsia="Arial" w:cs="Arial"/>
                <w:color w:val="000000" w:themeColor="text1"/>
                <w:szCs w:val="20"/>
              </w:rPr>
              <w:t xml:space="preserve"> </w:t>
            </w:r>
            <w:r w:rsidRPr="00605612">
              <w:rPr>
                <w:rFonts w:eastAsia="Arial" w:cs="Arial"/>
                <w:color w:val="000000" w:themeColor="text1"/>
                <w:szCs w:val="20"/>
              </w:rPr>
              <w:t xml:space="preserve">je izvoljenih več članov, kot je to določeno z zakonom ali statutom. </w:t>
            </w:r>
            <w:r>
              <w:rPr>
                <w:rFonts w:eastAsia="Arial" w:cs="Arial"/>
                <w:color w:val="000000" w:themeColor="text1"/>
                <w:szCs w:val="20"/>
              </w:rPr>
              <w:t>V skladu z navedenim členom se</w:t>
            </w:r>
            <w:r w:rsidRPr="00605612">
              <w:rPr>
                <w:rFonts w:eastAsia="Arial" w:cs="Arial"/>
                <w:color w:val="000000" w:themeColor="text1"/>
                <w:szCs w:val="20"/>
              </w:rPr>
              <w:t xml:space="preserve"> zahteva spoštovanje materialnih in formalnih pogojev (postopkovnih) pri oblikovanju nadzornega sveta oziroma upravnega odbora, tako da bi to lahko veljalo tudi za pogoje</w:t>
            </w:r>
            <w:r>
              <w:rPr>
                <w:rFonts w:eastAsia="Arial" w:cs="Arial"/>
                <w:color w:val="000000" w:themeColor="text1"/>
                <w:szCs w:val="20"/>
              </w:rPr>
              <w:t>,</w:t>
            </w:r>
            <w:r w:rsidRPr="00605612">
              <w:rPr>
                <w:rFonts w:eastAsia="Arial" w:cs="Arial"/>
                <w:color w:val="000000" w:themeColor="text1"/>
                <w:szCs w:val="20"/>
              </w:rPr>
              <w:t xml:space="preserve"> določene </w:t>
            </w:r>
            <w:r>
              <w:rPr>
                <w:rFonts w:eastAsia="Arial" w:cs="Arial"/>
                <w:color w:val="000000" w:themeColor="text1"/>
                <w:szCs w:val="20"/>
              </w:rPr>
              <w:t>s predlogom zakona</w:t>
            </w:r>
            <w:r w:rsidRPr="00605612">
              <w:rPr>
                <w:rFonts w:eastAsia="Arial" w:cs="Arial"/>
                <w:color w:val="000000" w:themeColor="text1"/>
                <w:szCs w:val="20"/>
              </w:rPr>
              <w:t xml:space="preserve"> v zvezi z uravnoteženo zastopanostjo </w:t>
            </w:r>
            <w:r>
              <w:rPr>
                <w:rFonts w:eastAsia="Arial" w:cs="Arial"/>
                <w:color w:val="000000" w:themeColor="text1"/>
                <w:szCs w:val="20"/>
              </w:rPr>
              <w:t xml:space="preserve">spolov </w:t>
            </w:r>
            <w:r w:rsidRPr="00605612">
              <w:rPr>
                <w:rFonts w:eastAsia="Arial" w:cs="Arial"/>
                <w:color w:val="000000" w:themeColor="text1"/>
                <w:szCs w:val="20"/>
              </w:rPr>
              <w:t>med člani organov vodenja in nadzora ter izvršnimi direktorji. Zaradi zagotovitve pravne jasnosti je določeno, da</w:t>
            </w:r>
            <w:r w:rsidRPr="00605612" w:rsidDel="00C65CC4">
              <w:rPr>
                <w:rFonts w:eastAsia="Arial" w:cs="Arial"/>
                <w:color w:val="000000" w:themeColor="text1"/>
                <w:szCs w:val="20"/>
              </w:rPr>
              <w:t xml:space="preserve"> </w:t>
            </w:r>
            <w:r w:rsidRPr="00605612">
              <w:rPr>
                <w:rFonts w:eastAsia="Arial" w:cs="Arial"/>
                <w:color w:val="000000" w:themeColor="text1"/>
                <w:szCs w:val="20"/>
              </w:rPr>
              <w:t xml:space="preserve">v primeru kršitve izbirnega postopka za imenovanje kandidatov v organe družbe ničnost ne velja. </w:t>
            </w:r>
          </w:p>
          <w:p w14:paraId="2C6F299D" w14:textId="77777777" w:rsidR="000C08CA" w:rsidRPr="00605612" w:rsidRDefault="000C08CA" w:rsidP="00FE328D">
            <w:pPr>
              <w:overflowPunct w:val="0"/>
              <w:autoSpaceDE w:val="0"/>
              <w:autoSpaceDN w:val="0"/>
              <w:adjustRightInd w:val="0"/>
              <w:jc w:val="both"/>
              <w:textAlignment w:val="baseline"/>
              <w:rPr>
                <w:rFonts w:cs="Arial"/>
                <w:color w:val="000000" w:themeColor="text1"/>
                <w:szCs w:val="20"/>
                <w:u w:val="single"/>
              </w:rPr>
            </w:pPr>
          </w:p>
          <w:p w14:paraId="3F9C2E6C" w14:textId="77777777" w:rsidR="000C08CA" w:rsidRPr="00595982" w:rsidRDefault="000C08CA" w:rsidP="00FE328D">
            <w:pPr>
              <w:pStyle w:val="ListParagraph"/>
              <w:numPr>
                <w:ilvl w:val="0"/>
                <w:numId w:val="8"/>
              </w:numPr>
              <w:overflowPunct w:val="0"/>
              <w:autoSpaceDE w:val="0"/>
              <w:autoSpaceDN w:val="0"/>
              <w:adjustRightInd w:val="0"/>
              <w:jc w:val="both"/>
              <w:textAlignment w:val="baseline"/>
              <w:rPr>
                <w:rFonts w:ascii="Arial" w:hAnsi="Arial" w:cs="Arial"/>
                <w:color w:val="000000" w:themeColor="text1"/>
                <w:sz w:val="20"/>
                <w:szCs w:val="20"/>
                <w:u w:val="single"/>
              </w:rPr>
            </w:pPr>
            <w:r w:rsidRPr="00595982">
              <w:rPr>
                <w:rFonts w:ascii="Arial" w:hAnsi="Arial" w:cs="Arial"/>
                <w:color w:val="000000" w:themeColor="text1"/>
                <w:sz w:val="20"/>
                <w:szCs w:val="20"/>
                <w:u w:val="single"/>
              </w:rPr>
              <w:t>Rešitve, povezane z uskladitvijo z Direktivo 202</w:t>
            </w:r>
            <w:r>
              <w:rPr>
                <w:rFonts w:ascii="Arial" w:hAnsi="Arial" w:cs="Arial"/>
                <w:color w:val="000000" w:themeColor="text1"/>
                <w:sz w:val="20"/>
                <w:szCs w:val="20"/>
                <w:u w:val="single"/>
              </w:rPr>
              <w:t>3</w:t>
            </w:r>
            <w:r w:rsidRPr="00595982">
              <w:rPr>
                <w:rFonts w:ascii="Arial" w:hAnsi="Arial" w:cs="Arial"/>
                <w:color w:val="000000" w:themeColor="text1"/>
                <w:sz w:val="20"/>
                <w:szCs w:val="20"/>
                <w:u w:val="single"/>
              </w:rPr>
              <w:t>/2</w:t>
            </w:r>
            <w:r>
              <w:rPr>
                <w:rFonts w:ascii="Arial" w:hAnsi="Arial" w:cs="Arial"/>
                <w:color w:val="000000" w:themeColor="text1"/>
                <w:sz w:val="20"/>
                <w:szCs w:val="20"/>
                <w:u w:val="single"/>
              </w:rPr>
              <w:t>775</w:t>
            </w:r>
            <w:r w:rsidRPr="00595982">
              <w:rPr>
                <w:rFonts w:ascii="Arial" w:hAnsi="Arial" w:cs="Arial"/>
                <w:color w:val="000000" w:themeColor="text1"/>
                <w:sz w:val="20"/>
                <w:szCs w:val="20"/>
                <w:u w:val="single"/>
              </w:rPr>
              <w:t>/EU:</w:t>
            </w:r>
          </w:p>
          <w:p w14:paraId="65ADBC86" w14:textId="77777777" w:rsidR="000C08CA" w:rsidRPr="005025D0" w:rsidRDefault="000C08CA" w:rsidP="00FE328D">
            <w:pPr>
              <w:overflowPunct w:val="0"/>
              <w:autoSpaceDE w:val="0"/>
              <w:autoSpaceDN w:val="0"/>
              <w:adjustRightInd w:val="0"/>
              <w:jc w:val="both"/>
              <w:textAlignment w:val="baseline"/>
              <w:rPr>
                <w:rFonts w:cs="Arial"/>
                <w:color w:val="000000" w:themeColor="text1"/>
                <w:szCs w:val="20"/>
              </w:rPr>
            </w:pPr>
            <w:r w:rsidRPr="005025D0">
              <w:rPr>
                <w:rFonts w:cs="Arial"/>
                <w:color w:val="000000" w:themeColor="text1"/>
                <w:szCs w:val="20"/>
              </w:rPr>
              <w:t>Z Direktivo 2023/2775/EU, ki spreminja in dopolnjuje Direktivo 2013/34/EU</w:t>
            </w:r>
            <w:r>
              <w:rPr>
                <w:rFonts w:cs="Arial"/>
                <w:color w:val="000000" w:themeColor="text1"/>
                <w:szCs w:val="20"/>
              </w:rPr>
              <w:t>,</w:t>
            </w:r>
            <w:r w:rsidRPr="005025D0">
              <w:rPr>
                <w:rFonts w:cs="Arial"/>
                <w:color w:val="000000" w:themeColor="text1"/>
                <w:szCs w:val="20"/>
              </w:rPr>
              <w:t xml:space="preserve"> se prilag</w:t>
            </w:r>
            <w:r>
              <w:rPr>
                <w:rFonts w:cs="Arial"/>
                <w:color w:val="000000" w:themeColor="text1"/>
                <w:szCs w:val="20"/>
              </w:rPr>
              <w:t>ajajo</w:t>
            </w:r>
            <w:r w:rsidRPr="005025D0">
              <w:rPr>
                <w:rFonts w:cs="Arial"/>
                <w:color w:val="000000" w:themeColor="text1"/>
                <w:szCs w:val="20"/>
              </w:rPr>
              <w:t xml:space="preserve"> meril</w:t>
            </w:r>
            <w:r>
              <w:rPr>
                <w:rFonts w:cs="Arial"/>
                <w:color w:val="000000" w:themeColor="text1"/>
                <w:szCs w:val="20"/>
              </w:rPr>
              <w:t>a</w:t>
            </w:r>
            <w:r w:rsidRPr="005025D0">
              <w:rPr>
                <w:rFonts w:cs="Arial"/>
                <w:color w:val="000000" w:themeColor="text1"/>
                <w:szCs w:val="20"/>
              </w:rPr>
              <w:t xml:space="preserve"> za določanje velikosti </w:t>
            </w:r>
            <w:r>
              <w:rPr>
                <w:rFonts w:cs="Arial"/>
                <w:color w:val="000000" w:themeColor="text1"/>
                <w:szCs w:val="20"/>
              </w:rPr>
              <w:t>podjetij</w:t>
            </w:r>
            <w:r w:rsidRPr="005025D0">
              <w:rPr>
                <w:rFonts w:cs="Arial"/>
                <w:color w:val="000000" w:themeColor="text1"/>
                <w:szCs w:val="20"/>
              </w:rPr>
              <w:t xml:space="preserve"> zaradi inflacije v zadnjih letih.</w:t>
            </w:r>
          </w:p>
          <w:p w14:paraId="552651F8" w14:textId="77777777" w:rsidR="000C08CA" w:rsidRPr="005025D0" w:rsidRDefault="000C08CA" w:rsidP="00FE328D">
            <w:pPr>
              <w:overflowPunct w:val="0"/>
              <w:autoSpaceDE w:val="0"/>
              <w:autoSpaceDN w:val="0"/>
              <w:adjustRightInd w:val="0"/>
              <w:jc w:val="both"/>
              <w:textAlignment w:val="baseline"/>
              <w:rPr>
                <w:rFonts w:cs="Arial"/>
                <w:color w:val="000000" w:themeColor="text1"/>
                <w:szCs w:val="20"/>
              </w:rPr>
            </w:pPr>
          </w:p>
          <w:p w14:paraId="3A238983" w14:textId="77777777" w:rsidR="000C08CA" w:rsidRPr="005025D0" w:rsidRDefault="000C08CA" w:rsidP="00FE328D">
            <w:pPr>
              <w:overflowPunct w:val="0"/>
              <w:autoSpaceDE w:val="0"/>
              <w:autoSpaceDN w:val="0"/>
              <w:adjustRightInd w:val="0"/>
              <w:jc w:val="both"/>
              <w:textAlignment w:val="baseline"/>
              <w:rPr>
                <w:rFonts w:cs="Arial"/>
                <w:color w:val="000000" w:themeColor="text1"/>
                <w:szCs w:val="20"/>
              </w:rPr>
            </w:pPr>
            <w:r w:rsidRPr="005025D0">
              <w:rPr>
                <w:rFonts w:cs="Arial"/>
                <w:color w:val="000000" w:themeColor="text1"/>
                <w:szCs w:val="20"/>
              </w:rPr>
              <w:t xml:space="preserve">Z Direktivo 2013/34/EU </w:t>
            </w:r>
            <w:r>
              <w:rPr>
                <w:rFonts w:cs="Arial"/>
                <w:color w:val="000000" w:themeColor="text1"/>
                <w:szCs w:val="20"/>
              </w:rPr>
              <w:t>določena merila bodo vplivala na</w:t>
            </w:r>
            <w:r w:rsidRPr="005025D0">
              <w:rPr>
                <w:rFonts w:cs="Arial"/>
                <w:color w:val="000000" w:themeColor="text1"/>
                <w:szCs w:val="20"/>
              </w:rPr>
              <w:t xml:space="preserve"> razvrščanje </w:t>
            </w:r>
            <w:r>
              <w:rPr>
                <w:rFonts w:cs="Arial"/>
                <w:color w:val="000000" w:themeColor="text1"/>
                <w:szCs w:val="20"/>
              </w:rPr>
              <w:t>družb</w:t>
            </w:r>
            <w:r w:rsidRPr="005025D0">
              <w:rPr>
                <w:rFonts w:cs="Arial"/>
                <w:color w:val="000000" w:themeColor="text1"/>
                <w:szCs w:val="20"/>
              </w:rPr>
              <w:t xml:space="preserve"> med mikro, majhn</w:t>
            </w:r>
            <w:r>
              <w:rPr>
                <w:rFonts w:cs="Arial"/>
                <w:color w:val="000000" w:themeColor="text1"/>
                <w:szCs w:val="20"/>
              </w:rPr>
              <w:t>e</w:t>
            </w:r>
            <w:r w:rsidRPr="005025D0">
              <w:rPr>
                <w:rFonts w:cs="Arial"/>
                <w:color w:val="000000" w:themeColor="text1"/>
                <w:szCs w:val="20"/>
              </w:rPr>
              <w:t>, srednj</w:t>
            </w:r>
            <w:r>
              <w:rPr>
                <w:rFonts w:cs="Arial"/>
                <w:color w:val="000000" w:themeColor="text1"/>
                <w:szCs w:val="20"/>
              </w:rPr>
              <w:t>e</w:t>
            </w:r>
            <w:r w:rsidRPr="005025D0">
              <w:rPr>
                <w:rFonts w:cs="Arial"/>
                <w:color w:val="000000" w:themeColor="text1"/>
                <w:szCs w:val="20"/>
              </w:rPr>
              <w:t xml:space="preserve"> in velik</w:t>
            </w:r>
            <w:r>
              <w:rPr>
                <w:rFonts w:cs="Arial"/>
                <w:color w:val="000000" w:themeColor="text1"/>
                <w:szCs w:val="20"/>
              </w:rPr>
              <w:t>e</w:t>
            </w:r>
            <w:r w:rsidRPr="005025D0">
              <w:rPr>
                <w:rFonts w:cs="Arial"/>
                <w:color w:val="000000" w:themeColor="text1"/>
                <w:szCs w:val="20"/>
              </w:rPr>
              <w:t xml:space="preserve"> </w:t>
            </w:r>
            <w:r>
              <w:rPr>
                <w:rFonts w:cs="Arial"/>
                <w:color w:val="000000" w:themeColor="text1"/>
                <w:szCs w:val="20"/>
              </w:rPr>
              <w:t>družbe</w:t>
            </w:r>
            <w:r w:rsidRPr="005025D0">
              <w:rPr>
                <w:rFonts w:cs="Arial"/>
                <w:color w:val="000000" w:themeColor="text1"/>
                <w:szCs w:val="20"/>
              </w:rPr>
              <w:t xml:space="preserve">, kar je v nacionalni zakonodaji urejeno v 55. členu ZGD-1. Razvrstitev </w:t>
            </w:r>
            <w:r>
              <w:rPr>
                <w:rFonts w:cs="Arial"/>
                <w:color w:val="000000" w:themeColor="text1"/>
                <w:szCs w:val="20"/>
              </w:rPr>
              <w:t>družb</w:t>
            </w:r>
            <w:r w:rsidRPr="005025D0">
              <w:rPr>
                <w:rFonts w:cs="Arial"/>
                <w:color w:val="000000" w:themeColor="text1"/>
                <w:szCs w:val="20"/>
              </w:rPr>
              <w:t xml:space="preserve"> ali skupin med mikro, ma</w:t>
            </w:r>
            <w:r>
              <w:rPr>
                <w:rFonts w:cs="Arial"/>
                <w:color w:val="000000" w:themeColor="text1"/>
                <w:szCs w:val="20"/>
              </w:rPr>
              <w:t>jhne</w:t>
            </w:r>
            <w:r w:rsidRPr="005025D0">
              <w:rPr>
                <w:rFonts w:cs="Arial"/>
                <w:color w:val="000000" w:themeColor="text1"/>
                <w:szCs w:val="20"/>
              </w:rPr>
              <w:t>, srednj</w:t>
            </w:r>
            <w:r>
              <w:rPr>
                <w:rFonts w:cs="Arial"/>
                <w:color w:val="000000" w:themeColor="text1"/>
                <w:szCs w:val="20"/>
              </w:rPr>
              <w:t>e</w:t>
            </w:r>
            <w:r w:rsidRPr="005025D0">
              <w:rPr>
                <w:rFonts w:cs="Arial"/>
                <w:color w:val="000000" w:themeColor="text1"/>
                <w:szCs w:val="20"/>
              </w:rPr>
              <w:t xml:space="preserve"> ali velik</w:t>
            </w:r>
            <w:r>
              <w:rPr>
                <w:rFonts w:cs="Arial"/>
                <w:color w:val="000000" w:themeColor="text1"/>
                <w:szCs w:val="20"/>
              </w:rPr>
              <w:t>e</w:t>
            </w:r>
            <w:r w:rsidRPr="005025D0">
              <w:rPr>
                <w:rFonts w:cs="Arial"/>
                <w:color w:val="000000" w:themeColor="text1"/>
                <w:szCs w:val="20"/>
              </w:rPr>
              <w:t xml:space="preserve"> </w:t>
            </w:r>
            <w:r>
              <w:rPr>
                <w:rFonts w:cs="Arial"/>
                <w:color w:val="000000" w:themeColor="text1"/>
                <w:szCs w:val="20"/>
              </w:rPr>
              <w:t>družbe</w:t>
            </w:r>
            <w:r w:rsidRPr="005025D0">
              <w:rPr>
                <w:rFonts w:cs="Arial"/>
                <w:color w:val="000000" w:themeColor="text1"/>
                <w:szCs w:val="20"/>
              </w:rPr>
              <w:t xml:space="preserve"> ali skupine temelji na izpolnjevanju dveh od treh meril velikosti: vrednosti aktive in čistega prihodka od prodaje ter povprečnega števila zaposlenih v poslovnem letu.</w:t>
            </w:r>
          </w:p>
          <w:p w14:paraId="005F2815" w14:textId="77777777" w:rsidR="000C08CA" w:rsidRPr="005025D0" w:rsidRDefault="000C08CA" w:rsidP="00FE328D">
            <w:pPr>
              <w:overflowPunct w:val="0"/>
              <w:autoSpaceDE w:val="0"/>
              <w:autoSpaceDN w:val="0"/>
              <w:adjustRightInd w:val="0"/>
              <w:jc w:val="both"/>
              <w:textAlignment w:val="baseline"/>
              <w:rPr>
                <w:rFonts w:cs="Arial"/>
                <w:color w:val="000000" w:themeColor="text1"/>
                <w:szCs w:val="20"/>
              </w:rPr>
            </w:pPr>
          </w:p>
          <w:p w14:paraId="5D9157AA" w14:textId="77777777" w:rsidR="000C08CA" w:rsidRPr="005025D0" w:rsidRDefault="000C08CA" w:rsidP="00FE328D">
            <w:pPr>
              <w:overflowPunct w:val="0"/>
              <w:autoSpaceDE w:val="0"/>
              <w:autoSpaceDN w:val="0"/>
              <w:adjustRightInd w:val="0"/>
              <w:jc w:val="both"/>
              <w:textAlignment w:val="baseline"/>
              <w:rPr>
                <w:rFonts w:cs="Arial"/>
                <w:color w:val="000000" w:themeColor="text1"/>
                <w:szCs w:val="20"/>
              </w:rPr>
            </w:pPr>
            <w:r>
              <w:rPr>
                <w:rFonts w:cs="Arial"/>
                <w:color w:val="000000" w:themeColor="text1"/>
                <w:szCs w:val="20"/>
              </w:rPr>
              <w:t>S</w:t>
            </w:r>
            <w:r w:rsidRPr="005025D0">
              <w:rPr>
                <w:rFonts w:cs="Arial"/>
                <w:color w:val="000000" w:themeColor="text1"/>
                <w:szCs w:val="20"/>
              </w:rPr>
              <w:t xml:space="preserve"> povečanjem meril</w:t>
            </w:r>
            <w:r>
              <w:rPr>
                <w:rFonts w:cs="Arial"/>
                <w:color w:val="000000" w:themeColor="text1"/>
                <w:szCs w:val="20"/>
              </w:rPr>
              <w:t xml:space="preserve"> </w:t>
            </w:r>
            <w:r w:rsidRPr="005025D0">
              <w:rPr>
                <w:rFonts w:cs="Arial"/>
                <w:color w:val="000000" w:themeColor="text1"/>
                <w:szCs w:val="20"/>
              </w:rPr>
              <w:t xml:space="preserve">za določitev velikosti družb </w:t>
            </w:r>
            <w:r>
              <w:rPr>
                <w:rFonts w:cs="Arial"/>
                <w:color w:val="000000" w:themeColor="text1"/>
                <w:szCs w:val="20"/>
              </w:rPr>
              <w:t xml:space="preserve">se </w:t>
            </w:r>
            <w:r w:rsidRPr="005025D0">
              <w:rPr>
                <w:rFonts w:cs="Arial"/>
                <w:color w:val="000000" w:themeColor="text1"/>
                <w:szCs w:val="20"/>
              </w:rPr>
              <w:t xml:space="preserve">zmanjša področje uporabe glede priprave, revizije in objave računovodskih in trajnostnih poročil </w:t>
            </w:r>
            <w:r>
              <w:rPr>
                <w:rFonts w:cs="Arial"/>
                <w:color w:val="000000" w:themeColor="text1"/>
                <w:szCs w:val="20"/>
              </w:rPr>
              <w:t xml:space="preserve">ter poročil o davčnih informacijah v zvezi z dohodki </w:t>
            </w:r>
            <w:r w:rsidRPr="005025D0">
              <w:rPr>
                <w:rFonts w:cs="Arial"/>
                <w:color w:val="000000" w:themeColor="text1"/>
                <w:szCs w:val="20"/>
              </w:rPr>
              <w:t xml:space="preserve">ter </w:t>
            </w:r>
            <w:r>
              <w:rPr>
                <w:rFonts w:cs="Arial"/>
                <w:color w:val="000000" w:themeColor="text1"/>
                <w:szCs w:val="20"/>
              </w:rPr>
              <w:t xml:space="preserve">se </w:t>
            </w:r>
            <w:r w:rsidRPr="005025D0">
              <w:rPr>
                <w:rFonts w:cs="Arial"/>
                <w:color w:val="000000" w:themeColor="text1"/>
                <w:szCs w:val="20"/>
              </w:rPr>
              <w:t xml:space="preserve">zmanjša število družb, ki bodo morale poročati, kar bo </w:t>
            </w:r>
            <w:r>
              <w:rPr>
                <w:rFonts w:cs="Arial"/>
                <w:color w:val="000000" w:themeColor="text1"/>
                <w:szCs w:val="20"/>
              </w:rPr>
              <w:t xml:space="preserve">nanje </w:t>
            </w:r>
            <w:r w:rsidRPr="005025D0">
              <w:rPr>
                <w:rFonts w:cs="Arial"/>
                <w:color w:val="000000" w:themeColor="text1"/>
                <w:szCs w:val="20"/>
              </w:rPr>
              <w:t>pozitivno vplivalo z vidika zmanjšanja bremen in stroškov.</w:t>
            </w:r>
          </w:p>
          <w:p w14:paraId="2BDCEAC7" w14:textId="77777777" w:rsidR="000C08CA" w:rsidRPr="006F148B" w:rsidRDefault="000C08CA" w:rsidP="00FE328D">
            <w:pPr>
              <w:overflowPunct w:val="0"/>
              <w:autoSpaceDE w:val="0"/>
              <w:autoSpaceDN w:val="0"/>
              <w:adjustRightInd w:val="0"/>
              <w:jc w:val="both"/>
              <w:textAlignment w:val="baseline"/>
              <w:rPr>
                <w:rFonts w:cs="Arial"/>
                <w:color w:val="000000" w:themeColor="text1"/>
                <w:szCs w:val="20"/>
                <w:u w:val="single"/>
              </w:rPr>
            </w:pPr>
          </w:p>
          <w:p w14:paraId="5527AA3C" w14:textId="77777777" w:rsidR="000C08CA" w:rsidRPr="00605612" w:rsidRDefault="000C08CA" w:rsidP="00FE328D">
            <w:pPr>
              <w:pStyle w:val="ListParagraph"/>
              <w:numPr>
                <w:ilvl w:val="0"/>
                <w:numId w:val="8"/>
              </w:numPr>
              <w:overflowPunct w:val="0"/>
              <w:autoSpaceDE w:val="0"/>
              <w:autoSpaceDN w:val="0"/>
              <w:adjustRightInd w:val="0"/>
              <w:jc w:val="both"/>
              <w:textAlignment w:val="baseline"/>
              <w:rPr>
                <w:rFonts w:ascii="Arial" w:hAnsi="Arial" w:cs="Arial"/>
                <w:color w:val="000000" w:themeColor="text1"/>
                <w:sz w:val="20"/>
                <w:szCs w:val="20"/>
                <w:u w:val="single"/>
              </w:rPr>
            </w:pPr>
            <w:r w:rsidRPr="4885E88D">
              <w:rPr>
                <w:rFonts w:ascii="Arial" w:hAnsi="Arial" w:cs="Arial"/>
                <w:color w:val="000000" w:themeColor="text1"/>
                <w:sz w:val="20"/>
                <w:szCs w:val="20"/>
                <w:u w:val="single"/>
              </w:rPr>
              <w:t>Ostale rešitve:</w:t>
            </w:r>
          </w:p>
          <w:p w14:paraId="6DBAA6BF" w14:textId="77777777" w:rsidR="000C08CA" w:rsidRPr="00605612" w:rsidRDefault="000C08CA" w:rsidP="00FE328D">
            <w:pPr>
              <w:pStyle w:val="ListParagraph"/>
              <w:overflowPunct w:val="0"/>
              <w:autoSpaceDE w:val="0"/>
              <w:autoSpaceDN w:val="0"/>
              <w:adjustRightInd w:val="0"/>
              <w:ind w:left="0"/>
              <w:jc w:val="both"/>
              <w:textAlignment w:val="baseline"/>
              <w:rPr>
                <w:rFonts w:ascii="Arial" w:hAnsi="Arial" w:cs="Arial"/>
                <w:color w:val="000000" w:themeColor="text1"/>
                <w:sz w:val="20"/>
                <w:szCs w:val="20"/>
                <w:u w:val="single"/>
              </w:rPr>
            </w:pPr>
          </w:p>
          <w:p w14:paraId="2C9BDD42" w14:textId="77777777" w:rsidR="000C08CA" w:rsidRPr="00A11BE1" w:rsidRDefault="000C08CA" w:rsidP="00FE328D">
            <w:pPr>
              <w:pStyle w:val="ListParagraph"/>
              <w:ind w:left="0"/>
              <w:jc w:val="both"/>
              <w:rPr>
                <w:rFonts w:ascii="Arial" w:hAnsi="Arial" w:cs="Arial"/>
                <w:color w:val="000000" w:themeColor="text1"/>
                <w:sz w:val="20"/>
                <w:szCs w:val="20"/>
                <w:u w:val="single"/>
              </w:rPr>
            </w:pPr>
            <w:r w:rsidRPr="00605612">
              <w:rPr>
                <w:rFonts w:ascii="Arial" w:hAnsi="Arial" w:cs="Arial"/>
                <w:color w:val="000000" w:themeColor="text1"/>
                <w:sz w:val="20"/>
                <w:szCs w:val="20"/>
                <w:u w:val="single"/>
              </w:rPr>
              <w:t xml:space="preserve">S predlogom zakona se: </w:t>
            </w:r>
          </w:p>
          <w:p w14:paraId="7283E7CB" w14:textId="77777777" w:rsidR="000C08CA" w:rsidRPr="00605612" w:rsidRDefault="000C08CA" w:rsidP="00FE328D">
            <w:pPr>
              <w:pStyle w:val="rkovnatokazaodstavkom"/>
              <w:numPr>
                <w:ilvl w:val="0"/>
                <w:numId w:val="71"/>
              </w:numPr>
              <w:spacing w:line="260" w:lineRule="exact"/>
              <w:rPr>
                <w:rFonts w:cs="Arial"/>
                <w:color w:val="000000" w:themeColor="text1"/>
              </w:rPr>
            </w:pPr>
            <w:r w:rsidRPr="00605612">
              <w:rPr>
                <w:rFonts w:cs="Arial"/>
                <w:color w:val="000000" w:themeColor="text1"/>
              </w:rPr>
              <w:t>določi</w:t>
            </w:r>
            <w:r>
              <w:rPr>
                <w:rFonts w:cs="Arial"/>
                <w:color w:val="000000" w:themeColor="text1"/>
              </w:rPr>
              <w:t>ta</w:t>
            </w:r>
            <w:r w:rsidRPr="00605612">
              <w:rPr>
                <w:rFonts w:cs="Arial"/>
                <w:color w:val="000000" w:themeColor="text1"/>
              </w:rPr>
              <w:t xml:space="preserve"> obveznost označevanja gospodarskih družb in samostojnih podjetnikov posameznikov na vidnem mestu na poslovnih naslovih in sankcija za neupoštevanje obveznosti</w:t>
            </w:r>
            <w:r>
              <w:rPr>
                <w:rFonts w:cs="Arial"/>
                <w:color w:val="000000" w:themeColor="text1"/>
              </w:rPr>
              <w:t>,</w:t>
            </w:r>
          </w:p>
          <w:p w14:paraId="49604723" w14:textId="77777777" w:rsidR="000C08CA" w:rsidRPr="00605612" w:rsidRDefault="000C08CA" w:rsidP="00FE328D">
            <w:pPr>
              <w:pStyle w:val="rkovnatokazaodstavkom"/>
              <w:numPr>
                <w:ilvl w:val="0"/>
                <w:numId w:val="71"/>
              </w:numPr>
              <w:spacing w:line="260" w:lineRule="exact"/>
              <w:rPr>
                <w:rFonts w:cs="Arial"/>
                <w:color w:val="000000" w:themeColor="text1"/>
              </w:rPr>
            </w:pPr>
            <w:r>
              <w:rPr>
                <w:rFonts w:cs="Arial"/>
                <w:color w:val="000000" w:themeColor="text1"/>
              </w:rPr>
              <w:t>na novo oblikuje opredelitev subjekta javnega interesa, ki je bila predhodno urejena v ZRev-2, tako da se iz nabora</w:t>
            </w:r>
            <w:r w:rsidDel="00C65CC4">
              <w:rPr>
                <w:rFonts w:cs="Arial"/>
                <w:color w:val="000000" w:themeColor="text1"/>
              </w:rPr>
              <w:t xml:space="preserve"> </w:t>
            </w:r>
            <w:r>
              <w:rPr>
                <w:rFonts w:cs="Arial"/>
                <w:color w:val="000000" w:themeColor="text1"/>
              </w:rPr>
              <w:t xml:space="preserve">SJI izvzamejo srednje velike družbe, v katerih imajo država ali samoupravna lokalna skupnost večinski lastniški delež, kar bo imelo pozitivne posledice, saj </w:t>
            </w:r>
            <w:r w:rsidRPr="00F75E31">
              <w:rPr>
                <w:rFonts w:cs="Arial"/>
                <w:color w:val="000000" w:themeColor="text1"/>
              </w:rPr>
              <w:t>to zanj</w:t>
            </w:r>
            <w:r>
              <w:rPr>
                <w:rFonts w:cs="Arial"/>
                <w:color w:val="000000" w:themeColor="text1"/>
              </w:rPr>
              <w:t>e</w:t>
            </w:r>
            <w:r w:rsidRPr="00F75E31">
              <w:rPr>
                <w:rFonts w:cs="Arial"/>
                <w:color w:val="000000" w:themeColor="text1"/>
              </w:rPr>
              <w:t xml:space="preserve"> pomeni odpravo administrativnih bremen (npr. priprava letnih poročil</w:t>
            </w:r>
            <w:r>
              <w:rPr>
                <w:rFonts w:cs="Arial"/>
                <w:color w:val="000000" w:themeColor="text1"/>
              </w:rPr>
              <w:t>,</w:t>
            </w:r>
            <w:r w:rsidRPr="00F75E31">
              <w:rPr>
                <w:rFonts w:cs="Arial"/>
                <w:color w:val="000000" w:themeColor="text1"/>
              </w:rPr>
              <w:t xml:space="preserve"> kot to velja za velike družbe) in </w:t>
            </w:r>
            <w:r>
              <w:rPr>
                <w:rFonts w:cs="Arial"/>
                <w:color w:val="000000" w:themeColor="text1"/>
              </w:rPr>
              <w:t>nekaterih</w:t>
            </w:r>
            <w:r w:rsidRPr="00F75E31">
              <w:rPr>
                <w:rFonts w:cs="Arial"/>
                <w:color w:val="000000" w:themeColor="text1"/>
              </w:rPr>
              <w:t xml:space="preserve"> zakonskih obveznosti (npr. oblikovanje revizijskih komisij), ki veljajo za SJI</w:t>
            </w:r>
            <w:r>
              <w:rPr>
                <w:rFonts w:cs="Arial"/>
                <w:color w:val="000000" w:themeColor="text1"/>
              </w:rPr>
              <w:t>;</w:t>
            </w:r>
          </w:p>
          <w:p w14:paraId="4CEDF1BD" w14:textId="5441E3A2" w:rsidR="000C08CA" w:rsidRPr="00605612" w:rsidRDefault="000C08CA" w:rsidP="4DB7FD0D">
            <w:pPr>
              <w:pStyle w:val="rkovnatokazaodstavkom"/>
              <w:numPr>
                <w:ilvl w:val="0"/>
                <w:numId w:val="0"/>
              </w:numPr>
              <w:spacing w:line="260" w:lineRule="exact"/>
              <w:rPr>
                <w:rFonts w:cs="Arial"/>
              </w:rPr>
            </w:pPr>
          </w:p>
          <w:p w14:paraId="5F5FAB90" w14:textId="77777777" w:rsidR="000C08CA" w:rsidRPr="00605612" w:rsidRDefault="000C08CA" w:rsidP="00FE328D">
            <w:pPr>
              <w:pStyle w:val="ListParagraph"/>
              <w:numPr>
                <w:ilvl w:val="0"/>
                <w:numId w:val="46"/>
              </w:numPr>
              <w:pBdr>
                <w:top w:val="nil"/>
                <w:left w:val="nil"/>
                <w:bottom w:val="nil"/>
                <w:right w:val="nil"/>
                <w:between w:val="nil"/>
              </w:pBdr>
              <w:suppressAutoHyphens/>
              <w:spacing w:after="0" w:line="240" w:lineRule="auto"/>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Način reševanja:</w:t>
            </w:r>
          </w:p>
          <w:p w14:paraId="74458D39" w14:textId="77777777" w:rsidR="000C08CA" w:rsidRPr="00605612" w:rsidRDefault="000C08CA" w:rsidP="00FE328D">
            <w:pPr>
              <w:pBdr>
                <w:top w:val="nil"/>
                <w:left w:val="nil"/>
                <w:bottom w:val="nil"/>
                <w:right w:val="nil"/>
                <w:between w:val="nil"/>
              </w:pBdr>
              <w:spacing w:line="240" w:lineRule="auto"/>
              <w:ind w:hanging="2"/>
              <w:rPr>
                <w:rFonts w:eastAsia="Arial" w:cs="Arial"/>
                <w:color w:val="000000" w:themeColor="text1"/>
                <w:szCs w:val="20"/>
              </w:rPr>
            </w:pPr>
          </w:p>
          <w:p w14:paraId="2B47C2B6"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vprašanje, ki se bo urejalo s predlaganim zakonom</w:t>
            </w:r>
          </w:p>
          <w:p w14:paraId="7B059575"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highlight w:val="yellow"/>
                <w:u w:val="single"/>
              </w:rPr>
            </w:pPr>
          </w:p>
          <w:p w14:paraId="2043A570" w14:textId="77777777" w:rsidR="000C08CA" w:rsidRPr="00605612" w:rsidRDefault="000C08CA" w:rsidP="00FE328D">
            <w:pPr>
              <w:pStyle w:val="ListParagraph"/>
              <w:numPr>
                <w:ilvl w:val="0"/>
                <w:numId w:val="9"/>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sidRPr="00605612">
              <w:rPr>
                <w:rFonts w:ascii="Arial" w:eastAsia="Arial" w:hAnsi="Arial" w:cs="Arial"/>
                <w:color w:val="000000" w:themeColor="text1"/>
                <w:sz w:val="20"/>
                <w:szCs w:val="20"/>
              </w:rPr>
              <w:lastRenderedPageBreak/>
              <w:t>prenos Direktive 2021/2101/EU</w:t>
            </w:r>
            <w:r>
              <w:rPr>
                <w:rFonts w:ascii="Arial" w:eastAsia="Arial" w:hAnsi="Arial" w:cs="Arial"/>
                <w:color w:val="000000" w:themeColor="text1"/>
                <w:sz w:val="20"/>
                <w:szCs w:val="20"/>
              </w:rPr>
              <w:t>,</w:t>
            </w:r>
          </w:p>
          <w:p w14:paraId="5E2E7DF2" w14:textId="77777777" w:rsidR="000C08CA" w:rsidRPr="0098196F" w:rsidRDefault="000C08CA" w:rsidP="00FE328D">
            <w:pPr>
              <w:pStyle w:val="ListParagraph"/>
              <w:numPr>
                <w:ilvl w:val="0"/>
                <w:numId w:val="9"/>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sidRPr="0098196F">
              <w:rPr>
                <w:rFonts w:ascii="Arial" w:eastAsia="Arial" w:hAnsi="Arial" w:cs="Arial"/>
                <w:color w:val="000000" w:themeColor="text1"/>
                <w:sz w:val="20"/>
                <w:szCs w:val="20"/>
              </w:rPr>
              <w:t xml:space="preserve">prenos </w:t>
            </w:r>
            <w:r w:rsidRPr="00CD5B69">
              <w:rPr>
                <w:rFonts w:ascii="Arial" w:hAnsi="Arial" w:cs="Arial"/>
                <w:color w:val="000000" w:themeColor="text1"/>
                <w:sz w:val="20"/>
                <w:szCs w:val="20"/>
              </w:rPr>
              <w:t>Direktive 2022/2464/EU</w:t>
            </w:r>
            <w:r>
              <w:rPr>
                <w:rFonts w:ascii="Arial" w:hAnsi="Arial" w:cs="Arial"/>
                <w:color w:val="000000" w:themeColor="text1"/>
                <w:sz w:val="20"/>
                <w:szCs w:val="20"/>
              </w:rPr>
              <w:t>,</w:t>
            </w:r>
          </w:p>
          <w:p w14:paraId="38A298F6" w14:textId="77777777" w:rsidR="000C08CA" w:rsidRPr="00CA3A32" w:rsidRDefault="000C08CA" w:rsidP="00FE328D">
            <w:pPr>
              <w:pStyle w:val="ListParagraph"/>
              <w:numPr>
                <w:ilvl w:val="0"/>
                <w:numId w:val="9"/>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sidRPr="00605612">
              <w:rPr>
                <w:rFonts w:ascii="Arial" w:eastAsia="Arial" w:hAnsi="Arial" w:cs="Arial"/>
                <w:color w:val="000000" w:themeColor="text1"/>
                <w:sz w:val="20"/>
                <w:szCs w:val="20"/>
              </w:rPr>
              <w:t xml:space="preserve">prenos </w:t>
            </w:r>
            <w:r w:rsidRPr="00CD5B69">
              <w:rPr>
                <w:rFonts w:ascii="Arial" w:hAnsi="Arial" w:cs="Arial"/>
                <w:color w:val="000000" w:themeColor="text1"/>
                <w:sz w:val="20"/>
                <w:szCs w:val="20"/>
              </w:rPr>
              <w:t>Direktive 2022/2381/EU</w:t>
            </w:r>
            <w:r>
              <w:rPr>
                <w:rFonts w:ascii="Arial" w:hAnsi="Arial" w:cs="Arial"/>
                <w:color w:val="000000" w:themeColor="text1"/>
                <w:sz w:val="20"/>
                <w:szCs w:val="20"/>
              </w:rPr>
              <w:t>,</w:t>
            </w:r>
          </w:p>
          <w:p w14:paraId="50D2EC5C" w14:textId="77777777" w:rsidR="000C08CA" w:rsidRPr="0098196F" w:rsidRDefault="000C08CA" w:rsidP="00FE328D">
            <w:pPr>
              <w:pStyle w:val="ListParagraph"/>
              <w:numPr>
                <w:ilvl w:val="0"/>
                <w:numId w:val="9"/>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rPr>
            </w:pPr>
            <w:r>
              <w:rPr>
                <w:rFonts w:ascii="Arial" w:eastAsia="Arial" w:hAnsi="Arial" w:cs="Arial"/>
                <w:color w:val="000000" w:themeColor="text1"/>
                <w:sz w:val="20"/>
                <w:szCs w:val="20"/>
              </w:rPr>
              <w:t xml:space="preserve">prenos </w:t>
            </w:r>
            <w:r w:rsidRPr="007333DA">
              <w:rPr>
                <w:rFonts w:ascii="Arial" w:eastAsia="Arial" w:hAnsi="Arial" w:cs="Arial"/>
                <w:color w:val="000000" w:themeColor="text1"/>
                <w:sz w:val="20"/>
                <w:szCs w:val="20"/>
              </w:rPr>
              <w:t>Direktiv</w:t>
            </w:r>
            <w:r>
              <w:rPr>
                <w:rFonts w:ascii="Arial" w:eastAsia="Arial" w:hAnsi="Arial" w:cs="Arial"/>
                <w:color w:val="000000" w:themeColor="text1"/>
                <w:sz w:val="20"/>
                <w:szCs w:val="20"/>
              </w:rPr>
              <w:t>e</w:t>
            </w:r>
            <w:r w:rsidRPr="007333DA">
              <w:rPr>
                <w:rFonts w:ascii="Arial" w:eastAsia="Arial" w:hAnsi="Arial" w:cs="Arial"/>
                <w:color w:val="000000" w:themeColor="text1"/>
                <w:sz w:val="20"/>
                <w:szCs w:val="20"/>
              </w:rPr>
              <w:t xml:space="preserve"> 2023/2775/EU</w:t>
            </w:r>
            <w:r>
              <w:rPr>
                <w:rFonts w:ascii="Arial" w:eastAsia="Arial" w:hAnsi="Arial" w:cs="Arial"/>
                <w:color w:val="000000" w:themeColor="text1"/>
                <w:sz w:val="20"/>
                <w:szCs w:val="20"/>
              </w:rPr>
              <w:t>.</w:t>
            </w:r>
          </w:p>
          <w:p w14:paraId="46C25AD7" w14:textId="77777777" w:rsidR="000C08CA" w:rsidRPr="00605612" w:rsidRDefault="000C08CA" w:rsidP="00FE328D">
            <w:pPr>
              <w:pBdr>
                <w:top w:val="nil"/>
                <w:left w:val="nil"/>
                <w:bottom w:val="nil"/>
                <w:right w:val="nil"/>
                <w:between w:val="nil"/>
              </w:pBdr>
              <w:rPr>
                <w:rFonts w:eastAsia="Arial" w:cs="Arial"/>
                <w:color w:val="000000" w:themeColor="text1"/>
                <w:szCs w:val="20"/>
              </w:rPr>
            </w:pPr>
          </w:p>
          <w:p w14:paraId="2923C6A5"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vprašanja, ki se bodo urejala z izvršilnimi predpisi, in seznam izvršilnih predpisov, ki bodo prenehali veljati</w:t>
            </w:r>
          </w:p>
          <w:p w14:paraId="5C8867EE"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u w:val="single"/>
              </w:rPr>
            </w:pPr>
          </w:p>
          <w:p w14:paraId="7807F3F1" w14:textId="77777777" w:rsidR="000C08CA" w:rsidRDefault="000C08CA" w:rsidP="00FE328D">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Z izvršilnimi predpisi se bodo uredila vprašanja o načinu predložitve poročila o trajnostnosti in poročila o davčnih informacijah v zvezi z dohodki</w:t>
            </w:r>
            <w:r>
              <w:rPr>
                <w:rFonts w:eastAsia="Arial" w:cs="Arial"/>
                <w:color w:val="000000" w:themeColor="text1"/>
                <w:szCs w:val="20"/>
              </w:rPr>
              <w:t xml:space="preserve"> ter morebitne izjave, </w:t>
            </w:r>
            <w:r w:rsidRPr="00DD4190">
              <w:rPr>
                <w:rFonts w:eastAsia="Arial" w:cs="Arial"/>
                <w:color w:val="000000" w:themeColor="text1"/>
                <w:szCs w:val="20"/>
              </w:rPr>
              <w:t xml:space="preserve">v kateri </w:t>
            </w:r>
            <w:r>
              <w:rPr>
                <w:rFonts w:eastAsia="Arial" w:cs="Arial"/>
                <w:color w:val="000000" w:themeColor="text1"/>
                <w:szCs w:val="20"/>
              </w:rPr>
              <w:t xml:space="preserve">se </w:t>
            </w:r>
            <w:r w:rsidRPr="00DD4190">
              <w:rPr>
                <w:rFonts w:eastAsia="Arial" w:cs="Arial"/>
                <w:color w:val="000000" w:themeColor="text1"/>
                <w:szCs w:val="20"/>
              </w:rPr>
              <w:t>navede, da poročilo ne vsebuje vseh zahtevanih informacij</w:t>
            </w:r>
            <w:r w:rsidRPr="00605612">
              <w:rPr>
                <w:rFonts w:eastAsia="Arial" w:cs="Arial"/>
                <w:color w:val="000000" w:themeColor="text1"/>
                <w:szCs w:val="20"/>
              </w:rPr>
              <w:t xml:space="preserve">, ki </w:t>
            </w:r>
            <w:r>
              <w:rPr>
                <w:rFonts w:eastAsia="Arial" w:cs="Arial"/>
                <w:color w:val="000000" w:themeColor="text1"/>
                <w:szCs w:val="20"/>
              </w:rPr>
              <w:t>jih</w:t>
            </w:r>
            <w:r w:rsidRPr="00605612">
              <w:rPr>
                <w:rFonts w:eastAsia="Arial" w:cs="Arial"/>
                <w:color w:val="000000" w:themeColor="text1"/>
                <w:szCs w:val="20"/>
              </w:rPr>
              <w:t xml:space="preserve"> morajo </w:t>
            </w:r>
            <w:r>
              <w:rPr>
                <w:rFonts w:eastAsia="Arial" w:cs="Arial"/>
                <w:color w:val="000000" w:themeColor="text1"/>
                <w:szCs w:val="20"/>
              </w:rPr>
              <w:t>nekatere</w:t>
            </w:r>
            <w:r w:rsidRPr="00605612">
              <w:rPr>
                <w:rFonts w:eastAsia="Arial" w:cs="Arial"/>
                <w:color w:val="000000" w:themeColor="text1"/>
                <w:szCs w:val="20"/>
              </w:rPr>
              <w:t xml:space="preserve"> družbe pripraviti za javno objavo na spletnih straneh Agencije Republike Slovenije za javnopravne evidence in storitve (v nadaljnjem besedilu: Ajpes). </w:t>
            </w:r>
          </w:p>
          <w:p w14:paraId="642666A0" w14:textId="77777777" w:rsidR="000C08CA" w:rsidRDefault="000C08CA" w:rsidP="00FE328D">
            <w:pPr>
              <w:pBdr>
                <w:top w:val="nil"/>
                <w:left w:val="nil"/>
                <w:bottom w:val="nil"/>
                <w:right w:val="nil"/>
                <w:between w:val="nil"/>
              </w:pBdr>
              <w:ind w:hanging="2"/>
              <w:jc w:val="both"/>
              <w:rPr>
                <w:rFonts w:eastAsia="Arial" w:cs="Arial"/>
                <w:color w:val="000000" w:themeColor="text1"/>
                <w:szCs w:val="20"/>
              </w:rPr>
            </w:pPr>
          </w:p>
          <w:p w14:paraId="303BEE8E" w14:textId="77777777" w:rsidR="000C08CA" w:rsidRDefault="000C08CA" w:rsidP="00FE328D">
            <w:pPr>
              <w:pBdr>
                <w:top w:val="nil"/>
                <w:left w:val="nil"/>
                <w:bottom w:val="nil"/>
                <w:right w:val="nil"/>
                <w:between w:val="nil"/>
              </w:pBdr>
              <w:ind w:hanging="2"/>
              <w:jc w:val="both"/>
              <w:rPr>
                <w:rFonts w:eastAsia="Arial" w:cs="Arial"/>
                <w:color w:val="000000" w:themeColor="text1"/>
                <w:szCs w:val="20"/>
              </w:rPr>
            </w:pPr>
            <w:r>
              <w:rPr>
                <w:rFonts w:eastAsia="Arial" w:cs="Arial"/>
                <w:color w:val="000000" w:themeColor="text1"/>
                <w:szCs w:val="20"/>
              </w:rPr>
              <w:t xml:space="preserve">Navedeno se bo uredilo s </w:t>
            </w:r>
            <w:r w:rsidRPr="00605612">
              <w:rPr>
                <w:rFonts w:eastAsia="Arial" w:cs="Arial"/>
                <w:color w:val="000000" w:themeColor="text1"/>
                <w:szCs w:val="20"/>
              </w:rPr>
              <w:t>Pravilnik</w:t>
            </w:r>
            <w:r>
              <w:rPr>
                <w:rFonts w:eastAsia="Arial" w:cs="Arial"/>
                <w:color w:val="000000" w:themeColor="text1"/>
                <w:szCs w:val="20"/>
              </w:rPr>
              <w:t>om</w:t>
            </w:r>
            <w:r w:rsidRPr="00605612">
              <w:rPr>
                <w:rFonts w:eastAsia="Arial" w:cs="Arial"/>
                <w:color w:val="000000" w:themeColor="text1"/>
                <w:szCs w:val="20"/>
              </w:rPr>
              <w:t xml:space="preserve"> o spremembah in dopolnitvah Pravilnika o načinu predložitve letnih poročil in njihove objav</w:t>
            </w:r>
            <w:r>
              <w:rPr>
                <w:rFonts w:eastAsia="Arial" w:cs="Arial"/>
                <w:color w:val="000000" w:themeColor="text1"/>
                <w:szCs w:val="20"/>
              </w:rPr>
              <w:t xml:space="preserve">e, ki ga ministra, pristojna za gospodarstvo in za pravosodje, predpišeta po predhodnem mnenju Ajpesa. Veljavni </w:t>
            </w:r>
            <w:r w:rsidRPr="00E37916">
              <w:rPr>
                <w:rFonts w:eastAsia="Arial" w:cs="Arial"/>
                <w:color w:val="000000" w:themeColor="text1"/>
                <w:szCs w:val="20"/>
              </w:rPr>
              <w:t>Pravilnik o načinu predložitve letnih poročil in njihove javne objave (Uradni list RS, št. 47/08)</w:t>
            </w:r>
            <w:r>
              <w:rPr>
                <w:rFonts w:eastAsia="Arial" w:cs="Arial"/>
                <w:color w:val="000000" w:themeColor="text1"/>
                <w:szCs w:val="20"/>
              </w:rPr>
              <w:t xml:space="preserve"> je bil sprejet na podlagi 1. in 2. točke trinajstega odstavka 58. člena ZGD-1 ter ureja </w:t>
            </w:r>
            <w:r w:rsidRPr="00E37916">
              <w:rPr>
                <w:rFonts w:eastAsia="Arial" w:cs="Arial"/>
                <w:color w:val="000000" w:themeColor="text1"/>
                <w:szCs w:val="20"/>
              </w:rPr>
              <w:t xml:space="preserve">način predložitve </w:t>
            </w:r>
            <w:r>
              <w:rPr>
                <w:rFonts w:eastAsia="Arial" w:cs="Arial"/>
                <w:color w:val="000000" w:themeColor="text1"/>
                <w:szCs w:val="20"/>
              </w:rPr>
              <w:t xml:space="preserve">letnih poročil, konsolidiranih letnih </w:t>
            </w:r>
            <w:r w:rsidRPr="00E37916">
              <w:rPr>
                <w:rFonts w:eastAsia="Arial" w:cs="Arial"/>
                <w:color w:val="000000" w:themeColor="text1"/>
                <w:szCs w:val="20"/>
              </w:rPr>
              <w:t>poročil</w:t>
            </w:r>
            <w:r>
              <w:rPr>
                <w:rFonts w:eastAsia="Arial" w:cs="Arial"/>
                <w:color w:val="000000" w:themeColor="text1"/>
                <w:szCs w:val="20"/>
              </w:rPr>
              <w:t xml:space="preserve"> in</w:t>
            </w:r>
            <w:r>
              <w:t xml:space="preserve"> </w:t>
            </w:r>
            <w:r w:rsidRPr="00E37916">
              <w:rPr>
                <w:rFonts w:eastAsia="Arial" w:cs="Arial"/>
                <w:color w:val="000000" w:themeColor="text1"/>
                <w:szCs w:val="20"/>
              </w:rPr>
              <w:t>revizorjevi</w:t>
            </w:r>
            <w:r>
              <w:rPr>
                <w:rFonts w:eastAsia="Arial" w:cs="Arial"/>
                <w:color w:val="000000" w:themeColor="text1"/>
                <w:szCs w:val="20"/>
              </w:rPr>
              <w:t>h</w:t>
            </w:r>
            <w:r w:rsidRPr="00E37916">
              <w:rPr>
                <w:rFonts w:eastAsia="Arial" w:cs="Arial"/>
                <w:color w:val="000000" w:themeColor="text1"/>
                <w:szCs w:val="20"/>
              </w:rPr>
              <w:t xml:space="preserve"> poročil</w:t>
            </w:r>
            <w:r>
              <w:rPr>
                <w:rFonts w:eastAsia="Arial" w:cs="Arial"/>
                <w:color w:val="000000" w:themeColor="text1"/>
                <w:szCs w:val="20"/>
              </w:rPr>
              <w:t xml:space="preserve"> in </w:t>
            </w:r>
            <w:r w:rsidRPr="00E37916">
              <w:rPr>
                <w:rFonts w:eastAsia="Arial" w:cs="Arial"/>
                <w:color w:val="000000" w:themeColor="text1"/>
                <w:szCs w:val="20"/>
              </w:rPr>
              <w:t xml:space="preserve">način </w:t>
            </w:r>
            <w:r>
              <w:rPr>
                <w:rFonts w:eastAsia="Arial" w:cs="Arial"/>
                <w:color w:val="000000" w:themeColor="text1"/>
                <w:szCs w:val="20"/>
              </w:rPr>
              <w:t xml:space="preserve">njihove </w:t>
            </w:r>
            <w:r w:rsidRPr="00E37916">
              <w:rPr>
                <w:rFonts w:eastAsia="Arial" w:cs="Arial"/>
                <w:color w:val="000000" w:themeColor="text1"/>
                <w:szCs w:val="20"/>
              </w:rPr>
              <w:t>javne objave ter zasnov</w:t>
            </w:r>
            <w:r>
              <w:rPr>
                <w:rFonts w:eastAsia="Arial" w:cs="Arial"/>
                <w:color w:val="000000" w:themeColor="text1"/>
                <w:szCs w:val="20"/>
              </w:rPr>
              <w:t>o</w:t>
            </w:r>
            <w:r w:rsidRPr="00E37916">
              <w:rPr>
                <w:rFonts w:eastAsia="Arial" w:cs="Arial"/>
                <w:color w:val="000000" w:themeColor="text1"/>
                <w:szCs w:val="20"/>
              </w:rPr>
              <w:t xml:space="preserve"> spletnih strani.</w:t>
            </w:r>
          </w:p>
          <w:p w14:paraId="063B7CAE"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p>
          <w:p w14:paraId="332AD071"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r>
              <w:rPr>
                <w:rFonts w:eastAsia="Arial" w:cs="Arial"/>
                <w:color w:val="000000" w:themeColor="text1"/>
                <w:szCs w:val="20"/>
              </w:rPr>
              <w:t xml:space="preserve">Veljavno </w:t>
            </w:r>
            <w:r w:rsidRPr="00E37916">
              <w:rPr>
                <w:rFonts w:eastAsia="Arial" w:cs="Arial"/>
                <w:color w:val="000000" w:themeColor="text1"/>
                <w:szCs w:val="20"/>
              </w:rPr>
              <w:t>Navodilo o predložitvi letnih in zaključnih poročil ter drugih podatkov poslovnih subjektov (Uradni list RS, št. 86/16 in 76/17)</w:t>
            </w:r>
            <w:r>
              <w:rPr>
                <w:rFonts w:eastAsia="Arial" w:cs="Arial"/>
                <w:color w:val="000000" w:themeColor="text1"/>
                <w:szCs w:val="20"/>
              </w:rPr>
              <w:t xml:space="preserve"> </w:t>
            </w:r>
            <w:r w:rsidRPr="00E37916">
              <w:rPr>
                <w:rFonts w:eastAsia="Arial" w:cs="Arial"/>
                <w:color w:val="000000" w:themeColor="text1"/>
                <w:szCs w:val="20"/>
              </w:rPr>
              <w:t xml:space="preserve">določa roke, sestavne dele in način predložitve letnih in zaključnih poročil ter druge podatke, ki jih morajo poslovni subjekti predložiti </w:t>
            </w:r>
            <w:r>
              <w:rPr>
                <w:rFonts w:eastAsia="Arial" w:cs="Arial"/>
                <w:color w:val="000000" w:themeColor="text1"/>
                <w:szCs w:val="20"/>
              </w:rPr>
              <w:t xml:space="preserve">Ajpesu. </w:t>
            </w:r>
            <w:r w:rsidRPr="00605612">
              <w:rPr>
                <w:rFonts w:eastAsia="Arial" w:cs="Arial"/>
                <w:color w:val="000000" w:themeColor="text1"/>
                <w:szCs w:val="20"/>
              </w:rPr>
              <w:t>Svet Ajpes</w:t>
            </w:r>
            <w:r>
              <w:rPr>
                <w:rFonts w:eastAsia="Arial" w:cs="Arial"/>
                <w:color w:val="000000" w:themeColor="text1"/>
                <w:szCs w:val="20"/>
              </w:rPr>
              <w:t>a</w:t>
            </w:r>
            <w:r w:rsidRPr="00605612">
              <w:rPr>
                <w:rFonts w:eastAsia="Arial" w:cs="Arial"/>
                <w:color w:val="000000" w:themeColor="text1"/>
                <w:szCs w:val="20"/>
              </w:rPr>
              <w:t xml:space="preserve"> bo izdal Navodilo o spremembah in dopolnitvah Navodila o predložitvi letnih in zaključnih poročil ter drugih podatkov poslovnih subjektov</w:t>
            </w:r>
            <w:r>
              <w:rPr>
                <w:rFonts w:eastAsia="Arial" w:cs="Arial"/>
                <w:color w:val="000000" w:themeColor="text1"/>
                <w:szCs w:val="20"/>
              </w:rPr>
              <w:t xml:space="preserve">, s katerim bo uskladil </w:t>
            </w:r>
            <w:r w:rsidRPr="00E37916">
              <w:rPr>
                <w:rFonts w:eastAsia="Arial" w:cs="Arial"/>
                <w:color w:val="000000" w:themeColor="text1"/>
                <w:szCs w:val="20"/>
              </w:rPr>
              <w:t xml:space="preserve">roke, sestavne dele in način predložitve </w:t>
            </w:r>
            <w:r w:rsidRPr="00605612">
              <w:rPr>
                <w:rFonts w:eastAsia="Arial" w:cs="Arial"/>
                <w:color w:val="000000" w:themeColor="text1"/>
                <w:szCs w:val="20"/>
              </w:rPr>
              <w:t>poročila o trajnostnosti in poročila o davčnih informacijah v zvezi z dohodki</w:t>
            </w:r>
            <w:r w:rsidRPr="00E37916">
              <w:rPr>
                <w:rFonts w:eastAsia="Arial" w:cs="Arial"/>
                <w:color w:val="000000" w:themeColor="text1"/>
                <w:szCs w:val="20"/>
              </w:rPr>
              <w:t xml:space="preserve"> ter druge podatke, ki jih morajo</w:t>
            </w:r>
            <w:r>
              <w:rPr>
                <w:rFonts w:eastAsia="Arial" w:cs="Arial"/>
                <w:color w:val="000000" w:themeColor="text1"/>
                <w:szCs w:val="20"/>
              </w:rPr>
              <w:t xml:space="preserve"> zavezane družbe predložiti Ajpesu;</w:t>
            </w:r>
          </w:p>
          <w:p w14:paraId="0C8B3F7E"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rPr>
            </w:pPr>
          </w:p>
          <w:p w14:paraId="550F8057" w14:textId="77777777" w:rsidR="000C08CA" w:rsidRPr="00605612" w:rsidRDefault="000C08CA" w:rsidP="00FE328D">
            <w:pPr>
              <w:pStyle w:val="ListParagraph"/>
              <w:numPr>
                <w:ilvl w:val="0"/>
                <w:numId w:val="46"/>
              </w:numPr>
              <w:pBdr>
                <w:top w:val="nil"/>
                <w:left w:val="nil"/>
                <w:bottom w:val="nil"/>
                <w:right w:val="nil"/>
                <w:between w:val="nil"/>
              </w:pBdr>
              <w:suppressAutoHyphens/>
              <w:spacing w:after="0"/>
              <w:ind w:left="714" w:hanging="357"/>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Normativna usklajenost predloga zakona:</w:t>
            </w:r>
          </w:p>
          <w:p w14:paraId="4EBB72F4"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rPr>
            </w:pPr>
          </w:p>
          <w:p w14:paraId="0835E352"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z veljavnim pravnim redom</w:t>
            </w:r>
          </w:p>
          <w:p w14:paraId="165E6AC0"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u w:val="single"/>
              </w:rPr>
            </w:pPr>
          </w:p>
          <w:p w14:paraId="3F3216CD"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rPr>
            </w:pPr>
            <w:r w:rsidRPr="00605612">
              <w:rPr>
                <w:rFonts w:eastAsia="Arial" w:cs="Arial"/>
                <w:color w:val="000000" w:themeColor="text1"/>
                <w:szCs w:val="20"/>
              </w:rPr>
              <w:t>Predlog zakona je usklajen z veljavnim pravnim redom Republike Slovenije in EU.</w:t>
            </w:r>
          </w:p>
          <w:p w14:paraId="7FA18226"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u w:val="single"/>
              </w:rPr>
            </w:pPr>
          </w:p>
          <w:p w14:paraId="720AD72D"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splošno veljavnimi načeli mednarodnega prava in mednarodnimi pogodbami, ki zavezujejo Republiko Slovenijo</w:t>
            </w:r>
          </w:p>
          <w:p w14:paraId="24EDBE6E"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u w:val="single"/>
              </w:rPr>
            </w:pPr>
          </w:p>
          <w:p w14:paraId="4FAF36C9"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Predlog zakona je usklajen s splošno veljavnimi načeli mednarodnega prava in mednarodnimi pogodbami, ki zavezujejo Republiko Slovenijo</w:t>
            </w:r>
            <w:r>
              <w:rPr>
                <w:rFonts w:eastAsia="Arial" w:cs="Arial"/>
                <w:color w:val="000000" w:themeColor="text1"/>
                <w:szCs w:val="20"/>
              </w:rPr>
              <w:t>;</w:t>
            </w:r>
          </w:p>
          <w:p w14:paraId="0FD59909"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p>
          <w:p w14:paraId="105CA3D9"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predpisi, ki jih je tudi treba sprejeti oziroma spremeniti ter »paketno« obravnavati</w:t>
            </w:r>
          </w:p>
          <w:p w14:paraId="4D066A70"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u w:val="single"/>
              </w:rPr>
            </w:pPr>
          </w:p>
          <w:p w14:paraId="0A2E23C8" w14:textId="77777777" w:rsidR="000C08CA" w:rsidRPr="00605612" w:rsidRDefault="000C08CA" w:rsidP="00FE328D">
            <w:pPr>
              <w:pBdr>
                <w:top w:val="nil"/>
                <w:left w:val="nil"/>
                <w:bottom w:val="nil"/>
                <w:right w:val="nil"/>
                <w:between w:val="nil"/>
              </w:pBdr>
              <w:ind w:hanging="2"/>
              <w:jc w:val="both"/>
              <w:rPr>
                <w:rFonts w:eastAsia="Arial" w:cs="Arial"/>
                <w:color w:val="000000" w:themeColor="text1"/>
                <w:szCs w:val="20"/>
              </w:rPr>
            </w:pPr>
            <w:r w:rsidRPr="00605612">
              <w:rPr>
                <w:rFonts w:eastAsia="Arial" w:cs="Arial"/>
                <w:color w:val="000000" w:themeColor="text1"/>
                <w:szCs w:val="20"/>
              </w:rPr>
              <w:t>Predlog zakona je usklajen s predpisi, ki jih je treba sprejeti oziroma spremeniti in »paketno« obravnavati.</w:t>
            </w:r>
          </w:p>
          <w:p w14:paraId="271F6203" w14:textId="77777777" w:rsidR="000C08CA" w:rsidRPr="00605612" w:rsidRDefault="000C08CA" w:rsidP="00FE328D">
            <w:pPr>
              <w:pBdr>
                <w:top w:val="nil"/>
                <w:left w:val="nil"/>
                <w:bottom w:val="nil"/>
                <w:right w:val="nil"/>
                <w:between w:val="nil"/>
              </w:pBdr>
              <w:ind w:hanging="2"/>
              <w:rPr>
                <w:rFonts w:eastAsia="Arial" w:cs="Arial"/>
                <w:color w:val="000000" w:themeColor="text1"/>
                <w:szCs w:val="20"/>
              </w:rPr>
            </w:pPr>
          </w:p>
          <w:p w14:paraId="79FFC2F6" w14:textId="77777777" w:rsidR="000C08CA" w:rsidRPr="00605612" w:rsidRDefault="000C08CA" w:rsidP="00FE328D">
            <w:pPr>
              <w:pStyle w:val="ListParagraph"/>
              <w:numPr>
                <w:ilvl w:val="0"/>
                <w:numId w:val="46"/>
              </w:numPr>
              <w:pBdr>
                <w:top w:val="nil"/>
                <w:left w:val="nil"/>
                <w:bottom w:val="nil"/>
                <w:right w:val="nil"/>
                <w:between w:val="nil"/>
              </w:pBdr>
              <w:suppressAutoHyphens/>
              <w:textDirection w:val="btLr"/>
              <w:textAlignment w:val="top"/>
              <w:outlineLvl w:val="0"/>
              <w:rPr>
                <w:rFonts w:ascii="Arial" w:eastAsia="Arial" w:hAnsi="Arial" w:cs="Arial"/>
                <w:color w:val="000000" w:themeColor="text1"/>
                <w:sz w:val="20"/>
                <w:szCs w:val="20"/>
              </w:rPr>
            </w:pPr>
            <w:r w:rsidRPr="00605612">
              <w:rPr>
                <w:rFonts w:ascii="Arial" w:eastAsia="Arial" w:hAnsi="Arial" w:cs="Arial"/>
                <w:b/>
                <w:color w:val="000000" w:themeColor="text1"/>
                <w:sz w:val="20"/>
                <w:szCs w:val="20"/>
              </w:rPr>
              <w:t>Usklajenost predloga zakona:</w:t>
            </w:r>
          </w:p>
          <w:p w14:paraId="63E74835" w14:textId="77777777" w:rsidR="000C08CA" w:rsidRPr="00605612" w:rsidRDefault="000C08CA" w:rsidP="00FE328D">
            <w:pPr>
              <w:pStyle w:val="ListParagraph"/>
              <w:pBdr>
                <w:top w:val="nil"/>
                <w:left w:val="nil"/>
                <w:bottom w:val="nil"/>
                <w:right w:val="nil"/>
                <w:between w:val="nil"/>
              </w:pBdr>
              <w:suppressAutoHyphens/>
              <w:textDirection w:val="btLr"/>
              <w:textAlignment w:val="top"/>
              <w:outlineLvl w:val="0"/>
              <w:rPr>
                <w:rFonts w:ascii="Arial" w:eastAsia="Arial" w:hAnsi="Arial" w:cs="Arial"/>
                <w:color w:val="000000" w:themeColor="text1"/>
                <w:sz w:val="20"/>
                <w:szCs w:val="20"/>
              </w:rPr>
            </w:pPr>
          </w:p>
          <w:p w14:paraId="3ACA0860"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samoupravnimi lokalnimi skupnostmi</w:t>
            </w:r>
          </w:p>
          <w:p w14:paraId="73B00CA9" w14:textId="77777777" w:rsidR="000C08CA" w:rsidRPr="00605612" w:rsidRDefault="000C08CA" w:rsidP="00FE328D">
            <w:pPr>
              <w:pBdr>
                <w:top w:val="nil"/>
                <w:left w:val="nil"/>
                <w:bottom w:val="nil"/>
                <w:right w:val="nil"/>
                <w:between w:val="nil"/>
              </w:pBdr>
              <w:rPr>
                <w:rFonts w:eastAsia="Arial" w:cs="Arial"/>
                <w:color w:val="000000" w:themeColor="text1"/>
                <w:szCs w:val="20"/>
              </w:rPr>
            </w:pPr>
          </w:p>
          <w:p w14:paraId="43E29BAA" w14:textId="77777777" w:rsidR="000C08CA" w:rsidRPr="00605612" w:rsidRDefault="000C08CA" w:rsidP="00FE328D">
            <w:pPr>
              <w:pBdr>
                <w:top w:val="nil"/>
                <w:left w:val="nil"/>
                <w:bottom w:val="nil"/>
                <w:right w:val="nil"/>
                <w:between w:val="nil"/>
              </w:pBdr>
              <w:rPr>
                <w:rFonts w:eastAsia="Arial" w:cs="Arial"/>
                <w:color w:val="000000" w:themeColor="text1"/>
                <w:szCs w:val="20"/>
              </w:rPr>
            </w:pPr>
            <w:r w:rsidRPr="00605612">
              <w:rPr>
                <w:rFonts w:eastAsia="Arial" w:cs="Arial"/>
                <w:color w:val="000000" w:themeColor="text1"/>
                <w:szCs w:val="20"/>
              </w:rPr>
              <w:t>Predlog zakona ne posega na področje lokalne samouprave, zato usklajevanje ni bilo potrebno.</w:t>
            </w:r>
          </w:p>
          <w:p w14:paraId="677AB4BA" w14:textId="77777777" w:rsidR="000C08CA" w:rsidRPr="00605612" w:rsidRDefault="000C08CA" w:rsidP="00FE328D">
            <w:pPr>
              <w:pBdr>
                <w:top w:val="nil"/>
                <w:left w:val="nil"/>
                <w:bottom w:val="nil"/>
                <w:right w:val="nil"/>
                <w:between w:val="nil"/>
              </w:pBdr>
              <w:rPr>
                <w:rFonts w:eastAsia="Arial" w:cs="Arial"/>
                <w:color w:val="000000" w:themeColor="text1"/>
                <w:szCs w:val="20"/>
              </w:rPr>
            </w:pPr>
          </w:p>
          <w:p w14:paraId="697439F4" w14:textId="77777777" w:rsidR="000C08CA" w:rsidRPr="00605612" w:rsidRDefault="000C08CA" w:rsidP="00FE328D">
            <w:pPr>
              <w:pStyle w:val="ListParagraph"/>
              <w:numPr>
                <w:ilvl w:val="0"/>
                <w:numId w:val="10"/>
              </w:numPr>
              <w:pBdr>
                <w:top w:val="nil"/>
                <w:left w:val="nil"/>
                <w:bottom w:val="nil"/>
                <w:right w:val="nil"/>
                <w:between w:val="nil"/>
              </w:pBdr>
              <w:suppressAutoHyphens/>
              <w:spacing w:after="0"/>
              <w:jc w:val="both"/>
              <w:textDirection w:val="btLr"/>
              <w:textAlignment w:val="top"/>
              <w:outlineLvl w:val="0"/>
              <w:rPr>
                <w:rFonts w:ascii="Arial" w:eastAsia="Arial" w:hAnsi="Arial" w:cs="Arial"/>
                <w:color w:val="000000" w:themeColor="text1"/>
                <w:sz w:val="20"/>
                <w:szCs w:val="20"/>
                <w:u w:val="single"/>
              </w:rPr>
            </w:pPr>
            <w:r w:rsidRPr="00605612">
              <w:rPr>
                <w:rFonts w:ascii="Arial" w:eastAsia="Arial" w:hAnsi="Arial" w:cs="Arial"/>
                <w:color w:val="000000" w:themeColor="text1"/>
                <w:sz w:val="20"/>
                <w:szCs w:val="20"/>
                <w:u w:val="single"/>
              </w:rPr>
              <w:t>s civilno družbo oziroma ciljnimi skupinami, na katere se predlog zakona nanaša (navedba neusklajenih vprašanj)</w:t>
            </w:r>
          </w:p>
          <w:p w14:paraId="2AE0458B" w14:textId="77777777" w:rsidR="000C08CA" w:rsidRPr="00605612" w:rsidRDefault="000C08CA" w:rsidP="00FE328D">
            <w:pPr>
              <w:overflowPunct w:val="0"/>
              <w:autoSpaceDE w:val="0"/>
              <w:autoSpaceDN w:val="0"/>
              <w:adjustRightInd w:val="0"/>
              <w:ind w:left="1428"/>
              <w:jc w:val="both"/>
              <w:textAlignment w:val="baseline"/>
              <w:rPr>
                <w:rFonts w:cs="Arial"/>
                <w:color w:val="000000" w:themeColor="text1"/>
                <w:szCs w:val="20"/>
              </w:rPr>
            </w:pPr>
          </w:p>
          <w:p w14:paraId="78D8C1A8" w14:textId="77777777" w:rsidR="000C08CA" w:rsidRPr="00605612" w:rsidRDefault="000C08CA" w:rsidP="00FE328D">
            <w:pPr>
              <w:numPr>
                <w:ilvl w:val="0"/>
                <w:numId w:val="2"/>
              </w:numPr>
              <w:overflowPunct w:val="0"/>
              <w:autoSpaceDE w:val="0"/>
              <w:autoSpaceDN w:val="0"/>
              <w:adjustRightInd w:val="0"/>
              <w:jc w:val="both"/>
              <w:textAlignment w:val="baseline"/>
              <w:rPr>
                <w:rFonts w:cs="Arial"/>
                <w:color w:val="000000" w:themeColor="text1"/>
                <w:szCs w:val="20"/>
              </w:rPr>
            </w:pPr>
            <w:r w:rsidRPr="00605612">
              <w:rPr>
                <w:rFonts w:cs="Arial"/>
                <w:color w:val="000000" w:themeColor="text1"/>
                <w:szCs w:val="20"/>
                <w:u w:val="single"/>
              </w:rPr>
              <w:t>s subjekti, ki so na poziv predlagatelja neposredno sodelovali pri pripravi predloga zakona oziroma so dali mnenje (znanstvene in strokovne institucije, nevladne organizacije in posamezni strokovnjaki ter predstavniki zainteresirane javnosti)</w:t>
            </w:r>
          </w:p>
          <w:p w14:paraId="2E8A33E8" w14:textId="77777777" w:rsidR="000C08CA" w:rsidRPr="00605612" w:rsidRDefault="000C08CA" w:rsidP="00FE328D">
            <w:pPr>
              <w:pBdr>
                <w:top w:val="nil"/>
                <w:left w:val="nil"/>
                <w:bottom w:val="nil"/>
                <w:right w:val="nil"/>
                <w:between w:val="nil"/>
              </w:pBdr>
              <w:suppressAutoHyphens/>
              <w:jc w:val="both"/>
              <w:textDirection w:val="btLr"/>
              <w:textAlignment w:val="top"/>
              <w:outlineLvl w:val="0"/>
              <w:rPr>
                <w:rFonts w:eastAsia="Arial" w:cs="Arial"/>
                <w:color w:val="000000" w:themeColor="text1"/>
                <w:szCs w:val="20"/>
                <w:u w:val="single"/>
              </w:rPr>
            </w:pPr>
          </w:p>
          <w:p w14:paraId="06F61816" w14:textId="77777777" w:rsidR="000C08CA" w:rsidRPr="00605612" w:rsidRDefault="000C08CA" w:rsidP="00FE328D">
            <w:pPr>
              <w:pStyle w:val="Alineazatoko"/>
              <w:spacing w:line="260" w:lineRule="exact"/>
              <w:ind w:left="0" w:firstLine="0"/>
              <w:rPr>
                <w:color w:val="000000" w:themeColor="text1"/>
                <w:sz w:val="20"/>
                <w:szCs w:val="20"/>
              </w:rPr>
            </w:pPr>
          </w:p>
        </w:tc>
      </w:tr>
      <w:tr w:rsidR="000C08CA" w:rsidRPr="00605612" w14:paraId="14AAA9ED" w14:textId="77777777" w:rsidTr="4DB7FD0D">
        <w:tc>
          <w:tcPr>
            <w:tcW w:w="9072" w:type="dxa"/>
          </w:tcPr>
          <w:p w14:paraId="5FC49C3D" w14:textId="77777777" w:rsidR="000C08CA" w:rsidRPr="00605612" w:rsidRDefault="000C08CA" w:rsidP="00FE328D">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lastRenderedPageBreak/>
              <w:t>3. OCENA FINANČNIH POSLEDIC PREDLOGA ZAKONA ZA DRŽAVNI PRORAČUN IN DRUGA JAVNA FINANČNA SREDSTVA</w:t>
            </w:r>
          </w:p>
        </w:tc>
      </w:tr>
      <w:tr w:rsidR="000C08CA" w:rsidRPr="00605612" w14:paraId="4057A90A" w14:textId="77777777" w:rsidTr="4DB7FD0D">
        <w:tc>
          <w:tcPr>
            <w:tcW w:w="9072" w:type="dxa"/>
          </w:tcPr>
          <w:p w14:paraId="7245B3CC" w14:textId="77777777" w:rsidR="000C08CA" w:rsidRPr="00605612" w:rsidRDefault="000C08CA" w:rsidP="00FE328D">
            <w:pPr>
              <w:pStyle w:val="Alineazaodstavkom"/>
              <w:numPr>
                <w:ilvl w:val="0"/>
                <w:numId w:val="0"/>
              </w:numPr>
              <w:spacing w:line="260" w:lineRule="exact"/>
              <w:ind w:left="709"/>
              <w:rPr>
                <w:color w:val="000000" w:themeColor="text1"/>
                <w:sz w:val="20"/>
                <w:szCs w:val="20"/>
              </w:rPr>
            </w:pPr>
          </w:p>
          <w:p w14:paraId="770F9CFB" w14:textId="77777777" w:rsidR="000C08CA" w:rsidRPr="00605612" w:rsidRDefault="000C08CA" w:rsidP="00FE328D">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ocena finančnih sredstev za državni proračun,</w:t>
            </w:r>
          </w:p>
          <w:p w14:paraId="2D063D66" w14:textId="77777777" w:rsidR="000C08CA" w:rsidRDefault="000C08CA" w:rsidP="00FE328D">
            <w:pPr>
              <w:pStyle w:val="Alineazaodstavkom"/>
              <w:numPr>
                <w:ilvl w:val="0"/>
                <w:numId w:val="0"/>
              </w:numPr>
              <w:spacing w:line="260" w:lineRule="exact"/>
              <w:ind w:left="709"/>
              <w:rPr>
                <w:color w:val="000000" w:themeColor="text1"/>
                <w:sz w:val="20"/>
                <w:szCs w:val="20"/>
              </w:rPr>
            </w:pPr>
          </w:p>
          <w:p w14:paraId="636E4167" w14:textId="77777777" w:rsidR="000C08CA" w:rsidRDefault="000C08CA" w:rsidP="00FE328D">
            <w:pPr>
              <w:pStyle w:val="Alineazaodstavkom"/>
              <w:numPr>
                <w:ilvl w:val="0"/>
                <w:numId w:val="0"/>
              </w:numPr>
              <w:spacing w:line="260" w:lineRule="exact"/>
              <w:rPr>
                <w:color w:val="000000" w:themeColor="text1"/>
                <w:sz w:val="20"/>
                <w:szCs w:val="20"/>
              </w:rPr>
            </w:pPr>
            <w:r w:rsidRPr="00EE7CCE">
              <w:rPr>
                <w:color w:val="000000" w:themeColor="text1"/>
                <w:sz w:val="20"/>
                <w:szCs w:val="20"/>
              </w:rPr>
              <w:t xml:space="preserve">Vse nove zakonsko opredeljene naloge zaradi </w:t>
            </w:r>
            <w:r>
              <w:rPr>
                <w:color w:val="000000" w:themeColor="text1"/>
                <w:sz w:val="20"/>
                <w:szCs w:val="20"/>
              </w:rPr>
              <w:t>predloga zakona</w:t>
            </w:r>
            <w:r w:rsidRPr="00EE7CCE">
              <w:rPr>
                <w:color w:val="000000" w:themeColor="text1"/>
                <w:sz w:val="20"/>
                <w:szCs w:val="20"/>
              </w:rPr>
              <w:t xml:space="preserve"> bodo </w:t>
            </w:r>
            <w:r>
              <w:rPr>
                <w:color w:val="000000" w:themeColor="text1"/>
                <w:sz w:val="20"/>
                <w:szCs w:val="20"/>
              </w:rPr>
              <w:t>pomembno</w:t>
            </w:r>
            <w:r w:rsidRPr="00EE7CCE">
              <w:rPr>
                <w:color w:val="000000" w:themeColor="text1"/>
                <w:sz w:val="20"/>
                <w:szCs w:val="20"/>
              </w:rPr>
              <w:t xml:space="preserve"> posegle v </w:t>
            </w:r>
            <w:r>
              <w:rPr>
                <w:color w:val="000000" w:themeColor="text1"/>
                <w:sz w:val="20"/>
                <w:szCs w:val="20"/>
              </w:rPr>
              <w:t>zdajšnji</w:t>
            </w:r>
            <w:r w:rsidRPr="00EE7CCE">
              <w:rPr>
                <w:color w:val="000000" w:themeColor="text1"/>
                <w:sz w:val="20"/>
                <w:szCs w:val="20"/>
              </w:rPr>
              <w:t xml:space="preserve"> način zajema, obdelave, p</w:t>
            </w:r>
            <w:r>
              <w:rPr>
                <w:color w:val="000000" w:themeColor="text1"/>
                <w:sz w:val="20"/>
                <w:szCs w:val="20"/>
              </w:rPr>
              <w:t>redložitve</w:t>
            </w:r>
            <w:r w:rsidRPr="00EE7CCE">
              <w:rPr>
                <w:color w:val="000000" w:themeColor="text1"/>
                <w:sz w:val="20"/>
                <w:szCs w:val="20"/>
              </w:rPr>
              <w:t xml:space="preserve"> in javne objave letnih poročil, kar pomeni za Ajpes potrebo po dodatnih finančnih in kadrovskih</w:t>
            </w:r>
            <w:r w:rsidRPr="00EE7CCE" w:rsidDel="00953C88">
              <w:rPr>
                <w:color w:val="000000" w:themeColor="text1"/>
                <w:sz w:val="20"/>
                <w:szCs w:val="20"/>
              </w:rPr>
              <w:t xml:space="preserve"> </w:t>
            </w:r>
            <w:r w:rsidRPr="00EE7CCE">
              <w:rPr>
                <w:color w:val="000000" w:themeColor="text1"/>
                <w:sz w:val="20"/>
                <w:szCs w:val="20"/>
              </w:rPr>
              <w:t xml:space="preserve">virih za vzpostavitev in izvedbo predlaganih sprememb v okviru </w:t>
            </w:r>
            <w:r>
              <w:rPr>
                <w:color w:val="000000" w:themeColor="text1"/>
                <w:sz w:val="20"/>
                <w:szCs w:val="20"/>
              </w:rPr>
              <w:t xml:space="preserve">zdajšnje </w:t>
            </w:r>
            <w:r w:rsidRPr="00EE7CCE">
              <w:rPr>
                <w:color w:val="000000" w:themeColor="text1"/>
                <w:sz w:val="20"/>
                <w:szCs w:val="20"/>
              </w:rPr>
              <w:t xml:space="preserve">programske opreme za zajem letnih in drugih poročil, ki bo skladna </w:t>
            </w:r>
            <w:r>
              <w:rPr>
                <w:color w:val="000000" w:themeColor="text1"/>
                <w:sz w:val="20"/>
                <w:szCs w:val="20"/>
              </w:rPr>
              <w:t>s</w:t>
            </w:r>
            <w:r w:rsidRPr="00EE7CCE">
              <w:rPr>
                <w:color w:val="000000" w:themeColor="text1"/>
                <w:sz w:val="20"/>
                <w:szCs w:val="20"/>
              </w:rPr>
              <w:t xml:space="preserve"> </w:t>
            </w:r>
            <w:r>
              <w:rPr>
                <w:color w:val="000000" w:themeColor="text1"/>
                <w:sz w:val="20"/>
                <w:szCs w:val="20"/>
              </w:rPr>
              <w:t>predlogom novele,</w:t>
            </w:r>
            <w:r w:rsidRPr="00EE7CCE">
              <w:rPr>
                <w:color w:val="000000" w:themeColor="text1"/>
                <w:sz w:val="20"/>
                <w:szCs w:val="20"/>
              </w:rPr>
              <w:t xml:space="preserve"> oziroma </w:t>
            </w:r>
            <w:r>
              <w:rPr>
                <w:color w:val="000000" w:themeColor="text1"/>
                <w:sz w:val="20"/>
                <w:szCs w:val="20"/>
              </w:rPr>
              <w:t xml:space="preserve">za </w:t>
            </w:r>
            <w:r w:rsidRPr="00EE7CCE">
              <w:rPr>
                <w:color w:val="000000" w:themeColor="text1"/>
                <w:sz w:val="20"/>
                <w:szCs w:val="20"/>
              </w:rPr>
              <w:t>vzpostavitev nove programske opreme na tehnološko sodobnejši platformi.</w:t>
            </w:r>
            <w:r>
              <w:rPr>
                <w:color w:val="000000" w:themeColor="text1"/>
                <w:sz w:val="20"/>
                <w:szCs w:val="20"/>
              </w:rPr>
              <w:t xml:space="preserve"> Ocena potrebnih finančnih sredstev za izvedbo predhodno navedenih aktivnosti je 250.000 EUR. </w:t>
            </w:r>
            <w:r w:rsidRPr="2A887E61" w:rsidDel="00634918">
              <w:rPr>
                <w:sz w:val="20"/>
                <w:szCs w:val="20"/>
              </w:rPr>
              <w:t xml:space="preserve">Prav tako </w:t>
            </w:r>
            <w:r w:rsidRPr="2A887E61">
              <w:rPr>
                <w:sz w:val="20"/>
                <w:szCs w:val="20"/>
              </w:rPr>
              <w:t>Ajpes ocenjuje, da potrebuje dve novi zaposlitvi za čas trajanja prenove programske opreme</w:t>
            </w:r>
            <w:r>
              <w:rPr>
                <w:sz w:val="20"/>
                <w:szCs w:val="20"/>
              </w:rPr>
              <w:t>, kar bi na letni ravni pomenilo približno 60.400 EUR dodatnih stroškov.</w:t>
            </w:r>
          </w:p>
          <w:p w14:paraId="17CFF3F9" w14:textId="77777777" w:rsidR="000C08CA" w:rsidRDefault="000C08CA" w:rsidP="00FE328D">
            <w:pPr>
              <w:pStyle w:val="Alineazaodstavkom"/>
              <w:numPr>
                <w:ilvl w:val="0"/>
                <w:numId w:val="0"/>
              </w:numPr>
              <w:spacing w:line="260" w:lineRule="exact"/>
              <w:ind w:left="709"/>
              <w:rPr>
                <w:color w:val="000000" w:themeColor="text1"/>
                <w:sz w:val="20"/>
                <w:szCs w:val="20"/>
              </w:rPr>
            </w:pPr>
          </w:p>
          <w:p w14:paraId="1FCF4BFC" w14:textId="77777777" w:rsidR="000C08CA" w:rsidRDefault="000C08CA" w:rsidP="00FE328D">
            <w:pPr>
              <w:pStyle w:val="Alineazaodstavkom"/>
              <w:numPr>
                <w:ilvl w:val="0"/>
                <w:numId w:val="0"/>
              </w:numPr>
              <w:spacing w:line="260" w:lineRule="exact"/>
              <w:rPr>
                <w:color w:val="000000" w:themeColor="text1"/>
                <w:sz w:val="20"/>
                <w:szCs w:val="20"/>
              </w:rPr>
            </w:pPr>
            <w:r>
              <w:rPr>
                <w:color w:val="000000" w:themeColor="text1"/>
                <w:sz w:val="20"/>
                <w:szCs w:val="20"/>
              </w:rPr>
              <w:t xml:space="preserve">Zaradi novih pooblastil in nalog v skladu s predlogom zakona je treba Zagovorniku načela enakosti zagotoviti finančna sredstva za eno novo zaposleno osebo, kar znaša približno 45.000 EUR. </w:t>
            </w:r>
          </w:p>
          <w:p w14:paraId="78D5382D"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26D90518"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Predlog zakona nima finančnih posledic za druga javnofinančna sredstva.</w:t>
            </w:r>
          </w:p>
          <w:p w14:paraId="6EA52F2D"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520FB9CC" w14:textId="77777777" w:rsidR="000C08CA" w:rsidRPr="00605612" w:rsidRDefault="000C08CA" w:rsidP="00FE328D">
            <w:pPr>
              <w:pStyle w:val="Alineazaodstavkom"/>
              <w:numPr>
                <w:ilvl w:val="0"/>
                <w:numId w:val="0"/>
              </w:numPr>
              <w:spacing w:line="260" w:lineRule="exact"/>
              <w:rPr>
                <w:color w:val="000000" w:themeColor="text1"/>
                <w:sz w:val="20"/>
                <w:szCs w:val="20"/>
              </w:rPr>
            </w:pPr>
          </w:p>
        </w:tc>
      </w:tr>
      <w:tr w:rsidR="000C08CA" w:rsidRPr="00605612" w14:paraId="7E1C0E51" w14:textId="77777777" w:rsidTr="4DB7FD0D">
        <w:tc>
          <w:tcPr>
            <w:tcW w:w="9072" w:type="dxa"/>
          </w:tcPr>
          <w:p w14:paraId="7DFCCDFB" w14:textId="77777777" w:rsidR="000C08CA" w:rsidRPr="00605612" w:rsidRDefault="000C08CA" w:rsidP="00FE328D">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t>4. NAVEDBA, DA SO SREDSTVA ZA IZVAJANJE ZAKONA V DRŽAVNEM PRORAČUNU ZAGOTOVLJENA, ČE PREDLOG ZAKONA PREDVIDEVA PORABO PRORAČUNSKIH SREDSTEV V OBDOBJU, ZA KATERO JE BIL DRŽAVNI PRORAČUN ŽE SPREJET</w:t>
            </w:r>
          </w:p>
          <w:p w14:paraId="6676FEDB" w14:textId="77777777" w:rsidR="000C08CA" w:rsidRPr="00605612" w:rsidRDefault="000C08CA" w:rsidP="00FE328D">
            <w:pPr>
              <w:pStyle w:val="Oddelek"/>
              <w:numPr>
                <w:ilvl w:val="0"/>
                <w:numId w:val="0"/>
              </w:numPr>
              <w:spacing w:before="0" w:after="0" w:line="260" w:lineRule="exact"/>
              <w:jc w:val="both"/>
              <w:rPr>
                <w:color w:val="000000" w:themeColor="text1"/>
                <w:sz w:val="20"/>
                <w:szCs w:val="20"/>
              </w:rPr>
            </w:pPr>
          </w:p>
        </w:tc>
      </w:tr>
      <w:tr w:rsidR="000C08CA" w:rsidRPr="00605612" w14:paraId="77F836D3" w14:textId="77777777" w:rsidTr="4DB7FD0D">
        <w:tc>
          <w:tcPr>
            <w:tcW w:w="9072" w:type="dxa"/>
          </w:tcPr>
          <w:p w14:paraId="41892967" w14:textId="26905392" w:rsidR="000C08CA" w:rsidRPr="00D03DDD" w:rsidRDefault="00F764F7" w:rsidP="00D03DDD">
            <w:pPr>
              <w:pStyle w:val="Alineazaodstavkom"/>
              <w:numPr>
                <w:ilvl w:val="0"/>
                <w:numId w:val="2"/>
              </w:numPr>
              <w:spacing w:line="260" w:lineRule="exact"/>
              <w:ind w:left="709" w:hanging="284"/>
              <w:rPr>
                <w:color w:val="000000" w:themeColor="text1"/>
                <w:sz w:val="20"/>
                <w:szCs w:val="20"/>
              </w:rPr>
            </w:pPr>
            <w:r>
              <w:rPr>
                <w:color w:val="000000" w:themeColor="text1"/>
                <w:sz w:val="20"/>
                <w:szCs w:val="20"/>
              </w:rPr>
              <w:t>S</w:t>
            </w:r>
            <w:r w:rsidRPr="00870A9A">
              <w:rPr>
                <w:color w:val="000000" w:themeColor="text1"/>
                <w:sz w:val="20"/>
                <w:szCs w:val="20"/>
              </w:rPr>
              <w:t xml:space="preserve">redstva </w:t>
            </w:r>
            <w:r>
              <w:rPr>
                <w:color w:val="000000" w:themeColor="text1"/>
                <w:sz w:val="20"/>
                <w:szCs w:val="20"/>
              </w:rPr>
              <w:t xml:space="preserve">v višini </w:t>
            </w:r>
            <w:r>
              <w:rPr>
                <w:color w:val="000000" w:themeColor="text1"/>
                <w:sz w:val="20"/>
                <w:szCs w:val="20"/>
              </w:rPr>
              <w:t>255</w:t>
            </w:r>
            <w:r>
              <w:rPr>
                <w:color w:val="000000" w:themeColor="text1"/>
                <w:sz w:val="20"/>
                <w:szCs w:val="20"/>
              </w:rPr>
              <w:t xml:space="preserve">.000 EUR </w:t>
            </w:r>
            <w:r>
              <w:rPr>
                <w:color w:val="000000" w:themeColor="text1"/>
                <w:sz w:val="20"/>
                <w:szCs w:val="20"/>
              </w:rPr>
              <w:t>bod</w:t>
            </w:r>
            <w:r w:rsidRPr="00870A9A">
              <w:rPr>
                <w:color w:val="000000" w:themeColor="text1"/>
                <w:sz w:val="20"/>
                <w:szCs w:val="20"/>
              </w:rPr>
              <w:t xml:space="preserve">o zagotovljena v državnem proračunu </w:t>
            </w:r>
            <w:r>
              <w:rPr>
                <w:color w:val="000000" w:themeColor="text1"/>
                <w:sz w:val="20"/>
                <w:szCs w:val="20"/>
              </w:rPr>
              <w:t>za leto 202</w:t>
            </w:r>
            <w:r>
              <w:rPr>
                <w:color w:val="000000" w:themeColor="text1"/>
                <w:sz w:val="20"/>
                <w:szCs w:val="20"/>
              </w:rPr>
              <w:t>5</w:t>
            </w:r>
            <w:r>
              <w:rPr>
                <w:color w:val="000000" w:themeColor="text1"/>
                <w:sz w:val="20"/>
                <w:szCs w:val="20"/>
              </w:rPr>
              <w:t xml:space="preserve">, v finančnem načrtu Ministrstva za </w:t>
            </w:r>
            <w:r>
              <w:rPr>
                <w:color w:val="000000" w:themeColor="text1"/>
                <w:sz w:val="20"/>
                <w:szCs w:val="20"/>
              </w:rPr>
              <w:t>gospodarstvo, turizem in šport</w:t>
            </w:r>
            <w:r>
              <w:rPr>
                <w:color w:val="000000" w:themeColor="text1"/>
                <w:sz w:val="20"/>
                <w:szCs w:val="20"/>
              </w:rPr>
              <w:t xml:space="preserve"> na </w:t>
            </w:r>
            <w:r w:rsidRPr="00870A9A">
              <w:rPr>
                <w:color w:val="000000" w:themeColor="text1"/>
                <w:sz w:val="20"/>
                <w:szCs w:val="20"/>
              </w:rPr>
              <w:t>proračunski postavk</w:t>
            </w:r>
            <w:r>
              <w:rPr>
                <w:color w:val="000000" w:themeColor="text1"/>
                <w:sz w:val="20"/>
                <w:szCs w:val="20"/>
              </w:rPr>
              <w:t>i</w:t>
            </w:r>
            <w:r>
              <w:rPr>
                <w:color w:val="000000" w:themeColor="text1"/>
                <w:sz w:val="20"/>
                <w:szCs w:val="20"/>
              </w:rPr>
              <w:t xml:space="preserve"> 231733</w:t>
            </w:r>
            <w:r>
              <w:rPr>
                <w:color w:val="000000" w:themeColor="text1"/>
                <w:sz w:val="20"/>
                <w:szCs w:val="20"/>
              </w:rPr>
              <w:t>.</w:t>
            </w:r>
          </w:p>
          <w:p w14:paraId="46063A52" w14:textId="77777777" w:rsidR="000C08CA" w:rsidRPr="00605612" w:rsidRDefault="000C08CA" w:rsidP="00FE328D">
            <w:pPr>
              <w:pStyle w:val="Alineazaodstavkom"/>
              <w:numPr>
                <w:ilvl w:val="0"/>
                <w:numId w:val="0"/>
              </w:numPr>
              <w:spacing w:line="260" w:lineRule="exact"/>
              <w:rPr>
                <w:color w:val="000000" w:themeColor="text1"/>
                <w:sz w:val="20"/>
                <w:szCs w:val="20"/>
              </w:rPr>
            </w:pPr>
          </w:p>
        </w:tc>
      </w:tr>
      <w:tr w:rsidR="000C08CA" w:rsidRPr="00605612" w14:paraId="53D423AF" w14:textId="77777777" w:rsidTr="4DB7FD0D">
        <w:tc>
          <w:tcPr>
            <w:tcW w:w="9072" w:type="dxa"/>
          </w:tcPr>
          <w:p w14:paraId="085C3118" w14:textId="77777777" w:rsidR="000C08CA" w:rsidRPr="00605612" w:rsidRDefault="000C08CA" w:rsidP="00FE328D">
            <w:pPr>
              <w:pStyle w:val="Oddelek"/>
              <w:numPr>
                <w:ilvl w:val="0"/>
                <w:numId w:val="0"/>
              </w:numPr>
              <w:spacing w:before="0" w:after="0" w:line="260" w:lineRule="exact"/>
              <w:jc w:val="both"/>
              <w:rPr>
                <w:color w:val="000000" w:themeColor="text1"/>
                <w:sz w:val="20"/>
                <w:szCs w:val="20"/>
              </w:rPr>
            </w:pPr>
            <w:r w:rsidRPr="00605612">
              <w:rPr>
                <w:color w:val="000000" w:themeColor="text1"/>
                <w:sz w:val="20"/>
                <w:szCs w:val="20"/>
              </w:rPr>
              <w:t>5. PRIKAZ UREDITVE V DRUGIH PRAVNIH SISTEMIH IN PRILAGOJENOSTI PREDLAGANE UREDITVE PRAVU EVROPSKE UNIJE</w:t>
            </w:r>
          </w:p>
        </w:tc>
      </w:tr>
      <w:tr w:rsidR="000C08CA" w:rsidRPr="00605612" w14:paraId="693EAFAA" w14:textId="77777777" w:rsidTr="4DB7FD0D">
        <w:tc>
          <w:tcPr>
            <w:tcW w:w="9072" w:type="dxa"/>
          </w:tcPr>
          <w:p w14:paraId="0C69D2BC" w14:textId="77777777" w:rsidR="000C08CA" w:rsidRPr="00605612" w:rsidRDefault="000C08CA" w:rsidP="00FE328D">
            <w:pPr>
              <w:pStyle w:val="Alineazaodstavkom"/>
              <w:numPr>
                <w:ilvl w:val="0"/>
                <w:numId w:val="0"/>
              </w:numPr>
              <w:spacing w:line="260" w:lineRule="exact"/>
              <w:ind w:left="709"/>
              <w:rPr>
                <w:color w:val="000000" w:themeColor="text1"/>
                <w:sz w:val="20"/>
                <w:szCs w:val="20"/>
              </w:rPr>
            </w:pPr>
          </w:p>
          <w:p w14:paraId="52C627D3" w14:textId="09D37E9F" w:rsidR="000C08CA" w:rsidRPr="00605612" w:rsidRDefault="000C08CA" w:rsidP="00FE328D">
            <w:pPr>
              <w:pStyle w:val="Alineazaodstavkom"/>
              <w:numPr>
                <w:ilvl w:val="0"/>
                <w:numId w:val="2"/>
              </w:numPr>
              <w:spacing w:line="260" w:lineRule="exact"/>
              <w:ind w:left="709" w:hanging="284"/>
              <w:rPr>
                <w:b/>
                <w:color w:val="000000" w:themeColor="text1"/>
                <w:sz w:val="20"/>
                <w:szCs w:val="20"/>
                <w:u w:val="single"/>
              </w:rPr>
            </w:pPr>
            <w:r w:rsidRPr="00605612">
              <w:rPr>
                <w:color w:val="000000" w:themeColor="text1"/>
                <w:sz w:val="20"/>
                <w:szCs w:val="20"/>
                <w:u w:val="single"/>
              </w:rPr>
              <w:t>prikaz ureditve v pravnem redu EU</w:t>
            </w:r>
          </w:p>
          <w:p w14:paraId="16F2A5F8"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75D5C62D" w14:textId="77777777" w:rsidR="000C08CA" w:rsidRPr="002748E4" w:rsidRDefault="000C08CA" w:rsidP="00FE328D">
            <w:pPr>
              <w:pStyle w:val="Alineazaodstavkom"/>
              <w:numPr>
                <w:ilvl w:val="0"/>
                <w:numId w:val="0"/>
              </w:numPr>
              <w:spacing w:line="260" w:lineRule="exact"/>
              <w:rPr>
                <w:color w:val="000000" w:themeColor="text1"/>
                <w:sz w:val="20"/>
                <w:szCs w:val="20"/>
                <w:u w:val="single"/>
              </w:rPr>
            </w:pPr>
            <w:r w:rsidRPr="002748E4">
              <w:rPr>
                <w:color w:val="000000" w:themeColor="text1"/>
                <w:sz w:val="20"/>
                <w:szCs w:val="20"/>
                <w:u w:val="single"/>
                <w:shd w:val="clear" w:color="auto" w:fill="FFFFFF"/>
              </w:rPr>
              <w:t>Direktiva 2021/2101/EU</w:t>
            </w:r>
          </w:p>
          <w:p w14:paraId="25209733"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6E5533E6" w14:textId="1A468C32" w:rsidR="000C08CA" w:rsidRPr="00605612" w:rsidRDefault="000C08CA" w:rsidP="00FE328D">
            <w:pPr>
              <w:pStyle w:val="Alineazaodstavkom"/>
              <w:numPr>
                <w:ilvl w:val="0"/>
                <w:numId w:val="0"/>
              </w:numPr>
              <w:spacing w:line="260" w:lineRule="exact"/>
              <w:rPr>
                <w:color w:val="000000" w:themeColor="text1"/>
                <w:sz w:val="20"/>
                <w:szCs w:val="20"/>
                <w:shd w:val="clear" w:color="auto" w:fill="FFFFFF"/>
              </w:rPr>
            </w:pPr>
            <w:r w:rsidRPr="00605612">
              <w:rPr>
                <w:color w:val="000000" w:themeColor="text1"/>
                <w:sz w:val="20"/>
                <w:szCs w:val="20"/>
              </w:rPr>
              <w:t xml:space="preserve">Predlog zakona je </w:t>
            </w:r>
            <w:r w:rsidR="00D67DB0">
              <w:rPr>
                <w:color w:val="000000" w:themeColor="text1"/>
                <w:sz w:val="20"/>
                <w:szCs w:val="20"/>
              </w:rPr>
              <w:t>usklajen s</w:t>
            </w:r>
            <w:r w:rsidRPr="00605612">
              <w:rPr>
                <w:color w:val="000000" w:themeColor="text1"/>
                <w:sz w:val="20"/>
                <w:szCs w:val="20"/>
              </w:rPr>
              <w:t xml:space="preserve"> prav</w:t>
            </w:r>
            <w:r w:rsidR="00D67DB0">
              <w:rPr>
                <w:color w:val="000000" w:themeColor="text1"/>
                <w:sz w:val="20"/>
                <w:szCs w:val="20"/>
              </w:rPr>
              <w:t>om</w:t>
            </w:r>
            <w:r w:rsidRPr="00605612">
              <w:rPr>
                <w:color w:val="000000" w:themeColor="text1"/>
                <w:sz w:val="20"/>
                <w:szCs w:val="20"/>
              </w:rPr>
              <w:t xml:space="preserve"> EU. Z njim se v slovenski pravni red prenaša Direktiva (EU) 2021/2101 o spremembi Direktive 2013/34/EU glede razkritja davčnih informacij v zvezi z dohodki s strani nekaterih podjetij in podružnic. </w:t>
            </w:r>
            <w:r w:rsidRPr="00605612">
              <w:rPr>
                <w:color w:val="000000" w:themeColor="text1"/>
                <w:sz w:val="20"/>
                <w:szCs w:val="20"/>
                <w:shd w:val="clear" w:color="auto" w:fill="FFFFFF"/>
              </w:rPr>
              <w:t xml:space="preserve">S prenosom Direktive 2021/2101/EU v nacionalne pravne rede držav članic se bosta okrepila preglednost poslovanja gospodarskih družb in javni nadzor nad informacijami o davku od dohodkov pravnih oseb </w:t>
            </w:r>
            <w:r w:rsidR="00D67DB0">
              <w:rPr>
                <w:color w:val="000000" w:themeColor="text1"/>
                <w:sz w:val="20"/>
                <w:szCs w:val="20"/>
                <w:shd w:val="clear" w:color="auto" w:fill="FFFFFF"/>
              </w:rPr>
              <w:t>z uskladitvijo</w:t>
            </w:r>
            <w:r w:rsidRPr="00605612">
              <w:rPr>
                <w:color w:val="000000" w:themeColor="text1"/>
                <w:sz w:val="20"/>
                <w:szCs w:val="20"/>
                <w:shd w:val="clear" w:color="auto" w:fill="FFFFFF"/>
              </w:rPr>
              <w:t xml:space="preserve"> </w:t>
            </w:r>
            <w:r>
              <w:rPr>
                <w:color w:val="000000" w:themeColor="text1"/>
                <w:sz w:val="20"/>
                <w:szCs w:val="20"/>
                <w:shd w:val="clear" w:color="auto" w:fill="FFFFFF"/>
              </w:rPr>
              <w:t>zdajšnjega</w:t>
            </w:r>
            <w:r w:rsidRPr="00605612">
              <w:rPr>
                <w:color w:val="000000" w:themeColor="text1"/>
                <w:sz w:val="20"/>
                <w:szCs w:val="20"/>
                <w:shd w:val="clear" w:color="auto" w:fill="FFFFFF"/>
              </w:rPr>
              <w:t xml:space="preserve"> pravnega okvira v zvezi z obveznostmi za družbe glede objave poročil, da se zaščitijo interesi družbenikov in tretjih</w:t>
            </w:r>
            <w:r>
              <w:rPr>
                <w:color w:val="000000" w:themeColor="text1"/>
                <w:sz w:val="20"/>
                <w:szCs w:val="20"/>
                <w:shd w:val="clear" w:color="auto" w:fill="FFFFFF"/>
              </w:rPr>
              <w:t xml:space="preserve"> oseb</w:t>
            </w:r>
            <w:r w:rsidRPr="00605612">
              <w:rPr>
                <w:color w:val="000000" w:themeColor="text1"/>
                <w:sz w:val="20"/>
                <w:szCs w:val="20"/>
                <w:shd w:val="clear" w:color="auto" w:fill="FFFFFF"/>
              </w:rPr>
              <w:t>, v smislu točke g</w:t>
            </w:r>
            <w:r>
              <w:rPr>
                <w:color w:val="000000" w:themeColor="text1"/>
                <w:sz w:val="20"/>
                <w:szCs w:val="20"/>
                <w:shd w:val="clear" w:color="auto" w:fill="FFFFFF"/>
              </w:rPr>
              <w:t>)</w:t>
            </w:r>
            <w:r w:rsidRPr="00605612">
              <w:rPr>
                <w:color w:val="000000" w:themeColor="text1"/>
                <w:sz w:val="20"/>
                <w:szCs w:val="20"/>
                <w:shd w:val="clear" w:color="auto" w:fill="FFFFFF"/>
              </w:rPr>
              <w:t xml:space="preserve"> drugega odstavka 50. člena Pogodbe o delovanju Evropske unije (v nadaljnjem besedilu: PDEU). PDEU v prvem odstavku 50. člen</w:t>
            </w:r>
            <w:r>
              <w:rPr>
                <w:color w:val="000000" w:themeColor="text1"/>
                <w:sz w:val="20"/>
                <w:szCs w:val="20"/>
                <w:shd w:val="clear" w:color="auto" w:fill="FFFFFF"/>
              </w:rPr>
              <w:t>a</w:t>
            </w:r>
            <w:r w:rsidRPr="00605612">
              <w:rPr>
                <w:color w:val="000000" w:themeColor="text1"/>
                <w:sz w:val="20"/>
                <w:szCs w:val="20"/>
                <w:shd w:val="clear" w:color="auto" w:fill="FFFFFF"/>
              </w:rPr>
              <w:t xml:space="preserve"> določa,</w:t>
            </w:r>
            <w:r w:rsidRPr="00605612">
              <w:rPr>
                <w:sz w:val="20"/>
                <w:szCs w:val="20"/>
              </w:rPr>
              <w:t xml:space="preserve"> da z</w:t>
            </w:r>
            <w:r w:rsidRPr="00605612">
              <w:rPr>
                <w:color w:val="000000" w:themeColor="text1"/>
                <w:sz w:val="20"/>
                <w:szCs w:val="20"/>
                <w:shd w:val="clear" w:color="auto" w:fill="FFFFFF"/>
              </w:rPr>
              <w:t>a uresničevanje svobode ustanavljanja v zvezi s posamezno dejavnostjo Evropski parlament in Svet po rednem zakonodajnem postopku in po posvetovanju z Ekonomsko-socialnim odborom ukrepata z direktivami. Evropski parlament, Svet in Komisija izvajajo naloge, zlasti tako</w:t>
            </w:r>
            <w:r>
              <w:rPr>
                <w:color w:val="000000" w:themeColor="text1"/>
                <w:sz w:val="20"/>
                <w:szCs w:val="20"/>
                <w:shd w:val="clear" w:color="auto" w:fill="FFFFFF"/>
              </w:rPr>
              <w:t>,</w:t>
            </w:r>
            <w:r w:rsidRPr="00605612">
              <w:rPr>
                <w:color w:val="000000" w:themeColor="text1"/>
                <w:sz w:val="20"/>
                <w:szCs w:val="20"/>
                <w:shd w:val="clear" w:color="auto" w:fill="FFFFFF"/>
              </w:rPr>
              <w:t xml:space="preserve"> da (med drugim): »</w:t>
            </w:r>
            <w:r w:rsidRPr="00605612">
              <w:rPr>
                <w:i/>
                <w:color w:val="000000" w:themeColor="text1"/>
                <w:sz w:val="20"/>
                <w:szCs w:val="20"/>
                <w:shd w:val="clear" w:color="auto" w:fill="FFFFFF"/>
              </w:rPr>
              <w:t xml:space="preserve">usklajujejo, kolikor je to potrebno, zaščitne ukrepe, ki jih od družb ali podjetij iz drugega odstavka člena 54 za zaščito interesov </w:t>
            </w:r>
            <w:r w:rsidRPr="00605612">
              <w:rPr>
                <w:i/>
                <w:color w:val="000000" w:themeColor="text1"/>
                <w:sz w:val="20"/>
                <w:szCs w:val="20"/>
                <w:shd w:val="clear" w:color="auto" w:fill="FFFFFF"/>
              </w:rPr>
              <w:lastRenderedPageBreak/>
              <w:t>družbenikov in tretjih zahtevajo države članice, zato da bi te zaščitne ukrepe izenačili v vsej Uniji</w:t>
            </w:r>
            <w:r w:rsidRPr="00605612">
              <w:rPr>
                <w:color w:val="000000" w:themeColor="text1"/>
                <w:sz w:val="20"/>
                <w:szCs w:val="20"/>
                <w:shd w:val="clear" w:color="auto" w:fill="FFFFFF"/>
              </w:rPr>
              <w:t>«. Kot je potrdilo tudi Sodišče EU, zlasti v zadevi C-97/96 (</w:t>
            </w:r>
            <w:r w:rsidRPr="00605612">
              <w:rPr>
                <w:i/>
                <w:color w:val="000000" w:themeColor="text1"/>
                <w:sz w:val="20"/>
                <w:szCs w:val="20"/>
                <w:shd w:val="clear" w:color="auto" w:fill="FFFFFF"/>
              </w:rPr>
              <w:t>Verband deutscher Daihatsu-Händler</w:t>
            </w:r>
            <w:r w:rsidRPr="00605612">
              <w:rPr>
                <w:color w:val="000000" w:themeColor="text1"/>
                <w:sz w:val="20"/>
                <w:szCs w:val="20"/>
                <w:shd w:val="clear" w:color="auto" w:fill="FFFFFF"/>
              </w:rPr>
              <w:t>), se navedena točka g</w:t>
            </w:r>
            <w:r>
              <w:rPr>
                <w:color w:val="000000" w:themeColor="text1"/>
                <w:sz w:val="20"/>
                <w:szCs w:val="20"/>
                <w:shd w:val="clear" w:color="auto" w:fill="FFFFFF"/>
              </w:rPr>
              <w:t>)</w:t>
            </w:r>
            <w:r w:rsidRPr="00605612">
              <w:rPr>
                <w:color w:val="000000" w:themeColor="text1"/>
                <w:sz w:val="20"/>
                <w:szCs w:val="20"/>
                <w:shd w:val="clear" w:color="auto" w:fill="FFFFFF"/>
              </w:rPr>
              <w:t xml:space="preserve"> drugega odstavka 50. člena PDEU nanaša na potrebo po zaščiti interesov tretjih</w:t>
            </w:r>
            <w:r>
              <w:rPr>
                <w:color w:val="000000" w:themeColor="text1"/>
                <w:sz w:val="20"/>
                <w:szCs w:val="20"/>
                <w:shd w:val="clear" w:color="auto" w:fill="FFFFFF"/>
              </w:rPr>
              <w:t xml:space="preserve"> oseb</w:t>
            </w:r>
            <w:r w:rsidRPr="00605612">
              <w:rPr>
                <w:color w:val="000000" w:themeColor="text1"/>
                <w:sz w:val="20"/>
                <w:szCs w:val="20"/>
                <w:shd w:val="clear" w:color="auto" w:fill="FFFFFF"/>
              </w:rPr>
              <w:t xml:space="preserve"> na splošno, brez razlikovanja ali izključevanja katerih koli kategorij, ki spadajo </w:t>
            </w:r>
            <w:r>
              <w:rPr>
                <w:color w:val="000000" w:themeColor="text1"/>
                <w:sz w:val="20"/>
                <w:szCs w:val="20"/>
                <w:shd w:val="clear" w:color="auto" w:fill="FFFFFF"/>
              </w:rPr>
              <w:t>v</w:t>
            </w:r>
            <w:r w:rsidRPr="00605612">
              <w:rPr>
                <w:color w:val="000000" w:themeColor="text1"/>
                <w:sz w:val="20"/>
                <w:szCs w:val="20"/>
                <w:shd w:val="clear" w:color="auto" w:fill="FFFFFF"/>
              </w:rPr>
              <w:t xml:space="preserve"> ta izraz. Zato izraz tretj</w:t>
            </w:r>
            <w:r>
              <w:rPr>
                <w:color w:val="000000" w:themeColor="text1"/>
                <w:sz w:val="20"/>
                <w:szCs w:val="20"/>
                <w:shd w:val="clear" w:color="auto" w:fill="FFFFFF"/>
              </w:rPr>
              <w:t>e osebe</w:t>
            </w:r>
            <w:r w:rsidRPr="00605612">
              <w:rPr>
                <w:color w:val="000000" w:themeColor="text1"/>
                <w:sz w:val="20"/>
                <w:szCs w:val="20"/>
                <w:shd w:val="clear" w:color="auto" w:fill="FFFFFF"/>
              </w:rPr>
              <w:t xml:space="preserve"> ne pomeni le vlagateljev in upnikov, temveč se nanaša tudi na druge zainteresirane tretje </w:t>
            </w:r>
            <w:r>
              <w:rPr>
                <w:color w:val="000000" w:themeColor="text1"/>
                <w:sz w:val="20"/>
                <w:szCs w:val="20"/>
                <w:shd w:val="clear" w:color="auto" w:fill="FFFFFF"/>
              </w:rPr>
              <w:t>osebe</w:t>
            </w:r>
            <w:r w:rsidRPr="00605612">
              <w:rPr>
                <w:color w:val="000000" w:themeColor="text1"/>
                <w:sz w:val="20"/>
                <w:szCs w:val="20"/>
                <w:shd w:val="clear" w:color="auto" w:fill="FFFFFF"/>
              </w:rPr>
              <w:t>, vključno s konkurenti in širšo javnostjo. Ker direktiva ureja le obveznost objave poročil o davčnih informacijah v zvezi z dohodki, ne pa harmonizacije davkov, je prvi odstavek 50. člena PDEU primerna pravna podlaga zanjo.</w:t>
            </w:r>
          </w:p>
          <w:p w14:paraId="55B4FD7B" w14:textId="77777777" w:rsidR="000C08CA" w:rsidRPr="00605612" w:rsidRDefault="000C08CA" w:rsidP="00FE328D">
            <w:pPr>
              <w:pStyle w:val="Alineazaodstavkom"/>
              <w:numPr>
                <w:ilvl w:val="0"/>
                <w:numId w:val="0"/>
              </w:numPr>
              <w:spacing w:line="260" w:lineRule="exact"/>
              <w:rPr>
                <w:color w:val="000000" w:themeColor="text1"/>
                <w:sz w:val="20"/>
                <w:szCs w:val="20"/>
                <w:shd w:val="clear" w:color="auto" w:fill="FFFFFF"/>
              </w:rPr>
            </w:pPr>
          </w:p>
          <w:p w14:paraId="1B6D4C80"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 xml:space="preserve">Direktiva 2021/2101/EU je bila sprejeta kot odziv na pomisleke, ki so jih zainteresirane strani izrazile glede potrebe po odpravi izkrivljanj na notranjem trgu brez ogrožanja konkurenčnosti Evropske unije. Preglednost poslovanja gospodarskih družb je ključna za dobro delovanje notranjega trga. Obseg informacij, ki jih je treba razkriti v okviru </w:t>
            </w:r>
            <w:r>
              <w:rPr>
                <w:color w:val="000000" w:themeColor="text1"/>
                <w:sz w:val="20"/>
                <w:szCs w:val="20"/>
              </w:rPr>
              <w:t>navedene</w:t>
            </w:r>
            <w:r w:rsidRPr="00605612">
              <w:rPr>
                <w:color w:val="000000" w:themeColor="text1"/>
                <w:sz w:val="20"/>
                <w:szCs w:val="20"/>
              </w:rPr>
              <w:t xml:space="preserve"> direktive, je sorazmeren s ciljem okrepitve preglednosti poslovanja družb in okrepitve javnega nadzora nad njihovim poslovanjem. Direktiva 2021/2101/EU spoštuje temeljne pravice in upošteva načela, ki so posebej priznana v Listini Evropske unije o temeljnih pravicah.</w:t>
            </w:r>
          </w:p>
          <w:p w14:paraId="4B1C84CB"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201F45BA"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 xml:space="preserve">Za boljše delovanje notranjega trga je treba okrepiti javni nadzor nad davki od dohodkov pravnih oseb (zlasti) največjih skupin družb (multinacionalk), ki poslujejo v Evropski uniji, bodisi so tu ustanovljene bodisi imajo </w:t>
            </w:r>
            <w:r>
              <w:rPr>
                <w:color w:val="000000" w:themeColor="text1"/>
                <w:sz w:val="20"/>
                <w:szCs w:val="20"/>
              </w:rPr>
              <w:t>v</w:t>
            </w:r>
            <w:r w:rsidRPr="00605612">
              <w:rPr>
                <w:color w:val="000000" w:themeColor="text1"/>
                <w:sz w:val="20"/>
                <w:szCs w:val="20"/>
              </w:rPr>
              <w:t xml:space="preserve"> Evropsk</w:t>
            </w:r>
            <w:r>
              <w:rPr>
                <w:color w:val="000000" w:themeColor="text1"/>
                <w:sz w:val="20"/>
                <w:szCs w:val="20"/>
              </w:rPr>
              <w:t>i</w:t>
            </w:r>
            <w:r w:rsidRPr="00605612">
              <w:rPr>
                <w:color w:val="000000" w:themeColor="text1"/>
                <w:sz w:val="20"/>
                <w:szCs w:val="20"/>
              </w:rPr>
              <w:t xml:space="preserve"> unij</w:t>
            </w:r>
            <w:r>
              <w:rPr>
                <w:color w:val="000000" w:themeColor="text1"/>
                <w:sz w:val="20"/>
                <w:szCs w:val="20"/>
              </w:rPr>
              <w:t>i</w:t>
            </w:r>
            <w:r w:rsidRPr="00605612">
              <w:rPr>
                <w:color w:val="000000" w:themeColor="text1"/>
                <w:sz w:val="20"/>
                <w:szCs w:val="20"/>
              </w:rPr>
              <w:t xml:space="preserve"> ustanovljene odvisne družbe, povezane družbe ali podružnice. Večja preglednost in družbena odgovornost podjetij bo</w:t>
            </w:r>
            <w:r>
              <w:rPr>
                <w:color w:val="000000" w:themeColor="text1"/>
                <w:sz w:val="20"/>
                <w:szCs w:val="20"/>
              </w:rPr>
              <w:t>sta</w:t>
            </w:r>
            <w:r w:rsidRPr="00605612">
              <w:rPr>
                <w:color w:val="000000" w:themeColor="text1"/>
                <w:sz w:val="20"/>
                <w:szCs w:val="20"/>
              </w:rPr>
              <w:t xml:space="preserve"> prispeval</w:t>
            </w:r>
            <w:r>
              <w:rPr>
                <w:color w:val="000000" w:themeColor="text1"/>
                <w:sz w:val="20"/>
                <w:szCs w:val="20"/>
              </w:rPr>
              <w:t>i</w:t>
            </w:r>
            <w:r w:rsidRPr="00605612">
              <w:rPr>
                <w:color w:val="000000" w:themeColor="text1"/>
                <w:sz w:val="20"/>
                <w:szCs w:val="20"/>
              </w:rPr>
              <w:t xml:space="preserve"> k blaginji celotne družbe. Opredelitev skupnih pravil o preglednosti davka od dohodkov pravnih oseb je tudi v splošnem gospodarskem interesu, saj se s tem zagotovi</w:t>
            </w:r>
            <w:r>
              <w:rPr>
                <w:color w:val="000000" w:themeColor="text1"/>
                <w:sz w:val="20"/>
                <w:szCs w:val="20"/>
              </w:rPr>
              <w:t>jo</w:t>
            </w:r>
            <w:r w:rsidRPr="00605612">
              <w:rPr>
                <w:color w:val="000000" w:themeColor="text1"/>
                <w:sz w:val="20"/>
                <w:szCs w:val="20"/>
              </w:rPr>
              <w:t xml:space="preserve"> enakovredn</w:t>
            </w:r>
            <w:r>
              <w:rPr>
                <w:color w:val="000000" w:themeColor="text1"/>
                <w:sz w:val="20"/>
                <w:szCs w:val="20"/>
              </w:rPr>
              <w:t>i</w:t>
            </w:r>
            <w:r w:rsidRPr="00605612">
              <w:rPr>
                <w:color w:val="000000" w:themeColor="text1"/>
                <w:sz w:val="20"/>
                <w:szCs w:val="20"/>
              </w:rPr>
              <w:t xml:space="preserve"> zaščitn</w:t>
            </w:r>
            <w:r>
              <w:rPr>
                <w:color w:val="000000" w:themeColor="text1"/>
                <w:sz w:val="20"/>
                <w:szCs w:val="20"/>
              </w:rPr>
              <w:t>i</w:t>
            </w:r>
            <w:r w:rsidRPr="00605612">
              <w:rPr>
                <w:color w:val="000000" w:themeColor="text1"/>
                <w:sz w:val="20"/>
                <w:szCs w:val="20"/>
              </w:rPr>
              <w:t xml:space="preserve"> ukrep</w:t>
            </w:r>
            <w:r>
              <w:rPr>
                <w:color w:val="000000" w:themeColor="text1"/>
                <w:sz w:val="20"/>
                <w:szCs w:val="20"/>
              </w:rPr>
              <w:t>i</w:t>
            </w:r>
            <w:r w:rsidRPr="00605612">
              <w:rPr>
                <w:color w:val="000000" w:themeColor="text1"/>
                <w:sz w:val="20"/>
                <w:szCs w:val="20"/>
              </w:rPr>
              <w:t xml:space="preserve"> v vsej Evropski uniji za splošno zaščito vlagateljev, upnikov in drugih tretjih </w:t>
            </w:r>
            <w:r>
              <w:rPr>
                <w:color w:val="000000" w:themeColor="text1"/>
                <w:sz w:val="20"/>
                <w:szCs w:val="20"/>
              </w:rPr>
              <w:t>oseb</w:t>
            </w:r>
            <w:r w:rsidRPr="00605612">
              <w:rPr>
                <w:color w:val="000000" w:themeColor="text1"/>
                <w:sz w:val="20"/>
                <w:szCs w:val="20"/>
              </w:rPr>
              <w:t xml:space="preserve">, s tem pa </w:t>
            </w:r>
            <w:r>
              <w:rPr>
                <w:color w:val="000000" w:themeColor="text1"/>
                <w:sz w:val="20"/>
                <w:szCs w:val="20"/>
              </w:rPr>
              <w:t xml:space="preserve">se </w:t>
            </w:r>
            <w:r w:rsidRPr="00605612">
              <w:rPr>
                <w:color w:val="000000" w:themeColor="text1"/>
                <w:sz w:val="20"/>
                <w:szCs w:val="20"/>
              </w:rPr>
              <w:t>prispeva k ponovni pridobitvi zaupanja državljanov Evropske unije v pravičnost nacionalnih davčnih sistemov. Takšen javni nadzor je mogoče doseči s poročanjem o davčnih informacijah v zvezi z dohodki, ne glede na to, kje ima multinacionalka sedež.</w:t>
            </w:r>
          </w:p>
          <w:p w14:paraId="6AC2AC36"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495583EF"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r w:rsidRPr="00605612">
              <w:rPr>
                <w:color w:val="000000" w:themeColor="text1"/>
                <w:sz w:val="20"/>
                <w:szCs w:val="20"/>
                <w:u w:val="single"/>
              </w:rPr>
              <w:t>Direktiva 2022/2464/EU</w:t>
            </w:r>
          </w:p>
          <w:p w14:paraId="70B34C60"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p>
          <w:p w14:paraId="2985F5F0"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Kot že pojasnjeno</w:t>
            </w:r>
            <w:r>
              <w:rPr>
                <w:color w:val="000000" w:themeColor="text1"/>
                <w:sz w:val="20"/>
                <w:szCs w:val="20"/>
              </w:rPr>
              <w:t>,</w:t>
            </w:r>
            <w:r w:rsidRPr="00605612">
              <w:rPr>
                <w:color w:val="000000" w:themeColor="text1"/>
                <w:sz w:val="20"/>
                <w:szCs w:val="20"/>
              </w:rPr>
              <w:t xml:space="preserve"> predlog zakona posodablja </w:t>
            </w:r>
            <w:r>
              <w:rPr>
                <w:color w:val="000000" w:themeColor="text1"/>
                <w:sz w:val="20"/>
                <w:szCs w:val="20"/>
              </w:rPr>
              <w:t xml:space="preserve">tudi </w:t>
            </w:r>
            <w:r w:rsidRPr="00605612">
              <w:rPr>
                <w:color w:val="000000" w:themeColor="text1"/>
                <w:sz w:val="20"/>
                <w:szCs w:val="20"/>
              </w:rPr>
              <w:t xml:space="preserve">trenutno ureditev glede nefinančnega poročanja iz 70.c člena ZGD-1. Ta določa obveznost priprave izjave o nefinančnem poslovanju za vse družbe, ki so </w:t>
            </w:r>
            <w:r>
              <w:rPr>
                <w:color w:val="000000" w:themeColor="text1"/>
                <w:sz w:val="20"/>
                <w:szCs w:val="20"/>
              </w:rPr>
              <w:t>SJI</w:t>
            </w:r>
            <w:r w:rsidRPr="00605612">
              <w:rPr>
                <w:color w:val="000000" w:themeColor="text1"/>
                <w:sz w:val="20"/>
                <w:szCs w:val="20"/>
              </w:rPr>
              <w:t xml:space="preserve"> in katerih povprečno število zaposlenih je večje od 500, ter priprave konsolidirane izjave o nefinančnem poročanju za vse družbe, ki so zavezane k pripravi konsolidiranega letnega poročila in katerih povprečno število zaposlenih je na konsolidirani ravni večje od 500.</w:t>
            </w:r>
          </w:p>
          <w:p w14:paraId="1338C3CB"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03BC00CA"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 xml:space="preserve">Predlog zakona tako skladno z Direktivo 2022/2464/EU širi krog zavezancev za poročanje (ter spreminja obveznost priprave izjave o nefinančnem poslovanju v obveznost priprave poročila o trajnostnosti), širi obseg in vsebino informacij, </w:t>
            </w:r>
            <w:r>
              <w:rPr>
                <w:color w:val="000000" w:themeColor="text1"/>
                <w:sz w:val="20"/>
                <w:szCs w:val="20"/>
              </w:rPr>
              <w:t>o kateri je treba</w:t>
            </w:r>
            <w:r w:rsidRPr="00605612">
              <w:rPr>
                <w:color w:val="000000" w:themeColor="text1"/>
                <w:sz w:val="20"/>
                <w:szCs w:val="20"/>
              </w:rPr>
              <w:t xml:space="preserve"> poročati (z uvedbo enotnih standardov trajnostnega poročanja), določa objavo v</w:t>
            </w:r>
            <w:r w:rsidRPr="00605612" w:rsidDel="0009379F">
              <w:rPr>
                <w:color w:val="000000" w:themeColor="text1"/>
                <w:sz w:val="20"/>
                <w:szCs w:val="20"/>
              </w:rPr>
              <w:t xml:space="preserve"> </w:t>
            </w:r>
            <w:r w:rsidRPr="00605612">
              <w:rPr>
                <w:color w:val="000000" w:themeColor="text1"/>
                <w:sz w:val="20"/>
                <w:szCs w:val="20"/>
              </w:rPr>
              <w:t xml:space="preserve">enotni elektronski obliki </w:t>
            </w:r>
            <w:r>
              <w:rPr>
                <w:color w:val="000000" w:themeColor="text1"/>
                <w:sz w:val="20"/>
                <w:szCs w:val="20"/>
              </w:rPr>
              <w:t>v</w:t>
            </w:r>
            <w:r w:rsidRPr="00605612">
              <w:rPr>
                <w:color w:val="000000" w:themeColor="text1"/>
                <w:sz w:val="20"/>
                <w:szCs w:val="20"/>
              </w:rPr>
              <w:t xml:space="preserve"> poslovne</w:t>
            </w:r>
            <w:r>
              <w:rPr>
                <w:color w:val="000000" w:themeColor="text1"/>
                <w:sz w:val="20"/>
                <w:szCs w:val="20"/>
              </w:rPr>
              <w:t>m</w:t>
            </w:r>
            <w:r w:rsidRPr="00605612">
              <w:rPr>
                <w:color w:val="000000" w:themeColor="text1"/>
                <w:sz w:val="20"/>
                <w:szCs w:val="20"/>
              </w:rPr>
              <w:t xml:space="preserve"> poročil</w:t>
            </w:r>
            <w:r>
              <w:rPr>
                <w:color w:val="000000" w:themeColor="text1"/>
                <w:sz w:val="20"/>
                <w:szCs w:val="20"/>
              </w:rPr>
              <w:t>u</w:t>
            </w:r>
            <w:r w:rsidRPr="00605612">
              <w:rPr>
                <w:color w:val="000000" w:themeColor="text1"/>
                <w:sz w:val="20"/>
                <w:szCs w:val="20"/>
              </w:rPr>
              <w:t xml:space="preserve"> </w:t>
            </w:r>
            <w:r>
              <w:rPr>
                <w:color w:val="000000" w:themeColor="text1"/>
                <w:sz w:val="20"/>
                <w:szCs w:val="20"/>
              </w:rPr>
              <w:t>in</w:t>
            </w:r>
            <w:r w:rsidRPr="00605612">
              <w:rPr>
                <w:color w:val="000000" w:themeColor="text1"/>
                <w:sz w:val="20"/>
                <w:szCs w:val="20"/>
              </w:rPr>
              <w:t xml:space="preserve"> določa pomembnejšo vlogo zakonitih revizorjev pri dajanju zagotovil v zvezi s poročanjem o trajnostnosti.</w:t>
            </w:r>
          </w:p>
          <w:p w14:paraId="5E770824"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p>
          <w:p w14:paraId="17804737"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r w:rsidRPr="00605612">
              <w:rPr>
                <w:color w:val="000000" w:themeColor="text1"/>
                <w:sz w:val="20"/>
                <w:szCs w:val="20"/>
                <w:u w:val="single"/>
              </w:rPr>
              <w:t>Direktiva 2022/2381/EU</w:t>
            </w:r>
          </w:p>
          <w:p w14:paraId="2F38BF4E"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p>
          <w:p w14:paraId="2F0FE143" w14:textId="77777777" w:rsidR="000C08CA" w:rsidRPr="00605612" w:rsidRDefault="000C08CA" w:rsidP="00FE328D">
            <w:pPr>
              <w:pStyle w:val="Alineazaodstavkom"/>
              <w:numPr>
                <w:ilvl w:val="0"/>
                <w:numId w:val="0"/>
              </w:numPr>
              <w:spacing w:line="276" w:lineRule="auto"/>
              <w:rPr>
                <w:color w:val="000000" w:themeColor="text1"/>
                <w:sz w:val="20"/>
                <w:szCs w:val="20"/>
              </w:rPr>
            </w:pPr>
            <w:r w:rsidRPr="00605612">
              <w:rPr>
                <w:color w:val="000000" w:themeColor="text1"/>
                <w:sz w:val="20"/>
                <w:szCs w:val="20"/>
              </w:rPr>
              <w:t xml:space="preserve">Z zakonom se v nacionalno zakonodajo prenaša Direktiva 2022/2381/EU Evropskega parlamenta in Sveta z dne 23. novembra 2022 o zagotavljanju uravnotežene zastopanosti spolov med direktorji družb, ki kotirajo na borzi, in s tem povezanih ukrepih. </w:t>
            </w:r>
            <w:r w:rsidRPr="00605612">
              <w:rPr>
                <w:sz w:val="20"/>
                <w:szCs w:val="20"/>
              </w:rPr>
              <w:t>Pravna podlaga za spreje</w:t>
            </w:r>
            <w:r>
              <w:rPr>
                <w:sz w:val="20"/>
                <w:szCs w:val="20"/>
              </w:rPr>
              <w:t>tje</w:t>
            </w:r>
            <w:r w:rsidRPr="00605612">
              <w:rPr>
                <w:sz w:val="20"/>
                <w:szCs w:val="20"/>
              </w:rPr>
              <w:t xml:space="preserve"> Direktive 2022/2381/EU je tretji odstavek 157. člena PDEU, ki določa, da Evropski parlament in Svet sprejmeta ukrepe za zagotovitev uporabe načela enakih možnosti in enakega obravnavanja moških in žensk glede zaposlovanja in poklica, vključno z načelom enakega plačila za enako delo ali delo enake vrednosti. </w:t>
            </w:r>
          </w:p>
          <w:p w14:paraId="0F419D96" w14:textId="77777777" w:rsidR="000C08CA" w:rsidRPr="00605612" w:rsidRDefault="000C08CA" w:rsidP="00FE328D">
            <w:pPr>
              <w:spacing w:line="276" w:lineRule="auto"/>
              <w:rPr>
                <w:rFonts w:cs="Arial"/>
                <w:szCs w:val="20"/>
              </w:rPr>
            </w:pPr>
          </w:p>
          <w:p w14:paraId="63473997" w14:textId="77777777" w:rsidR="000C08CA" w:rsidRPr="00605612" w:rsidRDefault="000C08CA" w:rsidP="00FE328D">
            <w:pPr>
              <w:pStyle w:val="Alineazaodstavkom"/>
              <w:numPr>
                <w:ilvl w:val="0"/>
                <w:numId w:val="0"/>
              </w:numPr>
              <w:spacing w:line="276" w:lineRule="auto"/>
              <w:rPr>
                <w:sz w:val="20"/>
                <w:szCs w:val="20"/>
              </w:rPr>
            </w:pPr>
            <w:r w:rsidRPr="00605612">
              <w:rPr>
                <w:sz w:val="20"/>
                <w:szCs w:val="20"/>
              </w:rPr>
              <w:lastRenderedPageBreak/>
              <w:t xml:space="preserve">Po </w:t>
            </w:r>
            <w:r w:rsidRPr="00605612" w:rsidDel="00A8791D">
              <w:rPr>
                <w:sz w:val="20"/>
                <w:szCs w:val="20"/>
              </w:rPr>
              <w:t>ocenah</w:t>
            </w:r>
            <w:r w:rsidRPr="00605612">
              <w:rPr>
                <w:sz w:val="20"/>
                <w:szCs w:val="20"/>
              </w:rPr>
              <w:t xml:space="preserve"> </w:t>
            </w:r>
            <w:r>
              <w:rPr>
                <w:sz w:val="20"/>
                <w:szCs w:val="20"/>
              </w:rPr>
              <w:t>K</w:t>
            </w:r>
            <w:r w:rsidRPr="00605612">
              <w:rPr>
                <w:sz w:val="20"/>
                <w:szCs w:val="20"/>
              </w:rPr>
              <w:t xml:space="preserve">omisije bodo </w:t>
            </w:r>
            <w:r>
              <w:rPr>
                <w:sz w:val="20"/>
                <w:szCs w:val="20"/>
              </w:rPr>
              <w:t xml:space="preserve">zadevni </w:t>
            </w:r>
            <w:r w:rsidRPr="00605612">
              <w:rPr>
                <w:sz w:val="20"/>
                <w:szCs w:val="20"/>
              </w:rPr>
              <w:t xml:space="preserve">neenotni in razdrobljeni predpisi držav članic najverjetneje ustvarili praktične težave v zvezi z delovanjem notranjega trga. Razlike med predpisi držav članic, ki izhajajo iz nacionalnega prava družb, in razlike v sankcijah za neskladnosti z nacionalnimi zahtevami glede deleža </w:t>
            </w:r>
            <w:r w:rsidRPr="00A8791D">
              <w:rPr>
                <w:sz w:val="20"/>
                <w:szCs w:val="20"/>
              </w:rPr>
              <w:t>uravnotežen</w:t>
            </w:r>
            <w:r>
              <w:rPr>
                <w:sz w:val="20"/>
                <w:szCs w:val="20"/>
              </w:rPr>
              <w:t>e</w:t>
            </w:r>
            <w:r w:rsidRPr="00A8791D">
              <w:rPr>
                <w:sz w:val="20"/>
                <w:szCs w:val="20"/>
              </w:rPr>
              <w:t xml:space="preserve"> </w:t>
            </w:r>
            <w:r w:rsidRPr="00605612">
              <w:rPr>
                <w:sz w:val="20"/>
                <w:szCs w:val="20"/>
              </w:rPr>
              <w:t>zastopanosti spolov med osebami</w:t>
            </w:r>
            <w:r>
              <w:rPr>
                <w:sz w:val="20"/>
                <w:szCs w:val="20"/>
              </w:rPr>
              <w:t>,</w:t>
            </w:r>
            <w:r w:rsidRPr="00605612">
              <w:rPr>
                <w:sz w:val="20"/>
                <w:szCs w:val="20"/>
              </w:rPr>
              <w:t xml:space="preserve"> odgovornimi za nadzor in vodenje poslov družbe (na primer izključitev iz javnih naročil), bi lahko povzročile težave v poslovnem življenju in imele odvračilen učinek na čezmejne naložbe družb ter ustanavljanje njihovih podružnic v drugih državah članicah. </w:t>
            </w:r>
            <w:r>
              <w:rPr>
                <w:sz w:val="20"/>
                <w:szCs w:val="20"/>
              </w:rPr>
              <w:t>R</w:t>
            </w:r>
            <w:r w:rsidRPr="00605612">
              <w:rPr>
                <w:sz w:val="20"/>
                <w:szCs w:val="20"/>
              </w:rPr>
              <w:t xml:space="preserve">azlike v predpisih ali pomanjkanje predpisov oziroma minimalnih zahtev v zvezi z izbirnim postopkom za vodilna mesta v gospodarskih družbah ter učinek teh razlik na upravljanje družb in </w:t>
            </w:r>
            <w:r w:rsidRPr="00605612" w:rsidDel="00A8791D">
              <w:rPr>
                <w:sz w:val="20"/>
                <w:szCs w:val="20"/>
              </w:rPr>
              <w:t xml:space="preserve">oceno </w:t>
            </w:r>
            <w:r w:rsidRPr="00605612">
              <w:rPr>
                <w:sz w:val="20"/>
                <w:szCs w:val="20"/>
              </w:rPr>
              <w:t>upravljanja družb, ki jo izvedejo vlagatelji, bi lahko povzročili dodatne težave v delovanju notranjega trga.</w:t>
            </w:r>
          </w:p>
          <w:p w14:paraId="3E79353D" w14:textId="77777777" w:rsidR="000C08CA" w:rsidRPr="00605612" w:rsidRDefault="000C08CA" w:rsidP="00FE328D">
            <w:pPr>
              <w:pStyle w:val="Alineazaodstavkom"/>
              <w:numPr>
                <w:ilvl w:val="0"/>
                <w:numId w:val="0"/>
              </w:numPr>
              <w:spacing w:line="276" w:lineRule="auto"/>
              <w:ind w:left="360"/>
              <w:rPr>
                <w:sz w:val="20"/>
                <w:szCs w:val="20"/>
              </w:rPr>
            </w:pPr>
          </w:p>
          <w:p w14:paraId="4AFC47C4" w14:textId="77777777" w:rsidR="000C08CA" w:rsidRPr="00605612" w:rsidRDefault="000C08CA" w:rsidP="00FE328D">
            <w:pPr>
              <w:pStyle w:val="Alineazaodstavkom"/>
              <w:numPr>
                <w:ilvl w:val="0"/>
                <w:numId w:val="0"/>
              </w:numPr>
              <w:spacing w:line="276" w:lineRule="auto"/>
              <w:rPr>
                <w:sz w:val="20"/>
                <w:szCs w:val="20"/>
              </w:rPr>
            </w:pPr>
            <w:r w:rsidRPr="00605612">
              <w:rPr>
                <w:sz w:val="20"/>
                <w:szCs w:val="20"/>
              </w:rPr>
              <w:t>Polno izkoriščen kadrovski potencial sposobnih žensk, ki so najbolj usposobljene za vodilne položaje, bo doprinesel k potencialu za konkurenčnost in rast. To bo mogoče učinkoviteje uresničiti, če se za to zavzamejo vse države članice, zlasti države, v katerih je delež žensk med osebami</w:t>
            </w:r>
            <w:r>
              <w:rPr>
                <w:sz w:val="20"/>
                <w:szCs w:val="20"/>
              </w:rPr>
              <w:t>,</w:t>
            </w:r>
            <w:r w:rsidRPr="00605612">
              <w:rPr>
                <w:sz w:val="20"/>
                <w:szCs w:val="20"/>
              </w:rPr>
              <w:t xml:space="preserve"> odgovornimi za nadzor in vodenje poslov družbe</w:t>
            </w:r>
            <w:r>
              <w:rPr>
                <w:sz w:val="20"/>
                <w:szCs w:val="20"/>
              </w:rPr>
              <w:t>,</w:t>
            </w:r>
            <w:r w:rsidRPr="00605612">
              <w:rPr>
                <w:sz w:val="20"/>
                <w:szCs w:val="20"/>
              </w:rPr>
              <w:t xml:space="preserve"> majhen in ki niso sprejele niti ne načrtujejo nobenih ukrepov. Samo z ukrepom na ravni EU se lahko zagotovijo enaki konkurenčni pogoji po vsej</w:t>
            </w:r>
            <w:r>
              <w:rPr>
                <w:sz w:val="20"/>
                <w:szCs w:val="20"/>
              </w:rPr>
              <w:t xml:space="preserve"> Evropski</w:t>
            </w:r>
            <w:r w:rsidRPr="00605612">
              <w:rPr>
                <w:sz w:val="20"/>
                <w:szCs w:val="20"/>
              </w:rPr>
              <w:t xml:space="preserve"> </w:t>
            </w:r>
            <w:r>
              <w:rPr>
                <w:sz w:val="20"/>
                <w:szCs w:val="20"/>
              </w:rPr>
              <w:t>u</w:t>
            </w:r>
            <w:r w:rsidRPr="00605612">
              <w:rPr>
                <w:sz w:val="20"/>
                <w:szCs w:val="20"/>
              </w:rPr>
              <w:t xml:space="preserve">niji in </w:t>
            </w:r>
            <w:r>
              <w:rPr>
                <w:sz w:val="20"/>
                <w:szCs w:val="20"/>
              </w:rPr>
              <w:t xml:space="preserve">se </w:t>
            </w:r>
            <w:r w:rsidRPr="00605612">
              <w:rPr>
                <w:sz w:val="20"/>
                <w:szCs w:val="20"/>
              </w:rPr>
              <w:t>preprečijo praktične težave v poslovnem življenju. To je mogoče doseči z minimalno uskladitvijo zahtev za upravljanje družb glede odločitev v zvezi z imenovanjem, ki temeljijo na objektivnih merilih glede kvalifikacij, da bi dosegli uravnoteženo zastopanost spolov med osebami</w:t>
            </w:r>
            <w:r>
              <w:rPr>
                <w:sz w:val="20"/>
                <w:szCs w:val="20"/>
              </w:rPr>
              <w:t>,</w:t>
            </w:r>
            <w:r w:rsidRPr="00605612">
              <w:rPr>
                <w:sz w:val="20"/>
                <w:szCs w:val="20"/>
              </w:rPr>
              <w:t xml:space="preserve"> odgovornimi za vodenje in nadzor poslov družbe.</w:t>
            </w:r>
          </w:p>
          <w:p w14:paraId="4B5A058A"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57936915" w14:textId="77777777" w:rsidR="000C08CA" w:rsidRPr="002748E4" w:rsidRDefault="000C08CA" w:rsidP="00FE328D">
            <w:pPr>
              <w:pStyle w:val="Alineazaodstavkom"/>
              <w:numPr>
                <w:ilvl w:val="0"/>
                <w:numId w:val="0"/>
              </w:numPr>
              <w:spacing w:line="260" w:lineRule="exact"/>
              <w:rPr>
                <w:rFonts w:eastAsia="Arial"/>
                <w:color w:val="000000" w:themeColor="text1"/>
                <w:sz w:val="20"/>
                <w:szCs w:val="20"/>
                <w:u w:val="single"/>
              </w:rPr>
            </w:pPr>
            <w:r w:rsidRPr="002748E4">
              <w:rPr>
                <w:rFonts w:eastAsia="Arial"/>
                <w:color w:val="000000" w:themeColor="text1"/>
                <w:sz w:val="20"/>
                <w:szCs w:val="20"/>
                <w:u w:val="single"/>
              </w:rPr>
              <w:t>Direktiva 2023/2775/EU</w:t>
            </w:r>
          </w:p>
          <w:p w14:paraId="4D331E53" w14:textId="77777777" w:rsidR="000C08CA" w:rsidRDefault="000C08CA" w:rsidP="00FE328D">
            <w:pPr>
              <w:pStyle w:val="Alineazaodstavkom"/>
              <w:numPr>
                <w:ilvl w:val="0"/>
                <w:numId w:val="0"/>
              </w:numPr>
              <w:spacing w:line="260" w:lineRule="exact"/>
              <w:rPr>
                <w:rFonts w:eastAsia="Arial"/>
                <w:color w:val="000000" w:themeColor="text1"/>
                <w:sz w:val="20"/>
                <w:szCs w:val="20"/>
              </w:rPr>
            </w:pPr>
          </w:p>
          <w:p w14:paraId="3D1F2BDF" w14:textId="77777777" w:rsidR="000C08CA" w:rsidRDefault="000C08CA" w:rsidP="00FE328D">
            <w:pPr>
              <w:pStyle w:val="Alineazaodstavkom"/>
              <w:numPr>
                <w:ilvl w:val="0"/>
                <w:numId w:val="0"/>
              </w:numPr>
              <w:spacing w:line="260" w:lineRule="exact"/>
              <w:rPr>
                <w:rFonts w:eastAsia="Arial"/>
                <w:color w:val="000000" w:themeColor="text1"/>
                <w:sz w:val="20"/>
                <w:szCs w:val="20"/>
              </w:rPr>
            </w:pPr>
            <w:r w:rsidRPr="00743F56">
              <w:rPr>
                <w:rFonts w:eastAsia="Arial"/>
                <w:color w:val="000000" w:themeColor="text1"/>
                <w:sz w:val="20"/>
                <w:szCs w:val="20"/>
              </w:rPr>
              <w:t>Predlog zakona je prilagojen pravu EU. Z njim se v slovenski pravni red prenaša Direktiva</w:t>
            </w:r>
            <w:r w:rsidRPr="00A11C2A">
              <w:rPr>
                <w:rFonts w:eastAsia="Arial"/>
                <w:color w:val="000000" w:themeColor="text1"/>
                <w:sz w:val="20"/>
                <w:szCs w:val="20"/>
              </w:rPr>
              <w:t xml:space="preserve"> 2023/2775/EU, ki spreminja in dopolnjuje Direktivo 2013/34/EU</w:t>
            </w:r>
            <w:r>
              <w:rPr>
                <w:rFonts w:eastAsia="Arial"/>
                <w:color w:val="000000" w:themeColor="text1"/>
                <w:sz w:val="20"/>
                <w:szCs w:val="20"/>
              </w:rPr>
              <w:t>. S prenosom</w:t>
            </w:r>
            <w:r w:rsidRPr="000D36C8" w:rsidDel="00201E28">
              <w:rPr>
                <w:rFonts w:eastAsia="Arial"/>
                <w:color w:val="000000" w:themeColor="text1"/>
                <w:sz w:val="20"/>
                <w:szCs w:val="20"/>
              </w:rPr>
              <w:t xml:space="preserve"> </w:t>
            </w:r>
            <w:r w:rsidRPr="000D36C8">
              <w:rPr>
                <w:rFonts w:eastAsia="Arial"/>
                <w:color w:val="000000" w:themeColor="text1"/>
                <w:sz w:val="20"/>
                <w:szCs w:val="20"/>
              </w:rPr>
              <w:t>Direkti</w:t>
            </w:r>
            <w:r>
              <w:rPr>
                <w:rFonts w:eastAsia="Arial"/>
                <w:color w:val="000000" w:themeColor="text1"/>
                <w:sz w:val="20"/>
                <w:szCs w:val="20"/>
              </w:rPr>
              <w:t>ve</w:t>
            </w:r>
            <w:r w:rsidRPr="000D36C8">
              <w:rPr>
                <w:rFonts w:eastAsia="Arial"/>
                <w:color w:val="000000" w:themeColor="text1"/>
                <w:sz w:val="20"/>
                <w:szCs w:val="20"/>
              </w:rPr>
              <w:t xml:space="preserve"> 2023/2775/EU</w:t>
            </w:r>
            <w:r w:rsidRPr="00A11C2A">
              <w:rPr>
                <w:rFonts w:eastAsia="Arial"/>
                <w:color w:val="000000" w:themeColor="text1"/>
                <w:sz w:val="20"/>
                <w:szCs w:val="20"/>
              </w:rPr>
              <w:t xml:space="preserve"> se predlaga prilagoditev meril za določanje velikosti </w:t>
            </w:r>
            <w:r w:rsidRPr="005D2125">
              <w:rPr>
                <w:rFonts w:eastAsia="Arial"/>
                <w:color w:val="000000" w:themeColor="text1"/>
                <w:sz w:val="20"/>
                <w:szCs w:val="20"/>
              </w:rPr>
              <w:t>družb</w:t>
            </w:r>
            <w:r w:rsidRPr="00A11C2A">
              <w:rPr>
                <w:rFonts w:eastAsia="Arial"/>
                <w:color w:val="000000" w:themeColor="text1"/>
                <w:sz w:val="20"/>
                <w:szCs w:val="20"/>
              </w:rPr>
              <w:t xml:space="preserve"> zaradi inflacije v zadnjih letih.</w:t>
            </w:r>
            <w:r>
              <w:rPr>
                <w:rFonts w:eastAsia="Arial"/>
                <w:color w:val="000000" w:themeColor="text1"/>
                <w:sz w:val="20"/>
                <w:szCs w:val="20"/>
              </w:rPr>
              <w:t xml:space="preserve"> Merila</w:t>
            </w:r>
            <w:r w:rsidRPr="00A11C2A">
              <w:rPr>
                <w:rFonts w:eastAsia="Arial"/>
                <w:color w:val="000000" w:themeColor="text1"/>
                <w:sz w:val="20"/>
                <w:szCs w:val="20"/>
              </w:rPr>
              <w:t xml:space="preserve"> za razvrščanje družb med mikro, majhne, srednje in velike družbe, </w:t>
            </w:r>
            <w:r>
              <w:rPr>
                <w:rFonts w:eastAsia="Arial"/>
                <w:color w:val="000000" w:themeColor="text1"/>
                <w:sz w:val="20"/>
                <w:szCs w:val="20"/>
              </w:rPr>
              <w:t xml:space="preserve">so </w:t>
            </w:r>
            <w:r w:rsidRPr="00A11C2A">
              <w:rPr>
                <w:rFonts w:eastAsia="Arial"/>
                <w:color w:val="000000" w:themeColor="text1"/>
                <w:sz w:val="20"/>
                <w:szCs w:val="20"/>
              </w:rPr>
              <w:t>v nacionalni zakonodaji urejen</w:t>
            </w:r>
            <w:r>
              <w:rPr>
                <w:rFonts w:eastAsia="Arial"/>
                <w:color w:val="000000" w:themeColor="text1"/>
                <w:sz w:val="20"/>
                <w:szCs w:val="20"/>
              </w:rPr>
              <w:t>a</w:t>
            </w:r>
            <w:r w:rsidRPr="00A11C2A">
              <w:rPr>
                <w:rFonts w:eastAsia="Arial"/>
                <w:color w:val="000000" w:themeColor="text1"/>
                <w:sz w:val="20"/>
                <w:szCs w:val="20"/>
              </w:rPr>
              <w:t xml:space="preserve"> v 55. členu ZGD-1. Razvrstitev </w:t>
            </w:r>
            <w:r>
              <w:rPr>
                <w:rFonts w:eastAsia="Arial"/>
                <w:color w:val="000000" w:themeColor="text1"/>
                <w:sz w:val="20"/>
                <w:szCs w:val="20"/>
              </w:rPr>
              <w:t>družb</w:t>
            </w:r>
            <w:r w:rsidRPr="00A11C2A">
              <w:rPr>
                <w:rFonts w:eastAsia="Arial"/>
                <w:color w:val="000000" w:themeColor="text1"/>
                <w:sz w:val="20"/>
                <w:szCs w:val="20"/>
              </w:rPr>
              <w:t xml:space="preserve"> ali skupin med mikro, ma</w:t>
            </w:r>
            <w:r>
              <w:rPr>
                <w:rFonts w:eastAsia="Arial"/>
                <w:color w:val="000000" w:themeColor="text1"/>
                <w:sz w:val="20"/>
                <w:szCs w:val="20"/>
              </w:rPr>
              <w:t>jhne</w:t>
            </w:r>
            <w:r w:rsidRPr="00A11C2A">
              <w:rPr>
                <w:rFonts w:eastAsia="Arial"/>
                <w:color w:val="000000" w:themeColor="text1"/>
                <w:sz w:val="20"/>
                <w:szCs w:val="20"/>
              </w:rPr>
              <w:t>, srednj</w:t>
            </w:r>
            <w:r>
              <w:rPr>
                <w:rFonts w:eastAsia="Arial"/>
                <w:color w:val="000000" w:themeColor="text1"/>
                <w:sz w:val="20"/>
                <w:szCs w:val="20"/>
              </w:rPr>
              <w:t>e</w:t>
            </w:r>
            <w:r w:rsidRPr="00A11C2A">
              <w:rPr>
                <w:rFonts w:eastAsia="Arial"/>
                <w:color w:val="000000" w:themeColor="text1"/>
                <w:sz w:val="20"/>
                <w:szCs w:val="20"/>
              </w:rPr>
              <w:t xml:space="preserve"> ali velik</w:t>
            </w:r>
            <w:r>
              <w:rPr>
                <w:rFonts w:eastAsia="Arial"/>
                <w:color w:val="000000" w:themeColor="text1"/>
                <w:sz w:val="20"/>
                <w:szCs w:val="20"/>
              </w:rPr>
              <w:t>e</w:t>
            </w:r>
            <w:r w:rsidRPr="00A11C2A">
              <w:rPr>
                <w:rFonts w:eastAsia="Arial"/>
                <w:color w:val="000000" w:themeColor="text1"/>
                <w:sz w:val="20"/>
                <w:szCs w:val="20"/>
              </w:rPr>
              <w:t xml:space="preserve"> </w:t>
            </w:r>
            <w:r>
              <w:rPr>
                <w:rFonts w:eastAsia="Arial"/>
                <w:color w:val="000000" w:themeColor="text1"/>
                <w:sz w:val="20"/>
                <w:szCs w:val="20"/>
              </w:rPr>
              <w:t>družbe</w:t>
            </w:r>
            <w:r w:rsidRPr="00A11C2A">
              <w:rPr>
                <w:rFonts w:eastAsia="Arial"/>
                <w:color w:val="000000" w:themeColor="text1"/>
                <w:sz w:val="20"/>
                <w:szCs w:val="20"/>
              </w:rPr>
              <w:t xml:space="preserve"> ali skupine temelji na izpolnjevanju dveh od treh meril velikosti: vrednosti aktive in čist</w:t>
            </w:r>
            <w:r>
              <w:rPr>
                <w:rFonts w:eastAsia="Arial"/>
                <w:color w:val="000000" w:themeColor="text1"/>
                <w:sz w:val="20"/>
                <w:szCs w:val="20"/>
              </w:rPr>
              <w:t>ih</w:t>
            </w:r>
            <w:r w:rsidRPr="00A11C2A">
              <w:rPr>
                <w:rFonts w:eastAsia="Arial"/>
                <w:color w:val="000000" w:themeColor="text1"/>
                <w:sz w:val="20"/>
                <w:szCs w:val="20"/>
              </w:rPr>
              <w:t xml:space="preserve"> prihodk</w:t>
            </w:r>
            <w:r>
              <w:rPr>
                <w:rFonts w:eastAsia="Arial"/>
                <w:color w:val="000000" w:themeColor="text1"/>
                <w:sz w:val="20"/>
                <w:szCs w:val="20"/>
              </w:rPr>
              <w:t>ov</w:t>
            </w:r>
            <w:r w:rsidRPr="00A11C2A">
              <w:rPr>
                <w:rFonts w:eastAsia="Arial"/>
                <w:color w:val="000000" w:themeColor="text1"/>
                <w:sz w:val="20"/>
                <w:szCs w:val="20"/>
              </w:rPr>
              <w:t xml:space="preserve"> od prodaje ter povprečnega števila zaposlenih v poslovnem letu.</w:t>
            </w:r>
            <w:r>
              <w:rPr>
                <w:rFonts w:eastAsia="Arial"/>
                <w:color w:val="000000" w:themeColor="text1"/>
                <w:sz w:val="20"/>
                <w:szCs w:val="20"/>
              </w:rPr>
              <w:t xml:space="preserve"> </w:t>
            </w:r>
            <w:r w:rsidRPr="00A11C2A">
              <w:rPr>
                <w:rFonts w:eastAsia="Arial"/>
                <w:color w:val="000000" w:themeColor="text1"/>
                <w:sz w:val="20"/>
                <w:szCs w:val="20"/>
              </w:rPr>
              <w:t xml:space="preserve">Namen delegirane direktive je, da se </w:t>
            </w:r>
            <w:r>
              <w:rPr>
                <w:rFonts w:eastAsia="Arial"/>
                <w:color w:val="000000" w:themeColor="text1"/>
                <w:sz w:val="20"/>
                <w:szCs w:val="20"/>
              </w:rPr>
              <w:t>z zvišanjem</w:t>
            </w:r>
            <w:r w:rsidRPr="00A11C2A">
              <w:rPr>
                <w:rFonts w:eastAsia="Arial"/>
                <w:color w:val="000000" w:themeColor="text1"/>
                <w:sz w:val="20"/>
                <w:szCs w:val="20"/>
              </w:rPr>
              <w:t xml:space="preserve"> meril za določitev velikosti družb zmanjša področje uporabe glede priprave, revizije in objave računovodskih in trajnostnih poročil ter </w:t>
            </w:r>
            <w:r>
              <w:rPr>
                <w:rFonts w:eastAsia="Arial"/>
                <w:color w:val="000000" w:themeColor="text1"/>
                <w:sz w:val="20"/>
                <w:szCs w:val="20"/>
              </w:rPr>
              <w:t xml:space="preserve">se </w:t>
            </w:r>
            <w:r w:rsidRPr="00A11C2A">
              <w:rPr>
                <w:rFonts w:eastAsia="Arial"/>
                <w:color w:val="000000" w:themeColor="text1"/>
                <w:sz w:val="20"/>
                <w:szCs w:val="20"/>
              </w:rPr>
              <w:t>zmanjša število družb, ki bodo morale poročati, kar bo pozitivno vplivalo nanj</w:t>
            </w:r>
            <w:r>
              <w:rPr>
                <w:rFonts w:eastAsia="Arial"/>
                <w:color w:val="000000" w:themeColor="text1"/>
                <w:sz w:val="20"/>
                <w:szCs w:val="20"/>
              </w:rPr>
              <w:t>e</w:t>
            </w:r>
            <w:r w:rsidRPr="00A11C2A">
              <w:rPr>
                <w:rFonts w:eastAsia="Arial"/>
                <w:color w:val="000000" w:themeColor="text1"/>
                <w:sz w:val="20"/>
                <w:szCs w:val="20"/>
              </w:rPr>
              <w:t xml:space="preserve"> z vidika zmanjšanja bremen in stroškov.</w:t>
            </w:r>
          </w:p>
          <w:p w14:paraId="6FE2DC0E" w14:textId="77777777" w:rsidR="000C08CA" w:rsidRPr="00605612" w:rsidRDefault="000C08CA" w:rsidP="00FE328D">
            <w:pPr>
              <w:pStyle w:val="Alineazaodstavkom"/>
              <w:numPr>
                <w:ilvl w:val="0"/>
                <w:numId w:val="0"/>
              </w:numPr>
              <w:spacing w:line="260" w:lineRule="exact"/>
              <w:rPr>
                <w:b/>
                <w:color w:val="000000" w:themeColor="text1"/>
                <w:sz w:val="20"/>
                <w:szCs w:val="20"/>
              </w:rPr>
            </w:pPr>
          </w:p>
          <w:p w14:paraId="6D210151" w14:textId="77777777" w:rsidR="000C08CA" w:rsidRPr="00605612" w:rsidRDefault="000C08CA" w:rsidP="00FE328D">
            <w:pPr>
              <w:pStyle w:val="Alineazaodstavkom"/>
              <w:numPr>
                <w:ilvl w:val="0"/>
                <w:numId w:val="2"/>
              </w:numPr>
              <w:spacing w:line="260" w:lineRule="exact"/>
              <w:ind w:left="709" w:hanging="284"/>
              <w:rPr>
                <w:color w:val="000000" w:themeColor="text1"/>
                <w:sz w:val="20"/>
                <w:szCs w:val="20"/>
                <w:u w:val="single"/>
              </w:rPr>
            </w:pPr>
            <w:r w:rsidRPr="00605612">
              <w:rPr>
                <w:color w:val="000000" w:themeColor="text1"/>
                <w:sz w:val="20"/>
                <w:szCs w:val="20"/>
                <w:u w:val="single"/>
              </w:rPr>
              <w:t>prikaz ureditve v najmanj treh pravnih sistemih držav članic EU</w:t>
            </w:r>
          </w:p>
          <w:p w14:paraId="263C6090"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75512995"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r w:rsidRPr="00605612">
              <w:rPr>
                <w:color w:val="000000" w:themeColor="text1"/>
                <w:sz w:val="20"/>
                <w:szCs w:val="20"/>
                <w:u w:val="single"/>
              </w:rPr>
              <w:t>Ureditve</w:t>
            </w:r>
            <w:r>
              <w:rPr>
                <w:color w:val="000000" w:themeColor="text1"/>
                <w:sz w:val="20"/>
                <w:szCs w:val="20"/>
                <w:u w:val="single"/>
              </w:rPr>
              <w:t>,</w:t>
            </w:r>
            <w:r w:rsidRPr="00605612">
              <w:rPr>
                <w:color w:val="000000" w:themeColor="text1"/>
                <w:sz w:val="20"/>
                <w:szCs w:val="20"/>
                <w:u w:val="single"/>
              </w:rPr>
              <w:t xml:space="preserve"> usklajene z Direktivo 2021/2101/EU:</w:t>
            </w:r>
          </w:p>
          <w:p w14:paraId="45B53EF3" w14:textId="77777777" w:rsidR="000C08CA" w:rsidRPr="00605612" w:rsidRDefault="000C08CA" w:rsidP="00FE328D">
            <w:pPr>
              <w:pStyle w:val="Alineazaodstavkom"/>
              <w:numPr>
                <w:ilvl w:val="0"/>
                <w:numId w:val="0"/>
              </w:numPr>
              <w:spacing w:line="260" w:lineRule="exact"/>
              <w:rPr>
                <w:b/>
                <w:color w:val="000000" w:themeColor="text1"/>
                <w:sz w:val="20"/>
                <w:szCs w:val="20"/>
              </w:rPr>
            </w:pPr>
          </w:p>
          <w:p w14:paraId="553CDA00" w14:textId="77777777" w:rsidR="000C08CA" w:rsidRPr="00605612" w:rsidRDefault="000C08CA" w:rsidP="00FE328D">
            <w:pPr>
              <w:jc w:val="both"/>
              <w:rPr>
                <w:rFonts w:cs="Arial"/>
                <w:b/>
                <w:bCs/>
                <w:szCs w:val="20"/>
              </w:rPr>
            </w:pPr>
            <w:r w:rsidRPr="00605612">
              <w:rPr>
                <w:rFonts w:cs="Arial"/>
                <w:b/>
                <w:bCs/>
                <w:szCs w:val="20"/>
              </w:rPr>
              <w:t>Republika Irska</w:t>
            </w:r>
          </w:p>
          <w:p w14:paraId="1A841728" w14:textId="77777777" w:rsidR="000C08CA" w:rsidRPr="00605612" w:rsidRDefault="000C08CA" w:rsidP="00FE328D">
            <w:pPr>
              <w:jc w:val="both"/>
              <w:rPr>
                <w:rFonts w:cs="Arial"/>
                <w:szCs w:val="20"/>
              </w:rPr>
            </w:pPr>
          </w:p>
          <w:p w14:paraId="5879153F" w14:textId="77777777" w:rsidR="000C08CA" w:rsidRPr="00605612" w:rsidRDefault="000C08CA" w:rsidP="00FE328D">
            <w:pPr>
              <w:jc w:val="both"/>
              <w:rPr>
                <w:rFonts w:cs="Arial"/>
                <w:szCs w:val="20"/>
              </w:rPr>
            </w:pPr>
            <w:r w:rsidRPr="00605612">
              <w:rPr>
                <w:rFonts w:cs="Arial"/>
                <w:szCs w:val="20"/>
              </w:rPr>
              <w:t>Republika Irska je Direktivo</w:t>
            </w:r>
            <w:r w:rsidRPr="00605612" w:rsidDel="00201E28">
              <w:rPr>
                <w:rFonts w:cs="Arial"/>
                <w:szCs w:val="20"/>
              </w:rPr>
              <w:t xml:space="preserve"> </w:t>
            </w:r>
            <w:r w:rsidRPr="00605612">
              <w:rPr>
                <w:rFonts w:cs="Arial"/>
                <w:szCs w:val="20"/>
              </w:rPr>
              <w:t>2021/2101</w:t>
            </w:r>
            <w:r>
              <w:rPr>
                <w:rFonts w:cs="Arial"/>
                <w:szCs w:val="20"/>
              </w:rPr>
              <w:t>/EU</w:t>
            </w:r>
            <w:r w:rsidRPr="00605612">
              <w:rPr>
                <w:rFonts w:cs="Arial"/>
                <w:szCs w:val="20"/>
              </w:rPr>
              <w:t xml:space="preserve"> prenesla s splošnim pravnim aktom o razkritju davčnih informacij v zvezi z dohodki nekaterih podjetij in podružnic (Statutory Instruments, S.I. No. 322 of 2023, European Union (Disclosure Of Income Tax Information By Certain Undertakings And Branches) Regulations 2023). Družbe morajo objaviti poročilo o davčnih informacijah v zvezi z dohodki, kadar čisti prihodk</w:t>
            </w:r>
            <w:r>
              <w:rPr>
                <w:rFonts w:cs="Arial"/>
                <w:szCs w:val="20"/>
              </w:rPr>
              <w:t>i</w:t>
            </w:r>
            <w:r w:rsidRPr="00605612">
              <w:rPr>
                <w:rFonts w:cs="Arial"/>
                <w:szCs w:val="20"/>
              </w:rPr>
              <w:t xml:space="preserve"> na dan njihove bilance stanja za vsako od zadnjih dveh zaporednih poslovnih let presega skupno 750 milijonov </w:t>
            </w:r>
            <w:r>
              <w:rPr>
                <w:rFonts w:cs="Arial"/>
                <w:szCs w:val="20"/>
              </w:rPr>
              <w:t>EUR</w:t>
            </w:r>
            <w:r w:rsidRPr="00605612">
              <w:rPr>
                <w:rFonts w:cs="Arial"/>
                <w:szCs w:val="20"/>
              </w:rPr>
              <w:t xml:space="preserve">. Srednje in velike družbe s sedežem v EU, ki so odvisne od končne obvladujoče družbe s sedežem </w:t>
            </w:r>
            <w:r>
              <w:rPr>
                <w:rFonts w:cs="Arial"/>
                <w:szCs w:val="20"/>
              </w:rPr>
              <w:t>zunaj</w:t>
            </w:r>
            <w:r w:rsidRPr="00605612">
              <w:rPr>
                <w:rFonts w:cs="Arial"/>
                <w:szCs w:val="20"/>
              </w:rPr>
              <w:t xml:space="preserve"> EU</w:t>
            </w:r>
            <w:r>
              <w:rPr>
                <w:rFonts w:cs="Arial"/>
                <w:szCs w:val="20"/>
              </w:rPr>
              <w:t>,</w:t>
            </w:r>
            <w:r w:rsidRPr="00605612">
              <w:rPr>
                <w:rFonts w:cs="Arial"/>
                <w:szCs w:val="20"/>
              </w:rPr>
              <w:t xml:space="preserve"> morajo objaviti poročilo o davčnih informacijah v zvezi z dohodki obvladujoče družbe. Odvisnim družbam ali podružnicam s sedežem v EU ne bo treba objaviti poročila, če končna obvladujoča ali samostojna družba s sedežem </w:t>
            </w:r>
            <w:r>
              <w:rPr>
                <w:rFonts w:cs="Arial"/>
                <w:szCs w:val="20"/>
              </w:rPr>
              <w:t>zunaj</w:t>
            </w:r>
            <w:r w:rsidRPr="00605612">
              <w:rPr>
                <w:rFonts w:cs="Arial"/>
                <w:szCs w:val="20"/>
              </w:rPr>
              <w:t xml:space="preserve"> EU objavi poročilo o davčnih informacijah v zvezi z dohodki na svojem spletnem mestu v 12 mesecih od bilance stanja poslovnega leta, za katero je poročilo pripravljeno. Kadar informacije niso na voljo, odvisna družba ali podružnica zahteva informacije od končne obvladujoče ali samostojne družbe. Če podatki niso predloženi, mora odvisna družba ali podružnica objaviti poročilo z vsemi davčnimi </w:t>
            </w:r>
            <w:r w:rsidRPr="00605612">
              <w:rPr>
                <w:rFonts w:cs="Arial"/>
                <w:szCs w:val="20"/>
              </w:rPr>
              <w:lastRenderedPageBreak/>
              <w:t>informacijami v zvezi z dohodki, s katerimi razpolaga, in izjavo, da končna obvladujoča ali samostojna družba ni dal</w:t>
            </w:r>
            <w:r>
              <w:rPr>
                <w:rFonts w:cs="Arial"/>
                <w:szCs w:val="20"/>
              </w:rPr>
              <w:t>a</w:t>
            </w:r>
            <w:r w:rsidRPr="00605612">
              <w:rPr>
                <w:rFonts w:cs="Arial"/>
                <w:szCs w:val="20"/>
              </w:rPr>
              <w:t xml:space="preserve"> na voljo potrebnih informacij. Obveznosti poročanja ne veljajo za podružnice, v katerih čisti prihodek od prodaje v zadnjih dveh zaporednih poslovnih letih ni presegel 12.000.000 </w:t>
            </w:r>
            <w:r>
              <w:rPr>
                <w:rFonts w:cs="Arial"/>
                <w:szCs w:val="20"/>
              </w:rPr>
              <w:t>EUR</w:t>
            </w:r>
            <w:r w:rsidRPr="00605612">
              <w:rPr>
                <w:rFonts w:cs="Arial"/>
                <w:szCs w:val="20"/>
              </w:rPr>
              <w:t xml:space="preserve">. Vsebina poročila o davčnih informacijah v zvezi z dohodki mora vključevati seznam vseh odvisnih družb s kratkim opisom narave njihovih dejavnosti, </w:t>
            </w:r>
            <w:r>
              <w:rPr>
                <w:rFonts w:cs="Arial"/>
                <w:szCs w:val="20"/>
              </w:rPr>
              <w:t xml:space="preserve">navedbo </w:t>
            </w:r>
            <w:r w:rsidRPr="00605612">
              <w:rPr>
                <w:rFonts w:cs="Arial"/>
                <w:szCs w:val="20"/>
              </w:rPr>
              <w:t>števila zaposlenih in prihodkov, ki so vsota čist</w:t>
            </w:r>
            <w:r>
              <w:rPr>
                <w:rFonts w:cs="Arial"/>
                <w:szCs w:val="20"/>
              </w:rPr>
              <w:t>ih</w:t>
            </w:r>
            <w:r w:rsidRPr="00605612">
              <w:rPr>
                <w:rFonts w:cs="Arial"/>
                <w:szCs w:val="20"/>
              </w:rPr>
              <w:t xml:space="preserve"> prihodk</w:t>
            </w:r>
            <w:r>
              <w:rPr>
                <w:rFonts w:cs="Arial"/>
                <w:szCs w:val="20"/>
              </w:rPr>
              <w:t>ov</w:t>
            </w:r>
            <w:r w:rsidRPr="00605612">
              <w:rPr>
                <w:rFonts w:cs="Arial"/>
                <w:szCs w:val="20"/>
              </w:rPr>
              <w:t xml:space="preserve"> skupaj z dohodki iz drugih naložb in deležev. Družbe so izvzete iz obveznosti poročanja, kadar bi razkritje nekaterih informacij resno škodovalo </w:t>
            </w:r>
            <w:r>
              <w:rPr>
                <w:rFonts w:cs="Arial"/>
                <w:szCs w:val="20"/>
              </w:rPr>
              <w:t xml:space="preserve">njihovemu </w:t>
            </w:r>
            <w:r w:rsidRPr="00605612">
              <w:rPr>
                <w:rFonts w:cs="Arial"/>
                <w:szCs w:val="20"/>
              </w:rPr>
              <w:t>poslovnemu položaju. Opuščene informacije je treba objaviti v poznejšem poročilu o davčnih informacijah v zvezi z dohodki pet let od datuma njihove prvotne opustitve. Informacije, ki se nanašajo na jurisdikcije, ki niso pripravljene sodelovati z EU v davčne namene, se nikoli ne smejo izpustiti. Družbe torej javno razkrijejo informacije o davku od dohodkov pravnih oseb ločeno za vsako državo članico</w:t>
            </w:r>
            <w:r>
              <w:rPr>
                <w:rFonts w:cs="Arial"/>
                <w:szCs w:val="20"/>
              </w:rPr>
              <w:t xml:space="preserve"> EU</w:t>
            </w:r>
            <w:r w:rsidRPr="00605612">
              <w:rPr>
                <w:rFonts w:cs="Arial"/>
                <w:szCs w:val="20"/>
              </w:rPr>
              <w:t xml:space="preserve"> in vsako tretjo državo na seznamu EU z jurisdikcijami, ki niso pripravljene sodelovati v davčne namene, ter skupni znesek za vse druge tretje države. Poročilo o davčnih informacijah v zvezi z dohodki mora biti objavljeno v 12 mesecih po datumu bilance stanja poslovnega leta, za katero je poročilo objavljeno na spletnem mestu družbe. Družbe so izvzete iz uporabe pravil, če je poročilo brezplačno dostopno javnosti na spletnem mestu sodnega registra. Spletno mesto zadevne družbe mora vsebovati informacije o tem izvzetju in sklic na spletno mesto zadevnega sodnega registra. Družba mora poročilo o davčnih informacijah v zvezi z dohodki objaviti na svojem spletnem mestu, razen če ga da na voljo javnosti na spletnem mestu organ</w:t>
            </w:r>
            <w:r>
              <w:rPr>
                <w:rFonts w:cs="Arial"/>
                <w:szCs w:val="20"/>
              </w:rPr>
              <w:t>a,</w:t>
            </w:r>
            <w:r w:rsidRPr="00605612">
              <w:rPr>
                <w:rFonts w:cs="Arial"/>
                <w:szCs w:val="20"/>
              </w:rPr>
              <w:t xml:space="preserve"> pristojne</w:t>
            </w:r>
            <w:r>
              <w:rPr>
                <w:rFonts w:cs="Arial"/>
                <w:szCs w:val="20"/>
              </w:rPr>
              <w:t>ga</w:t>
            </w:r>
            <w:r w:rsidRPr="00605612">
              <w:rPr>
                <w:rFonts w:cs="Arial"/>
                <w:szCs w:val="20"/>
              </w:rPr>
              <w:t xml:space="preserve"> za register gospodarskih družb (Companies Registration Office). Kadar je treba računovodske izkaze družbe revidirati, mora biti v revizijskem poročilu navedeno, ali je morala družba pripraviti poročilo o davčnih informacijah za leto pred poslovnim letom, za katero je bilo pripravljeno revizijsko poročilo, in če, ali je bilo poročilo objavljeno. Člani upravnih, poslovodnih in nadzornih organov družbe so skupno odgovorni za zagotavljanje, da se poročilo o davčnih informacijah v zvezi z dohodki pripravi</w:t>
            </w:r>
            <w:r>
              <w:rPr>
                <w:rFonts w:cs="Arial"/>
                <w:szCs w:val="20"/>
              </w:rPr>
              <w:t xml:space="preserve"> in</w:t>
            </w:r>
            <w:r w:rsidRPr="00605612">
              <w:rPr>
                <w:rFonts w:cs="Arial"/>
                <w:szCs w:val="20"/>
              </w:rPr>
              <w:t xml:space="preserve"> objavi </w:t>
            </w:r>
            <w:r>
              <w:rPr>
                <w:rFonts w:cs="Arial"/>
                <w:szCs w:val="20"/>
              </w:rPr>
              <w:t>ter</w:t>
            </w:r>
            <w:r w:rsidRPr="00605612">
              <w:rPr>
                <w:rFonts w:cs="Arial"/>
                <w:szCs w:val="20"/>
              </w:rPr>
              <w:t xml:space="preserve"> da se omogoči dostop do njega javnosti. To vključuje pooblaščene osebe v podružnicah in komplementarje partnerstev. Oseba, ki ne ravna v skladu s temi pravili, je odgovorna za prekršek </w:t>
            </w:r>
            <w:r>
              <w:rPr>
                <w:rFonts w:cs="Arial"/>
                <w:szCs w:val="20"/>
              </w:rPr>
              <w:t>tretje</w:t>
            </w:r>
            <w:r w:rsidRPr="00605612">
              <w:rPr>
                <w:rFonts w:cs="Arial"/>
                <w:szCs w:val="20"/>
              </w:rPr>
              <w:t xml:space="preserve"> kategorije. Pravila so začela veljati 22. junija 2023 in se uporabljajo za prvo poslovno leto </w:t>
            </w:r>
            <w:r>
              <w:rPr>
                <w:rFonts w:cs="Arial"/>
                <w:szCs w:val="20"/>
              </w:rPr>
              <w:t>od</w:t>
            </w:r>
            <w:r w:rsidRPr="00605612">
              <w:rPr>
                <w:rFonts w:cs="Arial"/>
                <w:szCs w:val="20"/>
              </w:rPr>
              <w:t xml:space="preserve"> 22. junij</w:t>
            </w:r>
            <w:r>
              <w:rPr>
                <w:rFonts w:cs="Arial"/>
                <w:szCs w:val="20"/>
              </w:rPr>
              <w:t>a</w:t>
            </w:r>
            <w:r w:rsidRPr="00605612">
              <w:rPr>
                <w:rFonts w:cs="Arial"/>
                <w:szCs w:val="20"/>
              </w:rPr>
              <w:t xml:space="preserve"> 2024 ali pozneje, leto 2025 pa je prvo potencialno leto poročanja, za katero bo poročil</w:t>
            </w:r>
            <w:r>
              <w:rPr>
                <w:rFonts w:cs="Arial"/>
                <w:szCs w:val="20"/>
              </w:rPr>
              <w:t>o</w:t>
            </w:r>
            <w:r w:rsidRPr="00605612">
              <w:rPr>
                <w:rFonts w:cs="Arial"/>
                <w:szCs w:val="20"/>
              </w:rPr>
              <w:t xml:space="preserve"> o davčnih informacijah v zvezi z dohodki objavljeno leta 2026.</w:t>
            </w:r>
          </w:p>
          <w:p w14:paraId="3831092C" w14:textId="77777777" w:rsidR="000C08CA" w:rsidRPr="00605612" w:rsidRDefault="000C08CA" w:rsidP="00FE328D">
            <w:pPr>
              <w:jc w:val="both"/>
              <w:rPr>
                <w:rFonts w:cs="Arial"/>
                <w:szCs w:val="20"/>
              </w:rPr>
            </w:pPr>
          </w:p>
          <w:p w14:paraId="4C39BD6B" w14:textId="77777777" w:rsidR="000C08CA" w:rsidRPr="00605612" w:rsidRDefault="000C08CA" w:rsidP="00FE328D">
            <w:pPr>
              <w:jc w:val="both"/>
              <w:rPr>
                <w:rFonts w:cs="Arial"/>
                <w:b/>
                <w:bCs/>
                <w:szCs w:val="20"/>
              </w:rPr>
            </w:pPr>
            <w:r w:rsidRPr="00605612">
              <w:rPr>
                <w:rFonts w:cs="Arial"/>
                <w:b/>
                <w:bCs/>
                <w:szCs w:val="20"/>
              </w:rPr>
              <w:t>Zvezna republika Nemčija</w:t>
            </w:r>
          </w:p>
          <w:p w14:paraId="5E2482F1" w14:textId="77777777" w:rsidR="000C08CA" w:rsidRPr="00605612" w:rsidRDefault="000C08CA" w:rsidP="00FE328D">
            <w:pPr>
              <w:jc w:val="both"/>
              <w:rPr>
                <w:rFonts w:cs="Arial"/>
                <w:szCs w:val="20"/>
              </w:rPr>
            </w:pPr>
          </w:p>
          <w:p w14:paraId="39C045EC" w14:textId="260EA91F" w:rsidR="000C08CA" w:rsidRPr="00605612" w:rsidRDefault="000C08CA" w:rsidP="00FE328D">
            <w:pPr>
              <w:jc w:val="both"/>
              <w:rPr>
                <w:rFonts w:cs="Arial"/>
                <w:szCs w:val="20"/>
              </w:rPr>
            </w:pPr>
            <w:r w:rsidRPr="00605612">
              <w:rPr>
                <w:rFonts w:cs="Arial"/>
                <w:szCs w:val="20"/>
              </w:rPr>
              <w:t>Zvezna republika Nemčija je Direktivo 2021/2101</w:t>
            </w:r>
            <w:r>
              <w:rPr>
                <w:rFonts w:cs="Arial"/>
                <w:szCs w:val="20"/>
              </w:rPr>
              <w:t>/EU</w:t>
            </w:r>
            <w:r w:rsidRPr="00605612">
              <w:rPr>
                <w:rFonts w:cs="Arial"/>
                <w:szCs w:val="20"/>
              </w:rPr>
              <w:t xml:space="preserve"> prenesla z </w:t>
            </w:r>
            <w:r>
              <w:rPr>
                <w:rFonts w:cs="Arial"/>
                <w:szCs w:val="20"/>
              </w:rPr>
              <w:t>z</w:t>
            </w:r>
            <w:r w:rsidRPr="00605612">
              <w:rPr>
                <w:rFonts w:cs="Arial"/>
                <w:szCs w:val="20"/>
              </w:rPr>
              <w:t>akonom o</w:t>
            </w:r>
            <w:r w:rsidRPr="00605612" w:rsidDel="00201E28">
              <w:rPr>
                <w:rFonts w:cs="Arial"/>
                <w:szCs w:val="20"/>
              </w:rPr>
              <w:t xml:space="preserve"> </w:t>
            </w:r>
            <w:r>
              <w:rPr>
                <w:rFonts w:cs="Arial"/>
                <w:szCs w:val="20"/>
              </w:rPr>
              <w:t>prenosu</w:t>
            </w:r>
            <w:r w:rsidRPr="00605612">
              <w:rPr>
                <w:rFonts w:cs="Arial"/>
                <w:szCs w:val="20"/>
              </w:rPr>
              <w:t xml:space="preserve"> Direktive (EU) 2021/2101 v zvezi z razkritjem podatkov o davčnih informacijah v zvezi z dohodki nekaterih podjetij in podružnic ter o spremembi zakona o reševanju potrošniških sporov in zakona o obveznem zavarovanju (</w:t>
            </w:r>
            <w:r w:rsidRPr="00605612">
              <w:rPr>
                <w:rFonts w:cs="Arial"/>
                <w:szCs w:val="20"/>
                <w:lang w:val="de-DE"/>
              </w:rPr>
              <w:t>Gesetz zur Umsetzung der Richtlinie (EU) 2021/2101 im Hinblick auf die Offenlegung von Ertragsteuerinformationen durch bestimmte Unternehmen und Zweigniederlassungen sowie zur Änderung des Verbraucherstreitbeilegungsgesetzes und des Pflichtversicherungsgesetzes</w:t>
            </w:r>
            <w:r w:rsidRPr="00605612">
              <w:rPr>
                <w:rFonts w:cs="Arial"/>
                <w:szCs w:val="20"/>
              </w:rPr>
              <w:t xml:space="preserve">), s katerim se spreminja zakon, ki ureja računovodstvo. Nepovezane družbe ali osebne družbe s sedežem v Nemčiji in končne obvladujoče družbe s sedežem v Nemčiji morajo pripraviti poročilo o davčnih informacijah v zvezi z dohodkom in ga razkriti v registru podjetij. To vpliva na podjetja in skupine, katerih prodaja po vsem svetu v dveh zaporednih poslovnih letih obakrat preseže </w:t>
            </w:r>
            <w:r w:rsidR="008C2297">
              <w:rPr>
                <w:rFonts w:cs="Arial"/>
                <w:szCs w:val="20"/>
              </w:rPr>
              <w:t>znesek</w:t>
            </w:r>
            <w:r>
              <w:rPr>
                <w:rFonts w:cs="Arial"/>
                <w:szCs w:val="20"/>
              </w:rPr>
              <w:t xml:space="preserve"> prihodkov</w:t>
            </w:r>
            <w:r w:rsidR="008C2297">
              <w:rPr>
                <w:rFonts w:cs="Arial"/>
                <w:szCs w:val="20"/>
              </w:rPr>
              <w:t xml:space="preserve"> </w:t>
            </w:r>
            <w:r w:rsidRPr="00605612">
              <w:rPr>
                <w:rFonts w:cs="Arial"/>
                <w:szCs w:val="20"/>
              </w:rPr>
              <w:t xml:space="preserve">750.000.000 </w:t>
            </w:r>
            <w:r w:rsidRPr="00605612" w:rsidDel="001D2727">
              <w:rPr>
                <w:rFonts w:cs="Arial"/>
                <w:szCs w:val="20"/>
              </w:rPr>
              <w:t>EUR</w:t>
            </w:r>
            <w:r w:rsidR="008C2297">
              <w:rPr>
                <w:rFonts w:cs="Arial"/>
                <w:szCs w:val="20"/>
              </w:rPr>
              <w:t>.</w:t>
            </w:r>
            <w:r w:rsidRPr="00605612">
              <w:rPr>
                <w:rFonts w:cs="Arial"/>
                <w:szCs w:val="20"/>
              </w:rPr>
              <w:t xml:space="preserve"> V primeru končne obvladujoče družbe iz tretje države, ki ima primerljivo prodajo </w:t>
            </w:r>
            <w:r>
              <w:rPr>
                <w:rFonts w:cs="Arial"/>
                <w:szCs w:val="20"/>
              </w:rPr>
              <w:t>in</w:t>
            </w:r>
            <w:r w:rsidRPr="00605612">
              <w:rPr>
                <w:rFonts w:cs="Arial"/>
                <w:szCs w:val="20"/>
              </w:rPr>
              <w:t xml:space="preserve"> v Nemčiji deluje prek srednje ali velike odvisne družbe, mora poročilo o davku na dobiček pridobiti in razkriti ta odvisna družba. Enako velja za nepovezano podjetje iz tretje države in podružnico, ki je ustanovljena v Nemčiji </w:t>
            </w:r>
            <w:r>
              <w:rPr>
                <w:rFonts w:cs="Arial"/>
                <w:szCs w:val="20"/>
              </w:rPr>
              <w:t xml:space="preserve">in </w:t>
            </w:r>
            <w:r w:rsidRPr="00605612">
              <w:rPr>
                <w:rFonts w:cs="Arial"/>
                <w:szCs w:val="20"/>
              </w:rPr>
              <w:t>ki v dveh zaporednih poslovnih letih obakrat preseže 12</w:t>
            </w:r>
            <w:r>
              <w:rPr>
                <w:rFonts w:cs="Arial"/>
                <w:szCs w:val="20"/>
              </w:rPr>
              <w:t>.000.000</w:t>
            </w:r>
            <w:r w:rsidRPr="00605612">
              <w:rPr>
                <w:rFonts w:cs="Arial"/>
                <w:szCs w:val="20"/>
              </w:rPr>
              <w:t xml:space="preserve"> </w:t>
            </w:r>
            <w:r w:rsidRPr="00605612" w:rsidDel="001D2727">
              <w:rPr>
                <w:rFonts w:cs="Arial"/>
                <w:szCs w:val="20"/>
              </w:rPr>
              <w:t>EUR</w:t>
            </w:r>
            <w:r>
              <w:rPr>
                <w:rFonts w:cs="Arial"/>
                <w:szCs w:val="20"/>
              </w:rPr>
              <w:t xml:space="preserve"> </w:t>
            </w:r>
            <w:r w:rsidRPr="002B4365">
              <w:rPr>
                <w:rFonts w:cs="Arial"/>
                <w:szCs w:val="20"/>
              </w:rPr>
              <w:t>prihodkov</w:t>
            </w:r>
            <w:r w:rsidRPr="00605612">
              <w:rPr>
                <w:rFonts w:cs="Arial"/>
                <w:szCs w:val="20"/>
              </w:rPr>
              <w:t>. Če poročila o davčnih informacijah v zvezi z dohodkom ni mogoče pridobiti, mora odvisna družba ali podružnica to razkriti z ustrezno izjavo in poročilo o davčnih informacijah v zvezi z dohodkom pripraviti na podlagi informacij, ki so na voljo. Obveznost</w:t>
            </w:r>
            <w:r>
              <w:rPr>
                <w:rFonts w:cs="Arial"/>
                <w:szCs w:val="20"/>
              </w:rPr>
              <w:t>i</w:t>
            </w:r>
            <w:r w:rsidRPr="00605612">
              <w:rPr>
                <w:rFonts w:cs="Arial"/>
                <w:szCs w:val="20"/>
              </w:rPr>
              <w:t xml:space="preserve"> n</w:t>
            </w:r>
            <w:r>
              <w:rPr>
                <w:rFonts w:cs="Arial"/>
                <w:szCs w:val="20"/>
              </w:rPr>
              <w:t>i</w:t>
            </w:r>
            <w:r w:rsidRPr="00605612">
              <w:rPr>
                <w:rFonts w:cs="Arial"/>
                <w:szCs w:val="20"/>
              </w:rPr>
              <w:t xml:space="preserve">, če tuje podjejte na svoji spletni strani objavi zakonsko skladno poročilo o davčnih informacijah v zvezi z dohodkom in poročilo razkrije vsaj ena odvisna družba oziroma podružnica v EU. Za pripravo poročila o davčnih informacijah v zvezi z dohodkom so urejene podrobne vsebinske zahteve za podjetja, </w:t>
            </w:r>
            <w:r>
              <w:rPr>
                <w:rFonts w:cs="Arial"/>
                <w:szCs w:val="20"/>
              </w:rPr>
              <w:t>o čem je treba poročati</w:t>
            </w:r>
            <w:r w:rsidRPr="00605612">
              <w:rPr>
                <w:rFonts w:cs="Arial"/>
                <w:szCs w:val="20"/>
              </w:rPr>
              <w:t xml:space="preserve">, obvezni podatki in razkritja za posamezne države. Obvezna razkritja za </w:t>
            </w:r>
            <w:r w:rsidRPr="00605612">
              <w:rPr>
                <w:rFonts w:cs="Arial"/>
                <w:szCs w:val="20"/>
              </w:rPr>
              <w:lastRenderedPageBreak/>
              <w:t>zadevno obdobje poročanja vključujejo: ime družbe, zadevno poslovno leto, valuto, opis vrste dejavnosti</w:t>
            </w:r>
            <w:r>
              <w:rPr>
                <w:rFonts w:cs="Arial"/>
                <w:szCs w:val="20"/>
              </w:rPr>
              <w:t>,</w:t>
            </w:r>
            <w:r w:rsidRPr="00605612">
              <w:rPr>
                <w:rFonts w:cs="Arial"/>
                <w:szCs w:val="20"/>
              </w:rPr>
              <w:t xml:space="preserve"> število zaposlenih v ekvivalentu polnega delovnega časa</w:t>
            </w:r>
            <w:r>
              <w:rPr>
                <w:rFonts w:cs="Arial"/>
                <w:szCs w:val="20"/>
              </w:rPr>
              <w:t>,</w:t>
            </w:r>
            <w:r w:rsidRPr="00605612">
              <w:rPr>
                <w:rFonts w:cs="Arial"/>
                <w:szCs w:val="20"/>
              </w:rPr>
              <w:t xml:space="preserve"> dohodke, prihodke, opredeljene z okvirom računovodskega poročanja, na podlagi katerega se pripravijo računovodski izkazi</w:t>
            </w:r>
            <w:r>
              <w:rPr>
                <w:rFonts w:cs="Arial"/>
                <w:szCs w:val="20"/>
              </w:rPr>
              <w:t>,</w:t>
            </w:r>
            <w:r w:rsidRPr="00605612">
              <w:rPr>
                <w:rFonts w:cs="Arial"/>
                <w:szCs w:val="20"/>
              </w:rPr>
              <w:t xml:space="preserve"> znesek dobička ali izgube pred davkom od dohodkov</w:t>
            </w:r>
            <w:r>
              <w:rPr>
                <w:rFonts w:cs="Arial"/>
                <w:szCs w:val="20"/>
              </w:rPr>
              <w:t>,</w:t>
            </w:r>
            <w:r w:rsidRPr="00605612">
              <w:rPr>
                <w:rFonts w:cs="Arial"/>
                <w:szCs w:val="20"/>
              </w:rPr>
              <w:t xml:space="preserve"> znesek davka od dohodkov, obračunanega za zadevno poslovno leto</w:t>
            </w:r>
            <w:r>
              <w:rPr>
                <w:rFonts w:cs="Arial"/>
                <w:szCs w:val="20"/>
              </w:rPr>
              <w:t>,</w:t>
            </w:r>
            <w:r w:rsidRPr="00605612">
              <w:rPr>
                <w:rFonts w:cs="Arial"/>
                <w:szCs w:val="20"/>
              </w:rPr>
              <w:t xml:space="preserve"> znesek plačanega davka od dohodkov in znesek nerazporejenega dobička ob koncu zadevnega poslovnega leta. Podatke je treba sporočiti ločeno za vsako državo članico EU, za vsako davčno jurisdikcijo, ki je bila na seznamu EU razvrščena kot nekooperativna, in za druge davčne jurisdikcije. Ker za zadevne družbe že velja ustrezna obveznost poročanja davčnim organom za posamezne države, se lahko zahteve glede poročanja, ki se uporabljajo v zvezi s tem, uporabijo tudi kot podlaga za izpolnjevanje nove obveznosti javnega poročanja. Izjemoma </w:t>
            </w:r>
            <w:r>
              <w:rPr>
                <w:rFonts w:cs="Arial"/>
                <w:szCs w:val="20"/>
              </w:rPr>
              <w:t>nekaterim</w:t>
            </w:r>
            <w:r w:rsidRPr="00605612">
              <w:rPr>
                <w:rFonts w:cs="Arial"/>
                <w:szCs w:val="20"/>
              </w:rPr>
              <w:t xml:space="preserve"> družbam </w:t>
            </w:r>
            <w:r>
              <w:rPr>
                <w:rFonts w:cs="Arial"/>
                <w:szCs w:val="20"/>
              </w:rPr>
              <w:t>nekih</w:t>
            </w:r>
            <w:r w:rsidRPr="00605612">
              <w:rPr>
                <w:rFonts w:cs="Arial"/>
                <w:szCs w:val="20"/>
              </w:rPr>
              <w:t xml:space="preserve"> informacij ni treba vključiti v poročilo o davčnih informacijah v zvezi z dohodki z ustrezno utemeljitvijo, če bi njihovo razkritje povzročilo </w:t>
            </w:r>
            <w:r>
              <w:rPr>
                <w:rFonts w:cs="Arial"/>
                <w:szCs w:val="20"/>
              </w:rPr>
              <w:t>precejšnje</w:t>
            </w:r>
            <w:r w:rsidRPr="00605612">
              <w:rPr>
                <w:rFonts w:cs="Arial"/>
                <w:szCs w:val="20"/>
              </w:rPr>
              <w:t xml:space="preserve"> poslabšanje tržnega položaja družbe, na katero se nanašajo. Vendar je treba podatke, ki niso vključeni, vključiti naj</w:t>
            </w:r>
            <w:r>
              <w:rPr>
                <w:rFonts w:cs="Arial"/>
                <w:szCs w:val="20"/>
              </w:rPr>
              <w:t>poz</w:t>
            </w:r>
            <w:r w:rsidRPr="00605612">
              <w:rPr>
                <w:rFonts w:cs="Arial"/>
                <w:szCs w:val="20"/>
              </w:rPr>
              <w:t xml:space="preserve">neje v poročilo o dohodnini, ki se pripravi za četrto poslovno leto po obdobju poročanja. Razkritje poročila o dohodnini se opravi v poslovnem registru. V ta namen je treba poročilo v nemškem jeziku predložiti poslovnemu registru najpozneje eno leto po koncu poročevalskega obdobja. Poleg tega mora biti poročilo objavljeno na spletni strani družbe najmanj pet let. Obveznost objave na spletni strani družbe ne velja, če se razkritje opravi prek registra in se na spletni strani družbe navede, da je poročilo dostopno </w:t>
            </w:r>
            <w:r>
              <w:rPr>
                <w:rFonts w:cs="Arial"/>
                <w:szCs w:val="20"/>
              </w:rPr>
              <w:t>na</w:t>
            </w:r>
            <w:r w:rsidRPr="00605612">
              <w:rPr>
                <w:rFonts w:cs="Arial"/>
                <w:szCs w:val="20"/>
              </w:rPr>
              <w:t xml:space="preserve"> spletn</w:t>
            </w:r>
            <w:r>
              <w:rPr>
                <w:rFonts w:cs="Arial"/>
                <w:szCs w:val="20"/>
              </w:rPr>
              <w:t>i</w:t>
            </w:r>
            <w:r w:rsidRPr="00605612">
              <w:rPr>
                <w:rFonts w:cs="Arial"/>
                <w:szCs w:val="20"/>
              </w:rPr>
              <w:t xml:space="preserve"> strani registra za obdobje najmanj petih let. Nadzorni svet </w:t>
            </w:r>
            <w:r>
              <w:rPr>
                <w:rFonts w:cs="Arial"/>
                <w:szCs w:val="20"/>
              </w:rPr>
              <w:t xml:space="preserve">družbe </w:t>
            </w:r>
            <w:r w:rsidRPr="00605612">
              <w:rPr>
                <w:rFonts w:cs="Arial"/>
                <w:szCs w:val="20"/>
              </w:rPr>
              <w:t xml:space="preserve">bo v prihodnje nadzoroval tudi poročanje o davčnih informacijah v zvezi z dohodki. Revizor letnih računovodskih izkazov mora v prihodnje preveriti tudi, ali je bila revidirana družba dolžna razkriti poročilo o davčnih informacijah v zvezi z dohodki in ali je to obveznost izpolnila. Revizorjevo poročilo mora vsebovati navedbo o izpolnjevanju obveznosti. </w:t>
            </w:r>
            <w:r>
              <w:rPr>
                <w:rFonts w:cs="Arial"/>
                <w:szCs w:val="20"/>
              </w:rPr>
              <w:t>Z</w:t>
            </w:r>
            <w:r w:rsidRPr="00605612">
              <w:rPr>
                <w:rFonts w:cs="Arial"/>
                <w:szCs w:val="20"/>
              </w:rPr>
              <w:t xml:space="preserve">a uveljavljanje zahtev po razkritju je odgovoren </w:t>
            </w:r>
            <w:r>
              <w:rPr>
                <w:rFonts w:cs="Arial"/>
                <w:szCs w:val="20"/>
              </w:rPr>
              <w:t>z</w:t>
            </w:r>
            <w:r w:rsidRPr="00605612">
              <w:rPr>
                <w:rFonts w:cs="Arial"/>
                <w:szCs w:val="20"/>
              </w:rPr>
              <w:t>vezni urad za pravosodje</w:t>
            </w:r>
            <w:r>
              <w:rPr>
                <w:rFonts w:cs="Arial"/>
                <w:szCs w:val="20"/>
              </w:rPr>
              <w:t>,</w:t>
            </w:r>
            <w:r w:rsidRPr="00605612">
              <w:rPr>
                <w:rFonts w:cs="Arial"/>
                <w:szCs w:val="20"/>
              </w:rPr>
              <w:t xml:space="preserve"> v primeru ugotovljenih kršitev</w:t>
            </w:r>
            <w:r>
              <w:rPr>
                <w:rFonts w:cs="Arial"/>
                <w:szCs w:val="20"/>
              </w:rPr>
              <w:t xml:space="preserve"> pa</w:t>
            </w:r>
            <w:r w:rsidRPr="00605612">
              <w:rPr>
                <w:rFonts w:cs="Arial"/>
                <w:szCs w:val="20"/>
              </w:rPr>
              <w:t xml:space="preserve"> izreče globe do 250.000 </w:t>
            </w:r>
            <w:r w:rsidRPr="00605612" w:rsidDel="001D2727">
              <w:rPr>
                <w:rFonts w:cs="Arial"/>
                <w:szCs w:val="20"/>
              </w:rPr>
              <w:t>EUR</w:t>
            </w:r>
            <w:r w:rsidRPr="00605612">
              <w:rPr>
                <w:rFonts w:cs="Arial"/>
                <w:szCs w:val="20"/>
              </w:rPr>
              <w:t>.</w:t>
            </w:r>
          </w:p>
          <w:p w14:paraId="20473791" w14:textId="77777777" w:rsidR="000C08CA" w:rsidRPr="00605612" w:rsidRDefault="000C08CA" w:rsidP="00FE328D">
            <w:pPr>
              <w:jc w:val="both"/>
              <w:rPr>
                <w:rFonts w:cs="Arial"/>
                <w:szCs w:val="20"/>
              </w:rPr>
            </w:pPr>
          </w:p>
          <w:p w14:paraId="672B7E6E" w14:textId="77777777" w:rsidR="000C08CA" w:rsidRPr="00605612" w:rsidRDefault="000C08CA" w:rsidP="00FE328D">
            <w:pPr>
              <w:jc w:val="both"/>
              <w:rPr>
                <w:rFonts w:cs="Arial"/>
                <w:b/>
                <w:bCs/>
                <w:szCs w:val="20"/>
              </w:rPr>
            </w:pPr>
            <w:r w:rsidRPr="00605612">
              <w:rPr>
                <w:rFonts w:cs="Arial"/>
                <w:b/>
                <w:bCs/>
                <w:szCs w:val="20"/>
              </w:rPr>
              <w:t xml:space="preserve">Kraljevina Španija </w:t>
            </w:r>
          </w:p>
          <w:p w14:paraId="0A9E2A1D" w14:textId="77777777" w:rsidR="000C08CA" w:rsidRPr="00605612" w:rsidRDefault="000C08CA" w:rsidP="00FE328D">
            <w:pPr>
              <w:jc w:val="both"/>
              <w:rPr>
                <w:rFonts w:cs="Arial"/>
                <w:szCs w:val="20"/>
              </w:rPr>
            </w:pPr>
          </w:p>
          <w:p w14:paraId="70C26071" w14:textId="77777777" w:rsidR="000C08CA" w:rsidRPr="00605612" w:rsidRDefault="000C08CA" w:rsidP="00FE328D">
            <w:pPr>
              <w:jc w:val="both"/>
              <w:rPr>
                <w:rFonts w:cs="Arial"/>
                <w:szCs w:val="20"/>
              </w:rPr>
            </w:pPr>
            <w:r w:rsidRPr="00605612">
              <w:rPr>
                <w:rFonts w:cs="Arial"/>
                <w:szCs w:val="20"/>
              </w:rPr>
              <w:t>Kraljevina</w:t>
            </w:r>
            <w:r w:rsidRPr="00605612">
              <w:rPr>
                <w:rFonts w:cs="Arial"/>
                <w:b/>
                <w:bCs/>
                <w:szCs w:val="20"/>
              </w:rPr>
              <w:t xml:space="preserve"> </w:t>
            </w:r>
            <w:r w:rsidRPr="00605612">
              <w:rPr>
                <w:rFonts w:cs="Arial"/>
                <w:szCs w:val="20"/>
              </w:rPr>
              <w:t xml:space="preserve">Španija je Direktivo 2021/2101/EU v svoj pravni red prenesla z </w:t>
            </w:r>
            <w:r>
              <w:rPr>
                <w:rFonts w:cs="Arial"/>
                <w:szCs w:val="20"/>
              </w:rPr>
              <w:t>z</w:t>
            </w:r>
            <w:r w:rsidRPr="00605612">
              <w:rPr>
                <w:rFonts w:cs="Arial"/>
                <w:szCs w:val="20"/>
              </w:rPr>
              <w:t xml:space="preserve">akonom št. 28/2022 z dne 21. decembra za spodbujanje ekosistema zagonskih podjetij </w:t>
            </w:r>
            <w:r w:rsidRPr="00605612">
              <w:rPr>
                <w:rFonts w:cs="Arial"/>
                <w:szCs w:val="20"/>
                <w:lang w:val="es-ES"/>
              </w:rPr>
              <w:t>(Ley 28/2022, de 21 de diciembre, de fomento del ecosistema de las empresas emergentes</w:t>
            </w:r>
            <w:r w:rsidRPr="00605612">
              <w:rPr>
                <w:rFonts w:cs="Arial"/>
                <w:szCs w:val="20"/>
              </w:rPr>
              <w:t>)</w:t>
            </w:r>
            <w:r>
              <w:rPr>
                <w:rFonts w:cs="Arial"/>
                <w:szCs w:val="20"/>
              </w:rPr>
              <w:t>,</w:t>
            </w:r>
            <w:r w:rsidRPr="00605612">
              <w:rPr>
                <w:rFonts w:cs="Arial"/>
                <w:szCs w:val="20"/>
              </w:rPr>
              <w:t xml:space="preserve"> s katerim se v šesti končni določbi spreminja zakon št. 22/2015 z dne 20. julija o revidiranju računovodskih izkazov (</w:t>
            </w:r>
            <w:r w:rsidRPr="00605612">
              <w:rPr>
                <w:rFonts w:cs="Arial"/>
                <w:szCs w:val="20"/>
                <w:lang w:val="es-ES"/>
              </w:rPr>
              <w:t>Modificación de la Ley 22/2015, de 20 de julio, de Auditoría de Cuentas</w:t>
            </w:r>
            <w:r w:rsidRPr="00605612">
              <w:rPr>
                <w:rFonts w:cs="Arial"/>
                <w:szCs w:val="20"/>
              </w:rPr>
              <w:t>). Uvaja se obveznost za revizijsko poročilo, iz katerega mora biti razvidno, ali je morala družba v prejšnjem letu</w:t>
            </w:r>
            <w:r>
              <w:rPr>
                <w:rFonts w:cs="Arial"/>
                <w:szCs w:val="20"/>
              </w:rPr>
              <w:t>,</w:t>
            </w:r>
            <w:r w:rsidRPr="00605612">
              <w:rPr>
                <w:rFonts w:cs="Arial"/>
                <w:szCs w:val="20"/>
              </w:rPr>
              <w:t xml:space="preserve"> za katero so bili pripravljeni revidirani računovodski izkazi, objaviti poročilo o davčnih informacijah v zvezi z dohodkom in če je, ali je bilo tako poročilo objavljeno. Določa se novo dodatno poglavje, ki se glasi: Obveznost obveščanja o davku od dohodkov pravnih oseb ali davkih enake ali podobne narave s strani </w:t>
            </w:r>
            <w:r>
              <w:rPr>
                <w:rFonts w:cs="Arial"/>
                <w:szCs w:val="20"/>
              </w:rPr>
              <w:t>nekaterih</w:t>
            </w:r>
            <w:r w:rsidRPr="00605612">
              <w:rPr>
                <w:rFonts w:cs="Arial"/>
                <w:szCs w:val="20"/>
              </w:rPr>
              <w:t xml:space="preserve"> družb in podružnic</w:t>
            </w:r>
            <w:r>
              <w:rPr>
                <w:rFonts w:cs="Arial"/>
                <w:szCs w:val="20"/>
              </w:rPr>
              <w:t>,</w:t>
            </w:r>
            <w:r w:rsidRPr="00605612">
              <w:rPr>
                <w:rFonts w:cs="Arial"/>
                <w:szCs w:val="20"/>
              </w:rPr>
              <w:t xml:space="preserve"> razdeljeno </w:t>
            </w:r>
            <w:r>
              <w:rPr>
                <w:rFonts w:cs="Arial"/>
                <w:szCs w:val="20"/>
              </w:rPr>
              <w:t xml:space="preserve">pa je </w:t>
            </w:r>
            <w:r w:rsidRPr="00605612">
              <w:rPr>
                <w:rFonts w:cs="Arial"/>
                <w:szCs w:val="20"/>
              </w:rPr>
              <w:t>na pet podpoglavij. Končna obvladujoča družba skupine in družbe, ki niso del skupine, morajo v obeh primerih, ko zanje velja španska zakonodaja, objaviti poročilo o davku od dohodkov pravnih oseb, ko dve zaporedni leti presežejo 750</w:t>
            </w:r>
            <w:r>
              <w:rPr>
                <w:rFonts w:cs="Arial"/>
                <w:szCs w:val="20"/>
              </w:rPr>
              <w:t>.000.000.</w:t>
            </w:r>
            <w:r w:rsidRPr="00605612">
              <w:rPr>
                <w:rFonts w:cs="Arial"/>
                <w:szCs w:val="20"/>
              </w:rPr>
              <w:t xml:space="preserve"> e</w:t>
            </w:r>
            <w:r>
              <w:rPr>
                <w:rFonts w:cs="Arial"/>
                <w:szCs w:val="20"/>
              </w:rPr>
              <w:t>u</w:t>
            </w:r>
            <w:r w:rsidRPr="00605612">
              <w:rPr>
                <w:rFonts w:cs="Arial"/>
                <w:szCs w:val="20"/>
              </w:rPr>
              <w:t>rov prihodk</w:t>
            </w:r>
            <w:r>
              <w:rPr>
                <w:rFonts w:cs="Arial"/>
                <w:szCs w:val="20"/>
              </w:rPr>
              <w:t>ov</w:t>
            </w:r>
            <w:r w:rsidRPr="00605612">
              <w:rPr>
                <w:rFonts w:cs="Arial"/>
                <w:szCs w:val="20"/>
              </w:rPr>
              <w:t xml:space="preserve">. Navedena obveznost bo prenehala, ko navedeni dohodek dve zaporedni leti ne bo več presegal referenčnega zneska. V primeru družb in podružnic, za katere velja špansko pravo in so odvisne od končnih obvladujočih družb ali družb, za katere ne velja zakonodaja države članice, se bo poročilo nanašalo na obvladujočo družbo ali družbo, ki je ustanovila podružnico, ki doseže referenčni prihodek. Poročilo bo vključevalo kratek opis narave dejavnosti, število zaposlenih, njihove prihodke, višino dobička ali izgube pred obračunom davka od dohodkov pravnih oseb in znesek davka od dohodkov pravnih oseb, obračunan med zadevnim letom, izračunan kot tekoči davčni odhodek, pripoznan na obdavčljivem dobičku ali izgubi za leto družb in podružnic </w:t>
            </w:r>
            <w:r>
              <w:rPr>
                <w:rFonts w:cs="Arial"/>
                <w:szCs w:val="20"/>
              </w:rPr>
              <w:t>v zadevni davčni jurisdikciji ter</w:t>
            </w:r>
            <w:r w:rsidRPr="00605612">
              <w:rPr>
                <w:rFonts w:cs="Arial"/>
                <w:szCs w:val="20"/>
              </w:rPr>
              <w:t xml:space="preserve"> znesek rezerv ob koncu zadevn</w:t>
            </w:r>
            <w:r>
              <w:rPr>
                <w:rFonts w:cs="Arial"/>
                <w:szCs w:val="20"/>
              </w:rPr>
              <w:t>ega</w:t>
            </w:r>
            <w:r w:rsidRPr="00605612">
              <w:rPr>
                <w:rFonts w:cs="Arial"/>
                <w:szCs w:val="20"/>
              </w:rPr>
              <w:t xml:space="preserve"> proračunsk</w:t>
            </w:r>
            <w:r>
              <w:rPr>
                <w:rFonts w:cs="Arial"/>
                <w:szCs w:val="20"/>
              </w:rPr>
              <w:t>ega</w:t>
            </w:r>
            <w:r w:rsidRPr="00605612">
              <w:rPr>
                <w:rFonts w:cs="Arial"/>
                <w:szCs w:val="20"/>
              </w:rPr>
              <w:t xml:space="preserve"> let</w:t>
            </w:r>
            <w:r>
              <w:rPr>
                <w:rFonts w:cs="Arial"/>
                <w:szCs w:val="20"/>
              </w:rPr>
              <w:t>a</w:t>
            </w:r>
            <w:r w:rsidRPr="00605612">
              <w:rPr>
                <w:rFonts w:cs="Arial"/>
                <w:szCs w:val="20"/>
              </w:rPr>
              <w:t xml:space="preserve">. Informacije morajo biti </w:t>
            </w:r>
            <w:r>
              <w:rPr>
                <w:rFonts w:cs="Arial"/>
                <w:szCs w:val="20"/>
              </w:rPr>
              <w:t>navedene</w:t>
            </w:r>
            <w:r w:rsidRPr="00605612">
              <w:rPr>
                <w:rFonts w:cs="Arial"/>
                <w:szCs w:val="20"/>
              </w:rPr>
              <w:t xml:space="preserve"> ločeno za vsako državo članico, v kateri subjekt opravlja dejavnost. Poročilo bo odobreno in objavljeno v roku </w:t>
            </w:r>
            <w:r>
              <w:rPr>
                <w:rFonts w:cs="Arial"/>
                <w:szCs w:val="20"/>
              </w:rPr>
              <w:t>šestih</w:t>
            </w:r>
            <w:r w:rsidRPr="00605612">
              <w:rPr>
                <w:rFonts w:cs="Arial"/>
                <w:szCs w:val="20"/>
              </w:rPr>
              <w:t xml:space="preserve"> mesec</w:t>
            </w:r>
            <w:r>
              <w:rPr>
                <w:rFonts w:cs="Arial"/>
                <w:szCs w:val="20"/>
              </w:rPr>
              <w:t>ih</w:t>
            </w:r>
            <w:r w:rsidRPr="00605612">
              <w:rPr>
                <w:rFonts w:cs="Arial"/>
                <w:szCs w:val="20"/>
              </w:rPr>
              <w:t xml:space="preserve"> od datuma zaključka poslovnega leta, na kater</w:t>
            </w:r>
            <w:r>
              <w:rPr>
                <w:rFonts w:cs="Arial"/>
                <w:szCs w:val="20"/>
              </w:rPr>
              <w:t>o</w:t>
            </w:r>
            <w:r w:rsidRPr="00605612">
              <w:rPr>
                <w:rFonts w:cs="Arial"/>
                <w:szCs w:val="20"/>
              </w:rPr>
              <w:t xml:space="preserve"> se nanaša, in bo na voljo v trgovskem registru skupaj z dokumenti, ki sestavljajo letne računovodske izkaze. Poleg tega mora biti poročilo v </w:t>
            </w:r>
            <w:r>
              <w:rPr>
                <w:rFonts w:cs="Arial"/>
                <w:szCs w:val="20"/>
              </w:rPr>
              <w:t xml:space="preserve">roku šestih </w:t>
            </w:r>
            <w:r w:rsidRPr="00605612">
              <w:rPr>
                <w:rFonts w:cs="Arial"/>
                <w:szCs w:val="20"/>
              </w:rPr>
              <w:t>mesec</w:t>
            </w:r>
            <w:r>
              <w:rPr>
                <w:rFonts w:cs="Arial"/>
                <w:szCs w:val="20"/>
              </w:rPr>
              <w:t>ev</w:t>
            </w:r>
            <w:r w:rsidRPr="00605612">
              <w:rPr>
                <w:rFonts w:cs="Arial"/>
                <w:szCs w:val="20"/>
              </w:rPr>
              <w:t xml:space="preserve"> objavljeno na spletni strani družbe in mora biti brezplačno dostopno vsaj pet zaporednih let. Člani upravnih organov zavezane družbe bodo kolektivno odgovorni za zagotovitev, da se poročilo v zvezi z davkom </w:t>
            </w:r>
            <w:r w:rsidRPr="00605612">
              <w:rPr>
                <w:rFonts w:cs="Arial"/>
                <w:szCs w:val="20"/>
              </w:rPr>
              <w:lastRenderedPageBreak/>
              <w:t>od dohodkov pravnih oseb pripravi, objavi</w:t>
            </w:r>
            <w:r>
              <w:rPr>
                <w:rFonts w:cs="Arial"/>
                <w:szCs w:val="20"/>
              </w:rPr>
              <w:t xml:space="preserve"> in</w:t>
            </w:r>
            <w:r w:rsidRPr="00605612">
              <w:rPr>
                <w:rFonts w:cs="Arial"/>
                <w:szCs w:val="20"/>
              </w:rPr>
              <w:t xml:space="preserve"> deponira </w:t>
            </w:r>
            <w:r>
              <w:rPr>
                <w:rFonts w:cs="Arial"/>
                <w:szCs w:val="20"/>
              </w:rPr>
              <w:t>ter se</w:t>
            </w:r>
            <w:r w:rsidRPr="00605612">
              <w:rPr>
                <w:rFonts w:cs="Arial"/>
                <w:szCs w:val="20"/>
              </w:rPr>
              <w:t xml:space="preserve"> omogoči javnost</w:t>
            </w:r>
            <w:r>
              <w:rPr>
                <w:rFonts w:cs="Arial"/>
                <w:szCs w:val="20"/>
              </w:rPr>
              <w:t>i</w:t>
            </w:r>
            <w:r w:rsidRPr="00605612">
              <w:rPr>
                <w:rFonts w:cs="Arial"/>
                <w:szCs w:val="20"/>
              </w:rPr>
              <w:t>. V revizijskem poročilu mora biti razvidno, ali je morala družba v prejšnjem letu</w:t>
            </w:r>
            <w:r>
              <w:rPr>
                <w:rFonts w:cs="Arial"/>
                <w:szCs w:val="20"/>
              </w:rPr>
              <w:t>,</w:t>
            </w:r>
            <w:r w:rsidRPr="00605612">
              <w:rPr>
                <w:rFonts w:cs="Arial"/>
                <w:szCs w:val="20"/>
              </w:rPr>
              <w:t xml:space="preserve"> za katero so bili pripravljeni revidirani računovodski izkazi, objaviti poročilo v zvezi z davkom od dohodkov pravnih oseb ali enakimi ali podobnimi davki in če je, ali je bilo tako poročilo objavljeno. Zakon se </w:t>
            </w:r>
            <w:r>
              <w:rPr>
                <w:rFonts w:cs="Arial"/>
                <w:szCs w:val="20"/>
              </w:rPr>
              <w:t>bo začel</w:t>
            </w:r>
            <w:r w:rsidRPr="00605612">
              <w:rPr>
                <w:rFonts w:cs="Arial"/>
                <w:szCs w:val="20"/>
              </w:rPr>
              <w:t xml:space="preserve"> uporabljati za poslovna leta, ki se začnejo 22. junija 2024 ali pozneje.</w:t>
            </w:r>
          </w:p>
          <w:p w14:paraId="6BFABAF2" w14:textId="77777777" w:rsidR="000C08CA" w:rsidRPr="00605612" w:rsidRDefault="000C08CA" w:rsidP="00FE328D">
            <w:pPr>
              <w:jc w:val="both"/>
              <w:rPr>
                <w:rFonts w:cs="Arial"/>
                <w:szCs w:val="20"/>
              </w:rPr>
            </w:pPr>
          </w:p>
          <w:p w14:paraId="0CE2C556" w14:textId="77777777" w:rsidR="000C08CA" w:rsidRPr="00605612" w:rsidRDefault="000C08CA" w:rsidP="00FE328D">
            <w:pPr>
              <w:pStyle w:val="Alineazaodstavkom"/>
              <w:numPr>
                <w:ilvl w:val="0"/>
                <w:numId w:val="0"/>
              </w:numPr>
              <w:spacing w:line="260" w:lineRule="exact"/>
              <w:rPr>
                <w:b/>
                <w:bCs/>
                <w:color w:val="000000" w:themeColor="text1"/>
                <w:sz w:val="20"/>
                <w:szCs w:val="20"/>
              </w:rPr>
            </w:pPr>
            <w:r w:rsidRPr="00605612">
              <w:rPr>
                <w:b/>
                <w:bCs/>
                <w:color w:val="000000" w:themeColor="text1"/>
                <w:sz w:val="20"/>
                <w:szCs w:val="20"/>
              </w:rPr>
              <w:t>Republika Hrvaška</w:t>
            </w:r>
          </w:p>
          <w:p w14:paraId="72B92B9D"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44CB08CA" w14:textId="77777777" w:rsidR="000C08CA" w:rsidRPr="00605612" w:rsidRDefault="000C08CA" w:rsidP="00FE328D">
            <w:pPr>
              <w:pStyle w:val="Alineazaodstavkom"/>
              <w:numPr>
                <w:ilvl w:val="0"/>
                <w:numId w:val="0"/>
              </w:numPr>
              <w:spacing w:line="260" w:lineRule="exact"/>
              <w:rPr>
                <w:sz w:val="20"/>
                <w:szCs w:val="20"/>
              </w:rPr>
            </w:pPr>
            <w:r w:rsidRPr="00605612">
              <w:rPr>
                <w:color w:val="000000" w:themeColor="text1"/>
                <w:sz w:val="20"/>
                <w:szCs w:val="20"/>
              </w:rPr>
              <w:t xml:space="preserve">Republika Hrvaška je </w:t>
            </w:r>
            <w:r w:rsidRPr="00605612">
              <w:rPr>
                <w:sz w:val="20"/>
                <w:szCs w:val="20"/>
              </w:rPr>
              <w:t xml:space="preserve">Direktivo 2021/2101/EU v svoj pravni red prenesla 15. </w:t>
            </w:r>
            <w:r>
              <w:rPr>
                <w:sz w:val="20"/>
                <w:szCs w:val="20"/>
              </w:rPr>
              <w:t>julija</w:t>
            </w:r>
            <w:r w:rsidRPr="00605612">
              <w:rPr>
                <w:sz w:val="20"/>
                <w:szCs w:val="20"/>
              </w:rPr>
              <w:t xml:space="preserve"> 2023 s spremembami zakona o računovodstvu. Zakonske spremembe uvajajo obveznost za samostojne družbe in končne obvladujoče družbe, katerih konsolidirani prihodki za vsako od zadnjih dveh poslovnih let presegajo </w:t>
            </w:r>
            <w:r>
              <w:rPr>
                <w:sz w:val="20"/>
                <w:szCs w:val="20"/>
              </w:rPr>
              <w:t>merilo</w:t>
            </w:r>
            <w:r w:rsidRPr="00605612">
              <w:rPr>
                <w:sz w:val="20"/>
                <w:szCs w:val="20"/>
              </w:rPr>
              <w:t xml:space="preserve"> 750</w:t>
            </w:r>
            <w:r>
              <w:rPr>
                <w:sz w:val="20"/>
                <w:szCs w:val="20"/>
              </w:rPr>
              <w:t>.000.000</w:t>
            </w:r>
            <w:r w:rsidRPr="00605612">
              <w:rPr>
                <w:sz w:val="20"/>
                <w:szCs w:val="20"/>
              </w:rPr>
              <w:t xml:space="preserve"> </w:t>
            </w:r>
            <w:r>
              <w:rPr>
                <w:sz w:val="20"/>
                <w:szCs w:val="20"/>
              </w:rPr>
              <w:t>EUR</w:t>
            </w:r>
            <w:r w:rsidRPr="00605612">
              <w:rPr>
                <w:sz w:val="20"/>
                <w:szCs w:val="20"/>
              </w:rPr>
              <w:t xml:space="preserve">, da sestavijo, objavijo in javno objavijo poročilo s podatki o davku na dobiček. To razkritje ne bo obvezno, če ti prihodki v zadnjih dveh poslovnih letih tega </w:t>
            </w:r>
            <w:r>
              <w:rPr>
                <w:sz w:val="20"/>
                <w:szCs w:val="20"/>
              </w:rPr>
              <w:t>merila</w:t>
            </w:r>
            <w:r w:rsidRPr="00605612">
              <w:rPr>
                <w:sz w:val="20"/>
                <w:szCs w:val="20"/>
              </w:rPr>
              <w:t xml:space="preserve"> ne bodo več presegali. Predpisana je tudi pristojnost ministrstva za finance in davčne uprave za nadzor nad družbami v delu oblikovanja in objave poročil o podatkih o davku od dobička. Obveznost objave podatkov o davku od dobička ne velja za samostojno družbo ali končno obvladujočo družbo in njune povezane družbe, če imajo te družbe, vključno z njihovimi odvisnimi družbami, sedež ali stalno mesto poslovanja ali stalno poslovno dejavnost le </w:t>
            </w:r>
            <w:r>
              <w:rPr>
                <w:sz w:val="20"/>
                <w:szCs w:val="20"/>
              </w:rPr>
              <w:t>na</w:t>
            </w:r>
            <w:r w:rsidRPr="00605612">
              <w:rPr>
                <w:sz w:val="20"/>
                <w:szCs w:val="20"/>
              </w:rPr>
              <w:t xml:space="preserve"> ozemlju Republike Hrvaške in v nobeni drugi davčni jurisdikciji. </w:t>
            </w:r>
            <w:r>
              <w:rPr>
                <w:sz w:val="20"/>
                <w:szCs w:val="20"/>
              </w:rPr>
              <w:t>Ta</w:t>
            </w:r>
            <w:r w:rsidRPr="00605612">
              <w:rPr>
                <w:sz w:val="20"/>
                <w:szCs w:val="20"/>
              </w:rPr>
              <w:t xml:space="preserve"> obveznost ne velja </w:t>
            </w:r>
            <w:r>
              <w:rPr>
                <w:sz w:val="20"/>
                <w:szCs w:val="20"/>
              </w:rPr>
              <w:t xml:space="preserve">niti </w:t>
            </w:r>
            <w:r w:rsidRPr="00605612">
              <w:rPr>
                <w:sz w:val="20"/>
                <w:szCs w:val="20"/>
              </w:rPr>
              <w:t xml:space="preserve">za samostojne družbe in končne obvladujoče družbe, če te družbe ali z njimi povezane družbe objavijo poročilo v skladu z zakonom, ki ureja poslovanje kreditnih institucij, ki vključuje podatke o vseh njihovih dejavnostih in v primeru končne matične družbe o dejavnostih povezanih družb, vključenih v letne konsolidirane računovodske izkaze. </w:t>
            </w:r>
            <w:r>
              <w:rPr>
                <w:sz w:val="20"/>
                <w:szCs w:val="20"/>
              </w:rPr>
              <w:t>Ta o</w:t>
            </w:r>
            <w:r w:rsidRPr="00605612">
              <w:rPr>
                <w:sz w:val="20"/>
                <w:szCs w:val="20"/>
              </w:rPr>
              <w:t>bveznost velja tudi za srednje in velike družbe, ki so hčerinska družba pod nadzorom končne obvladujoče družbe, ki ne uporablja prava Republike Hrvaške ali druge države članice</w:t>
            </w:r>
            <w:r>
              <w:rPr>
                <w:sz w:val="20"/>
                <w:szCs w:val="20"/>
              </w:rPr>
              <w:t xml:space="preserve"> in</w:t>
            </w:r>
            <w:r w:rsidRPr="00605612">
              <w:rPr>
                <w:sz w:val="20"/>
                <w:szCs w:val="20"/>
              </w:rPr>
              <w:t xml:space="preserve"> katere konsolidirani prihodki so prikazani v letnih konsolidiranih računovodskih izkazih in za vsako od zadnjih dveh zaporednih poslovnih let skupaj presegajo 750.000.000 </w:t>
            </w:r>
            <w:r>
              <w:rPr>
                <w:sz w:val="20"/>
                <w:szCs w:val="20"/>
              </w:rPr>
              <w:t>EUR</w:t>
            </w:r>
            <w:r w:rsidRPr="00605612">
              <w:rPr>
                <w:sz w:val="20"/>
                <w:szCs w:val="20"/>
              </w:rPr>
              <w:t xml:space="preserve">. </w:t>
            </w:r>
            <w:r>
              <w:rPr>
                <w:sz w:val="20"/>
                <w:szCs w:val="20"/>
              </w:rPr>
              <w:t>Ta o</w:t>
            </w:r>
            <w:r w:rsidRPr="00605612">
              <w:rPr>
                <w:sz w:val="20"/>
                <w:szCs w:val="20"/>
              </w:rPr>
              <w:t>bveznost</w:t>
            </w:r>
            <w:r w:rsidRPr="00605612" w:rsidDel="003F38B7">
              <w:rPr>
                <w:sz w:val="20"/>
                <w:szCs w:val="20"/>
              </w:rPr>
              <w:t xml:space="preserve"> </w:t>
            </w:r>
            <w:r w:rsidRPr="00605612">
              <w:rPr>
                <w:sz w:val="20"/>
                <w:szCs w:val="20"/>
              </w:rPr>
              <w:t xml:space="preserve">za te družbe preneha, če skupni konsolidirani </w:t>
            </w:r>
            <w:r>
              <w:rPr>
                <w:sz w:val="20"/>
                <w:szCs w:val="20"/>
              </w:rPr>
              <w:t>prihodek</w:t>
            </w:r>
            <w:r w:rsidRPr="00605612">
              <w:rPr>
                <w:sz w:val="20"/>
                <w:szCs w:val="20"/>
              </w:rPr>
              <w:t xml:space="preserve"> končne obvladujoče družbe, izkazan v letnih konsolidiranih računovodskih izkazih, ne preseže 750</w:t>
            </w:r>
            <w:r w:rsidRPr="00605612" w:rsidDel="003F38B7">
              <w:rPr>
                <w:sz w:val="20"/>
                <w:szCs w:val="20"/>
              </w:rPr>
              <w:t>.</w:t>
            </w:r>
            <w:r w:rsidRPr="00605612">
              <w:rPr>
                <w:sz w:val="20"/>
                <w:szCs w:val="20"/>
              </w:rPr>
              <w:t xml:space="preserve">000.000 </w:t>
            </w:r>
            <w:r w:rsidRPr="00605612" w:rsidDel="007B70A2">
              <w:rPr>
                <w:sz w:val="20"/>
                <w:szCs w:val="20"/>
              </w:rPr>
              <w:t xml:space="preserve">EUR </w:t>
            </w:r>
            <w:r w:rsidRPr="00605612">
              <w:rPr>
                <w:sz w:val="20"/>
                <w:szCs w:val="20"/>
              </w:rPr>
              <w:t xml:space="preserve">za vsako od zadnjih dveh zaporednih poslovnih let. Obveznost objave podatkov o </w:t>
            </w:r>
            <w:r>
              <w:rPr>
                <w:sz w:val="20"/>
                <w:szCs w:val="20"/>
              </w:rPr>
              <w:t>dobičku</w:t>
            </w:r>
            <w:r w:rsidRPr="00605612">
              <w:rPr>
                <w:sz w:val="20"/>
                <w:szCs w:val="20"/>
              </w:rPr>
              <w:t xml:space="preserve"> velja tudi za domačo podružnico, ki jo ustanovi podjetje, za katero se ne uporablja pravo Republike Hrvaške ali druge države članice</w:t>
            </w:r>
            <w:r>
              <w:rPr>
                <w:sz w:val="20"/>
                <w:szCs w:val="20"/>
              </w:rPr>
              <w:t xml:space="preserve"> </w:t>
            </w:r>
            <w:r w:rsidRPr="00605612">
              <w:rPr>
                <w:sz w:val="20"/>
                <w:szCs w:val="20"/>
              </w:rPr>
              <w:t xml:space="preserve">in ima pravno obliko, primerljivo s kapitalsko družbo, kot jo določajo predpisi, ki urejajo gospodarske družbe, in to le, </w:t>
            </w:r>
            <w:r>
              <w:rPr>
                <w:sz w:val="20"/>
                <w:szCs w:val="20"/>
              </w:rPr>
              <w:t>če</w:t>
            </w:r>
            <w:r w:rsidRPr="00605612">
              <w:rPr>
                <w:sz w:val="20"/>
                <w:szCs w:val="20"/>
              </w:rPr>
              <w:t xml:space="preserve"> prihodki podružnice za vsako od zadnjih dveh zaporednih poslovnih let presegajo 8</w:t>
            </w:r>
            <w:r w:rsidRPr="00605612" w:rsidDel="003F38B7">
              <w:rPr>
                <w:sz w:val="20"/>
                <w:szCs w:val="20"/>
              </w:rPr>
              <w:t>.</w:t>
            </w:r>
            <w:r w:rsidRPr="00605612">
              <w:rPr>
                <w:sz w:val="20"/>
                <w:szCs w:val="20"/>
              </w:rPr>
              <w:t xml:space="preserve">000.000 </w:t>
            </w:r>
            <w:r>
              <w:rPr>
                <w:sz w:val="20"/>
                <w:szCs w:val="20"/>
              </w:rPr>
              <w:t>EUR</w:t>
            </w:r>
            <w:r w:rsidRPr="00605612">
              <w:rPr>
                <w:sz w:val="20"/>
                <w:szCs w:val="20"/>
              </w:rPr>
              <w:t>. Podatki o davku na dobiček morajo biti javno objavljeni v 12 mesecih od datuma bilance stanja za poslovno leto, za katero se poročilo sestavlja.</w:t>
            </w:r>
          </w:p>
          <w:p w14:paraId="3C1D16CF" w14:textId="77777777" w:rsidR="000C08CA" w:rsidRPr="00605612" w:rsidRDefault="000C08CA" w:rsidP="00FE328D">
            <w:pPr>
              <w:rPr>
                <w:rFonts w:cs="Arial"/>
                <w:b/>
                <w:color w:val="000000" w:themeColor="text1"/>
                <w:szCs w:val="20"/>
              </w:rPr>
            </w:pPr>
          </w:p>
          <w:p w14:paraId="4300CC7B"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r w:rsidRPr="00605612">
              <w:rPr>
                <w:color w:val="000000" w:themeColor="text1"/>
                <w:sz w:val="20"/>
                <w:szCs w:val="20"/>
                <w:u w:val="single"/>
              </w:rPr>
              <w:t>Ureditve</w:t>
            </w:r>
            <w:r>
              <w:rPr>
                <w:color w:val="000000" w:themeColor="text1"/>
                <w:sz w:val="20"/>
                <w:szCs w:val="20"/>
                <w:u w:val="single"/>
              </w:rPr>
              <w:t>,</w:t>
            </w:r>
            <w:r w:rsidRPr="00605612">
              <w:rPr>
                <w:color w:val="000000" w:themeColor="text1"/>
                <w:sz w:val="20"/>
                <w:szCs w:val="20"/>
                <w:u w:val="single"/>
              </w:rPr>
              <w:t xml:space="preserve"> usklajene z Direktivo 2022/2464/EU:</w:t>
            </w:r>
          </w:p>
          <w:p w14:paraId="10B156E4"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7E5F11E3"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201A21">
              <w:rPr>
                <w:color w:val="000000" w:themeColor="text1"/>
                <w:sz w:val="20"/>
                <w:szCs w:val="20"/>
              </w:rPr>
              <w:t xml:space="preserve">Na podlagi Direktive 2022/2464/EU </w:t>
            </w:r>
            <w:r w:rsidRPr="002444E0">
              <w:rPr>
                <w:color w:val="000000" w:themeColor="text1"/>
                <w:sz w:val="20"/>
                <w:szCs w:val="20"/>
              </w:rPr>
              <w:t xml:space="preserve">države članice </w:t>
            </w:r>
            <w:r>
              <w:rPr>
                <w:color w:val="000000" w:themeColor="text1"/>
                <w:sz w:val="20"/>
                <w:szCs w:val="20"/>
              </w:rPr>
              <w:t xml:space="preserve">EU </w:t>
            </w:r>
            <w:r w:rsidRPr="002444E0">
              <w:rPr>
                <w:color w:val="000000" w:themeColor="text1"/>
                <w:sz w:val="20"/>
                <w:szCs w:val="20"/>
              </w:rPr>
              <w:t xml:space="preserve">še sprejemajo zakonodajo, zato </w:t>
            </w:r>
            <w:r w:rsidRPr="00201A21">
              <w:rPr>
                <w:color w:val="000000" w:themeColor="text1"/>
                <w:sz w:val="20"/>
                <w:szCs w:val="20"/>
              </w:rPr>
              <w:t xml:space="preserve">prikaz ureditve v drugih pravnih sistemih </w:t>
            </w:r>
            <w:r>
              <w:rPr>
                <w:color w:val="000000" w:themeColor="text1"/>
                <w:sz w:val="20"/>
                <w:szCs w:val="20"/>
              </w:rPr>
              <w:t>trenutno še ni smotrn</w:t>
            </w:r>
            <w:r w:rsidRPr="00201A21">
              <w:rPr>
                <w:color w:val="000000" w:themeColor="text1"/>
                <w:sz w:val="20"/>
                <w:szCs w:val="20"/>
              </w:rPr>
              <w:t>.</w:t>
            </w:r>
            <w:r w:rsidRPr="00605612">
              <w:rPr>
                <w:color w:val="000000" w:themeColor="text1"/>
                <w:sz w:val="20"/>
                <w:szCs w:val="20"/>
              </w:rPr>
              <w:t xml:space="preserve"> </w:t>
            </w:r>
          </w:p>
          <w:p w14:paraId="203E1FFD"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p>
          <w:p w14:paraId="0A5DDD64" w14:textId="77777777" w:rsidR="000C08CA" w:rsidRPr="00605612" w:rsidRDefault="000C08CA" w:rsidP="00FE328D">
            <w:pPr>
              <w:pStyle w:val="Alineazaodstavkom"/>
              <w:numPr>
                <w:ilvl w:val="0"/>
                <w:numId w:val="0"/>
              </w:numPr>
              <w:spacing w:line="260" w:lineRule="exact"/>
              <w:rPr>
                <w:color w:val="000000" w:themeColor="text1"/>
                <w:sz w:val="20"/>
                <w:szCs w:val="20"/>
                <w:u w:val="single"/>
              </w:rPr>
            </w:pPr>
            <w:r w:rsidRPr="00605612">
              <w:rPr>
                <w:color w:val="000000" w:themeColor="text1"/>
                <w:sz w:val="20"/>
                <w:szCs w:val="20"/>
                <w:u w:val="single"/>
              </w:rPr>
              <w:t>Ureditve</w:t>
            </w:r>
            <w:r>
              <w:rPr>
                <w:color w:val="000000" w:themeColor="text1"/>
                <w:sz w:val="20"/>
                <w:szCs w:val="20"/>
                <w:u w:val="single"/>
              </w:rPr>
              <w:t>,</w:t>
            </w:r>
            <w:r w:rsidRPr="00605612">
              <w:rPr>
                <w:color w:val="000000" w:themeColor="text1"/>
                <w:sz w:val="20"/>
                <w:szCs w:val="20"/>
                <w:u w:val="single"/>
              </w:rPr>
              <w:t xml:space="preserve"> usklajene z Direktivo 2022/2381/EU:</w:t>
            </w:r>
          </w:p>
          <w:p w14:paraId="4E030CCF"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660F45FA" w14:textId="77777777" w:rsidR="000C08CA" w:rsidRPr="00605612" w:rsidRDefault="000C08CA" w:rsidP="00FE328D">
            <w:pPr>
              <w:spacing w:after="160" w:line="276" w:lineRule="auto"/>
              <w:jc w:val="both"/>
              <w:rPr>
                <w:rFonts w:eastAsia="Arial" w:cs="Arial"/>
                <w:b/>
                <w:bCs/>
                <w:szCs w:val="20"/>
              </w:rPr>
            </w:pPr>
            <w:r w:rsidRPr="00605612">
              <w:rPr>
                <w:rFonts w:eastAsia="Arial" w:cs="Arial"/>
                <w:b/>
                <w:bCs/>
                <w:szCs w:val="20"/>
              </w:rPr>
              <w:t>Zvezna republika Nemčija</w:t>
            </w:r>
          </w:p>
          <w:p w14:paraId="72FC6D6C"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V Zvezni republiki Nemčiji je bil leta 2015 sprejet prvi </w:t>
            </w:r>
            <w:r>
              <w:rPr>
                <w:rFonts w:eastAsia="Arial" w:cs="Arial"/>
                <w:color w:val="000000" w:themeColor="text1"/>
                <w:szCs w:val="20"/>
              </w:rPr>
              <w:t>z</w:t>
            </w:r>
            <w:r w:rsidRPr="00605612">
              <w:rPr>
                <w:rFonts w:eastAsia="Arial" w:cs="Arial"/>
                <w:color w:val="000000" w:themeColor="text1"/>
                <w:szCs w:val="20"/>
              </w:rPr>
              <w:t>akon o enakopravni udeležbi žensk in moških na vodilnih položajih v zasebnem in javnem sektorju (</w:t>
            </w:r>
            <w:r w:rsidRPr="00605612">
              <w:rPr>
                <w:rFonts w:eastAsia="Arial" w:cs="Arial"/>
                <w:i/>
                <w:iCs/>
                <w:color w:val="000000" w:themeColor="text1"/>
                <w:szCs w:val="20"/>
              </w:rPr>
              <w:t>Gesetz</w:t>
            </w:r>
            <w:r w:rsidRPr="00605612">
              <w:rPr>
                <w:rFonts w:eastAsia="Arial" w:cs="Arial"/>
                <w:i/>
                <w:iCs/>
                <w:szCs w:val="20"/>
              </w:rPr>
              <w:t xml:space="preserve"> fur </w:t>
            </w:r>
            <w:r w:rsidRPr="00605612">
              <w:rPr>
                <w:rFonts w:eastAsia="Arial" w:cs="Arial"/>
                <w:i/>
                <w:iCs/>
                <w:color w:val="000000" w:themeColor="text1"/>
                <w:szCs w:val="20"/>
              </w:rPr>
              <w:t>die gleichberechtigte Teilhabe von Frauen und Männern</w:t>
            </w:r>
            <w:r w:rsidRPr="00605612">
              <w:rPr>
                <w:rFonts w:eastAsia="Arial" w:cs="Arial"/>
                <w:i/>
                <w:iCs/>
                <w:szCs w:val="20"/>
              </w:rPr>
              <w:t xml:space="preserve"> </w:t>
            </w:r>
            <w:r w:rsidRPr="00605612">
              <w:rPr>
                <w:rFonts w:eastAsia="Arial" w:cs="Arial"/>
                <w:i/>
                <w:iCs/>
                <w:color w:val="000000" w:themeColor="text1"/>
                <w:szCs w:val="20"/>
              </w:rPr>
              <w:t xml:space="preserve">an Führungspositionen in der Privatwirtschaft und im öffentlichen Dienst, </w:t>
            </w:r>
            <w:r w:rsidRPr="00605612">
              <w:rPr>
                <w:rFonts w:eastAsia="Arial" w:cs="Arial"/>
                <w:i/>
                <w:iCs/>
                <w:szCs w:val="20"/>
              </w:rPr>
              <w:t>Bundesgesetzblatt Jahrgang 2015 Teil I Nr. 17, ausgegeben zu Bonn am 30. April</w:t>
            </w:r>
            <w:r>
              <w:rPr>
                <w:rFonts w:eastAsia="Arial" w:cs="Arial"/>
                <w:szCs w:val="20"/>
              </w:rPr>
              <w:t xml:space="preserve">; </w:t>
            </w:r>
            <w:r w:rsidRPr="00605612">
              <w:rPr>
                <w:rFonts w:eastAsia="Arial" w:cs="Arial"/>
                <w:szCs w:val="20"/>
              </w:rPr>
              <w:t>v nadalj</w:t>
            </w:r>
            <w:r>
              <w:rPr>
                <w:rFonts w:eastAsia="Arial" w:cs="Arial"/>
                <w:szCs w:val="20"/>
              </w:rPr>
              <w:t>njem besedilu</w:t>
            </w:r>
            <w:r w:rsidRPr="00605612">
              <w:rPr>
                <w:rFonts w:eastAsia="Arial" w:cs="Arial"/>
                <w:szCs w:val="20"/>
              </w:rPr>
              <w:t xml:space="preserve">: </w:t>
            </w:r>
            <w:r w:rsidRPr="00605612">
              <w:rPr>
                <w:rFonts w:eastAsia="Arial" w:cs="Arial"/>
                <w:color w:val="000000" w:themeColor="text1"/>
                <w:szCs w:val="20"/>
              </w:rPr>
              <w:t>FüPoG</w:t>
            </w:r>
            <w:r w:rsidRPr="00605612">
              <w:rPr>
                <w:rFonts w:eastAsia="Arial" w:cs="Arial"/>
                <w:szCs w:val="20"/>
              </w:rPr>
              <w:t xml:space="preserve">). </w:t>
            </w:r>
            <w:r w:rsidRPr="00605612">
              <w:rPr>
                <w:rFonts w:eastAsia="Arial" w:cs="Arial"/>
                <w:color w:val="000000" w:themeColor="text1"/>
                <w:szCs w:val="20"/>
              </w:rPr>
              <w:t>Cilj FüPoG</w:t>
            </w:r>
            <w:r>
              <w:rPr>
                <w:rFonts w:eastAsia="Arial" w:cs="Arial"/>
                <w:color w:val="000000" w:themeColor="text1"/>
                <w:szCs w:val="20"/>
              </w:rPr>
              <w:t>a</w:t>
            </w:r>
            <w:r w:rsidRPr="00605612">
              <w:rPr>
                <w:rFonts w:eastAsia="Arial" w:cs="Arial"/>
                <w:color w:val="000000" w:themeColor="text1"/>
                <w:szCs w:val="20"/>
              </w:rPr>
              <w:t xml:space="preserve"> je bil povečati delež žensk na vodstvenih položajih v zasebnem in javnem sektorju, da bi spodbudili enakopravno udeležbo žensk in moških </w:t>
            </w:r>
            <w:r>
              <w:rPr>
                <w:rFonts w:eastAsia="Arial" w:cs="Arial"/>
                <w:color w:val="000000" w:themeColor="text1"/>
                <w:szCs w:val="20"/>
              </w:rPr>
              <w:t xml:space="preserve">na </w:t>
            </w:r>
            <w:r w:rsidRPr="00605612">
              <w:rPr>
                <w:rFonts w:eastAsia="Arial" w:cs="Arial"/>
                <w:color w:val="000000" w:themeColor="text1"/>
                <w:szCs w:val="20"/>
              </w:rPr>
              <w:t>teh položajih. V ta namen je bil določen delež najmanj 30</w:t>
            </w:r>
            <w:r>
              <w:rPr>
                <w:rFonts w:eastAsia="Arial" w:cs="Arial"/>
                <w:color w:val="000000" w:themeColor="text1"/>
                <w:szCs w:val="20"/>
              </w:rPr>
              <w:t>-odstotne</w:t>
            </w:r>
            <w:r w:rsidRPr="00605612">
              <w:rPr>
                <w:rFonts w:eastAsia="Arial" w:cs="Arial"/>
                <w:color w:val="000000" w:themeColor="text1"/>
                <w:szCs w:val="20"/>
              </w:rPr>
              <w:t xml:space="preserve"> zastopanosti obeh spolov za člane nadzornih svetov družb, </w:t>
            </w:r>
            <w:r>
              <w:rPr>
                <w:rFonts w:eastAsia="Arial" w:cs="Arial"/>
                <w:color w:val="000000" w:themeColor="text1"/>
                <w:szCs w:val="20"/>
              </w:rPr>
              <w:t>z</w:t>
            </w:r>
            <w:r w:rsidRPr="00605612" w:rsidDel="0026498B">
              <w:rPr>
                <w:rFonts w:eastAsia="Arial" w:cs="Arial"/>
                <w:color w:val="000000" w:themeColor="text1"/>
                <w:szCs w:val="20"/>
              </w:rPr>
              <w:t xml:space="preserve"> </w:t>
            </w:r>
            <w:r w:rsidRPr="00605612">
              <w:rPr>
                <w:rFonts w:eastAsia="Arial" w:cs="Arial"/>
                <w:color w:val="000000" w:themeColor="text1"/>
                <w:szCs w:val="20"/>
              </w:rPr>
              <w:t>vrednostnimi papirji kateri</w:t>
            </w:r>
            <w:r>
              <w:rPr>
                <w:rFonts w:eastAsia="Arial" w:cs="Arial"/>
                <w:color w:val="000000" w:themeColor="text1"/>
                <w:szCs w:val="20"/>
              </w:rPr>
              <w:t>h</w:t>
            </w:r>
            <w:r w:rsidRPr="00605612">
              <w:rPr>
                <w:rFonts w:eastAsia="Arial" w:cs="Arial"/>
                <w:color w:val="000000" w:themeColor="text1"/>
                <w:szCs w:val="20"/>
              </w:rPr>
              <w:t xml:space="preserve"> se trguje na organiziranem trgu in so hkrati družbe z enakopravnim </w:t>
            </w:r>
            <w:r w:rsidRPr="00605612">
              <w:rPr>
                <w:rFonts w:eastAsia="Arial" w:cs="Arial"/>
                <w:color w:val="000000" w:themeColor="text1"/>
                <w:szCs w:val="20"/>
              </w:rPr>
              <w:lastRenderedPageBreak/>
              <w:t>soodločanjem</w:t>
            </w:r>
            <w:r w:rsidRPr="00605612">
              <w:rPr>
                <w:rStyle w:val="FootnoteReference"/>
                <w:rFonts w:eastAsia="Arial" w:cs="Arial"/>
                <w:color w:val="000000" w:themeColor="text1"/>
                <w:szCs w:val="20"/>
              </w:rPr>
              <w:footnoteReference w:id="32"/>
            </w:r>
            <w:r w:rsidRPr="00605612">
              <w:rPr>
                <w:rFonts w:eastAsia="Arial" w:cs="Arial"/>
                <w:color w:val="000000" w:themeColor="text1"/>
                <w:szCs w:val="20"/>
              </w:rPr>
              <w:t xml:space="preserve"> (gl. </w:t>
            </w:r>
            <w:r>
              <w:rPr>
                <w:rFonts w:eastAsia="Arial" w:cs="Arial"/>
                <w:color w:val="000000" w:themeColor="text1"/>
                <w:szCs w:val="20"/>
              </w:rPr>
              <w:t>člen</w:t>
            </w:r>
            <w:r w:rsidRPr="00605612">
              <w:rPr>
                <w:rFonts w:eastAsia="Arial" w:cs="Arial"/>
                <w:color w:val="000000" w:themeColor="text1"/>
                <w:szCs w:val="20"/>
              </w:rPr>
              <w:t xml:space="preserve"> 96</w:t>
            </w:r>
            <w:r>
              <w:rPr>
                <w:rFonts w:eastAsia="Arial" w:cs="Arial"/>
                <w:color w:val="000000" w:themeColor="text1"/>
                <w:szCs w:val="20"/>
              </w:rPr>
              <w:t>,</w:t>
            </w:r>
            <w:r w:rsidRPr="00605612">
              <w:rPr>
                <w:rFonts w:eastAsia="Arial" w:cs="Arial"/>
                <w:color w:val="000000" w:themeColor="text1"/>
                <w:szCs w:val="20"/>
              </w:rPr>
              <w:t xml:space="preserve"> odstavek 2</w:t>
            </w:r>
            <w:r>
              <w:rPr>
                <w:rFonts w:eastAsia="Arial" w:cs="Arial"/>
                <w:color w:val="000000" w:themeColor="text1"/>
                <w:szCs w:val="20"/>
              </w:rPr>
              <w:t>,</w:t>
            </w:r>
            <w:r w:rsidRPr="00605612">
              <w:rPr>
                <w:rFonts w:eastAsia="Arial" w:cs="Arial"/>
                <w:color w:val="000000" w:themeColor="text1"/>
                <w:szCs w:val="20"/>
              </w:rPr>
              <w:t xml:space="preserve"> </w:t>
            </w:r>
            <w:r>
              <w:rPr>
                <w:rFonts w:eastAsia="Arial" w:cs="Arial"/>
                <w:color w:val="000000" w:themeColor="text1"/>
                <w:szCs w:val="20"/>
              </w:rPr>
              <w:t>z</w:t>
            </w:r>
            <w:r w:rsidRPr="00605612">
              <w:rPr>
                <w:rFonts w:eastAsia="Arial" w:cs="Arial"/>
                <w:color w:val="000000" w:themeColor="text1"/>
                <w:szCs w:val="20"/>
              </w:rPr>
              <w:t xml:space="preserve">akona o delniških družbah (AktG) in </w:t>
            </w:r>
            <w:r>
              <w:rPr>
                <w:rFonts w:eastAsia="Arial" w:cs="Arial"/>
                <w:color w:val="000000" w:themeColor="text1"/>
                <w:szCs w:val="20"/>
              </w:rPr>
              <w:t>člen</w:t>
            </w:r>
            <w:r w:rsidRPr="00605612">
              <w:rPr>
                <w:rFonts w:eastAsia="Arial" w:cs="Arial"/>
                <w:color w:val="000000" w:themeColor="text1"/>
                <w:szCs w:val="20"/>
              </w:rPr>
              <w:t xml:space="preserve"> 52</w:t>
            </w:r>
            <w:r>
              <w:rPr>
                <w:rFonts w:eastAsia="Arial" w:cs="Arial"/>
                <w:color w:val="000000" w:themeColor="text1"/>
                <w:szCs w:val="20"/>
              </w:rPr>
              <w:t>,</w:t>
            </w:r>
            <w:r w:rsidRPr="00605612">
              <w:rPr>
                <w:rFonts w:eastAsia="Arial" w:cs="Arial"/>
                <w:color w:val="000000" w:themeColor="text1"/>
                <w:szCs w:val="20"/>
              </w:rPr>
              <w:t xml:space="preserve"> odstavek 2</w:t>
            </w:r>
            <w:r>
              <w:rPr>
                <w:rFonts w:eastAsia="Arial" w:cs="Arial"/>
                <w:color w:val="000000" w:themeColor="text1"/>
                <w:szCs w:val="20"/>
              </w:rPr>
              <w:t>,</w:t>
            </w:r>
            <w:r w:rsidRPr="00605612">
              <w:rPr>
                <w:rFonts w:eastAsia="Arial" w:cs="Arial"/>
                <w:color w:val="000000" w:themeColor="text1"/>
                <w:szCs w:val="20"/>
              </w:rPr>
              <w:t xml:space="preserve"> </w:t>
            </w:r>
            <w:r>
              <w:rPr>
                <w:rFonts w:eastAsia="Arial" w:cs="Arial"/>
                <w:color w:val="000000" w:themeColor="text1"/>
                <w:szCs w:val="20"/>
              </w:rPr>
              <w:t>z</w:t>
            </w:r>
            <w:r w:rsidRPr="00605612">
              <w:rPr>
                <w:rFonts w:eastAsia="Arial" w:cs="Arial"/>
                <w:color w:val="000000" w:themeColor="text1"/>
                <w:szCs w:val="20"/>
              </w:rPr>
              <w:t xml:space="preserve">akona o družbah z omejeno odgovornostjo (GmbHG)). Družbe, </w:t>
            </w:r>
            <w:r>
              <w:rPr>
                <w:rFonts w:eastAsia="Arial" w:cs="Arial"/>
                <w:color w:val="000000" w:themeColor="text1"/>
                <w:szCs w:val="20"/>
              </w:rPr>
              <w:t>z</w:t>
            </w:r>
            <w:r w:rsidRPr="00605612" w:rsidDel="0026498B">
              <w:rPr>
                <w:rFonts w:eastAsia="Arial" w:cs="Arial"/>
                <w:color w:val="000000" w:themeColor="text1"/>
                <w:szCs w:val="20"/>
              </w:rPr>
              <w:t xml:space="preserve"> </w:t>
            </w:r>
            <w:r w:rsidRPr="00605612">
              <w:rPr>
                <w:rFonts w:eastAsia="Arial" w:cs="Arial"/>
                <w:color w:val="000000" w:themeColor="text1"/>
                <w:szCs w:val="20"/>
              </w:rPr>
              <w:t>vrednostnimi papirji kateri</w:t>
            </w:r>
            <w:r>
              <w:rPr>
                <w:rFonts w:eastAsia="Arial" w:cs="Arial"/>
                <w:color w:val="000000" w:themeColor="text1"/>
                <w:szCs w:val="20"/>
              </w:rPr>
              <w:t>h</w:t>
            </w:r>
            <w:r w:rsidRPr="00605612">
              <w:rPr>
                <w:rFonts w:eastAsia="Arial" w:cs="Arial"/>
                <w:color w:val="000000" w:themeColor="text1"/>
                <w:szCs w:val="20"/>
              </w:rPr>
              <w:t xml:space="preserve"> se trguje na organiziranem trgu</w:t>
            </w:r>
            <w:r>
              <w:rPr>
                <w:rFonts w:eastAsia="Arial" w:cs="Arial"/>
                <w:color w:val="000000" w:themeColor="text1"/>
                <w:szCs w:val="20"/>
              </w:rPr>
              <w:t>,</w:t>
            </w:r>
            <w:r w:rsidRPr="00605612">
              <w:rPr>
                <w:rFonts w:eastAsia="Arial" w:cs="Arial"/>
                <w:color w:val="000000" w:themeColor="text1"/>
                <w:szCs w:val="20"/>
              </w:rPr>
              <w:t xml:space="preserve"> ali družbe z enakovrednim soodločanjem so zavezane, da določijo prostovoljni ciljni delež zastopanosti žensk v nadzornih svetih, upravah in </w:t>
            </w:r>
            <w:r>
              <w:rPr>
                <w:rFonts w:eastAsia="Arial" w:cs="Arial"/>
                <w:color w:val="000000" w:themeColor="text1"/>
                <w:szCs w:val="20"/>
              </w:rPr>
              <w:t xml:space="preserve">na </w:t>
            </w:r>
            <w:r w:rsidRPr="00605612">
              <w:rPr>
                <w:rFonts w:eastAsia="Arial" w:cs="Arial"/>
                <w:color w:val="000000" w:themeColor="text1"/>
                <w:szCs w:val="20"/>
              </w:rPr>
              <w:t xml:space="preserve">najvišjih dveh vodstvenih ravneh pod upravo. V praksi so v preteklosti družbe pogosto določile ciljni delež </w:t>
            </w:r>
            <w:r w:rsidRPr="009F288E">
              <w:rPr>
                <w:rFonts w:eastAsia="Arial" w:cs="Arial"/>
                <w:i/>
                <w:color w:val="000000" w:themeColor="text1"/>
                <w:szCs w:val="20"/>
              </w:rPr>
              <w:t>nič</w:t>
            </w:r>
            <w:r w:rsidRPr="00605612">
              <w:rPr>
                <w:rFonts w:eastAsia="Arial" w:cs="Arial"/>
                <w:color w:val="000000" w:themeColor="text1"/>
                <w:szCs w:val="20"/>
              </w:rPr>
              <w:t>. Z zakonom je določen tudi najmanj 30</w:t>
            </w:r>
            <w:r>
              <w:rPr>
                <w:rFonts w:eastAsia="Arial" w:cs="Arial"/>
                <w:color w:val="000000" w:themeColor="text1"/>
                <w:szCs w:val="20"/>
              </w:rPr>
              <w:t>-odstotni</w:t>
            </w:r>
            <w:r w:rsidRPr="00605612">
              <w:rPr>
                <w:rFonts w:eastAsia="Arial" w:cs="Arial"/>
                <w:color w:val="000000" w:themeColor="text1"/>
                <w:szCs w:val="20"/>
              </w:rPr>
              <w:t xml:space="preserve"> delež zastopanosti enega spola za vsa nova imenovanja v nadzorne organe družb, v katerih je konfederacija upravičena do vsaj treh sedežev.</w:t>
            </w:r>
          </w:p>
          <w:p w14:paraId="58FEADC3"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Na podlagi FüPoG</w:t>
            </w:r>
            <w:r>
              <w:rPr>
                <w:rFonts w:eastAsia="Arial" w:cs="Arial"/>
                <w:color w:val="000000" w:themeColor="text1"/>
                <w:szCs w:val="20"/>
              </w:rPr>
              <w:t>a</w:t>
            </w:r>
            <w:r w:rsidRPr="00605612">
              <w:rPr>
                <w:rFonts w:eastAsia="Arial" w:cs="Arial"/>
                <w:color w:val="000000" w:themeColor="text1"/>
                <w:szCs w:val="20"/>
              </w:rPr>
              <w:t xml:space="preserve"> želeni cilji niso bili doseženi. Ženske so bile še vedno premalo zastopane v upravah oz. na izvršnih direktorskih mestih, ker si je veliko podjetij zastavilo ciljni delež </w:t>
            </w:r>
            <w:r w:rsidRPr="00C61DF5">
              <w:rPr>
                <w:rFonts w:eastAsia="Arial" w:cs="Arial"/>
                <w:i/>
                <w:color w:val="000000" w:themeColor="text1"/>
                <w:szCs w:val="20"/>
              </w:rPr>
              <w:t>nič</w:t>
            </w:r>
            <w:r w:rsidRPr="00605612">
              <w:rPr>
                <w:rFonts w:eastAsia="Arial" w:cs="Arial"/>
                <w:color w:val="000000" w:themeColor="text1"/>
                <w:szCs w:val="20"/>
              </w:rPr>
              <w:t xml:space="preserve"> za zastopanost žensk na vodstvenih oz. poslovodnih položajih.</w:t>
            </w:r>
          </w:p>
          <w:p w14:paraId="3D5CF07A" w14:textId="77777777" w:rsidR="000C08CA" w:rsidRPr="00605612" w:rsidRDefault="000C08CA" w:rsidP="00FE328D">
            <w:pPr>
              <w:spacing w:after="160" w:line="276" w:lineRule="auto"/>
              <w:jc w:val="both"/>
              <w:rPr>
                <w:rFonts w:eastAsia="Arial" w:cs="Arial"/>
                <w:color w:val="000000" w:themeColor="text1"/>
                <w:szCs w:val="20"/>
              </w:rPr>
            </w:pPr>
            <w:r>
              <w:rPr>
                <w:rFonts w:eastAsia="Arial" w:cs="Arial"/>
                <w:color w:val="000000" w:themeColor="text1"/>
                <w:szCs w:val="20"/>
              </w:rPr>
              <w:t>Za</w:t>
            </w:r>
            <w:r w:rsidRPr="00605612">
              <w:rPr>
                <w:rFonts w:eastAsia="Arial" w:cs="Arial"/>
                <w:color w:val="000000" w:themeColor="text1"/>
                <w:szCs w:val="20"/>
              </w:rPr>
              <w:t xml:space="preserve"> nadaljnj</w:t>
            </w:r>
            <w:r>
              <w:rPr>
                <w:rFonts w:eastAsia="Arial" w:cs="Arial"/>
                <w:color w:val="000000" w:themeColor="text1"/>
                <w:szCs w:val="20"/>
              </w:rPr>
              <w:t>i</w:t>
            </w:r>
            <w:r w:rsidRPr="00605612">
              <w:rPr>
                <w:rFonts w:eastAsia="Arial" w:cs="Arial"/>
                <w:color w:val="000000" w:themeColor="text1"/>
                <w:szCs w:val="20"/>
              </w:rPr>
              <w:t xml:space="preserve"> razvoj </w:t>
            </w:r>
            <w:r>
              <w:rPr>
                <w:rFonts w:eastAsia="Arial" w:cs="Arial"/>
                <w:color w:val="000000" w:themeColor="text1"/>
                <w:szCs w:val="20"/>
              </w:rPr>
              <w:t>glede</w:t>
            </w:r>
            <w:r w:rsidRPr="00605612">
              <w:rPr>
                <w:rFonts w:eastAsia="Arial" w:cs="Arial"/>
                <w:color w:val="000000" w:themeColor="text1"/>
                <w:szCs w:val="20"/>
              </w:rPr>
              <w:t xml:space="preserve"> povečanja deleža žensk na vodstvenih položajih in zapolnitvijo nastale vrzeli je bil leta 2021 sprejet </w:t>
            </w:r>
            <w:r>
              <w:rPr>
                <w:rFonts w:eastAsia="Arial" w:cs="Arial"/>
                <w:color w:val="210611"/>
                <w:szCs w:val="20"/>
              </w:rPr>
              <w:t>z</w:t>
            </w:r>
            <w:r w:rsidRPr="00605612">
              <w:rPr>
                <w:rFonts w:eastAsia="Arial" w:cs="Arial"/>
                <w:color w:val="210611"/>
                <w:szCs w:val="20"/>
              </w:rPr>
              <w:t>akon o dopolnitvah in spremembah predpisov za enakopravno udeležbo žensk in moških na vodilnih položajih v zasebnem in javnem sektorju (Das Gesetz zur Ergänzung und Änderung der Regelungen für die gleichberechtigte Teilhabe von Frauen und Männern an Führungspositionen in der Privatwirtschaft und im öffentlichen Dienst</w:t>
            </w:r>
            <w:r>
              <w:rPr>
                <w:rFonts w:eastAsia="Arial" w:cs="Arial"/>
                <w:color w:val="210611"/>
                <w:szCs w:val="20"/>
              </w:rPr>
              <w:t xml:space="preserve">; </w:t>
            </w:r>
            <w:r>
              <w:rPr>
                <w:rFonts w:eastAsia="Arial" w:cs="Arial"/>
                <w:color w:val="000000" w:themeColor="text1"/>
                <w:szCs w:val="20"/>
              </w:rPr>
              <w:t xml:space="preserve">v nadaljnjem besedilu: </w:t>
            </w:r>
            <w:r w:rsidRPr="00605612">
              <w:rPr>
                <w:rFonts w:eastAsia="Arial" w:cs="Arial"/>
                <w:color w:val="000000" w:themeColor="text1"/>
                <w:szCs w:val="20"/>
              </w:rPr>
              <w:t>FüPoG II).</w:t>
            </w:r>
          </w:p>
          <w:p w14:paraId="31823B9B"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FuPoG II je določil, da morajo imeti družbe, </w:t>
            </w:r>
            <w:r>
              <w:rPr>
                <w:rFonts w:eastAsia="Arial" w:cs="Arial"/>
                <w:color w:val="000000" w:themeColor="text1"/>
                <w:szCs w:val="20"/>
              </w:rPr>
              <w:t>z</w:t>
            </w:r>
            <w:r w:rsidRPr="00605612" w:rsidDel="0026498B">
              <w:rPr>
                <w:rFonts w:eastAsia="Arial" w:cs="Arial"/>
                <w:color w:val="000000" w:themeColor="text1"/>
                <w:szCs w:val="20"/>
              </w:rPr>
              <w:t xml:space="preserve"> </w:t>
            </w:r>
            <w:r w:rsidRPr="00605612">
              <w:rPr>
                <w:rFonts w:eastAsia="Arial" w:cs="Arial"/>
                <w:color w:val="000000" w:themeColor="text1"/>
                <w:szCs w:val="20"/>
              </w:rPr>
              <w:t>vrednostnimi papirji kateri</w:t>
            </w:r>
            <w:r>
              <w:rPr>
                <w:rFonts w:eastAsia="Arial" w:cs="Arial"/>
                <w:color w:val="000000" w:themeColor="text1"/>
                <w:szCs w:val="20"/>
              </w:rPr>
              <w:t>h</w:t>
            </w:r>
            <w:r w:rsidRPr="00605612">
              <w:rPr>
                <w:rFonts w:eastAsia="Arial" w:cs="Arial"/>
                <w:color w:val="000000" w:themeColor="text1"/>
                <w:szCs w:val="20"/>
              </w:rPr>
              <w:t xml:space="preserve"> se trguje na organiziranem trgu in so hkrati družbe z enakopravnim soodločanjem, ki imajo</w:t>
            </w:r>
            <w:r w:rsidRPr="00605612">
              <w:rPr>
                <w:rFonts w:eastAsia="Arial" w:cs="Arial"/>
                <w:b/>
                <w:bCs/>
                <w:color w:val="000000" w:themeColor="text1"/>
                <w:szCs w:val="20"/>
              </w:rPr>
              <w:t xml:space="preserve"> </w:t>
            </w:r>
            <w:r w:rsidRPr="00605612">
              <w:rPr>
                <w:rFonts w:eastAsia="Arial" w:cs="Arial"/>
                <w:color w:val="000000" w:themeColor="text1"/>
                <w:szCs w:val="20"/>
              </w:rPr>
              <w:t>več kot tričlansko upravo, v teh organih vsaj eno žensko in enega moškega. V primeru imenovanja, ki krši navedeno zahtevo, je to neveljavno oziroma nično. To velja za delniške družbe (AG) in evropske delniške družbe (SE) (gl. člen 76</w:t>
            </w:r>
            <w:r>
              <w:rPr>
                <w:rFonts w:eastAsia="Arial" w:cs="Arial"/>
                <w:color w:val="000000" w:themeColor="text1"/>
                <w:szCs w:val="20"/>
              </w:rPr>
              <w:t>,</w:t>
            </w:r>
            <w:r w:rsidRPr="00605612">
              <w:rPr>
                <w:rFonts w:eastAsia="Arial" w:cs="Arial"/>
                <w:color w:val="000000" w:themeColor="text1"/>
                <w:szCs w:val="20"/>
              </w:rPr>
              <w:t xml:space="preserve"> odstavek 3a</w:t>
            </w:r>
            <w:r>
              <w:rPr>
                <w:rFonts w:eastAsia="Arial" w:cs="Arial"/>
                <w:color w:val="000000" w:themeColor="text1"/>
                <w:szCs w:val="20"/>
              </w:rPr>
              <w:t>,</w:t>
            </w:r>
            <w:r w:rsidRPr="00605612">
              <w:rPr>
                <w:rFonts w:eastAsia="Arial" w:cs="Arial"/>
                <w:color w:val="000000" w:themeColor="text1"/>
                <w:szCs w:val="20"/>
              </w:rPr>
              <w:t xml:space="preserve"> </w:t>
            </w:r>
            <w:r>
              <w:rPr>
                <w:rFonts w:eastAsia="Arial" w:cs="Arial"/>
                <w:color w:val="000000" w:themeColor="text1"/>
                <w:szCs w:val="20"/>
              </w:rPr>
              <w:t>z</w:t>
            </w:r>
            <w:r w:rsidRPr="00605612">
              <w:rPr>
                <w:rFonts w:eastAsia="Arial" w:cs="Arial"/>
                <w:color w:val="000000" w:themeColor="text1"/>
                <w:szCs w:val="20"/>
              </w:rPr>
              <w:t>akona o delniških družbah</w:t>
            </w:r>
            <w:r>
              <w:rPr>
                <w:rFonts w:eastAsia="Arial" w:cs="Arial"/>
                <w:color w:val="000000" w:themeColor="text1"/>
                <w:szCs w:val="20"/>
              </w:rPr>
              <w:t>,</w:t>
            </w:r>
            <w:r w:rsidRPr="00605612" w:rsidDel="003F38B7">
              <w:rPr>
                <w:rFonts w:eastAsia="Arial" w:cs="Arial"/>
                <w:color w:val="000000" w:themeColor="text1"/>
                <w:szCs w:val="20"/>
              </w:rPr>
              <w:t xml:space="preserve"> </w:t>
            </w:r>
            <w:r w:rsidRPr="00605612">
              <w:rPr>
                <w:rFonts w:eastAsia="Arial" w:cs="Arial"/>
                <w:color w:val="000000" w:themeColor="text1"/>
                <w:szCs w:val="20"/>
              </w:rPr>
              <w:t xml:space="preserve">AktG). </w:t>
            </w:r>
          </w:p>
          <w:p w14:paraId="6C35877E"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 xml:space="preserve">Delniške družbe, </w:t>
            </w:r>
            <w:r>
              <w:rPr>
                <w:rFonts w:eastAsia="Arial" w:cs="Arial"/>
                <w:color w:val="000000" w:themeColor="text1"/>
                <w:szCs w:val="20"/>
              </w:rPr>
              <w:t>z</w:t>
            </w:r>
            <w:r w:rsidRPr="00605612" w:rsidDel="0026498B">
              <w:rPr>
                <w:rFonts w:eastAsia="Arial" w:cs="Arial"/>
                <w:color w:val="000000" w:themeColor="text1"/>
                <w:szCs w:val="20"/>
              </w:rPr>
              <w:t xml:space="preserve"> </w:t>
            </w:r>
            <w:r w:rsidRPr="00605612">
              <w:rPr>
                <w:rFonts w:eastAsia="Arial" w:cs="Arial"/>
                <w:color w:val="000000" w:themeColor="text1"/>
                <w:szCs w:val="20"/>
              </w:rPr>
              <w:t>vrednostnimi papirji kateri</w:t>
            </w:r>
            <w:r>
              <w:rPr>
                <w:rFonts w:eastAsia="Arial" w:cs="Arial"/>
                <w:color w:val="000000" w:themeColor="text1"/>
                <w:szCs w:val="20"/>
              </w:rPr>
              <w:t>h</w:t>
            </w:r>
            <w:r w:rsidRPr="00605612">
              <w:rPr>
                <w:rFonts w:eastAsia="Arial" w:cs="Arial"/>
                <w:color w:val="000000" w:themeColor="text1"/>
                <w:szCs w:val="20"/>
              </w:rPr>
              <w:t xml:space="preserve"> se trguje na organiziranem trgu</w:t>
            </w:r>
            <w:r>
              <w:rPr>
                <w:rFonts w:eastAsia="Arial" w:cs="Arial"/>
                <w:color w:val="000000" w:themeColor="text1"/>
                <w:szCs w:val="20"/>
              </w:rPr>
              <w:t>,</w:t>
            </w:r>
            <w:r w:rsidRPr="00605612">
              <w:rPr>
                <w:rFonts w:eastAsia="Arial" w:cs="Arial"/>
                <w:szCs w:val="20"/>
              </w:rPr>
              <w:t xml:space="preserve"> ali družbe, za katere velja enakopravno soodločanje, morajo poleg prostovoljnih deležev med člani organov vodenja in nadzora določiti cilje glede deleža žensk na dveh vodstvenih ravneh pod upravo. Cilji morajo</w:t>
            </w:r>
            <w:r w:rsidRPr="00605612" w:rsidDel="003F38B7">
              <w:rPr>
                <w:rFonts w:eastAsia="Arial" w:cs="Arial"/>
                <w:szCs w:val="20"/>
              </w:rPr>
              <w:t xml:space="preserve"> </w:t>
            </w:r>
            <w:r>
              <w:rPr>
                <w:rFonts w:eastAsia="Arial" w:cs="Arial"/>
                <w:szCs w:val="20"/>
              </w:rPr>
              <w:t>zajemati</w:t>
            </w:r>
            <w:r w:rsidRPr="00605612">
              <w:rPr>
                <w:rFonts w:eastAsia="Arial" w:cs="Arial"/>
                <w:szCs w:val="20"/>
              </w:rPr>
              <w:t xml:space="preserve"> želeni delež žensk na ustrezni vodstveni ravni in morajo, če so navedeni v odstotkih, ustrezati celotnemu številu ljudi. Če uprava zastavi cilj </w:t>
            </w:r>
            <w:r w:rsidRPr="008C54C5">
              <w:rPr>
                <w:rFonts w:eastAsia="Arial" w:cs="Arial"/>
                <w:i/>
                <w:szCs w:val="20"/>
              </w:rPr>
              <w:t>nič</w:t>
            </w:r>
            <w:r w:rsidRPr="00605612">
              <w:rPr>
                <w:rFonts w:eastAsia="Arial" w:cs="Arial"/>
                <w:szCs w:val="20"/>
              </w:rPr>
              <w:t xml:space="preserve"> za delež žensk na eni izmed vodstvenih ravni, mora to odločitev jasno in razumljivo utemeljiti. V obrazložitvi morajo biti navedeni razlogi, na katerih temelji odločitev. Če je ob določitvi ciljnih vrednosti delež žensk</w:t>
            </w:r>
            <w:r w:rsidRPr="00605612" w:rsidDel="003F38B7">
              <w:rPr>
                <w:rFonts w:eastAsia="Arial" w:cs="Arial"/>
                <w:szCs w:val="20"/>
              </w:rPr>
              <w:t xml:space="preserve"> </w:t>
            </w:r>
            <w:r>
              <w:rPr>
                <w:rFonts w:eastAsia="Arial" w:cs="Arial"/>
                <w:szCs w:val="20"/>
              </w:rPr>
              <w:t>manjši</w:t>
            </w:r>
            <w:r w:rsidRPr="00605612">
              <w:rPr>
                <w:rFonts w:eastAsia="Arial" w:cs="Arial"/>
                <w:szCs w:val="20"/>
              </w:rPr>
              <w:t xml:space="preserve"> od 30 %, ciljne številke ne smejo več pasti pod </w:t>
            </w:r>
            <w:r>
              <w:rPr>
                <w:rFonts w:eastAsia="Arial" w:cs="Arial"/>
                <w:szCs w:val="20"/>
              </w:rPr>
              <w:t>delež</w:t>
            </w:r>
            <w:r w:rsidRPr="00605612">
              <w:rPr>
                <w:rFonts w:eastAsia="Arial" w:cs="Arial"/>
                <w:szCs w:val="20"/>
              </w:rPr>
              <w:t>, dosežen v posameznem primeru. Določiti morajo tudi roke za dosego zastavljenih ciljev,</w:t>
            </w:r>
            <w:r>
              <w:rPr>
                <w:rFonts w:eastAsia="Arial" w:cs="Arial"/>
                <w:szCs w:val="20"/>
              </w:rPr>
              <w:t xml:space="preserve"> ti roki pa</w:t>
            </w:r>
            <w:r w:rsidRPr="00605612" w:rsidDel="003F38B7">
              <w:rPr>
                <w:rFonts w:eastAsia="Arial" w:cs="Arial"/>
                <w:szCs w:val="20"/>
              </w:rPr>
              <w:t xml:space="preserve"> </w:t>
            </w:r>
            <w:r w:rsidRPr="00605612">
              <w:rPr>
                <w:rFonts w:eastAsia="Arial" w:cs="Arial"/>
                <w:szCs w:val="20"/>
              </w:rPr>
              <w:t>ne smejo biti daljši od petih let.</w:t>
            </w:r>
          </w:p>
          <w:p w14:paraId="60F9915E" w14:textId="4F64DBF5" w:rsidR="000C08CA" w:rsidRPr="00605612" w:rsidRDefault="000C08CA" w:rsidP="4DB7FD0D">
            <w:pPr>
              <w:spacing w:after="160" w:line="276" w:lineRule="auto"/>
              <w:jc w:val="both"/>
              <w:rPr>
                <w:rFonts w:eastAsia="Arial" w:cs="Arial"/>
              </w:rPr>
            </w:pPr>
            <w:r w:rsidRPr="4DB7FD0D">
              <w:rPr>
                <w:rFonts w:eastAsia="Arial" w:cs="Arial"/>
              </w:rPr>
              <w:t>FuPoG II je določil dodatne zahteve za poročanje (gl. 289.f člen nemškega trgovinskega zakonika (</w:t>
            </w:r>
            <w:r w:rsidRPr="4DB7FD0D">
              <w:rPr>
                <w:rFonts w:eastAsia="Arial" w:cs="Arial"/>
                <w:color w:val="000000" w:themeColor="text1"/>
              </w:rPr>
              <w:t>Handelsgesetzbuch,</w:t>
            </w:r>
            <w:r w:rsidRPr="4DB7FD0D">
              <w:rPr>
                <w:rFonts w:eastAsia="Arial" w:cs="Arial"/>
              </w:rPr>
              <w:t xml:space="preserve"> HGB)) glede ciljnih deležev zastopanosti spolov med vodilnimi člani organov, rokov za dosego zadevnih ciljev in utemeljitev. Vse navedeno mora biti vključeno v izjavo o upravljanju, ki je del poslovnega poročila družb. Družbe, ki niso dolžne pripraviti poslovnega poročila, sestavijo izjavo o upravljanju in jo objavijo na spletni strani. V primeru kršitve zahtev glede poročanja so predvidene sankcije, ki se štejejo kot upravni prekrški. Za kapitalske družbe, </w:t>
            </w:r>
            <w:r w:rsidRPr="4DB7FD0D">
              <w:rPr>
                <w:rFonts w:eastAsia="Arial" w:cs="Arial"/>
                <w:color w:val="000000" w:themeColor="text1"/>
              </w:rPr>
              <w:t>z vrednostnimi papirji katerih se trguje na organiziranem trgu,</w:t>
            </w:r>
            <w:r w:rsidRPr="4DB7FD0D">
              <w:rPr>
                <w:rFonts w:eastAsia="Arial" w:cs="Arial"/>
              </w:rPr>
              <w:t xml:space="preserve"> je predvidena globa do 10 milijonov eurov ali 5 % skupnega letnega prometa ali dvakratne gospodarske koristi, pridobljene z upravnim prekrškom.</w:t>
            </w:r>
          </w:p>
          <w:p w14:paraId="614AA71A" w14:textId="77777777" w:rsidR="000C08CA" w:rsidRPr="00605612" w:rsidRDefault="000C08CA" w:rsidP="00FE328D">
            <w:pPr>
              <w:spacing w:after="160" w:line="276" w:lineRule="auto"/>
              <w:jc w:val="both"/>
              <w:rPr>
                <w:rFonts w:eastAsia="Arial" w:cs="Arial"/>
                <w:b/>
                <w:szCs w:val="20"/>
              </w:rPr>
            </w:pPr>
            <w:r w:rsidRPr="00605612">
              <w:rPr>
                <w:rFonts w:eastAsia="Arial" w:cs="Arial"/>
                <w:b/>
                <w:szCs w:val="20"/>
              </w:rPr>
              <w:t>Francija</w:t>
            </w:r>
            <w:r w:rsidRPr="00605612">
              <w:rPr>
                <w:rFonts w:eastAsia="Arial" w:cs="Arial"/>
                <w:b/>
                <w:szCs w:val="20"/>
                <w:vertAlign w:val="superscript"/>
              </w:rPr>
              <w:footnoteReference w:id="33"/>
            </w:r>
          </w:p>
          <w:p w14:paraId="07F97620"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Zastopanost žensk v upravnih organih francoskih podjetij se je začela spreminjati leta 2008</w:t>
            </w:r>
            <w:r>
              <w:rPr>
                <w:rFonts w:eastAsia="Arial" w:cs="Arial"/>
                <w:szCs w:val="20"/>
              </w:rPr>
              <w:t xml:space="preserve"> </w:t>
            </w:r>
            <w:r w:rsidRPr="00605612">
              <w:rPr>
                <w:rFonts w:eastAsia="Arial" w:cs="Arial"/>
                <w:szCs w:val="20"/>
              </w:rPr>
              <w:t>s spremembo 1.</w:t>
            </w:r>
            <w:r>
              <w:rPr>
                <w:rFonts w:eastAsia="Arial" w:cs="Arial"/>
                <w:szCs w:val="20"/>
              </w:rPr>
              <w:t> </w:t>
            </w:r>
            <w:r w:rsidRPr="00605612">
              <w:rPr>
                <w:rFonts w:eastAsia="Arial" w:cs="Arial"/>
                <w:szCs w:val="20"/>
              </w:rPr>
              <w:t>člena ustave. Takrat je bilo v upravnih organih francoskih podjetij manj kot 9 % žensk. Zakonodajalec je leta 2011 (</w:t>
            </w:r>
            <w:r w:rsidRPr="00605612">
              <w:rPr>
                <w:rFonts w:eastAsia="Arial" w:cs="Arial"/>
                <w:i/>
                <w:iCs/>
                <w:szCs w:val="20"/>
              </w:rPr>
              <w:t>z zakonom Copé-Zimmermann</w:t>
            </w:r>
            <w:r w:rsidRPr="00605612">
              <w:rPr>
                <w:rFonts w:eastAsia="Arial" w:cs="Arial"/>
                <w:szCs w:val="20"/>
              </w:rPr>
              <w:t xml:space="preserve">) uvedel zakonske zahteve glede </w:t>
            </w:r>
            <w:r w:rsidRPr="00605612">
              <w:rPr>
                <w:rFonts w:eastAsia="Arial" w:cs="Arial"/>
                <w:szCs w:val="20"/>
              </w:rPr>
              <w:lastRenderedPageBreak/>
              <w:t>zastopanosti spolov v upravnih odborih srednjih in velikih podjetij. Zakon je določil 40</w:t>
            </w:r>
            <w:r>
              <w:rPr>
                <w:rFonts w:eastAsia="Arial" w:cs="Arial"/>
                <w:szCs w:val="20"/>
              </w:rPr>
              <w:t>-odstotni</w:t>
            </w:r>
            <w:r w:rsidRPr="00605612">
              <w:rPr>
                <w:rFonts w:eastAsia="Arial" w:cs="Arial"/>
                <w:szCs w:val="20"/>
              </w:rPr>
              <w:t xml:space="preserve"> delež za manj zastopan</w:t>
            </w:r>
            <w:r>
              <w:rPr>
                <w:rFonts w:eastAsia="Arial" w:cs="Arial"/>
                <w:szCs w:val="20"/>
              </w:rPr>
              <w:t>i</w:t>
            </w:r>
            <w:r w:rsidRPr="00605612">
              <w:rPr>
                <w:rFonts w:eastAsia="Arial" w:cs="Arial"/>
                <w:szCs w:val="20"/>
              </w:rPr>
              <w:t xml:space="preserve"> spol v upravnih odborih, </w:t>
            </w:r>
            <w:r>
              <w:rPr>
                <w:rFonts w:eastAsia="Arial" w:cs="Arial"/>
                <w:szCs w:val="20"/>
              </w:rPr>
              <w:t>ta delež</w:t>
            </w:r>
            <w:r w:rsidRPr="00605612">
              <w:rPr>
                <w:rFonts w:eastAsia="Arial" w:cs="Arial"/>
                <w:szCs w:val="20"/>
              </w:rPr>
              <w:t xml:space="preserve"> je bilo treba doseči v petih letih, z vmesnim pragom 20 % v treh letih.</w:t>
            </w:r>
          </w:p>
          <w:p w14:paraId="08356FC3"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 xml:space="preserve">Po desetih letih je </w:t>
            </w:r>
            <w:r w:rsidRPr="00605612">
              <w:rPr>
                <w:rFonts w:eastAsia="Arial" w:cs="Arial"/>
                <w:i/>
                <w:iCs/>
                <w:szCs w:val="20"/>
              </w:rPr>
              <w:t>Haut Conseil à l'Égalité</w:t>
            </w:r>
            <w:r w:rsidRPr="00605612">
              <w:rPr>
                <w:rFonts w:eastAsia="Arial" w:cs="Arial"/>
                <w:szCs w:val="20"/>
              </w:rPr>
              <w:t xml:space="preserve"> (</w:t>
            </w:r>
            <w:r>
              <w:rPr>
                <w:rFonts w:eastAsia="Arial" w:cs="Arial"/>
                <w:szCs w:val="20"/>
              </w:rPr>
              <w:t>v</w:t>
            </w:r>
            <w:r w:rsidRPr="00605612">
              <w:rPr>
                <w:rFonts w:eastAsia="Arial" w:cs="Arial"/>
                <w:szCs w:val="20"/>
              </w:rPr>
              <w:t xml:space="preserve">isoki </w:t>
            </w:r>
            <w:r>
              <w:rPr>
                <w:rFonts w:eastAsia="Arial" w:cs="Arial"/>
                <w:szCs w:val="20"/>
              </w:rPr>
              <w:t>s</w:t>
            </w:r>
            <w:r w:rsidRPr="00605612">
              <w:rPr>
                <w:rFonts w:eastAsia="Arial" w:cs="Arial"/>
                <w:szCs w:val="20"/>
              </w:rPr>
              <w:t>vet za enakost</w:t>
            </w:r>
            <w:r>
              <w:rPr>
                <w:rFonts w:eastAsia="Arial" w:cs="Arial"/>
                <w:szCs w:val="20"/>
              </w:rPr>
              <w:t xml:space="preserve"> spolov</w:t>
            </w:r>
            <w:r w:rsidRPr="00605612">
              <w:rPr>
                <w:rFonts w:eastAsia="Arial" w:cs="Arial"/>
                <w:szCs w:val="20"/>
              </w:rPr>
              <w:t>)</w:t>
            </w:r>
            <w:r w:rsidRPr="00605612" w:rsidDel="00B51E35">
              <w:rPr>
                <w:rFonts w:eastAsia="Arial" w:cs="Arial"/>
                <w:szCs w:val="20"/>
              </w:rPr>
              <w:t xml:space="preserve"> </w:t>
            </w:r>
            <w:r w:rsidRPr="00605612">
              <w:rPr>
                <w:rFonts w:eastAsia="Arial" w:cs="Arial"/>
                <w:szCs w:val="20"/>
              </w:rPr>
              <w:t>izvajanje zakona ocenil pozitivno. Leta 2020 je bil delež žensk med direktorji največjih francoskih družb, ki kotirajo na borzi</w:t>
            </w:r>
            <w:r>
              <w:rPr>
                <w:rFonts w:eastAsia="Arial" w:cs="Arial"/>
                <w:szCs w:val="20"/>
              </w:rPr>
              <w:t>,</w:t>
            </w:r>
            <w:r w:rsidRPr="00605612">
              <w:rPr>
                <w:rFonts w:eastAsia="Arial" w:cs="Arial"/>
                <w:szCs w:val="20"/>
              </w:rPr>
              <w:t xml:space="preserve"> 44,6 %. Rezultati Francijo umeščajo med države z najv</w:t>
            </w:r>
            <w:r>
              <w:rPr>
                <w:rFonts w:eastAsia="Arial" w:cs="Arial"/>
                <w:szCs w:val="20"/>
              </w:rPr>
              <w:t>eč</w:t>
            </w:r>
            <w:r w:rsidRPr="00605612">
              <w:rPr>
                <w:rFonts w:eastAsia="Arial" w:cs="Arial"/>
                <w:szCs w:val="20"/>
              </w:rPr>
              <w:t xml:space="preserve">jim deležem žensk v upravnih odborih v Evropski uniji. Decembra 2021 je Francija sprejela dopolnitev zakona (uveljavitev zakona Rixain), ki uvaja deleže za vse organe upravljanja družb. </w:t>
            </w:r>
          </w:p>
          <w:p w14:paraId="050D3FEB" w14:textId="77777777" w:rsidR="000C08CA" w:rsidRPr="00605612" w:rsidRDefault="000C08CA" w:rsidP="00FE328D">
            <w:pPr>
              <w:spacing w:after="160" w:line="276" w:lineRule="auto"/>
              <w:jc w:val="both"/>
              <w:rPr>
                <w:rFonts w:eastAsia="Arial" w:cs="Arial"/>
                <w:b/>
                <w:color w:val="000000" w:themeColor="text1"/>
                <w:szCs w:val="20"/>
              </w:rPr>
            </w:pPr>
            <w:r w:rsidRPr="00605612">
              <w:rPr>
                <w:rFonts w:eastAsia="Arial" w:cs="Arial"/>
                <w:b/>
                <w:color w:val="000000" w:themeColor="text1"/>
                <w:szCs w:val="20"/>
              </w:rPr>
              <w:t>Avstrija</w:t>
            </w:r>
            <w:r w:rsidRPr="00605612">
              <w:rPr>
                <w:rFonts w:eastAsia="Arial" w:cs="Arial"/>
                <w:b/>
                <w:color w:val="000000" w:themeColor="text1"/>
                <w:szCs w:val="20"/>
                <w:vertAlign w:val="superscript"/>
              </w:rPr>
              <w:footnoteReference w:id="34"/>
            </w:r>
          </w:p>
          <w:p w14:paraId="6859D710"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V Avstriji so ženske še vedno premalo zastopane na vodilnih položajih. Zato je dolgoročni cilj vlade uravnotežena zastopanost žensk in moških na vodstvenih položajih in položajih odločanja na vseh družbenih področjih</w:t>
            </w:r>
            <w:r>
              <w:rPr>
                <w:rFonts w:eastAsia="Arial" w:cs="Arial"/>
                <w:color w:val="000000" w:themeColor="text1"/>
                <w:szCs w:val="20"/>
              </w:rPr>
              <w:t>,</w:t>
            </w:r>
            <w:r w:rsidRPr="00605612" w:rsidDel="00B51E35">
              <w:rPr>
                <w:rFonts w:eastAsia="Arial" w:cs="Arial"/>
                <w:color w:val="000000" w:themeColor="text1"/>
                <w:szCs w:val="20"/>
              </w:rPr>
              <w:t xml:space="preserve"> </w:t>
            </w:r>
            <w:r w:rsidRPr="00605612">
              <w:rPr>
                <w:rFonts w:eastAsia="Arial" w:cs="Arial"/>
                <w:color w:val="000000" w:themeColor="text1"/>
                <w:szCs w:val="20"/>
              </w:rPr>
              <w:t>vključno s politiko, gospodarstvom in znanostjo.</w:t>
            </w:r>
          </w:p>
          <w:p w14:paraId="599C5F98"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Pomemben korak za doseganje uravnotežene zastopanosti žensk in moških na vodilnih položajih v gospodarstvu v zasebnem sektorju je bil </w:t>
            </w:r>
            <w:r>
              <w:rPr>
                <w:rFonts w:eastAsia="Arial" w:cs="Arial"/>
                <w:color w:val="000000" w:themeColor="text1"/>
                <w:szCs w:val="20"/>
              </w:rPr>
              <w:t>z</w:t>
            </w:r>
            <w:r w:rsidRPr="00605612">
              <w:rPr>
                <w:rFonts w:eastAsia="Arial" w:cs="Arial"/>
                <w:color w:val="000000" w:themeColor="text1"/>
                <w:szCs w:val="20"/>
              </w:rPr>
              <w:t>akon o enakosti žensk in moških v nadzornih svetih (</w:t>
            </w:r>
            <w:r w:rsidRPr="00605612">
              <w:rPr>
                <w:rFonts w:eastAsia="Arial" w:cs="Arial"/>
                <w:i/>
                <w:iCs/>
                <w:color w:val="000000" w:themeColor="text1"/>
                <w:szCs w:val="20"/>
              </w:rPr>
              <w:t>GFMA-G</w:t>
            </w:r>
            <w:r w:rsidRPr="00605612">
              <w:rPr>
                <w:rFonts w:eastAsia="Arial" w:cs="Arial"/>
                <w:color w:val="000000" w:themeColor="text1"/>
                <w:szCs w:val="20"/>
              </w:rPr>
              <w:t>). Zakon je bil sprejet junija 2017, da bi se povečal delež žensk na vodilnih položajih. Od 1. januarja 2018 morajo biti nadzorni sveti družb, ki kotirajo na borzi, in družb z več kot 1.000 zaposlenimi sestavljeni iz najmanj 30 % žensk in 30 % moških. Če zahtevan</w:t>
            </w:r>
            <w:r>
              <w:rPr>
                <w:rFonts w:eastAsia="Arial" w:cs="Arial"/>
                <w:color w:val="000000" w:themeColor="text1"/>
                <w:szCs w:val="20"/>
              </w:rPr>
              <w:t>i</w:t>
            </w:r>
            <w:r w:rsidRPr="00605612">
              <w:rPr>
                <w:rFonts w:eastAsia="Arial" w:cs="Arial"/>
                <w:color w:val="000000" w:themeColor="text1"/>
                <w:szCs w:val="20"/>
              </w:rPr>
              <w:t xml:space="preserve"> delež žensk v nadzornem svetu ni dosežen, je imenovanje neveljavno. </w:t>
            </w:r>
          </w:p>
          <w:p w14:paraId="5F0C41CD"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Avstrijska zbornica za delo je v svojem poročilu </w:t>
            </w:r>
            <w:r w:rsidRPr="00605612">
              <w:rPr>
                <w:rFonts w:eastAsia="Arial" w:cs="Arial"/>
                <w:i/>
                <w:iCs/>
                <w:color w:val="000000" w:themeColor="text1"/>
                <w:szCs w:val="20"/>
              </w:rPr>
              <w:t>Frauen.Management.Report 2022</w:t>
            </w:r>
            <w:r w:rsidRPr="00605612">
              <w:rPr>
                <w:rFonts w:eastAsia="Arial" w:cs="Arial"/>
                <w:color w:val="000000" w:themeColor="text1"/>
                <w:szCs w:val="20"/>
              </w:rPr>
              <w:t xml:space="preserve"> ocenila učinke te določbe. Od uvedbe zakona se je delež žensk v nadzornih svetih podjetij, ki spadajo pod zakon GFMA-G, povečal z 22,4 % (januar 2018) na 35,1 % (januar 2022).</w:t>
            </w:r>
          </w:p>
          <w:p w14:paraId="744551C7" w14:textId="77777777" w:rsidR="000C08CA" w:rsidRPr="00605612" w:rsidRDefault="000C08CA" w:rsidP="00FE328D">
            <w:pPr>
              <w:spacing w:after="160" w:line="276" w:lineRule="auto"/>
              <w:jc w:val="both"/>
              <w:rPr>
                <w:rFonts w:eastAsia="Arial" w:cs="Arial"/>
                <w:color w:val="000000" w:themeColor="text1"/>
                <w:szCs w:val="20"/>
              </w:rPr>
            </w:pPr>
            <w:r w:rsidRPr="00605612">
              <w:rPr>
                <w:rFonts w:eastAsia="Arial" w:cs="Arial"/>
                <w:color w:val="000000" w:themeColor="text1"/>
                <w:szCs w:val="20"/>
              </w:rPr>
              <w:t xml:space="preserve">Poleg tega je bila sprejeta še novela, ki določa, da se delež žensk med člani nadzornih svetov podjetij v državni lasti do leta 2024 poveča na 40 %. Delež je prostovoljna zaveza zvezne vlade in je neposredno namenjena članom nadzornih svetov, ki jih imenuje zvezna vlada. </w:t>
            </w:r>
          </w:p>
          <w:p w14:paraId="225F263F" w14:textId="77777777" w:rsidR="000C08CA" w:rsidRPr="00605612" w:rsidRDefault="000C08CA" w:rsidP="00FE328D">
            <w:pPr>
              <w:spacing w:after="160" w:line="276" w:lineRule="auto"/>
              <w:jc w:val="both"/>
              <w:rPr>
                <w:rFonts w:eastAsia="Arial" w:cs="Arial"/>
                <w:b/>
                <w:szCs w:val="20"/>
              </w:rPr>
            </w:pPr>
            <w:r w:rsidRPr="00605612">
              <w:rPr>
                <w:rFonts w:eastAsia="Arial" w:cs="Arial"/>
                <w:b/>
                <w:szCs w:val="20"/>
              </w:rPr>
              <w:t>Nizozemska</w:t>
            </w:r>
            <w:r w:rsidRPr="00605612">
              <w:rPr>
                <w:rFonts w:eastAsia="Arial" w:cs="Arial"/>
                <w:b/>
                <w:szCs w:val="20"/>
                <w:vertAlign w:val="superscript"/>
              </w:rPr>
              <w:footnoteReference w:id="35"/>
            </w:r>
          </w:p>
          <w:p w14:paraId="374B088B" w14:textId="77777777" w:rsidR="000C08CA" w:rsidRPr="00605612" w:rsidRDefault="000C08CA" w:rsidP="00FE328D">
            <w:pPr>
              <w:spacing w:after="160" w:line="276" w:lineRule="auto"/>
              <w:jc w:val="both"/>
              <w:rPr>
                <w:rFonts w:eastAsia="Arial" w:cs="Arial"/>
                <w:szCs w:val="20"/>
              </w:rPr>
            </w:pPr>
            <w:r>
              <w:rPr>
                <w:rFonts w:eastAsia="Arial" w:cs="Arial"/>
                <w:szCs w:val="20"/>
              </w:rPr>
              <w:t>N</w:t>
            </w:r>
            <w:r w:rsidRPr="00605612">
              <w:rPr>
                <w:rFonts w:eastAsia="Arial" w:cs="Arial"/>
                <w:szCs w:val="20"/>
              </w:rPr>
              <w:t xml:space="preserve">izozemski </w:t>
            </w:r>
            <w:r>
              <w:rPr>
                <w:rFonts w:eastAsia="Arial" w:cs="Arial"/>
                <w:szCs w:val="20"/>
              </w:rPr>
              <w:t>p</w:t>
            </w:r>
            <w:r w:rsidRPr="00605612">
              <w:rPr>
                <w:rFonts w:eastAsia="Arial" w:cs="Arial"/>
                <w:szCs w:val="20"/>
              </w:rPr>
              <w:t xml:space="preserve">arlament je 28. septembra 2021 potrdil predlog zakona, katerega cilj je vzpostaviti bolj uravnoteženo razmerje med ženskami in moškimi v upravnih in nadzornih odborih. Zakon je namenjen velikim javnim in zasebnim podjetjem ter podjetjem, s katerimi se trguje na borzi, in vpliva na delničarje, direktorje, pooblaščence in zaposlene. </w:t>
            </w:r>
          </w:p>
          <w:p w14:paraId="5493852D"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Zakon določa, da je v nadzornih svetih podjetij, ki kotirajo na Nizozemskem, vsaj tretjina moških in tretjina žensk. Vsako imenovanje (člana nadzornega sveta) po 1. januarju 2022, ki ne prispeva k bolj uravnoteženemu razmerju med spoloma v nadzornem svetu, je nično in neveljavno.</w:t>
            </w:r>
          </w:p>
          <w:p w14:paraId="3A68F088"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Izjeme veljajo za nadzorni svet ali enotirni nadzorni svet, ki ga sestavlja ena oseba, ponovna imenovanja v osmih letih od leta imenovanja, imenovanja v primeru izjemnih okoliščin, kot je nepričakovan odstop velikega dela nadzornega sveta, ali v primeru začasnih imenovanj s strani podjetniške zbornice med preiskovalnim postopkom.</w:t>
            </w:r>
          </w:p>
          <w:p w14:paraId="66E05B6F"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 xml:space="preserve">Poleg tega morajo velike družbe določiti ustrezne in ambiciozne cilje za spodbujanje </w:t>
            </w:r>
            <w:r w:rsidRPr="009B69A0">
              <w:rPr>
                <w:rFonts w:eastAsia="Arial" w:cs="Arial"/>
                <w:szCs w:val="20"/>
              </w:rPr>
              <w:t xml:space="preserve">uravnotežene zastopanosti </w:t>
            </w:r>
            <w:r w:rsidRPr="00605612">
              <w:rPr>
                <w:rFonts w:eastAsia="Arial" w:cs="Arial"/>
                <w:szCs w:val="20"/>
              </w:rPr>
              <w:t xml:space="preserve">spolov v upravi, nadzornem svetu in med kategorijami zaposlenih na vodstvenih položajih (npr. na višjih vodstvenih položajih), ki jih določi družba. V skladu </w:t>
            </w:r>
            <w:r>
              <w:rPr>
                <w:rFonts w:eastAsia="Arial" w:cs="Arial"/>
                <w:szCs w:val="20"/>
              </w:rPr>
              <w:t xml:space="preserve">z </w:t>
            </w:r>
            <w:r w:rsidRPr="00605612">
              <w:rPr>
                <w:rFonts w:eastAsia="Arial" w:cs="Arial"/>
                <w:szCs w:val="20"/>
              </w:rPr>
              <w:t>zakon</w:t>
            </w:r>
            <w:r>
              <w:rPr>
                <w:rFonts w:eastAsia="Arial" w:cs="Arial"/>
                <w:szCs w:val="20"/>
              </w:rPr>
              <w:t>om</w:t>
            </w:r>
            <w:r w:rsidRPr="00605612">
              <w:rPr>
                <w:rFonts w:eastAsia="Arial" w:cs="Arial"/>
                <w:szCs w:val="20"/>
              </w:rPr>
              <w:t xml:space="preserve"> ustrezno in ambiciozno pomeni, da je treba upoštevati velikost uprave in razmerja, cilj pa mora biti usmerjen k bolj uravnoteženemu stanju.</w:t>
            </w:r>
          </w:p>
          <w:p w14:paraId="48209CD9"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lastRenderedPageBreak/>
              <w:t xml:space="preserve">Zakon v praksi pomeni, da morajo podjetja, ki kotirajo na borzi, od 1. januarja 2022 pozorno spremljati, koga imenujejo za nove člane nadzornega sveta. Če na primer nadzorni svet sestavljata dve ženski in dva moška, bo morala odhod ene ženske nadomestiti druga ženska. </w:t>
            </w:r>
            <w:r>
              <w:rPr>
                <w:rFonts w:eastAsia="Arial" w:cs="Arial"/>
                <w:szCs w:val="20"/>
              </w:rPr>
              <w:t>O</w:t>
            </w:r>
            <w:r w:rsidRPr="00605612">
              <w:rPr>
                <w:rFonts w:eastAsia="Arial" w:cs="Arial"/>
                <w:szCs w:val="20"/>
              </w:rPr>
              <w:t xml:space="preserve">dhod moškega člana nadzornega sveta </w:t>
            </w:r>
            <w:r>
              <w:rPr>
                <w:rFonts w:eastAsia="Arial" w:cs="Arial"/>
                <w:szCs w:val="20"/>
              </w:rPr>
              <w:t xml:space="preserve">pa </w:t>
            </w:r>
            <w:r w:rsidRPr="00605612">
              <w:rPr>
                <w:rFonts w:eastAsia="Arial" w:cs="Arial"/>
                <w:szCs w:val="20"/>
              </w:rPr>
              <w:t>mora nadomestiti moški. Imenovanje osebe, ki ne prispeva k bolj uravnoteženemu razmerju med spoloma v nadzornem svetu, je neveljavno.</w:t>
            </w:r>
          </w:p>
          <w:p w14:paraId="262DFD69" w14:textId="77777777" w:rsidR="000C08CA" w:rsidRPr="00605612" w:rsidRDefault="000C08CA" w:rsidP="00FE328D">
            <w:pPr>
              <w:spacing w:after="160" w:line="276" w:lineRule="auto"/>
              <w:jc w:val="both"/>
              <w:rPr>
                <w:rFonts w:eastAsia="Arial" w:cs="Arial"/>
                <w:b/>
                <w:szCs w:val="20"/>
              </w:rPr>
            </w:pPr>
            <w:r w:rsidRPr="00605612">
              <w:rPr>
                <w:rFonts w:eastAsia="Arial" w:cs="Arial"/>
                <w:b/>
                <w:szCs w:val="20"/>
              </w:rPr>
              <w:t>Belgija</w:t>
            </w:r>
            <w:r w:rsidRPr="00605612">
              <w:rPr>
                <w:rFonts w:eastAsia="Arial" w:cs="Arial"/>
                <w:b/>
                <w:szCs w:val="20"/>
                <w:vertAlign w:val="superscript"/>
              </w:rPr>
              <w:footnoteReference w:id="36"/>
            </w:r>
          </w:p>
          <w:p w14:paraId="4D5F710C"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Zakon z dne 28. julija 2011 je v belgijski zakonik o gospodarskih družbah vnesel nov člen (</w:t>
            </w:r>
            <w:r w:rsidRPr="00605612">
              <w:rPr>
                <w:rFonts w:eastAsia="Arial" w:cs="Arial"/>
                <w:i/>
                <w:iCs/>
                <w:szCs w:val="20"/>
              </w:rPr>
              <w:t>518 bis</w:t>
            </w:r>
            <w:r w:rsidRPr="00605612">
              <w:rPr>
                <w:rFonts w:eastAsia="Arial" w:cs="Arial"/>
                <w:szCs w:val="20"/>
              </w:rPr>
              <w:t xml:space="preserve">), ki od podjetij v državni lasti in javnih podjetij, s katerimi se trguje na borzi, zahteva, da na najvišji vodstveni ravni vključijo večji delež žensk. S sprejetjem te določbe je belgijski zakonodajalec </w:t>
            </w:r>
            <w:r>
              <w:rPr>
                <w:rFonts w:eastAsia="Arial" w:cs="Arial"/>
                <w:szCs w:val="20"/>
              </w:rPr>
              <w:t>spodbudil podjetja k</w:t>
            </w:r>
            <w:r w:rsidRPr="00605612">
              <w:rPr>
                <w:rFonts w:eastAsia="Arial" w:cs="Arial"/>
                <w:szCs w:val="20"/>
              </w:rPr>
              <w:t xml:space="preserve"> prizadevanjem za zagotavljanje večje uravnoteženosti </w:t>
            </w:r>
            <w:r>
              <w:rPr>
                <w:rFonts w:eastAsia="Arial" w:cs="Arial"/>
                <w:szCs w:val="20"/>
              </w:rPr>
              <w:t xml:space="preserve">spolov </w:t>
            </w:r>
            <w:r w:rsidRPr="00605612">
              <w:rPr>
                <w:rFonts w:eastAsia="Arial" w:cs="Arial"/>
                <w:szCs w:val="20"/>
              </w:rPr>
              <w:t xml:space="preserve">na najvišjih vodstvenih položajih. V tem okviru novi člen določa, da mora biti v upravnih odborih družb v državni lasti in javnih družb v Belgiji vsaj ena tretjina žensk. Pravilo se je začelo uporabljati prvi dan šestega poslovnega leta po letu sprejetja zakona, tj. leta 2017. Manjše družbe, s katerimi se javno trguje, so morale zahtevo izpolniti dve leti pozneje. </w:t>
            </w:r>
          </w:p>
          <w:p w14:paraId="6180B346"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 xml:space="preserve">Posledice neupoštevanja člena so ničnost imenovanja </w:t>
            </w:r>
            <w:r>
              <w:rPr>
                <w:rFonts w:eastAsia="Arial" w:cs="Arial"/>
                <w:szCs w:val="20"/>
              </w:rPr>
              <w:t>in</w:t>
            </w:r>
            <w:r w:rsidRPr="00605612">
              <w:rPr>
                <w:rFonts w:eastAsia="Arial" w:cs="Arial"/>
                <w:szCs w:val="20"/>
              </w:rPr>
              <w:t xml:space="preserve"> začasna ukinitev vseh ugodnosti, vključno s finančnimi, ki pripadajo direktorjem na podlagi njihovih mandatov. Sankcija začasne ukinitve ugodnosti se lahko uporablja od leta 2018,</w:t>
            </w:r>
            <w:r>
              <w:rPr>
                <w:rFonts w:eastAsia="Arial" w:cs="Arial"/>
                <w:szCs w:val="20"/>
              </w:rPr>
              <w:t xml:space="preserve"> </w:t>
            </w:r>
            <w:r w:rsidRPr="00605612">
              <w:rPr>
                <w:rFonts w:eastAsia="Arial" w:cs="Arial"/>
                <w:szCs w:val="20"/>
              </w:rPr>
              <w:t xml:space="preserve">sankcija ničnosti imenovanja </w:t>
            </w:r>
            <w:r>
              <w:rPr>
                <w:rFonts w:eastAsia="Arial" w:cs="Arial"/>
                <w:szCs w:val="20"/>
              </w:rPr>
              <w:t xml:space="preserve">pa se je </w:t>
            </w:r>
            <w:r w:rsidRPr="00605612">
              <w:rPr>
                <w:rFonts w:eastAsia="Arial" w:cs="Arial"/>
                <w:szCs w:val="20"/>
              </w:rPr>
              <w:t>začela uporabljati leta 2017. V zvezi s sankcijo ničnosti naknadnega imenovanja direktorjev je treba poudariti, da imenovanje direktorja v nasprotju s pravilom o kvotah ne vpliva na zakonitost odločitev, ki jih je sprejel nepravilno sestavljen upravni odbor. Poleg tega se drugi člani upravnega odbora ne morejo vzdržati glasovanja v znak protesta proti nepravilnemu imenovanju na skupščini delničarjev, saj bi bilo takšno ravnanje v nasprotju z interesi družbe. Posledično je sankcija ničnosti sama po sebi resno pomanjkljiva pri zagotavljanju prisotnosti žensk na vrhu podjetja.</w:t>
            </w:r>
          </w:p>
          <w:p w14:paraId="216A5D12"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Da bi bilo pravilo dovolj strogo, je predvidena tudi druga sankcija: začasna ukinitev prejemkov, ki pripadajo direktorjem v zvezi z njihovimi mandati. Dokler v upravnem odboru ni vsaj tretjine žensk, noben direktor ne more prejeti nobenih ugodnosti, ki bi jih bilo mogoče zaznati v okviru njegovega/njenega mandata. Poleg tega ugodnosti ne bodo odobrene za nazaj, ko bo članstvo v upravnem odboru v skladu s pravilom o kvotah.</w:t>
            </w:r>
          </w:p>
          <w:p w14:paraId="088150D0" w14:textId="77777777" w:rsidR="000C08CA" w:rsidRPr="00605612" w:rsidRDefault="000C08CA" w:rsidP="00FE328D">
            <w:pPr>
              <w:spacing w:after="160" w:line="276" w:lineRule="auto"/>
              <w:jc w:val="both"/>
              <w:rPr>
                <w:rFonts w:eastAsia="Arial" w:cs="Arial"/>
                <w:szCs w:val="20"/>
              </w:rPr>
            </w:pPr>
            <w:r w:rsidRPr="00605612">
              <w:rPr>
                <w:rFonts w:eastAsia="Arial" w:cs="Arial"/>
                <w:szCs w:val="20"/>
              </w:rPr>
              <w:t>Opozoriti je treba, da člen zakona ne razlikuje med izvršnimi, neizvršnimi in neodvisnimi direktorji. Ker zakon</w:t>
            </w:r>
            <w:r>
              <w:rPr>
                <w:rFonts w:eastAsia="Arial" w:cs="Arial"/>
                <w:szCs w:val="20"/>
              </w:rPr>
              <w:t>a tega</w:t>
            </w:r>
            <w:r w:rsidRPr="00605612" w:rsidDel="005C0018">
              <w:rPr>
                <w:rFonts w:eastAsia="Arial" w:cs="Arial"/>
                <w:szCs w:val="20"/>
              </w:rPr>
              <w:t xml:space="preserve"> </w:t>
            </w:r>
            <w:r w:rsidRPr="00605612">
              <w:rPr>
                <w:rFonts w:eastAsia="Arial" w:cs="Arial"/>
                <w:szCs w:val="20"/>
              </w:rPr>
              <w:t>vprašanj</w:t>
            </w:r>
            <w:r>
              <w:rPr>
                <w:rFonts w:eastAsia="Arial" w:cs="Arial"/>
                <w:szCs w:val="20"/>
              </w:rPr>
              <w:t>a ne obravnava</w:t>
            </w:r>
            <w:r w:rsidRPr="00605612">
              <w:rPr>
                <w:rFonts w:eastAsia="Arial" w:cs="Arial"/>
                <w:szCs w:val="20"/>
              </w:rPr>
              <w:t>, se lahko zgodi, da bodo družbe imenovale eno tretjino direktoric in jih omejile na neizvršne funkcije.</w:t>
            </w:r>
          </w:p>
          <w:p w14:paraId="6405E3CC" w14:textId="77777777" w:rsidR="000C08CA" w:rsidRPr="007427C4" w:rsidRDefault="000C08CA" w:rsidP="00FE328D">
            <w:pPr>
              <w:pStyle w:val="Alineazaodstavkom"/>
              <w:numPr>
                <w:ilvl w:val="0"/>
                <w:numId w:val="0"/>
              </w:numPr>
              <w:spacing w:line="260" w:lineRule="exact"/>
              <w:rPr>
                <w:color w:val="000000" w:themeColor="text1"/>
                <w:sz w:val="20"/>
                <w:szCs w:val="20"/>
                <w:u w:val="single"/>
              </w:rPr>
            </w:pPr>
            <w:r w:rsidRPr="007427C4">
              <w:rPr>
                <w:color w:val="000000" w:themeColor="text1"/>
                <w:sz w:val="20"/>
                <w:szCs w:val="20"/>
                <w:u w:val="single"/>
              </w:rPr>
              <w:t>Ureditve</w:t>
            </w:r>
            <w:r>
              <w:rPr>
                <w:color w:val="000000" w:themeColor="text1"/>
                <w:sz w:val="20"/>
                <w:szCs w:val="20"/>
                <w:u w:val="single"/>
              </w:rPr>
              <w:t>,</w:t>
            </w:r>
            <w:r w:rsidRPr="007427C4">
              <w:rPr>
                <w:color w:val="000000" w:themeColor="text1"/>
                <w:sz w:val="20"/>
                <w:szCs w:val="20"/>
                <w:u w:val="single"/>
              </w:rPr>
              <w:t xml:space="preserve"> usklajene z Direktivo 2023/2775/EU:</w:t>
            </w:r>
          </w:p>
          <w:p w14:paraId="5100F7B4" w14:textId="77777777" w:rsidR="000C08CA" w:rsidRDefault="000C08CA" w:rsidP="00FE328D">
            <w:pPr>
              <w:pStyle w:val="Alineazaodstavkom"/>
              <w:numPr>
                <w:ilvl w:val="0"/>
                <w:numId w:val="0"/>
              </w:numPr>
              <w:spacing w:line="260" w:lineRule="exact"/>
              <w:rPr>
                <w:color w:val="000000" w:themeColor="text1"/>
                <w:sz w:val="20"/>
                <w:szCs w:val="20"/>
              </w:rPr>
            </w:pPr>
          </w:p>
          <w:p w14:paraId="2D2B9221" w14:textId="77777777" w:rsidR="000C08CA" w:rsidRDefault="000C08CA" w:rsidP="00FE328D">
            <w:pPr>
              <w:pStyle w:val="Alineazaodstavkom"/>
              <w:numPr>
                <w:ilvl w:val="0"/>
                <w:numId w:val="0"/>
              </w:numPr>
              <w:spacing w:line="260" w:lineRule="exact"/>
              <w:rPr>
                <w:color w:val="000000" w:themeColor="text1"/>
                <w:sz w:val="20"/>
                <w:szCs w:val="20"/>
              </w:rPr>
            </w:pPr>
            <w:r w:rsidRPr="009410C0">
              <w:rPr>
                <w:color w:val="000000" w:themeColor="text1"/>
                <w:sz w:val="20"/>
                <w:szCs w:val="20"/>
              </w:rPr>
              <w:t>Na podlagi Direktive 202</w:t>
            </w:r>
            <w:r>
              <w:rPr>
                <w:color w:val="000000" w:themeColor="text1"/>
                <w:sz w:val="20"/>
                <w:szCs w:val="20"/>
              </w:rPr>
              <w:t>3</w:t>
            </w:r>
            <w:r w:rsidRPr="009410C0">
              <w:rPr>
                <w:color w:val="000000" w:themeColor="text1"/>
                <w:sz w:val="20"/>
                <w:szCs w:val="20"/>
              </w:rPr>
              <w:t>/2</w:t>
            </w:r>
            <w:r>
              <w:rPr>
                <w:color w:val="000000" w:themeColor="text1"/>
                <w:sz w:val="20"/>
                <w:szCs w:val="20"/>
              </w:rPr>
              <w:t>775</w:t>
            </w:r>
            <w:r w:rsidRPr="009410C0">
              <w:rPr>
                <w:color w:val="000000" w:themeColor="text1"/>
                <w:sz w:val="20"/>
                <w:szCs w:val="20"/>
              </w:rPr>
              <w:t xml:space="preserve">/EU še ni bila sprejeta nova zakonodaja v nobeni državi članici, zato prikaz ureditve v drugih pravnih sistemih </w:t>
            </w:r>
            <w:r>
              <w:rPr>
                <w:color w:val="000000" w:themeColor="text1"/>
                <w:sz w:val="20"/>
                <w:szCs w:val="20"/>
              </w:rPr>
              <w:t>še ni smotrn</w:t>
            </w:r>
            <w:r w:rsidRPr="009410C0">
              <w:rPr>
                <w:color w:val="000000" w:themeColor="text1"/>
                <w:sz w:val="20"/>
                <w:szCs w:val="20"/>
              </w:rPr>
              <w:t>.</w:t>
            </w:r>
          </w:p>
          <w:p w14:paraId="7B91B861" w14:textId="77777777" w:rsidR="000C08CA" w:rsidRDefault="000C08CA" w:rsidP="00FE328D">
            <w:pPr>
              <w:pStyle w:val="Alineazaodstavkom"/>
              <w:numPr>
                <w:ilvl w:val="0"/>
                <w:numId w:val="0"/>
              </w:numPr>
              <w:spacing w:line="260" w:lineRule="exact"/>
              <w:rPr>
                <w:color w:val="000000" w:themeColor="text1"/>
                <w:sz w:val="20"/>
                <w:szCs w:val="20"/>
              </w:rPr>
            </w:pPr>
          </w:p>
          <w:p w14:paraId="205B4A84"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6946655E" w14:textId="38EC8D12" w:rsidR="000C08CA" w:rsidRPr="00605612" w:rsidRDefault="000C08CA" w:rsidP="00FE328D">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 xml:space="preserve">izjava o skladnosti predloga zakona s pravnimi akti EU </w:t>
            </w:r>
            <w:r w:rsidR="00AA0FF3">
              <w:rPr>
                <w:color w:val="000000" w:themeColor="text1"/>
                <w:sz w:val="20"/>
                <w:szCs w:val="20"/>
              </w:rPr>
              <w:t>s</w:t>
            </w:r>
            <w:r w:rsidRPr="00605612">
              <w:rPr>
                <w:color w:val="000000" w:themeColor="text1"/>
                <w:sz w:val="20"/>
                <w:szCs w:val="20"/>
              </w:rPr>
              <w:t xml:space="preserve"> korelacijsk</w:t>
            </w:r>
            <w:r w:rsidR="00AA0FF3">
              <w:rPr>
                <w:color w:val="000000" w:themeColor="text1"/>
                <w:sz w:val="20"/>
                <w:szCs w:val="20"/>
              </w:rPr>
              <w:t>o</w:t>
            </w:r>
            <w:r w:rsidRPr="00605612">
              <w:rPr>
                <w:color w:val="000000" w:themeColor="text1"/>
                <w:sz w:val="20"/>
                <w:szCs w:val="20"/>
              </w:rPr>
              <w:t xml:space="preserve"> tabel</w:t>
            </w:r>
            <w:r w:rsidR="00AA0FF3">
              <w:rPr>
                <w:color w:val="000000" w:themeColor="text1"/>
                <w:sz w:val="20"/>
                <w:szCs w:val="20"/>
              </w:rPr>
              <w:t>o</w:t>
            </w:r>
            <w:r w:rsidRPr="00605612">
              <w:rPr>
                <w:color w:val="000000" w:themeColor="text1"/>
                <w:sz w:val="20"/>
                <w:szCs w:val="20"/>
              </w:rPr>
              <w:t xml:space="preserve"> pri prenosu direktiv.</w:t>
            </w:r>
          </w:p>
          <w:p w14:paraId="4CABC8EC" w14:textId="77777777" w:rsidR="000C08CA" w:rsidRPr="00605612" w:rsidRDefault="000C08CA" w:rsidP="00FE328D">
            <w:pPr>
              <w:pStyle w:val="Neotevilenodstavek"/>
              <w:spacing w:before="0" w:after="0" w:line="260" w:lineRule="exact"/>
              <w:rPr>
                <w:color w:val="000000" w:themeColor="text1"/>
                <w:sz w:val="20"/>
                <w:szCs w:val="20"/>
              </w:rPr>
            </w:pPr>
          </w:p>
          <w:p w14:paraId="7547F6A6" w14:textId="1A3D23BC" w:rsidR="000C08CA" w:rsidRPr="00605612" w:rsidRDefault="000C08CA" w:rsidP="00FE328D">
            <w:pPr>
              <w:pStyle w:val="Neotevilenodstavek"/>
              <w:spacing w:before="0" w:after="0" w:line="260" w:lineRule="exact"/>
              <w:rPr>
                <w:color w:val="000000" w:themeColor="text1"/>
                <w:sz w:val="20"/>
                <w:szCs w:val="20"/>
              </w:rPr>
            </w:pPr>
            <w:r w:rsidRPr="00605612">
              <w:rPr>
                <w:color w:val="000000" w:themeColor="text1"/>
                <w:sz w:val="20"/>
                <w:szCs w:val="20"/>
              </w:rPr>
              <w:t>Izjava o skladnosti</w:t>
            </w:r>
            <w:r w:rsidR="00AA0FF3">
              <w:rPr>
                <w:color w:val="000000" w:themeColor="text1"/>
                <w:sz w:val="20"/>
                <w:szCs w:val="20"/>
              </w:rPr>
              <w:t xml:space="preserve"> s korelacijsko tabelo</w:t>
            </w:r>
            <w:r w:rsidRPr="00605612">
              <w:rPr>
                <w:color w:val="000000" w:themeColor="text1"/>
                <w:sz w:val="20"/>
                <w:szCs w:val="20"/>
              </w:rPr>
              <w:t xml:space="preserve"> (oblika pdf) – izvoz iz baze RPS</w:t>
            </w:r>
          </w:p>
          <w:p w14:paraId="64CE343D" w14:textId="001768F4" w:rsidR="000C08CA" w:rsidRPr="00605612" w:rsidRDefault="000C08CA" w:rsidP="00FE328D">
            <w:pPr>
              <w:pStyle w:val="Odstavekseznama1"/>
              <w:spacing w:line="260" w:lineRule="exact"/>
              <w:ind w:left="0"/>
              <w:jc w:val="both"/>
              <w:rPr>
                <w:rFonts w:ascii="Arial" w:hAnsi="Arial" w:cs="Arial"/>
                <w:color w:val="000000" w:themeColor="text1"/>
                <w:sz w:val="20"/>
                <w:szCs w:val="20"/>
              </w:rPr>
            </w:pPr>
          </w:p>
          <w:p w14:paraId="55B704C4" w14:textId="77777777" w:rsidR="000C08CA" w:rsidRPr="00605612" w:rsidRDefault="000C08CA" w:rsidP="00FE328D">
            <w:pPr>
              <w:pStyle w:val="Neotevilenodstavek"/>
              <w:spacing w:before="0" w:after="0" w:line="260" w:lineRule="exact"/>
              <w:rPr>
                <w:color w:val="000000" w:themeColor="text1"/>
                <w:sz w:val="20"/>
                <w:szCs w:val="20"/>
              </w:rPr>
            </w:pPr>
          </w:p>
        </w:tc>
      </w:tr>
      <w:tr w:rsidR="000C08CA" w:rsidRPr="00605612" w14:paraId="73172BE9" w14:textId="77777777" w:rsidTr="4DB7FD0D">
        <w:tc>
          <w:tcPr>
            <w:tcW w:w="9072" w:type="dxa"/>
          </w:tcPr>
          <w:p w14:paraId="24E5EC25" w14:textId="77777777" w:rsidR="000C08CA" w:rsidRPr="00605612" w:rsidRDefault="000C08CA" w:rsidP="00FE328D">
            <w:pPr>
              <w:pStyle w:val="Oddel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 PRESOJA POSLEDIC, KI JIH BO IMEL SPREJEM ZAKONA</w:t>
            </w:r>
          </w:p>
          <w:p w14:paraId="23A103B0" w14:textId="77777777" w:rsidR="000C08CA" w:rsidRPr="00605612" w:rsidRDefault="000C08CA" w:rsidP="00FE328D">
            <w:pPr>
              <w:pStyle w:val="Oddelek"/>
              <w:numPr>
                <w:ilvl w:val="0"/>
                <w:numId w:val="0"/>
              </w:numPr>
              <w:spacing w:before="0" w:after="0" w:line="260" w:lineRule="exact"/>
              <w:jc w:val="left"/>
              <w:rPr>
                <w:color w:val="000000" w:themeColor="text1"/>
                <w:sz w:val="20"/>
                <w:szCs w:val="20"/>
              </w:rPr>
            </w:pPr>
          </w:p>
        </w:tc>
      </w:tr>
      <w:tr w:rsidR="000C08CA" w:rsidRPr="00605612" w14:paraId="5E1DE377" w14:textId="77777777" w:rsidTr="4DB7FD0D">
        <w:tc>
          <w:tcPr>
            <w:tcW w:w="9072" w:type="dxa"/>
          </w:tcPr>
          <w:p w14:paraId="5AFC7398"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 xml:space="preserve">6.1 Presoja administrativnih posledic </w:t>
            </w:r>
          </w:p>
          <w:p w14:paraId="21EB6211" w14:textId="6591B8EC"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 xml:space="preserve">a) v postopkih oziroma poslovanju javne uprave ali pravosodnih organov: </w:t>
            </w:r>
            <w:r w:rsidR="00CD10EB">
              <w:rPr>
                <w:color w:val="000000" w:themeColor="text1"/>
                <w:sz w:val="20"/>
                <w:szCs w:val="20"/>
              </w:rPr>
              <w:t>/</w:t>
            </w:r>
          </w:p>
        </w:tc>
      </w:tr>
      <w:tr w:rsidR="000C08CA" w:rsidRPr="00605612" w14:paraId="40F64DCA" w14:textId="77777777" w:rsidTr="4DB7FD0D">
        <w:tc>
          <w:tcPr>
            <w:tcW w:w="9072" w:type="dxa"/>
          </w:tcPr>
          <w:p w14:paraId="5995EBAC"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677EFE6C" w14:textId="455C2F29" w:rsidR="000C08CA" w:rsidRPr="00605612" w:rsidRDefault="000C08CA" w:rsidP="00FE328D">
            <w:pPr>
              <w:pStyle w:val="rkovnatokazaodstavkom"/>
              <w:numPr>
                <w:ilvl w:val="0"/>
                <w:numId w:val="0"/>
              </w:numPr>
              <w:spacing w:line="260" w:lineRule="exact"/>
              <w:rPr>
                <w:rFonts w:cs="Arial"/>
                <w:b/>
                <w:color w:val="000000" w:themeColor="text1"/>
              </w:rPr>
            </w:pPr>
            <w:r w:rsidRPr="00605612">
              <w:rPr>
                <w:rFonts w:cs="Arial"/>
                <w:b/>
                <w:color w:val="000000" w:themeColor="text1"/>
              </w:rPr>
              <w:t>b) pri obveznostih strank do javne uprave ali pravosodnih organov:</w:t>
            </w:r>
            <w:r w:rsidR="00CD10EB">
              <w:rPr>
                <w:rFonts w:cs="Arial"/>
                <w:b/>
                <w:color w:val="000000" w:themeColor="text1"/>
              </w:rPr>
              <w:t xml:space="preserve"> /</w:t>
            </w:r>
          </w:p>
          <w:p w14:paraId="0DF36661" w14:textId="77777777" w:rsidR="000C08CA" w:rsidRPr="00605612" w:rsidRDefault="000C08CA" w:rsidP="00FE328D">
            <w:pPr>
              <w:pStyle w:val="Alineazaodstavkom"/>
              <w:numPr>
                <w:ilvl w:val="0"/>
                <w:numId w:val="0"/>
              </w:numPr>
              <w:spacing w:line="260" w:lineRule="exact"/>
              <w:rPr>
                <w:color w:val="000000" w:themeColor="text1"/>
                <w:sz w:val="20"/>
                <w:szCs w:val="20"/>
              </w:rPr>
            </w:pPr>
          </w:p>
          <w:p w14:paraId="4DAB555A" w14:textId="77777777" w:rsidR="000C08CA" w:rsidRPr="00605612" w:rsidRDefault="000C08CA" w:rsidP="00FE328D">
            <w:pPr>
              <w:spacing w:line="288" w:lineRule="auto"/>
              <w:jc w:val="both"/>
              <w:rPr>
                <w:rFonts w:cs="Arial"/>
                <w:color w:val="000000" w:themeColor="text1"/>
                <w:szCs w:val="20"/>
              </w:rPr>
            </w:pPr>
          </w:p>
        </w:tc>
      </w:tr>
      <w:tr w:rsidR="000C08CA" w:rsidRPr="00605612" w14:paraId="2A0E25F8" w14:textId="77777777" w:rsidTr="4DB7FD0D">
        <w:tc>
          <w:tcPr>
            <w:tcW w:w="9072" w:type="dxa"/>
          </w:tcPr>
          <w:p w14:paraId="44130E08"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6.2 Presoja posledic za okolje, vključno s prostorskimi in varstvenimi vidiki, in sicer za:</w:t>
            </w:r>
          </w:p>
        </w:tc>
      </w:tr>
      <w:tr w:rsidR="000C08CA" w:rsidRPr="00605612" w14:paraId="623DB292" w14:textId="77777777" w:rsidTr="4DB7FD0D">
        <w:tc>
          <w:tcPr>
            <w:tcW w:w="9072" w:type="dxa"/>
          </w:tcPr>
          <w:p w14:paraId="7BD3657F" w14:textId="77777777" w:rsidR="000C08CA" w:rsidRPr="00605612" w:rsidRDefault="000C08CA" w:rsidP="00FE328D">
            <w:pPr>
              <w:spacing w:line="288" w:lineRule="auto"/>
              <w:ind w:right="284"/>
              <w:jc w:val="both"/>
              <w:rPr>
                <w:rFonts w:cs="Arial"/>
                <w:color w:val="000000" w:themeColor="text1"/>
                <w:szCs w:val="20"/>
              </w:rPr>
            </w:pPr>
          </w:p>
          <w:p w14:paraId="77E9A122" w14:textId="77777777" w:rsidR="000C08CA" w:rsidRPr="00605612" w:rsidRDefault="000C08CA" w:rsidP="00FE328D">
            <w:pPr>
              <w:spacing w:line="288" w:lineRule="auto"/>
              <w:ind w:right="284"/>
              <w:jc w:val="both"/>
              <w:rPr>
                <w:rFonts w:cs="Arial"/>
                <w:color w:val="000000" w:themeColor="text1"/>
                <w:szCs w:val="20"/>
              </w:rPr>
            </w:pPr>
            <w:r w:rsidRPr="00DE5DCB">
              <w:rPr>
                <w:rFonts w:cs="Arial"/>
                <w:color w:val="000000" w:themeColor="text1"/>
                <w:szCs w:val="20"/>
              </w:rPr>
              <w:t xml:space="preserve">Rešitve predloga zakona </w:t>
            </w:r>
            <w:r>
              <w:rPr>
                <w:rFonts w:cs="Arial"/>
                <w:color w:val="000000" w:themeColor="text1"/>
                <w:szCs w:val="20"/>
              </w:rPr>
              <w:t xml:space="preserve">v zvezi z Direktivo </w:t>
            </w:r>
            <w:r w:rsidRPr="00DE5DCB">
              <w:rPr>
                <w:rFonts w:cs="Arial"/>
                <w:color w:val="000000" w:themeColor="text1"/>
                <w:szCs w:val="20"/>
              </w:rPr>
              <w:t>2022/2464/EU</w:t>
            </w:r>
            <w:r w:rsidRPr="00A047DD">
              <w:rPr>
                <w:rFonts w:cs="Arial"/>
                <w:color w:val="000000" w:themeColor="text1"/>
                <w:szCs w:val="20"/>
              </w:rPr>
              <w:t xml:space="preserve"> bodo </w:t>
            </w:r>
            <w:r>
              <w:rPr>
                <w:rFonts w:cs="Arial"/>
                <w:color w:val="000000" w:themeColor="text1"/>
                <w:szCs w:val="20"/>
              </w:rPr>
              <w:t xml:space="preserve">vplivale tudi na to, da bodo </w:t>
            </w:r>
            <w:r w:rsidRPr="00A047DD">
              <w:rPr>
                <w:rFonts w:cs="Arial"/>
                <w:color w:val="000000" w:themeColor="text1"/>
                <w:szCs w:val="20"/>
              </w:rPr>
              <w:t xml:space="preserve">družbe postale odgovornejše za svoje vplive na ljudi in okolje, s čimer se bo pozitivno vplivalo na naravo in okolje ter </w:t>
            </w:r>
            <w:r>
              <w:rPr>
                <w:rFonts w:cs="Arial"/>
                <w:color w:val="000000" w:themeColor="text1"/>
                <w:szCs w:val="20"/>
              </w:rPr>
              <w:t>se bo</w:t>
            </w:r>
            <w:r w:rsidRPr="00A047DD">
              <w:rPr>
                <w:rFonts w:cs="Arial"/>
                <w:color w:val="000000" w:themeColor="text1"/>
                <w:szCs w:val="20"/>
              </w:rPr>
              <w:t xml:space="preserve"> okrepilo zaupanje med ljudmi in družbo.</w:t>
            </w:r>
          </w:p>
          <w:p w14:paraId="58D79A0C" w14:textId="77777777" w:rsidR="000C08CA" w:rsidRPr="00605612" w:rsidRDefault="000C08CA" w:rsidP="00FE328D">
            <w:pPr>
              <w:pStyle w:val="Alineazatoko"/>
              <w:spacing w:line="260" w:lineRule="exact"/>
              <w:ind w:left="0" w:firstLine="0"/>
              <w:rPr>
                <w:color w:val="000000" w:themeColor="text1"/>
                <w:sz w:val="20"/>
                <w:szCs w:val="20"/>
              </w:rPr>
            </w:pPr>
          </w:p>
        </w:tc>
      </w:tr>
      <w:tr w:rsidR="000C08CA" w:rsidRPr="00605612" w14:paraId="1F6D4D6F" w14:textId="77777777" w:rsidTr="4DB7FD0D">
        <w:tc>
          <w:tcPr>
            <w:tcW w:w="9072" w:type="dxa"/>
          </w:tcPr>
          <w:p w14:paraId="73F880AC"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6.3 Presoja posledic za gospodarstvo, in sicer za:</w:t>
            </w:r>
          </w:p>
        </w:tc>
      </w:tr>
      <w:tr w:rsidR="000C08CA" w:rsidRPr="00605612" w14:paraId="7BAD4B4C" w14:textId="77777777" w:rsidTr="4DB7FD0D">
        <w:tc>
          <w:tcPr>
            <w:tcW w:w="9072" w:type="dxa"/>
          </w:tcPr>
          <w:p w14:paraId="3F40540C"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21E51718" w14:textId="77777777" w:rsidR="000C08CA" w:rsidRPr="00605612" w:rsidRDefault="000C08CA" w:rsidP="00FE328D">
            <w:pPr>
              <w:pStyle w:val="rkovnatokazaodstavkom"/>
              <w:numPr>
                <w:ilvl w:val="0"/>
                <w:numId w:val="0"/>
              </w:numPr>
              <w:spacing w:line="260" w:lineRule="exact"/>
              <w:rPr>
                <w:rFonts w:cs="Arial"/>
                <w:color w:val="000000" w:themeColor="text1"/>
              </w:rPr>
            </w:pPr>
            <w:r w:rsidRPr="00605612">
              <w:rPr>
                <w:rFonts w:cs="Arial"/>
                <w:color w:val="000000" w:themeColor="text1"/>
              </w:rPr>
              <w:t>Direktiv</w:t>
            </w:r>
            <w:r>
              <w:rPr>
                <w:rFonts w:cs="Arial"/>
                <w:color w:val="000000" w:themeColor="text1"/>
              </w:rPr>
              <w:t>o</w:t>
            </w:r>
            <w:r w:rsidRPr="00605612">
              <w:rPr>
                <w:rFonts w:cs="Arial"/>
                <w:color w:val="000000" w:themeColor="text1"/>
              </w:rPr>
              <w:t xml:space="preserve"> 2021/2101/EU</w:t>
            </w:r>
          </w:p>
          <w:p w14:paraId="6CB3B92D"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45D3DBCC" w14:textId="77777777" w:rsidR="000C08CA" w:rsidRDefault="000C08CA" w:rsidP="00FE328D">
            <w:pPr>
              <w:pStyle w:val="rkovnatokazaodstavkom"/>
              <w:numPr>
                <w:ilvl w:val="0"/>
                <w:numId w:val="0"/>
              </w:numPr>
              <w:spacing w:line="260" w:lineRule="exact"/>
              <w:rPr>
                <w:rFonts w:cs="Arial"/>
                <w:color w:val="000000" w:themeColor="text1"/>
              </w:rPr>
            </w:pPr>
            <w:r w:rsidRPr="00605612">
              <w:rPr>
                <w:rFonts w:cs="Arial"/>
                <w:color w:val="000000" w:themeColor="text1"/>
              </w:rPr>
              <w:t xml:space="preserve">Rešitve predloga zakona bodo pozitivno vplivale na gospodarstvo in poslovno okolje. Vzpostavitev sistema javnega poročanja o nekaterih davčnih informacijah v zvezi s poslovanjem največjih gospodarskih družb bo spodbudila preglednost poslovanja teh družb in izboljšala njihovo družbeno odgovornost, s tem pa bodo nastali pozitivni učinki za blaginjo celotne družbe. Javno poročanje o nekaterih informacijah v zvezi z dohodki družb po državah bo izboljšalo zmožnost delničarjev, da pravilno ocenijo tveganja, ki jih prevzemajo družbe, vodilo bo do naložbenih strategij, ki temeljijo na točnih in primerljivih informacijah, in povečalo zmožnost nosilcev odločanja, da </w:t>
            </w:r>
            <w:r>
              <w:rPr>
                <w:rFonts w:cs="Arial"/>
                <w:color w:val="000000" w:themeColor="text1"/>
              </w:rPr>
              <w:t>ugotovijo</w:t>
            </w:r>
            <w:r w:rsidRPr="00605612">
              <w:rPr>
                <w:rFonts w:cs="Arial"/>
                <w:color w:val="000000" w:themeColor="text1"/>
              </w:rPr>
              <w:t xml:space="preserve"> učinkovitost in vpliv nacionalne zakonodaje. </w:t>
            </w:r>
          </w:p>
          <w:p w14:paraId="6BA4030A"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0E157FFC" w14:textId="77777777" w:rsidR="000C08CA" w:rsidRDefault="000C08CA" w:rsidP="00FE328D">
            <w:pPr>
              <w:pStyle w:val="rkovnatokazaodstavkom"/>
              <w:numPr>
                <w:ilvl w:val="0"/>
                <w:numId w:val="0"/>
              </w:numPr>
              <w:spacing w:line="260" w:lineRule="exact"/>
              <w:rPr>
                <w:rFonts w:cs="Arial"/>
                <w:color w:val="000000" w:themeColor="text1"/>
              </w:rPr>
            </w:pPr>
            <w:r w:rsidRPr="00605612">
              <w:rPr>
                <w:rFonts w:cs="Arial"/>
                <w:color w:val="000000" w:themeColor="text1"/>
              </w:rPr>
              <w:t>Direktiv</w:t>
            </w:r>
            <w:r>
              <w:rPr>
                <w:rFonts w:cs="Arial"/>
                <w:color w:val="000000" w:themeColor="text1"/>
              </w:rPr>
              <w:t>o</w:t>
            </w:r>
            <w:r w:rsidRPr="00605612">
              <w:rPr>
                <w:rFonts w:cs="Arial"/>
                <w:color w:val="000000" w:themeColor="text1"/>
              </w:rPr>
              <w:t xml:space="preserve"> 2022/2464/EU</w:t>
            </w:r>
          </w:p>
          <w:p w14:paraId="69DBA902"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2AEF8FFD" w14:textId="77777777" w:rsidR="000C08CA" w:rsidRPr="00605612" w:rsidRDefault="000C08CA" w:rsidP="00FE328D">
            <w:pPr>
              <w:pStyle w:val="rkovnatokazaodstavkom"/>
              <w:numPr>
                <w:ilvl w:val="0"/>
                <w:numId w:val="0"/>
              </w:numPr>
              <w:spacing w:line="260" w:lineRule="exact"/>
            </w:pPr>
            <w:r w:rsidRPr="00605612">
              <w:t>Rešitve predloga zakona bodo tudi vlagateljem in drugim deležnikom omogočale dostop do primerljivih informacij o trajnostnosti družb, v kater</w:t>
            </w:r>
            <w:r>
              <w:t>e</w:t>
            </w:r>
            <w:r w:rsidRPr="00605612">
              <w:t xml:space="preserve"> se vlaga, po vsej EU. Zagotovilo se bo, da bodo na voljo zadostne javno dostopne informacije o tveganjih, ki jih zadeve v zvezi s trajnostnostjo predstavljajo za družbe, ter o vplivih družb na ljudi in okolje. Predlog bo izboljšal tudi dodeljevanje finančnega kapitala družbam in dejavnostim, ki obravnavajo družbene in okoljske probleme. Zagotovil</w:t>
            </w:r>
            <w:r>
              <w:t>i</w:t>
            </w:r>
            <w:r w:rsidRPr="00605612">
              <w:t xml:space="preserve"> se bo</w:t>
            </w:r>
            <w:r>
              <w:t>sta</w:t>
            </w:r>
            <w:r w:rsidRPr="00605612">
              <w:t xml:space="preserve"> tudi jasnost in gotovost o tem, katere informacije o trajnostnosti je treba </w:t>
            </w:r>
            <w:r>
              <w:t>s</w:t>
            </w:r>
            <w:r w:rsidRPr="00605612">
              <w:t>poročati, pripravljavcem poročil pa bo olajša</w:t>
            </w:r>
            <w:r>
              <w:t>no</w:t>
            </w:r>
            <w:r w:rsidRPr="00605612">
              <w:t xml:space="preserve"> pridobivanje informacij, ki jih za poročanj</w:t>
            </w:r>
            <w:r>
              <w:t>e</w:t>
            </w:r>
            <w:r w:rsidRPr="00605612">
              <w:t xml:space="preserve"> potrebujejo od svojih poslovnih partnerjev (dobaviteljev, strank in podjetij, v katera se vlaga). </w:t>
            </w:r>
            <w:r>
              <w:t>Poleg tega bodo</w:t>
            </w:r>
            <w:r w:rsidRPr="00605612">
              <w:t xml:space="preserve"> družbe redkeje preje</w:t>
            </w:r>
            <w:r>
              <w:t>male</w:t>
            </w:r>
            <w:r w:rsidRPr="00605612">
              <w:t xml:space="preserve"> zahtevke za informacije o trajnostnosti</w:t>
            </w:r>
            <w:r>
              <w:t>,</w:t>
            </w:r>
            <w:r w:rsidRPr="00605612">
              <w:t xml:space="preserve"> poleg informacij, ki jih objavijo v svojih letnih poročilih. </w:t>
            </w:r>
          </w:p>
          <w:p w14:paraId="4373A3B8" w14:textId="77777777" w:rsidR="000C08CA" w:rsidRPr="00605612" w:rsidRDefault="000C08CA" w:rsidP="00FE328D">
            <w:pPr>
              <w:pStyle w:val="rkovnatokazaodstavkom"/>
              <w:numPr>
                <w:ilvl w:val="0"/>
                <w:numId w:val="0"/>
              </w:numPr>
              <w:spacing w:line="260" w:lineRule="exact"/>
              <w:rPr>
                <w:rFonts w:cs="Arial"/>
              </w:rPr>
            </w:pPr>
          </w:p>
          <w:p w14:paraId="465C9645" w14:textId="77777777" w:rsidR="000C08CA" w:rsidRPr="00605612" w:rsidRDefault="000C08CA" w:rsidP="00FE328D">
            <w:pPr>
              <w:pStyle w:val="rkovnatokazaodstavkom"/>
              <w:numPr>
                <w:ilvl w:val="0"/>
                <w:numId w:val="0"/>
              </w:numPr>
              <w:spacing w:line="260" w:lineRule="exact"/>
              <w:rPr>
                <w:rFonts w:cs="Arial"/>
                <w:color w:val="000000" w:themeColor="text1"/>
              </w:rPr>
            </w:pPr>
            <w:r w:rsidRPr="00605612">
              <w:rPr>
                <w:rFonts w:cs="Arial"/>
                <w:color w:val="000000" w:themeColor="text1"/>
              </w:rPr>
              <w:t>Direktiv</w:t>
            </w:r>
            <w:r>
              <w:rPr>
                <w:rFonts w:cs="Arial"/>
                <w:color w:val="000000" w:themeColor="text1"/>
              </w:rPr>
              <w:t>o</w:t>
            </w:r>
            <w:r w:rsidRPr="00605612">
              <w:rPr>
                <w:rFonts w:cs="Arial"/>
                <w:color w:val="000000" w:themeColor="text1"/>
              </w:rPr>
              <w:t xml:space="preserve"> 2022/2381/EU</w:t>
            </w:r>
          </w:p>
          <w:p w14:paraId="68FDB965" w14:textId="77777777" w:rsidR="000C08CA" w:rsidRPr="00605612" w:rsidRDefault="000C08CA" w:rsidP="00FE328D">
            <w:pPr>
              <w:pStyle w:val="rkovnatokazaodstavkom"/>
              <w:numPr>
                <w:ilvl w:val="0"/>
                <w:numId w:val="0"/>
              </w:numPr>
              <w:spacing w:line="260" w:lineRule="exact"/>
              <w:rPr>
                <w:rFonts w:cs="Arial"/>
                <w:color w:val="000000" w:themeColor="text1"/>
              </w:rPr>
            </w:pPr>
          </w:p>
          <w:p w14:paraId="68BE39D8" w14:textId="77777777" w:rsidR="000C08CA" w:rsidRDefault="000C08CA" w:rsidP="00FE328D">
            <w:pPr>
              <w:pStyle w:val="rkovnatokazaodstavkom"/>
              <w:numPr>
                <w:ilvl w:val="0"/>
                <w:numId w:val="0"/>
              </w:numPr>
              <w:spacing w:line="276" w:lineRule="auto"/>
              <w:rPr>
                <w:rFonts w:cs="Arial"/>
                <w:color w:val="000000"/>
                <w:shd w:val="clear" w:color="auto" w:fill="FFFFFF"/>
              </w:rPr>
            </w:pPr>
            <w:r w:rsidRPr="00605612">
              <w:rPr>
                <w:rFonts w:cs="Arial"/>
                <w:color w:val="000000"/>
                <w:shd w:val="clear" w:color="auto" w:fill="FFFFFF"/>
              </w:rPr>
              <w:t xml:space="preserve">Splošno priznano je, da prisotnost žensk (tj. manj zastopanega spola) v organih družb izboljšuje upravljanje družbe, saj se zaradi bolj raznolikega in kolektivnega mišljenja, ki zajema širši razpon vidikov, izboljšata uspešnost skupin in kakovost odločanja. Številne študije so pokazale, da raznolikost vodi k proaktivnejšemu poslovnemu modelu, bolj uravnoteženim odločitvam in okrepljenim strokovnim standardom v organih družb, ki bolje odražajo družbeno stvarnost in potrebe potrošnikov, hkrati pa spodbuja inovacije. Pokazale so tudi, da obstaja pozitivna povezava med </w:t>
            </w:r>
            <w:r w:rsidRPr="009B69A0">
              <w:rPr>
                <w:rFonts w:cs="Arial"/>
                <w:color w:val="000000"/>
                <w:shd w:val="clear" w:color="auto" w:fill="FFFFFF"/>
              </w:rPr>
              <w:t>uravnotežen</w:t>
            </w:r>
            <w:r>
              <w:rPr>
                <w:rFonts w:cs="Arial"/>
                <w:color w:val="000000"/>
                <w:shd w:val="clear" w:color="auto" w:fill="FFFFFF"/>
              </w:rPr>
              <w:t>o</w:t>
            </w:r>
            <w:r w:rsidRPr="009B69A0">
              <w:rPr>
                <w:rFonts w:cs="Arial"/>
                <w:color w:val="000000"/>
                <w:shd w:val="clear" w:color="auto" w:fill="FFFFFF"/>
              </w:rPr>
              <w:t xml:space="preserve"> zastopanost</w:t>
            </w:r>
            <w:r>
              <w:rPr>
                <w:rFonts w:cs="Arial"/>
                <w:color w:val="000000"/>
                <w:shd w:val="clear" w:color="auto" w:fill="FFFFFF"/>
              </w:rPr>
              <w:t>jo</w:t>
            </w:r>
            <w:r w:rsidRPr="009B69A0">
              <w:rPr>
                <w:rFonts w:cs="Arial"/>
                <w:color w:val="000000"/>
                <w:shd w:val="clear" w:color="auto" w:fill="FFFFFF"/>
              </w:rPr>
              <w:t xml:space="preserve"> </w:t>
            </w:r>
            <w:r w:rsidRPr="00605612">
              <w:rPr>
                <w:rFonts w:cs="Arial"/>
                <w:color w:val="000000"/>
                <w:shd w:val="clear" w:color="auto" w:fill="FFFFFF"/>
              </w:rPr>
              <w:t xml:space="preserve">spolov na najvišji vodstveni ravni ter finančno uspešnostjo in dobičkonosnostjo družbe, kar vodi do dolgoročne trajnostne rasti. Povečanje zastopanosti žensk </w:t>
            </w:r>
            <w:r w:rsidRPr="00605612">
              <w:rPr>
                <w:rFonts w:cs="Arial"/>
              </w:rPr>
              <w:t>med osebami</w:t>
            </w:r>
            <w:r>
              <w:rPr>
                <w:rFonts w:cs="Arial"/>
              </w:rPr>
              <w:t>,</w:t>
            </w:r>
            <w:r w:rsidRPr="00605612">
              <w:rPr>
                <w:rFonts w:cs="Arial"/>
              </w:rPr>
              <w:t xml:space="preserve"> odgovornimi za nadzor in vodenje poslov družbe</w:t>
            </w:r>
            <w:r>
              <w:rPr>
                <w:rFonts w:cs="Arial"/>
              </w:rPr>
              <w:t>,</w:t>
            </w:r>
            <w:r w:rsidRPr="00605612">
              <w:rPr>
                <w:rFonts w:cs="Arial"/>
                <w:color w:val="000000"/>
                <w:shd w:val="clear" w:color="auto" w:fill="FFFFFF"/>
              </w:rPr>
              <w:t xml:space="preserve"> ne vpliva zgolj na ženske</w:t>
            </w:r>
            <w:r>
              <w:rPr>
                <w:rFonts w:cs="Arial"/>
                <w:color w:val="000000"/>
                <w:shd w:val="clear" w:color="auto" w:fill="FFFFFF"/>
              </w:rPr>
              <w:t>,</w:t>
            </w:r>
            <w:r w:rsidRPr="00605612">
              <w:rPr>
                <w:rFonts w:cs="Arial"/>
                <w:color w:val="000000"/>
                <w:shd w:val="clear" w:color="auto" w:fill="FFFFFF"/>
              </w:rPr>
              <w:t xml:space="preserve"> imenovane na vodilna mesta, temveč hkrati prispeva k temu, da se v družbo privabi ženski talent ter </w:t>
            </w:r>
            <w:r>
              <w:rPr>
                <w:rFonts w:cs="Arial"/>
                <w:color w:val="000000"/>
                <w:shd w:val="clear" w:color="auto" w:fill="FFFFFF"/>
              </w:rPr>
              <w:t xml:space="preserve">se </w:t>
            </w:r>
            <w:r w:rsidRPr="00605612">
              <w:rPr>
                <w:rFonts w:cs="Arial"/>
                <w:color w:val="000000"/>
                <w:shd w:val="clear" w:color="auto" w:fill="FFFFFF"/>
              </w:rPr>
              <w:t>tako zagotovi večja prisotnost žensk na vseh vodstvenih ravneh in med zaposlenimi. Zato bo večji delež žensk na vodilnih mestih najverjetneje pozitivno vplival na odpravo vrzeli pri zaposlovanju in plačne vrzeli med spoloma.</w:t>
            </w:r>
          </w:p>
          <w:p w14:paraId="64BE11B9" w14:textId="77777777" w:rsidR="000C08CA" w:rsidRDefault="000C08CA" w:rsidP="00FE328D">
            <w:pPr>
              <w:pStyle w:val="rkovnatokazaodstavkom"/>
              <w:numPr>
                <w:ilvl w:val="0"/>
                <w:numId w:val="0"/>
              </w:numPr>
              <w:spacing w:line="276" w:lineRule="auto"/>
              <w:rPr>
                <w:rFonts w:cs="Arial"/>
                <w:color w:val="000000"/>
                <w:shd w:val="clear" w:color="auto" w:fill="FFFFFF"/>
              </w:rPr>
            </w:pPr>
          </w:p>
          <w:p w14:paraId="6ABAC284" w14:textId="77777777" w:rsidR="000C08CA" w:rsidRPr="00605612" w:rsidRDefault="000C08CA" w:rsidP="00FE328D">
            <w:pPr>
              <w:pStyle w:val="rkovnatokazaodstavkom"/>
              <w:numPr>
                <w:ilvl w:val="0"/>
                <w:numId w:val="0"/>
              </w:numPr>
              <w:spacing w:line="276" w:lineRule="auto"/>
              <w:rPr>
                <w:rFonts w:cs="Arial"/>
                <w:color w:val="000000"/>
                <w:shd w:val="clear" w:color="auto" w:fill="FFFFFF"/>
              </w:rPr>
            </w:pPr>
            <w:r w:rsidRPr="00CE756E">
              <w:rPr>
                <w:rFonts w:cs="Arial"/>
                <w:color w:val="000000"/>
                <w:shd w:val="clear" w:color="auto" w:fill="FFFFFF"/>
              </w:rPr>
              <w:t>Direktiv</w:t>
            </w:r>
            <w:r>
              <w:rPr>
                <w:rFonts w:cs="Arial"/>
                <w:color w:val="000000"/>
                <w:shd w:val="clear" w:color="auto" w:fill="FFFFFF"/>
              </w:rPr>
              <w:t>o</w:t>
            </w:r>
            <w:r w:rsidRPr="00CE756E">
              <w:rPr>
                <w:rFonts w:cs="Arial"/>
                <w:color w:val="000000"/>
                <w:shd w:val="clear" w:color="auto" w:fill="FFFFFF"/>
              </w:rPr>
              <w:t xml:space="preserve"> 2023/2775/EU</w:t>
            </w:r>
          </w:p>
          <w:p w14:paraId="19C539C4" w14:textId="77777777" w:rsidR="000C08CA" w:rsidRDefault="000C08CA" w:rsidP="00FE328D">
            <w:pPr>
              <w:pStyle w:val="Alineazatoko"/>
              <w:spacing w:line="260" w:lineRule="exact"/>
              <w:ind w:left="0" w:firstLine="0"/>
              <w:rPr>
                <w:color w:val="000000" w:themeColor="text1"/>
                <w:sz w:val="20"/>
                <w:szCs w:val="20"/>
              </w:rPr>
            </w:pPr>
          </w:p>
          <w:p w14:paraId="3E45D8B0" w14:textId="77777777" w:rsidR="000C08CA" w:rsidRPr="004D6390" w:rsidRDefault="000C08CA" w:rsidP="00FE328D">
            <w:pPr>
              <w:pStyle w:val="Default"/>
              <w:spacing w:line="276" w:lineRule="auto"/>
              <w:jc w:val="both"/>
              <w:rPr>
                <w:sz w:val="20"/>
                <w:szCs w:val="20"/>
              </w:rPr>
            </w:pPr>
            <w:r>
              <w:rPr>
                <w:color w:val="000000" w:themeColor="text1"/>
                <w:sz w:val="20"/>
                <w:szCs w:val="20"/>
              </w:rPr>
              <w:t xml:space="preserve">Rešitve predloga zakona bodo vplivale na gospodarstvo in poslovno okolje, saj se spreminjajo </w:t>
            </w:r>
            <w:r w:rsidRPr="00436CCE">
              <w:rPr>
                <w:color w:val="000000" w:themeColor="text1"/>
                <w:sz w:val="20"/>
                <w:szCs w:val="20"/>
              </w:rPr>
              <w:t xml:space="preserve">merila </w:t>
            </w:r>
            <w:r>
              <w:rPr>
                <w:color w:val="000000" w:themeColor="text1"/>
                <w:sz w:val="20"/>
                <w:szCs w:val="20"/>
              </w:rPr>
              <w:t>oziroma pragovi</w:t>
            </w:r>
            <w:r w:rsidRPr="00436CCE">
              <w:rPr>
                <w:color w:val="000000" w:themeColor="text1"/>
                <w:sz w:val="20"/>
                <w:szCs w:val="20"/>
              </w:rPr>
              <w:t xml:space="preserve"> </w:t>
            </w:r>
            <w:r>
              <w:rPr>
                <w:color w:val="000000" w:themeColor="text1"/>
                <w:sz w:val="20"/>
                <w:szCs w:val="20"/>
              </w:rPr>
              <w:t xml:space="preserve">za razvrstitev družb glede na </w:t>
            </w:r>
            <w:r w:rsidRPr="00436CCE">
              <w:rPr>
                <w:color w:val="000000" w:themeColor="text1"/>
                <w:sz w:val="20"/>
                <w:szCs w:val="20"/>
              </w:rPr>
              <w:t>velikost</w:t>
            </w:r>
            <w:r>
              <w:rPr>
                <w:color w:val="000000" w:themeColor="text1"/>
                <w:sz w:val="20"/>
                <w:szCs w:val="20"/>
              </w:rPr>
              <w:t xml:space="preserve"> skladno</w:t>
            </w:r>
            <w:r w:rsidRPr="00436CCE">
              <w:rPr>
                <w:color w:val="000000" w:themeColor="text1"/>
                <w:sz w:val="20"/>
                <w:szCs w:val="20"/>
              </w:rPr>
              <w:t xml:space="preserve"> z učink</w:t>
            </w:r>
            <w:r>
              <w:rPr>
                <w:color w:val="000000" w:themeColor="text1"/>
                <w:sz w:val="20"/>
                <w:szCs w:val="20"/>
              </w:rPr>
              <w:t>i</w:t>
            </w:r>
            <w:r w:rsidRPr="00436CCE">
              <w:rPr>
                <w:color w:val="000000" w:themeColor="text1"/>
                <w:sz w:val="20"/>
                <w:szCs w:val="20"/>
              </w:rPr>
              <w:t xml:space="preserve"> inflacije. To povečanje pri merilih </w:t>
            </w:r>
            <w:r>
              <w:rPr>
                <w:color w:val="000000" w:themeColor="text1"/>
                <w:sz w:val="20"/>
                <w:szCs w:val="20"/>
              </w:rPr>
              <w:t>oziroma pragovih za razvrstitev družb glede na</w:t>
            </w:r>
            <w:r w:rsidRPr="00436CCE">
              <w:rPr>
                <w:color w:val="000000" w:themeColor="text1"/>
                <w:sz w:val="20"/>
                <w:szCs w:val="20"/>
              </w:rPr>
              <w:t xml:space="preserve"> velikost ne bo le zmanjšalo področja uporabe zahtev glede predstavljanja, revizije in objave računovodskih izkazov, določenih v računovodski direktivi, temveč b</w:t>
            </w:r>
            <w:r>
              <w:rPr>
                <w:color w:val="000000" w:themeColor="text1"/>
                <w:sz w:val="20"/>
                <w:szCs w:val="20"/>
              </w:rPr>
              <w:t>o</w:t>
            </w:r>
            <w:r w:rsidRPr="00436CCE">
              <w:rPr>
                <w:color w:val="000000" w:themeColor="text1"/>
                <w:sz w:val="20"/>
                <w:szCs w:val="20"/>
              </w:rPr>
              <w:t xml:space="preserve"> tudi zmanjšalo področje uporabe zahtev glede poročanja o trajnostnosti iz računovodske direktive</w:t>
            </w:r>
            <w:r>
              <w:rPr>
                <w:color w:val="000000" w:themeColor="text1"/>
                <w:sz w:val="20"/>
                <w:szCs w:val="20"/>
              </w:rPr>
              <w:t xml:space="preserve">. </w:t>
            </w:r>
            <w:r w:rsidRPr="00DD164E">
              <w:rPr>
                <w:sz w:val="20"/>
                <w:szCs w:val="20"/>
              </w:rPr>
              <w:t>V Republiki Sloveniji je bilo po podatkih iz letnih poročil, ki so jih gospodarske družbe predložile Ajpes</w:t>
            </w:r>
            <w:r>
              <w:rPr>
                <w:sz w:val="20"/>
                <w:szCs w:val="20"/>
              </w:rPr>
              <w:t>u</w:t>
            </w:r>
            <w:r w:rsidRPr="00DD164E">
              <w:rPr>
                <w:sz w:val="20"/>
                <w:szCs w:val="20"/>
              </w:rPr>
              <w:t xml:space="preserve"> za leto 2022, med 70.071 družbami 83,4 % mikro, 14,1</w:t>
            </w:r>
            <w:r>
              <w:rPr>
                <w:sz w:val="20"/>
                <w:szCs w:val="20"/>
              </w:rPr>
              <w:t> </w:t>
            </w:r>
            <w:r w:rsidRPr="00DD164E">
              <w:rPr>
                <w:sz w:val="20"/>
                <w:szCs w:val="20"/>
              </w:rPr>
              <w:t>% majhnih, 1,7 % srednjih in 0,8 % velikih družb. Ob upoštevanju predlaganih sprememb meril velikosti za razvrščanje družb</w:t>
            </w:r>
            <w:r w:rsidRPr="00DD164E">
              <w:rPr>
                <w:rStyle w:val="FootnoteReference"/>
                <w:sz w:val="20"/>
                <w:szCs w:val="20"/>
              </w:rPr>
              <w:footnoteReference w:id="37"/>
            </w:r>
            <w:r w:rsidRPr="00DD164E">
              <w:rPr>
                <w:sz w:val="20"/>
                <w:szCs w:val="20"/>
              </w:rPr>
              <w:t xml:space="preserve"> Ajpes na podlagi podatkov iz letnih poročil za leto 2022 </w:t>
            </w:r>
            <w:r>
              <w:rPr>
                <w:sz w:val="20"/>
                <w:szCs w:val="20"/>
              </w:rPr>
              <w:t>ugotavlja</w:t>
            </w:r>
            <w:r w:rsidRPr="00DD164E">
              <w:rPr>
                <w:sz w:val="20"/>
                <w:szCs w:val="20"/>
              </w:rPr>
              <w:t xml:space="preserve">, da se bo v Sloveniji nekoliko </w:t>
            </w:r>
            <w:r>
              <w:rPr>
                <w:sz w:val="20"/>
                <w:szCs w:val="20"/>
              </w:rPr>
              <w:t>povečal</w:t>
            </w:r>
            <w:r w:rsidRPr="00DD164E">
              <w:rPr>
                <w:sz w:val="20"/>
                <w:szCs w:val="20"/>
              </w:rPr>
              <w:t xml:space="preserve"> delež mikro družb (85,0 %), zmanjšali pa se bodo deleži majhnih (13,0 %), srednjih (1,6 %) in velikih družb (0,4 %).</w:t>
            </w:r>
          </w:p>
          <w:p w14:paraId="1896B287" w14:textId="77777777" w:rsidR="000C08CA" w:rsidRDefault="000C08CA" w:rsidP="00FE328D">
            <w:pPr>
              <w:pStyle w:val="Default"/>
              <w:spacing w:line="276" w:lineRule="auto"/>
              <w:jc w:val="both"/>
              <w:rPr>
                <w:sz w:val="20"/>
                <w:szCs w:val="20"/>
              </w:rPr>
            </w:pPr>
          </w:p>
          <w:p w14:paraId="684BAFAB" w14:textId="77777777" w:rsidR="000C08CA" w:rsidRDefault="000C08CA" w:rsidP="00FE328D">
            <w:pPr>
              <w:pStyle w:val="Default"/>
              <w:spacing w:line="276" w:lineRule="auto"/>
              <w:jc w:val="both"/>
              <w:rPr>
                <w:sz w:val="20"/>
                <w:szCs w:val="20"/>
              </w:rPr>
            </w:pPr>
            <w:r>
              <w:rPr>
                <w:sz w:val="20"/>
                <w:szCs w:val="20"/>
              </w:rPr>
              <w:t>Spremenjeno opredelitev subjekta javnega interesa</w:t>
            </w:r>
          </w:p>
          <w:p w14:paraId="3A9F3007" w14:textId="77777777" w:rsidR="000C08CA" w:rsidRDefault="000C08CA" w:rsidP="00FE328D">
            <w:pPr>
              <w:pStyle w:val="Default"/>
              <w:spacing w:line="276" w:lineRule="auto"/>
              <w:jc w:val="both"/>
              <w:rPr>
                <w:sz w:val="20"/>
                <w:szCs w:val="20"/>
              </w:rPr>
            </w:pPr>
          </w:p>
          <w:p w14:paraId="08024E85" w14:textId="77777777" w:rsidR="000C08CA" w:rsidRPr="004D6390" w:rsidRDefault="000C08CA" w:rsidP="00FE328D">
            <w:pPr>
              <w:pStyle w:val="Default"/>
              <w:spacing w:line="276" w:lineRule="auto"/>
              <w:jc w:val="both"/>
              <w:rPr>
                <w:sz w:val="20"/>
                <w:szCs w:val="20"/>
              </w:rPr>
            </w:pPr>
            <w:r>
              <w:rPr>
                <w:sz w:val="20"/>
                <w:szCs w:val="20"/>
              </w:rPr>
              <w:t xml:space="preserve">Predlog zakona s spremembo opredelitve subjekta javnega interesa bo imel pozitivne posledice za srednje družbe, v kateri imajo država ali samoupravne lokalne skupnosti skupaj ali samostojno, neposredno ali posredno večinski lastniški delež, ker bodo razbremenjene nekaterih bremen (priprava letnih poročil, kot to velja za velike družbe) in dodatnih obveznosti (oblikovanje revizijskih komisij in nadzornih svetov), ki jih morajo izpolnjevati vse družbe, ki so prepoznane kot subjekt javnega interesa. </w:t>
            </w:r>
          </w:p>
          <w:p w14:paraId="5B8AECDA" w14:textId="77777777" w:rsidR="000C08CA" w:rsidRPr="00605612" w:rsidRDefault="000C08CA" w:rsidP="00FE328D">
            <w:pPr>
              <w:pStyle w:val="Alineazatoko"/>
              <w:spacing w:line="260" w:lineRule="exact"/>
              <w:ind w:left="0" w:firstLine="0"/>
              <w:rPr>
                <w:color w:val="000000" w:themeColor="text1"/>
                <w:sz w:val="20"/>
                <w:szCs w:val="20"/>
              </w:rPr>
            </w:pPr>
          </w:p>
        </w:tc>
      </w:tr>
      <w:tr w:rsidR="000C08CA" w:rsidRPr="00605612" w14:paraId="1045ED0A" w14:textId="77777777" w:rsidTr="4DB7FD0D">
        <w:tc>
          <w:tcPr>
            <w:tcW w:w="9072" w:type="dxa"/>
          </w:tcPr>
          <w:p w14:paraId="422E9639"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6.4 Presoja posledic za socialno področje, in sicer za:</w:t>
            </w:r>
          </w:p>
        </w:tc>
      </w:tr>
      <w:tr w:rsidR="000C08CA" w:rsidRPr="00605612" w14:paraId="1CCCFD8B" w14:textId="77777777" w:rsidTr="4DB7FD0D">
        <w:tc>
          <w:tcPr>
            <w:tcW w:w="9072" w:type="dxa"/>
          </w:tcPr>
          <w:p w14:paraId="65A3546C" w14:textId="77777777" w:rsidR="000C08CA" w:rsidRPr="00605612" w:rsidRDefault="000C08CA" w:rsidP="00FE328D">
            <w:pPr>
              <w:spacing w:before="20" w:after="20"/>
              <w:jc w:val="both"/>
              <w:rPr>
                <w:rFonts w:cs="Arial"/>
                <w:color w:val="000000" w:themeColor="text1"/>
                <w:szCs w:val="20"/>
              </w:rPr>
            </w:pPr>
          </w:p>
          <w:p w14:paraId="45EAB17D" w14:textId="77777777" w:rsidR="000C08CA" w:rsidRPr="00605612" w:rsidRDefault="000C08CA" w:rsidP="00FE328D">
            <w:pPr>
              <w:spacing w:before="20" w:after="20"/>
              <w:jc w:val="both"/>
              <w:rPr>
                <w:rFonts w:cs="Arial"/>
                <w:color w:val="000000" w:themeColor="text1"/>
                <w:szCs w:val="20"/>
              </w:rPr>
            </w:pPr>
            <w:r w:rsidRPr="00605612">
              <w:rPr>
                <w:rFonts w:cs="Arial"/>
                <w:color w:val="000000" w:themeColor="text1"/>
                <w:szCs w:val="20"/>
              </w:rPr>
              <w:t xml:space="preserve">Pričakovati je pozitivni učinek javnega poročanja na področje pravic zaposlenih do obveščanja in posvetovanja, kot so določene v Direktivi 2002/14/ES Evropskega parlamenta in Sveta, saj bodo lahko zaposleni </w:t>
            </w:r>
            <w:r>
              <w:rPr>
                <w:rFonts w:cs="Arial"/>
                <w:color w:val="000000" w:themeColor="text1"/>
                <w:szCs w:val="20"/>
              </w:rPr>
              <w:t>na podlagi</w:t>
            </w:r>
            <w:r w:rsidRPr="00605612">
              <w:rPr>
                <w:rFonts w:cs="Arial"/>
                <w:color w:val="000000" w:themeColor="text1"/>
                <w:szCs w:val="20"/>
              </w:rPr>
              <w:t xml:space="preserve"> več informacij izboljšali vedenje o dejavnostih družbe ter zato tudi izboljšali kakovost dialoga, ki poteka </w:t>
            </w:r>
            <w:r>
              <w:rPr>
                <w:rFonts w:cs="Arial"/>
                <w:color w:val="000000" w:themeColor="text1"/>
                <w:szCs w:val="20"/>
              </w:rPr>
              <w:t>v</w:t>
            </w:r>
            <w:r w:rsidRPr="00605612">
              <w:rPr>
                <w:rFonts w:cs="Arial"/>
                <w:color w:val="000000" w:themeColor="text1"/>
                <w:szCs w:val="20"/>
              </w:rPr>
              <w:t xml:space="preserve"> družb</w:t>
            </w:r>
            <w:r>
              <w:rPr>
                <w:rFonts w:cs="Arial"/>
                <w:color w:val="000000" w:themeColor="text1"/>
                <w:szCs w:val="20"/>
              </w:rPr>
              <w:t>i</w:t>
            </w:r>
            <w:r w:rsidRPr="00605612">
              <w:rPr>
                <w:rFonts w:cs="Arial"/>
                <w:color w:val="000000" w:themeColor="text1"/>
                <w:szCs w:val="20"/>
              </w:rPr>
              <w:t xml:space="preserve">, v kateri so zaposleni. </w:t>
            </w:r>
          </w:p>
          <w:p w14:paraId="57A7E4B8" w14:textId="77777777" w:rsidR="000C08CA" w:rsidRPr="00605612" w:rsidRDefault="000C08CA" w:rsidP="00FE328D">
            <w:pPr>
              <w:spacing w:before="20" w:after="20"/>
              <w:jc w:val="both"/>
              <w:rPr>
                <w:rFonts w:cs="Arial"/>
                <w:color w:val="000000" w:themeColor="text1"/>
                <w:szCs w:val="20"/>
              </w:rPr>
            </w:pPr>
          </w:p>
          <w:p w14:paraId="5EFE5EA7" w14:textId="77777777" w:rsidR="000C08CA" w:rsidRPr="00605612" w:rsidRDefault="000C08CA" w:rsidP="00FE328D">
            <w:pPr>
              <w:spacing w:before="20" w:after="20" w:line="276" w:lineRule="auto"/>
              <w:jc w:val="both"/>
              <w:rPr>
                <w:rFonts w:cs="Arial"/>
                <w:color w:val="000000" w:themeColor="text1"/>
                <w:szCs w:val="20"/>
              </w:rPr>
            </w:pPr>
            <w:r>
              <w:rPr>
                <w:rFonts w:cs="Arial"/>
                <w:color w:val="000000" w:themeColor="text1"/>
                <w:szCs w:val="20"/>
              </w:rPr>
              <w:t>P</w:t>
            </w:r>
            <w:r w:rsidRPr="00605612">
              <w:rPr>
                <w:rFonts w:cs="Arial"/>
                <w:color w:val="000000" w:themeColor="text1"/>
                <w:szCs w:val="20"/>
              </w:rPr>
              <w:t xml:space="preserve">ričakovan </w:t>
            </w:r>
            <w:r>
              <w:rPr>
                <w:rFonts w:cs="Arial"/>
                <w:color w:val="000000" w:themeColor="text1"/>
                <w:szCs w:val="20"/>
              </w:rPr>
              <w:t xml:space="preserve">je tudi </w:t>
            </w:r>
            <w:r w:rsidRPr="00605612">
              <w:rPr>
                <w:rFonts w:cs="Arial"/>
                <w:color w:val="000000" w:themeColor="text1"/>
                <w:szCs w:val="20"/>
              </w:rPr>
              <w:t xml:space="preserve">pozitiven učinek na enakost spolov, saj bodo z obvezno določitvijo deleža zastopanosti posameznega spola v organih vodenja in nadzora ti </w:t>
            </w:r>
            <w:r>
              <w:rPr>
                <w:rFonts w:cs="Arial"/>
                <w:color w:val="000000" w:themeColor="text1"/>
                <w:szCs w:val="20"/>
              </w:rPr>
              <w:t xml:space="preserve">z vidika uravnotežene zastopanosti </w:t>
            </w:r>
            <w:r w:rsidRPr="00605612">
              <w:rPr>
                <w:rFonts w:cs="Arial"/>
                <w:color w:val="000000" w:themeColor="text1"/>
                <w:szCs w:val="20"/>
              </w:rPr>
              <w:t>spolo</w:t>
            </w:r>
            <w:r>
              <w:rPr>
                <w:rFonts w:cs="Arial"/>
                <w:color w:val="000000" w:themeColor="text1"/>
                <w:szCs w:val="20"/>
              </w:rPr>
              <w:t>v</w:t>
            </w:r>
            <w:r w:rsidRPr="00605612">
              <w:rPr>
                <w:rFonts w:cs="Arial"/>
                <w:color w:val="000000" w:themeColor="text1"/>
                <w:szCs w:val="20"/>
              </w:rPr>
              <w:t xml:space="preserve"> bolj</w:t>
            </w:r>
            <w:r>
              <w:rPr>
                <w:rFonts w:cs="Arial"/>
                <w:color w:val="000000" w:themeColor="text1"/>
                <w:szCs w:val="20"/>
              </w:rPr>
              <w:t>e</w:t>
            </w:r>
            <w:r w:rsidRPr="00605612" w:rsidDel="006E0C85">
              <w:rPr>
                <w:rFonts w:cs="Arial"/>
                <w:color w:val="000000" w:themeColor="text1"/>
                <w:szCs w:val="20"/>
              </w:rPr>
              <w:t xml:space="preserve"> </w:t>
            </w:r>
            <w:r w:rsidRPr="00605612">
              <w:rPr>
                <w:rFonts w:cs="Arial"/>
                <w:color w:val="000000" w:themeColor="text1"/>
                <w:szCs w:val="20"/>
              </w:rPr>
              <w:t>sestavljeni.</w:t>
            </w:r>
          </w:p>
          <w:p w14:paraId="5F821784" w14:textId="77777777" w:rsidR="000C08CA" w:rsidRPr="00605612" w:rsidRDefault="000C08CA" w:rsidP="00FE328D">
            <w:pPr>
              <w:spacing w:before="20" w:after="20"/>
              <w:jc w:val="both"/>
              <w:rPr>
                <w:rFonts w:cs="Arial"/>
                <w:color w:val="000000" w:themeColor="text1"/>
                <w:szCs w:val="20"/>
              </w:rPr>
            </w:pPr>
          </w:p>
        </w:tc>
      </w:tr>
      <w:tr w:rsidR="000C08CA" w:rsidRPr="00605612" w14:paraId="2A9E0A2B" w14:textId="77777777" w:rsidTr="4DB7FD0D">
        <w:tc>
          <w:tcPr>
            <w:tcW w:w="9072" w:type="dxa"/>
          </w:tcPr>
          <w:p w14:paraId="7F27881F"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6.5 Presoja posledic za dokumente razvojnega načrtovanja, in sicer za:</w:t>
            </w:r>
          </w:p>
        </w:tc>
      </w:tr>
      <w:tr w:rsidR="000C08CA" w:rsidRPr="00605612" w14:paraId="65F4312A" w14:textId="77777777" w:rsidTr="4DB7FD0D">
        <w:tc>
          <w:tcPr>
            <w:tcW w:w="9072" w:type="dxa"/>
          </w:tcPr>
          <w:p w14:paraId="0BF8E5AC" w14:textId="77777777" w:rsidR="000C08CA" w:rsidRPr="00605612" w:rsidRDefault="000C08CA" w:rsidP="00FE328D">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nacionalne dokumente razvojnega načrtovanja</w:t>
            </w:r>
          </w:p>
          <w:p w14:paraId="668FA6FD" w14:textId="77777777" w:rsidR="000C08CA" w:rsidRPr="00605612" w:rsidRDefault="000C08CA" w:rsidP="00FE328D">
            <w:pPr>
              <w:pStyle w:val="Alineazaodstavkom"/>
              <w:numPr>
                <w:ilvl w:val="0"/>
                <w:numId w:val="0"/>
              </w:numPr>
              <w:spacing w:line="260" w:lineRule="exact"/>
              <w:ind w:left="38"/>
              <w:rPr>
                <w:color w:val="000000" w:themeColor="text1"/>
                <w:sz w:val="20"/>
                <w:szCs w:val="20"/>
              </w:rPr>
            </w:pPr>
          </w:p>
          <w:p w14:paraId="300617E5" w14:textId="77777777" w:rsidR="000C08CA" w:rsidRPr="00605612" w:rsidRDefault="000C08CA" w:rsidP="00FE328D">
            <w:pPr>
              <w:spacing w:line="276" w:lineRule="auto"/>
              <w:jc w:val="both"/>
            </w:pPr>
            <w:r w:rsidRPr="00605612">
              <w:rPr>
                <w:rFonts w:cs="Arial"/>
                <w:szCs w:val="20"/>
              </w:rPr>
              <w:t xml:space="preserve">V skladu z zakonsko določitvijo obveznih vsebin nacionalnega programa </w:t>
            </w:r>
            <w:r w:rsidRPr="00605612">
              <w:rPr>
                <w:rFonts w:eastAsia="Arial" w:cs="Arial"/>
                <w:i/>
                <w:iCs/>
                <w:szCs w:val="20"/>
              </w:rPr>
              <w:t>Resolucije o nacionalnem programu za enake možnosti žensk in moških 2023–2030</w:t>
            </w:r>
            <w:r w:rsidRPr="00605612">
              <w:rPr>
                <w:rFonts w:eastAsia="Arial" w:cs="Arial"/>
                <w:szCs w:val="20"/>
              </w:rPr>
              <w:t xml:space="preserve"> so</w:t>
            </w:r>
            <w:r w:rsidRPr="00605612">
              <w:rPr>
                <w:rFonts w:cs="Arial"/>
                <w:szCs w:val="20"/>
              </w:rPr>
              <w:t xml:space="preserve"> določeni cilji in ukrepi temeljnih politik enakih možnosti žensk in moških predvsem na naslednjih ključnih področjih družbenega življenja: delovna razmerja, družinska razmerja, socialno varstvo; izobraževanje; zdravje; nasilje nad ženskami; mesta odločanja; zunanje zadeve. Na vsakem izmed šestih tematskih področij so predstavljena vsebinska izhodišča, ki izhajajo predvsem iz zavez EU ter drugih temeljnih strateških usmeritev s področja enakih možnosti žensk in moških, opredeljeni pa so tudi temeljni cilji in ukrepi, ki jih bodo izvajali posamezni nosilci ukrepov, ter ustrezni kazalniki. </w:t>
            </w:r>
            <w:r w:rsidRPr="00605612">
              <w:rPr>
                <w:rFonts w:cs="Arial"/>
                <w:bCs/>
                <w:szCs w:val="20"/>
              </w:rPr>
              <w:t xml:space="preserve">Eden od ciljev spodbujanja uravnotežene zastopanosti žensk in moških pri odločanju je </w:t>
            </w:r>
            <w:r w:rsidRPr="00605612">
              <w:rPr>
                <w:rFonts w:cs="Arial"/>
                <w:bCs/>
                <w:i/>
                <w:iCs/>
                <w:szCs w:val="20"/>
              </w:rPr>
              <w:t>Uravnotežena zastopanost žensk in moških na vodstvenih in vodilnih položajih v gospodarstvu</w:t>
            </w:r>
            <w:r w:rsidRPr="00605612">
              <w:rPr>
                <w:rFonts w:cs="Arial"/>
                <w:bCs/>
                <w:szCs w:val="20"/>
              </w:rPr>
              <w:t>. Ukrepi</w:t>
            </w:r>
            <w:r>
              <w:rPr>
                <w:rFonts w:cs="Arial"/>
                <w:bCs/>
                <w:szCs w:val="20"/>
              </w:rPr>
              <w:t>,</w:t>
            </w:r>
            <w:r w:rsidRPr="00605612">
              <w:rPr>
                <w:rFonts w:cs="Arial"/>
                <w:bCs/>
                <w:szCs w:val="20"/>
              </w:rPr>
              <w:t xml:space="preserve"> predvideni z zakonom</w:t>
            </w:r>
            <w:r>
              <w:rPr>
                <w:rFonts w:cs="Arial"/>
                <w:bCs/>
                <w:szCs w:val="20"/>
              </w:rPr>
              <w:t>,</w:t>
            </w:r>
            <w:r w:rsidRPr="00605612">
              <w:rPr>
                <w:rFonts w:cs="Arial"/>
                <w:bCs/>
                <w:szCs w:val="20"/>
              </w:rPr>
              <w:t xml:space="preserve"> bodo doprinesli k lažjemu doseganju ciljev</w:t>
            </w:r>
            <w:r>
              <w:rPr>
                <w:rFonts w:cs="Arial"/>
                <w:bCs/>
                <w:szCs w:val="20"/>
              </w:rPr>
              <w:t>,</w:t>
            </w:r>
            <w:r w:rsidRPr="00605612">
              <w:rPr>
                <w:rFonts w:cs="Arial"/>
                <w:bCs/>
                <w:szCs w:val="20"/>
              </w:rPr>
              <w:t xml:space="preserve"> določenih </w:t>
            </w:r>
            <w:r>
              <w:rPr>
                <w:rFonts w:cs="Arial"/>
                <w:bCs/>
                <w:szCs w:val="20"/>
              </w:rPr>
              <w:t xml:space="preserve">zgoraj omenjeni </w:t>
            </w:r>
            <w:r w:rsidRPr="0040646D">
              <w:rPr>
                <w:rFonts w:eastAsia="Arial" w:cs="Arial"/>
                <w:szCs w:val="20"/>
              </w:rPr>
              <w:t>resoluciji</w:t>
            </w:r>
            <w:r w:rsidRPr="00605612">
              <w:rPr>
                <w:rFonts w:eastAsia="Arial" w:cs="Arial"/>
                <w:szCs w:val="20"/>
              </w:rPr>
              <w:t>.</w:t>
            </w:r>
          </w:p>
          <w:p w14:paraId="74CF79D0" w14:textId="77777777" w:rsidR="000C08CA" w:rsidRPr="00605612" w:rsidRDefault="000C08CA" w:rsidP="00FE328D">
            <w:pPr>
              <w:pStyle w:val="Alineazaodstavkom"/>
              <w:numPr>
                <w:ilvl w:val="0"/>
                <w:numId w:val="0"/>
              </w:numPr>
              <w:spacing w:line="260" w:lineRule="exact"/>
              <w:ind w:left="38"/>
              <w:rPr>
                <w:color w:val="000000" w:themeColor="text1"/>
                <w:sz w:val="20"/>
                <w:szCs w:val="20"/>
              </w:rPr>
            </w:pPr>
          </w:p>
          <w:p w14:paraId="568127A8" w14:textId="77777777" w:rsidR="000C08CA" w:rsidRPr="00605612" w:rsidRDefault="000C08CA" w:rsidP="00FE328D">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razvojne politike na ravni programov po strukturi razvojne klasifikacije programskega proračuna</w:t>
            </w:r>
          </w:p>
          <w:p w14:paraId="33DB450E" w14:textId="77777777" w:rsidR="000C08CA" w:rsidRPr="00605612" w:rsidRDefault="000C08CA" w:rsidP="00FE328D">
            <w:pPr>
              <w:pStyle w:val="Alineazaodstavkom"/>
              <w:numPr>
                <w:ilvl w:val="0"/>
                <w:numId w:val="0"/>
              </w:numPr>
              <w:spacing w:line="260" w:lineRule="exact"/>
              <w:ind w:left="322"/>
              <w:rPr>
                <w:color w:val="000000" w:themeColor="text1"/>
                <w:sz w:val="20"/>
                <w:szCs w:val="20"/>
              </w:rPr>
            </w:pPr>
            <w:r w:rsidRPr="00605612">
              <w:rPr>
                <w:color w:val="000000" w:themeColor="text1"/>
                <w:sz w:val="20"/>
                <w:szCs w:val="20"/>
              </w:rPr>
              <w:lastRenderedPageBreak/>
              <w:t>/</w:t>
            </w:r>
          </w:p>
          <w:p w14:paraId="7DF4E893" w14:textId="77777777" w:rsidR="000C08CA" w:rsidRPr="00605612" w:rsidRDefault="000C08CA" w:rsidP="00FE328D">
            <w:pPr>
              <w:pStyle w:val="Alineazaodstavkom"/>
              <w:numPr>
                <w:ilvl w:val="0"/>
                <w:numId w:val="2"/>
              </w:numPr>
              <w:spacing w:line="260" w:lineRule="exact"/>
              <w:ind w:left="322" w:hanging="284"/>
              <w:rPr>
                <w:color w:val="000000" w:themeColor="text1"/>
                <w:sz w:val="20"/>
                <w:szCs w:val="20"/>
              </w:rPr>
            </w:pPr>
            <w:r w:rsidRPr="00605612">
              <w:rPr>
                <w:color w:val="000000" w:themeColor="text1"/>
                <w:sz w:val="20"/>
                <w:szCs w:val="20"/>
              </w:rPr>
              <w:t>razvojne dokumente EU in mednarodnih organizacij</w:t>
            </w:r>
          </w:p>
          <w:p w14:paraId="378B3BF9" w14:textId="77777777" w:rsidR="000C08CA" w:rsidRPr="00605612" w:rsidRDefault="000C08CA" w:rsidP="00FE328D">
            <w:pPr>
              <w:pStyle w:val="Alineazaodstavkom"/>
              <w:numPr>
                <w:ilvl w:val="0"/>
                <w:numId w:val="0"/>
              </w:numPr>
              <w:spacing w:line="260" w:lineRule="exact"/>
              <w:ind w:left="38"/>
              <w:rPr>
                <w:color w:val="000000" w:themeColor="text1"/>
                <w:sz w:val="20"/>
                <w:szCs w:val="20"/>
              </w:rPr>
            </w:pPr>
          </w:p>
          <w:p w14:paraId="7388A0F0" w14:textId="77777777" w:rsidR="000C08CA" w:rsidRPr="00605612" w:rsidRDefault="000C08CA" w:rsidP="00FE328D">
            <w:pPr>
              <w:pStyle w:val="Alineazaodstavkom"/>
              <w:numPr>
                <w:ilvl w:val="0"/>
                <w:numId w:val="0"/>
              </w:numPr>
              <w:spacing w:line="260" w:lineRule="exact"/>
              <w:ind w:left="38"/>
              <w:rPr>
                <w:color w:val="000000" w:themeColor="text1"/>
                <w:sz w:val="20"/>
                <w:szCs w:val="20"/>
              </w:rPr>
            </w:pPr>
            <w:r w:rsidRPr="00605612">
              <w:rPr>
                <w:rFonts w:eastAsia="Arial"/>
                <w:color w:val="000000" w:themeColor="text1"/>
                <w:sz w:val="20"/>
                <w:szCs w:val="20"/>
              </w:rPr>
              <w:t xml:space="preserve">Organizacija združenih narodov o trajnostnem razvoju je septembra 2015 sprejela </w:t>
            </w:r>
            <w:r w:rsidRPr="003A4B2A">
              <w:rPr>
                <w:rFonts w:eastAsia="Arial"/>
                <w:color w:val="000000" w:themeColor="text1"/>
                <w:sz w:val="20"/>
                <w:szCs w:val="20"/>
              </w:rPr>
              <w:t>agendo za trajnostni razvoj do leta 2030</w:t>
            </w:r>
            <w:r w:rsidRPr="00605612">
              <w:rPr>
                <w:rFonts w:eastAsia="Arial"/>
                <w:color w:val="000000" w:themeColor="text1"/>
                <w:sz w:val="20"/>
                <w:szCs w:val="20"/>
              </w:rPr>
              <w:t xml:space="preserve">. Ta uravnoteženo združuje tri razsežnosti trajnostnega razvoja – </w:t>
            </w:r>
            <w:r>
              <w:rPr>
                <w:rFonts w:eastAsia="Arial"/>
                <w:color w:val="000000" w:themeColor="text1"/>
                <w:sz w:val="20"/>
                <w:szCs w:val="20"/>
              </w:rPr>
              <w:t>gospodar</w:t>
            </w:r>
            <w:r w:rsidRPr="00605612">
              <w:rPr>
                <w:rFonts w:eastAsia="Arial"/>
                <w:color w:val="000000" w:themeColor="text1"/>
                <w:sz w:val="20"/>
                <w:szCs w:val="20"/>
              </w:rPr>
              <w:t>sko, socialno in okoljsko – in jih prepleta med 17 cilji trajnostnega razvoja</w:t>
            </w:r>
            <w:r w:rsidRPr="00605612">
              <w:rPr>
                <w:rFonts w:eastAsia="Calibri"/>
                <w:color w:val="000000" w:themeColor="text1"/>
                <w:sz w:val="20"/>
                <w:szCs w:val="20"/>
              </w:rPr>
              <w:t>. Agenda je univerzalna</w:t>
            </w:r>
            <w:r>
              <w:rPr>
                <w:rFonts w:eastAsia="Calibri"/>
                <w:color w:val="000000" w:themeColor="text1"/>
                <w:sz w:val="20"/>
                <w:szCs w:val="20"/>
              </w:rPr>
              <w:t>,</w:t>
            </w:r>
            <w:r w:rsidRPr="00605612">
              <w:rPr>
                <w:rFonts w:eastAsia="Calibri"/>
                <w:color w:val="000000" w:themeColor="text1"/>
                <w:sz w:val="20"/>
                <w:szCs w:val="20"/>
              </w:rPr>
              <w:t xml:space="preserve"> njene cilje bo treba doseči do leta 2030 in uresničiti jih bodo morale vse države sveta. Eden od kazalnikov spremljanja napredka pri doseganju ciljev trajnostnega razvoja na ravni Evropske unije je tudi delež žensk na vodstvenih položajih (v sklopu cilja 5: Doseči enakost spolov ter krepiti vlogo vseh žensk in deklic). Kazalnik prikazuje delež žensk na vodstvenih položajih največjih družb, ki kotirajo na borzi. V podatkih o največjih družbah, ki kotirajo na borzi, so zajete osebe na položajih odločanja najvišje uvrščenih nacionalnih družb (največ 50) v indeksu najboljših podjetij (»blue-chip index«) na nacionalni borzi v </w:t>
            </w:r>
            <w:r>
              <w:rPr>
                <w:rFonts w:eastAsia="Calibri"/>
                <w:color w:val="000000" w:themeColor="text1"/>
                <w:sz w:val="20"/>
                <w:szCs w:val="20"/>
              </w:rPr>
              <w:t xml:space="preserve">zadevni </w:t>
            </w:r>
            <w:r w:rsidRPr="00605612">
              <w:rPr>
                <w:rFonts w:eastAsia="Calibri"/>
                <w:color w:val="000000" w:themeColor="text1"/>
                <w:sz w:val="20"/>
                <w:szCs w:val="20"/>
              </w:rPr>
              <w:t>državi.</w:t>
            </w:r>
            <w:r w:rsidRPr="00605612">
              <w:rPr>
                <w:color w:val="000000" w:themeColor="text1"/>
                <w:sz w:val="20"/>
                <w:szCs w:val="20"/>
              </w:rPr>
              <w:t xml:space="preserve"> Ukrepi</w:t>
            </w:r>
            <w:r>
              <w:rPr>
                <w:color w:val="000000" w:themeColor="text1"/>
                <w:sz w:val="20"/>
                <w:szCs w:val="20"/>
              </w:rPr>
              <w:t>,</w:t>
            </w:r>
            <w:r w:rsidRPr="00605612">
              <w:rPr>
                <w:color w:val="000000" w:themeColor="text1"/>
                <w:sz w:val="20"/>
                <w:szCs w:val="20"/>
              </w:rPr>
              <w:t xml:space="preserve"> predvideni z zakonom</w:t>
            </w:r>
            <w:r>
              <w:rPr>
                <w:color w:val="000000" w:themeColor="text1"/>
                <w:sz w:val="20"/>
                <w:szCs w:val="20"/>
              </w:rPr>
              <w:t>,</w:t>
            </w:r>
            <w:r w:rsidRPr="00605612">
              <w:rPr>
                <w:color w:val="000000" w:themeColor="text1"/>
                <w:sz w:val="20"/>
                <w:szCs w:val="20"/>
              </w:rPr>
              <w:t xml:space="preserve"> bodo </w:t>
            </w:r>
            <w:r>
              <w:rPr>
                <w:color w:val="000000" w:themeColor="text1"/>
                <w:sz w:val="20"/>
                <w:szCs w:val="20"/>
              </w:rPr>
              <w:t>prispevali</w:t>
            </w:r>
            <w:r w:rsidRPr="00605612">
              <w:rPr>
                <w:color w:val="000000" w:themeColor="text1"/>
                <w:sz w:val="20"/>
                <w:szCs w:val="20"/>
              </w:rPr>
              <w:t xml:space="preserve"> k lažjemu doseganju ciljev </w:t>
            </w:r>
            <w:r>
              <w:rPr>
                <w:color w:val="000000" w:themeColor="text1"/>
                <w:sz w:val="20"/>
                <w:szCs w:val="20"/>
              </w:rPr>
              <w:t>iz zgoraj omenjene a</w:t>
            </w:r>
            <w:r w:rsidRPr="00605612">
              <w:rPr>
                <w:rFonts w:eastAsia="Arial"/>
                <w:color w:val="000000" w:themeColor="text1"/>
                <w:sz w:val="20"/>
                <w:szCs w:val="20"/>
              </w:rPr>
              <w:t>gend</w:t>
            </w:r>
            <w:r>
              <w:rPr>
                <w:rFonts w:eastAsia="Arial"/>
                <w:color w:val="000000" w:themeColor="text1"/>
                <w:sz w:val="20"/>
                <w:szCs w:val="20"/>
              </w:rPr>
              <w:t>e</w:t>
            </w:r>
            <w:r w:rsidRPr="00605612">
              <w:rPr>
                <w:rFonts w:eastAsia="Arial"/>
                <w:color w:val="000000" w:themeColor="text1"/>
                <w:sz w:val="20"/>
                <w:szCs w:val="20"/>
              </w:rPr>
              <w:t>.</w:t>
            </w:r>
          </w:p>
          <w:p w14:paraId="5B92FD17" w14:textId="77777777" w:rsidR="000C08CA" w:rsidRPr="00605612" w:rsidRDefault="000C08CA" w:rsidP="00FE328D">
            <w:pPr>
              <w:pStyle w:val="Alineazaodstavkom"/>
              <w:numPr>
                <w:ilvl w:val="0"/>
                <w:numId w:val="0"/>
              </w:numPr>
              <w:spacing w:line="260" w:lineRule="exact"/>
              <w:ind w:left="709"/>
              <w:rPr>
                <w:color w:val="000000" w:themeColor="text1"/>
                <w:sz w:val="20"/>
                <w:szCs w:val="20"/>
              </w:rPr>
            </w:pPr>
          </w:p>
          <w:p w14:paraId="31043665" w14:textId="77777777" w:rsidR="000C08CA" w:rsidRPr="00605612" w:rsidRDefault="000C08CA" w:rsidP="00FE328D">
            <w:pPr>
              <w:pStyle w:val="Alineazaodstavkom"/>
              <w:numPr>
                <w:ilvl w:val="0"/>
                <w:numId w:val="0"/>
              </w:numPr>
              <w:spacing w:line="260" w:lineRule="exact"/>
              <w:rPr>
                <w:rFonts w:eastAsia="Arial"/>
                <w:color w:val="000000" w:themeColor="text1"/>
                <w:sz w:val="20"/>
                <w:szCs w:val="20"/>
              </w:rPr>
            </w:pPr>
            <w:r w:rsidRPr="00605612">
              <w:rPr>
                <w:rFonts w:eastAsia="Arial"/>
                <w:color w:val="000000" w:themeColor="text1"/>
                <w:sz w:val="20"/>
                <w:szCs w:val="20"/>
              </w:rPr>
              <w:t>Določbe predloga zakona ne prinašajo drugih posledic za dokumente razvojnega načrtovanja.</w:t>
            </w:r>
          </w:p>
          <w:p w14:paraId="7C1CD961" w14:textId="30A31B75" w:rsidR="000C08CA" w:rsidRPr="00605612" w:rsidRDefault="000C08CA" w:rsidP="4DB7FD0D">
            <w:pPr>
              <w:pStyle w:val="Alineazaodstavkom"/>
              <w:numPr>
                <w:ilvl w:val="0"/>
                <w:numId w:val="0"/>
              </w:numPr>
              <w:spacing w:line="260" w:lineRule="exact"/>
              <w:ind w:left="720"/>
              <w:rPr>
                <w:color w:val="000000" w:themeColor="text1"/>
                <w:sz w:val="20"/>
                <w:szCs w:val="20"/>
              </w:rPr>
            </w:pPr>
          </w:p>
          <w:p w14:paraId="79CC58D1" w14:textId="77777777" w:rsidR="000C08CA" w:rsidRPr="00605612" w:rsidRDefault="000C08CA" w:rsidP="00FE328D">
            <w:pPr>
              <w:pStyle w:val="Alineazaodstavkom"/>
              <w:numPr>
                <w:ilvl w:val="0"/>
                <w:numId w:val="0"/>
              </w:numPr>
              <w:spacing w:line="260" w:lineRule="exact"/>
              <w:rPr>
                <w:b/>
                <w:color w:val="000000" w:themeColor="text1"/>
                <w:sz w:val="20"/>
                <w:szCs w:val="20"/>
              </w:rPr>
            </w:pPr>
            <w:r w:rsidRPr="00605612">
              <w:rPr>
                <w:b/>
                <w:color w:val="000000" w:themeColor="text1"/>
                <w:sz w:val="20"/>
                <w:szCs w:val="20"/>
              </w:rPr>
              <w:t>6.6 Presoja posledic za druga področja</w:t>
            </w:r>
          </w:p>
          <w:p w14:paraId="2F78506C" w14:textId="77777777" w:rsidR="000C08CA" w:rsidRPr="00605612" w:rsidRDefault="000C08CA" w:rsidP="00FE328D">
            <w:pPr>
              <w:pStyle w:val="Alineazaodstavkom"/>
              <w:numPr>
                <w:ilvl w:val="0"/>
                <w:numId w:val="0"/>
              </w:numPr>
              <w:spacing w:line="260" w:lineRule="exact"/>
              <w:rPr>
                <w:b/>
                <w:color w:val="000000" w:themeColor="text1"/>
                <w:sz w:val="20"/>
                <w:szCs w:val="20"/>
              </w:rPr>
            </w:pPr>
          </w:p>
          <w:p w14:paraId="35B21ADF" w14:textId="77777777" w:rsidR="000C08CA" w:rsidRPr="00605612" w:rsidRDefault="000C08CA" w:rsidP="00FE328D">
            <w:pPr>
              <w:pStyle w:val="Alineazaodstavkom"/>
              <w:numPr>
                <w:ilvl w:val="0"/>
                <w:numId w:val="0"/>
              </w:numPr>
              <w:spacing w:line="260" w:lineRule="exact"/>
              <w:rPr>
                <w:rFonts w:eastAsia="Arial"/>
                <w:color w:val="000000" w:themeColor="text1"/>
                <w:sz w:val="20"/>
                <w:szCs w:val="20"/>
              </w:rPr>
            </w:pPr>
            <w:r w:rsidRPr="00605612">
              <w:rPr>
                <w:rFonts w:eastAsia="Arial"/>
                <w:color w:val="000000" w:themeColor="text1"/>
                <w:sz w:val="20"/>
                <w:szCs w:val="20"/>
              </w:rPr>
              <w:t>Predlog zakona ne bo imel posledic na drugih področjih.</w:t>
            </w:r>
          </w:p>
          <w:p w14:paraId="0CBDBC79" w14:textId="77777777" w:rsidR="000C08CA" w:rsidRPr="00605612" w:rsidRDefault="000C08CA" w:rsidP="00FE328D">
            <w:pPr>
              <w:spacing w:before="20" w:after="20"/>
              <w:jc w:val="both"/>
              <w:rPr>
                <w:rFonts w:cs="Arial"/>
                <w:b/>
                <w:color w:val="000000" w:themeColor="text1"/>
                <w:szCs w:val="20"/>
              </w:rPr>
            </w:pPr>
          </w:p>
        </w:tc>
      </w:tr>
      <w:tr w:rsidR="000C08CA" w:rsidRPr="00605612" w14:paraId="31C59D11" w14:textId="77777777" w:rsidTr="4DB7FD0D">
        <w:tc>
          <w:tcPr>
            <w:tcW w:w="9072" w:type="dxa"/>
          </w:tcPr>
          <w:p w14:paraId="640F15D6"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lastRenderedPageBreak/>
              <w:t>6.7 Izvajanje sprejetega predpisa:</w:t>
            </w:r>
          </w:p>
        </w:tc>
      </w:tr>
      <w:tr w:rsidR="000C08CA" w:rsidRPr="00605612" w14:paraId="319CB101" w14:textId="77777777" w:rsidTr="4DB7FD0D">
        <w:tc>
          <w:tcPr>
            <w:tcW w:w="9072" w:type="dxa"/>
          </w:tcPr>
          <w:p w14:paraId="0527655A" w14:textId="77777777" w:rsidR="000C08CA" w:rsidRPr="00605612" w:rsidRDefault="000C08CA" w:rsidP="00FE328D">
            <w:pPr>
              <w:pStyle w:val="rkovnatokazaodstavkom"/>
              <w:numPr>
                <w:ilvl w:val="0"/>
                <w:numId w:val="4"/>
              </w:numPr>
              <w:spacing w:line="260" w:lineRule="exact"/>
              <w:rPr>
                <w:rFonts w:cs="Arial"/>
                <w:color w:val="000000" w:themeColor="text1"/>
              </w:rPr>
            </w:pPr>
            <w:r w:rsidRPr="00605612">
              <w:rPr>
                <w:rFonts w:cs="Arial"/>
                <w:color w:val="000000" w:themeColor="text1"/>
              </w:rPr>
              <w:t>Predstavitev sprejetega zakona:</w:t>
            </w:r>
          </w:p>
          <w:p w14:paraId="5367EECF"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ciljnim skupinam (seminarji, delavnice),</w:t>
            </w:r>
          </w:p>
          <w:p w14:paraId="55414F1E"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širši javnosti (mediji, javne predstavitve, spletne predstavitve).</w:t>
            </w:r>
          </w:p>
          <w:p w14:paraId="45851C85" w14:textId="77777777" w:rsidR="000C08CA" w:rsidRPr="00605612" w:rsidRDefault="000C08CA" w:rsidP="00FE328D">
            <w:pPr>
              <w:pStyle w:val="rkovnatokazaodstavkom"/>
              <w:numPr>
                <w:ilvl w:val="0"/>
                <w:numId w:val="4"/>
              </w:numPr>
              <w:spacing w:line="260" w:lineRule="exact"/>
              <w:rPr>
                <w:rFonts w:cs="Arial"/>
                <w:color w:val="000000" w:themeColor="text1"/>
              </w:rPr>
            </w:pPr>
            <w:r w:rsidRPr="00605612">
              <w:rPr>
                <w:rFonts w:cs="Arial"/>
                <w:color w:val="000000" w:themeColor="text1"/>
              </w:rPr>
              <w:t>Spremljanje izvajanja sprejetega predpisa:</w:t>
            </w:r>
          </w:p>
          <w:p w14:paraId="1EA4065E"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 xml:space="preserve">zagotovitev spremljanja izvajanja predpisa, </w:t>
            </w:r>
          </w:p>
          <w:p w14:paraId="1594F4C8"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organi, civilna družba,</w:t>
            </w:r>
          </w:p>
          <w:p w14:paraId="0E7F4BB7"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metode za spremljanje doseganja ciljev,</w:t>
            </w:r>
          </w:p>
          <w:p w14:paraId="448861A7"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merila za ugotavljanje doseganja ciljev,</w:t>
            </w:r>
          </w:p>
          <w:p w14:paraId="3F172A05"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 xml:space="preserve">časovni okvir spremljanja za pripravo poročil, </w:t>
            </w:r>
          </w:p>
          <w:p w14:paraId="76B3E04C" w14:textId="77777777" w:rsidR="000C08CA" w:rsidRPr="00605612" w:rsidRDefault="000C08CA" w:rsidP="00FE328D">
            <w:pPr>
              <w:pStyle w:val="Alineazatoko"/>
              <w:numPr>
                <w:ilvl w:val="0"/>
                <w:numId w:val="2"/>
              </w:numPr>
              <w:spacing w:line="260" w:lineRule="exact"/>
              <w:rPr>
                <w:color w:val="000000" w:themeColor="text1"/>
                <w:sz w:val="20"/>
                <w:szCs w:val="20"/>
              </w:rPr>
            </w:pPr>
            <w:r w:rsidRPr="00605612">
              <w:rPr>
                <w:color w:val="000000" w:themeColor="text1"/>
                <w:sz w:val="20"/>
                <w:szCs w:val="20"/>
              </w:rPr>
              <w:t>roki za pripravo poročil o izvajanju zakona, doseženih ciljih in nadaljnjih ukrepih.</w:t>
            </w:r>
          </w:p>
          <w:p w14:paraId="6DB0C5AF" w14:textId="77777777" w:rsidR="000C08CA" w:rsidRPr="00605612" w:rsidRDefault="000C08CA" w:rsidP="00FE328D">
            <w:pPr>
              <w:pStyle w:val="Alineazatoko"/>
              <w:spacing w:line="260" w:lineRule="exact"/>
              <w:ind w:left="360" w:firstLine="0"/>
              <w:rPr>
                <w:color w:val="000000" w:themeColor="text1"/>
                <w:sz w:val="20"/>
                <w:szCs w:val="20"/>
              </w:rPr>
            </w:pPr>
          </w:p>
        </w:tc>
      </w:tr>
      <w:tr w:rsidR="000C08CA" w:rsidRPr="00605612" w14:paraId="321C9F5F" w14:textId="77777777" w:rsidTr="4DB7FD0D">
        <w:tc>
          <w:tcPr>
            <w:tcW w:w="9072" w:type="dxa"/>
          </w:tcPr>
          <w:p w14:paraId="633F3287"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6.8 Druge pomembne okoliščine v zvezi z vprašanji, ki jih ureja predlog zakona:</w:t>
            </w:r>
          </w:p>
          <w:p w14:paraId="0A82439B" w14:textId="77777777" w:rsidR="000C08CA" w:rsidRPr="00605612" w:rsidRDefault="000C08CA" w:rsidP="00FE328D">
            <w:pPr>
              <w:pStyle w:val="Alineazaodstavkom"/>
              <w:numPr>
                <w:ilvl w:val="0"/>
                <w:numId w:val="0"/>
              </w:numPr>
              <w:spacing w:line="260" w:lineRule="exact"/>
              <w:rPr>
                <w:color w:val="000000" w:themeColor="text1"/>
                <w:sz w:val="20"/>
                <w:szCs w:val="20"/>
              </w:rPr>
            </w:pPr>
            <w:r w:rsidRPr="00605612">
              <w:rPr>
                <w:color w:val="000000" w:themeColor="text1"/>
                <w:sz w:val="20"/>
                <w:szCs w:val="20"/>
              </w:rPr>
              <w:t>/</w:t>
            </w:r>
          </w:p>
          <w:p w14:paraId="42684DA0" w14:textId="77777777" w:rsidR="000C08CA" w:rsidRPr="00605612" w:rsidRDefault="000C08CA" w:rsidP="00FE328D">
            <w:pPr>
              <w:pStyle w:val="Alineazaodstavkom"/>
              <w:numPr>
                <w:ilvl w:val="0"/>
                <w:numId w:val="0"/>
              </w:numPr>
              <w:spacing w:line="260" w:lineRule="exact"/>
              <w:ind w:left="709" w:hanging="284"/>
              <w:rPr>
                <w:color w:val="000000" w:themeColor="text1"/>
                <w:sz w:val="20"/>
                <w:szCs w:val="20"/>
              </w:rPr>
            </w:pPr>
          </w:p>
          <w:p w14:paraId="3676D56F"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r w:rsidRPr="00605612">
              <w:rPr>
                <w:color w:val="000000" w:themeColor="text1"/>
                <w:sz w:val="20"/>
                <w:szCs w:val="20"/>
              </w:rPr>
              <w:t>7. Prikaz sodelovanja javnosti pri pripravi predloga zakona:</w:t>
            </w:r>
          </w:p>
          <w:p w14:paraId="07E6C2CB"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spletni naslov, na katerem je bil predpis objavljen</w:t>
            </w:r>
            <w:r>
              <w:rPr>
                <w:rFonts w:cs="Arial"/>
                <w:color w:val="000000" w:themeColor="text1"/>
              </w:rPr>
              <w:t>:</w:t>
            </w:r>
          </w:p>
          <w:p w14:paraId="3ACB9374" w14:textId="77777777" w:rsidR="000C08CA" w:rsidRDefault="000C08CA" w:rsidP="00FE328D">
            <w:pPr>
              <w:pStyle w:val="rkovnatokazaodstavkom"/>
              <w:numPr>
                <w:ilvl w:val="0"/>
                <w:numId w:val="0"/>
              </w:numPr>
              <w:spacing w:line="260" w:lineRule="exact"/>
              <w:ind w:left="322"/>
              <w:rPr>
                <w:rFonts w:cs="Arial"/>
                <w:color w:val="000000" w:themeColor="text1"/>
                <w:highlight w:val="yellow"/>
              </w:rPr>
            </w:pPr>
          </w:p>
          <w:p w14:paraId="2EE49B57" w14:textId="77777777" w:rsidR="000C08CA" w:rsidRPr="009270EC" w:rsidRDefault="000C08CA" w:rsidP="00FE328D">
            <w:pPr>
              <w:pStyle w:val="rkovnatokazaodstavkom"/>
              <w:numPr>
                <w:ilvl w:val="0"/>
                <w:numId w:val="0"/>
              </w:numPr>
              <w:spacing w:line="260" w:lineRule="exact"/>
              <w:ind w:left="322"/>
              <w:rPr>
                <w:rFonts w:cs="Arial"/>
                <w:color w:val="000000" w:themeColor="text1"/>
                <w:highlight w:val="yellow"/>
              </w:rPr>
            </w:pPr>
            <w:r w:rsidRPr="00F240CB">
              <w:rPr>
                <w:rFonts w:cs="Arial"/>
                <w:color w:val="000000" w:themeColor="text1"/>
              </w:rPr>
              <w:t>https://e-uprava.gov.si/si/drzava-in-druzba/e-demokracija/predlogi-predpisov/predlog-predpisa.html?id=15981</w:t>
            </w:r>
          </w:p>
          <w:p w14:paraId="1328160D" w14:textId="77777777" w:rsidR="000C08CA" w:rsidRPr="009270EC" w:rsidRDefault="000C08CA" w:rsidP="00FE328D">
            <w:pPr>
              <w:pStyle w:val="rkovnatokazaodstavkom"/>
              <w:numPr>
                <w:ilvl w:val="0"/>
                <w:numId w:val="0"/>
              </w:numPr>
              <w:spacing w:line="260" w:lineRule="exact"/>
              <w:ind w:left="322"/>
              <w:rPr>
                <w:rFonts w:cs="Arial"/>
                <w:color w:val="000000" w:themeColor="text1"/>
                <w:highlight w:val="yellow"/>
              </w:rPr>
            </w:pPr>
          </w:p>
          <w:p w14:paraId="03E2A21B"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čas trajanja javne predstavitve, v katerem je bilo mogoče sporočiti mnenja, predloge in pripombe</w:t>
            </w:r>
            <w:r>
              <w:rPr>
                <w:rFonts w:cs="Arial"/>
                <w:color w:val="000000" w:themeColor="text1"/>
              </w:rPr>
              <w:t>:</w:t>
            </w:r>
          </w:p>
          <w:p w14:paraId="28718DD2"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p>
          <w:p w14:paraId="275A8AFB"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r>
              <w:rPr>
                <w:rFonts w:cs="Arial"/>
                <w:color w:val="000000" w:themeColor="text1"/>
              </w:rPr>
              <w:t>30 dni</w:t>
            </w:r>
          </w:p>
          <w:p w14:paraId="579282EB" w14:textId="77777777" w:rsidR="000C08CA" w:rsidRPr="009270EC" w:rsidRDefault="000C08CA" w:rsidP="00FE328D">
            <w:pPr>
              <w:pStyle w:val="rkovnatokazaodstavkom"/>
              <w:numPr>
                <w:ilvl w:val="0"/>
                <w:numId w:val="0"/>
              </w:numPr>
              <w:spacing w:line="260" w:lineRule="exact"/>
              <w:ind w:left="322"/>
              <w:rPr>
                <w:rFonts w:cs="Arial"/>
                <w:color w:val="000000" w:themeColor="text1"/>
                <w:highlight w:val="yellow"/>
              </w:rPr>
            </w:pPr>
          </w:p>
          <w:p w14:paraId="2AB55301"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datum in kraj morebitne javne obravnave ali druge oblike sodelovanja</w:t>
            </w:r>
            <w:r>
              <w:rPr>
                <w:rFonts w:cs="Arial"/>
                <w:color w:val="000000" w:themeColor="text1"/>
              </w:rPr>
              <w:t>:</w:t>
            </w:r>
          </w:p>
          <w:p w14:paraId="093E1AD8" w14:textId="77777777" w:rsidR="000C08CA" w:rsidRPr="009270EC" w:rsidRDefault="000C08CA" w:rsidP="00FE328D">
            <w:pPr>
              <w:pStyle w:val="rkovnatokazaodstavkom"/>
              <w:numPr>
                <w:ilvl w:val="0"/>
                <w:numId w:val="0"/>
              </w:numPr>
              <w:spacing w:line="260" w:lineRule="exact"/>
              <w:ind w:left="322"/>
              <w:rPr>
                <w:rFonts w:cs="Arial"/>
                <w:color w:val="000000" w:themeColor="text1"/>
                <w:highlight w:val="yellow"/>
              </w:rPr>
            </w:pPr>
          </w:p>
          <w:p w14:paraId="2E987CE7" w14:textId="77777777" w:rsidR="000C08CA" w:rsidRDefault="000C08CA" w:rsidP="00FE328D">
            <w:pPr>
              <w:pStyle w:val="Alineazaodstavkom"/>
              <w:numPr>
                <w:ilvl w:val="0"/>
                <w:numId w:val="0"/>
              </w:numPr>
              <w:spacing w:line="260" w:lineRule="exact"/>
              <w:ind w:left="322"/>
              <w:rPr>
                <w:rFonts w:eastAsia="Calibri"/>
                <w:color w:val="000000" w:themeColor="text1"/>
                <w:sz w:val="20"/>
                <w:szCs w:val="20"/>
              </w:rPr>
            </w:pPr>
            <w:r w:rsidRPr="00844282">
              <w:rPr>
                <w:rFonts w:eastAsia="Calibri"/>
                <w:color w:val="000000" w:themeColor="text1"/>
                <w:sz w:val="20"/>
                <w:szCs w:val="20"/>
              </w:rPr>
              <w:t>Ministrstvo za gospoda</w:t>
            </w:r>
            <w:r>
              <w:rPr>
                <w:rFonts w:eastAsia="Calibri"/>
                <w:color w:val="000000" w:themeColor="text1"/>
                <w:sz w:val="20"/>
                <w:szCs w:val="20"/>
              </w:rPr>
              <w:t xml:space="preserve">rstvo, turizem in šport je </w:t>
            </w:r>
            <w:r w:rsidRPr="00844282">
              <w:rPr>
                <w:rFonts w:eastAsia="Calibri"/>
                <w:color w:val="000000" w:themeColor="text1"/>
                <w:sz w:val="20"/>
                <w:szCs w:val="20"/>
              </w:rPr>
              <w:t xml:space="preserve">predlog zakona z namenom pridobivanja predlogov, komentarjev ter dopolnitev zainteresirane javnosti </w:t>
            </w:r>
            <w:r>
              <w:rPr>
                <w:rFonts w:eastAsia="Calibri"/>
                <w:color w:val="000000" w:themeColor="text1"/>
                <w:sz w:val="20"/>
                <w:szCs w:val="20"/>
              </w:rPr>
              <w:t xml:space="preserve">29. 9. 2023 </w:t>
            </w:r>
            <w:r w:rsidRPr="00844282">
              <w:rPr>
                <w:rFonts w:eastAsia="Calibri"/>
                <w:color w:val="000000" w:themeColor="text1"/>
                <w:sz w:val="20"/>
                <w:szCs w:val="20"/>
              </w:rPr>
              <w:t>objavilo na portalu e-demokracija</w:t>
            </w:r>
            <w:r>
              <w:rPr>
                <w:rFonts w:eastAsia="Calibri"/>
                <w:color w:val="000000" w:themeColor="text1"/>
                <w:sz w:val="20"/>
                <w:szCs w:val="20"/>
              </w:rPr>
              <w:t>,</w:t>
            </w:r>
            <w:r w:rsidRPr="00844282" w:rsidDel="00744600">
              <w:rPr>
                <w:rFonts w:eastAsia="Calibri"/>
                <w:color w:val="000000" w:themeColor="text1"/>
                <w:sz w:val="20"/>
                <w:szCs w:val="20"/>
              </w:rPr>
              <w:t xml:space="preserve"> </w:t>
            </w:r>
            <w:r>
              <w:rPr>
                <w:rFonts w:eastAsia="Calibri"/>
                <w:color w:val="000000" w:themeColor="text1"/>
                <w:sz w:val="20"/>
                <w:szCs w:val="20"/>
              </w:rPr>
              <w:t>3. 10. 2023 pa še na svoji spletni strani.</w:t>
            </w:r>
          </w:p>
          <w:p w14:paraId="2AFC78BF" w14:textId="77777777" w:rsidR="000C08CA" w:rsidRDefault="000C08CA" w:rsidP="00FE328D">
            <w:pPr>
              <w:pStyle w:val="Alineazaodstavkom"/>
              <w:numPr>
                <w:ilvl w:val="0"/>
                <w:numId w:val="0"/>
              </w:numPr>
              <w:spacing w:line="260" w:lineRule="exact"/>
              <w:ind w:left="322"/>
              <w:rPr>
                <w:rFonts w:eastAsia="Calibri"/>
                <w:color w:val="000000" w:themeColor="text1"/>
                <w:sz w:val="20"/>
                <w:szCs w:val="20"/>
              </w:rPr>
            </w:pPr>
          </w:p>
          <w:p w14:paraId="32B0EE29" w14:textId="77777777" w:rsidR="000C08CA" w:rsidRPr="00C11C26" w:rsidRDefault="000C08CA" w:rsidP="00FE328D">
            <w:pPr>
              <w:pStyle w:val="Alineazaodstavkom"/>
              <w:numPr>
                <w:ilvl w:val="0"/>
                <w:numId w:val="0"/>
              </w:numPr>
              <w:spacing w:line="260" w:lineRule="exact"/>
              <w:ind w:left="322"/>
              <w:rPr>
                <w:rFonts w:eastAsia="Calibri"/>
                <w:color w:val="000000" w:themeColor="text1"/>
                <w:sz w:val="20"/>
                <w:szCs w:val="20"/>
              </w:rPr>
            </w:pPr>
            <w:r w:rsidRPr="00C11C26">
              <w:rPr>
                <w:rFonts w:eastAsia="Calibri"/>
                <w:color w:val="000000" w:themeColor="text1"/>
                <w:sz w:val="20"/>
                <w:szCs w:val="20"/>
              </w:rPr>
              <w:lastRenderedPageBreak/>
              <w:t xml:space="preserve">Osnutek </w:t>
            </w:r>
            <w:r>
              <w:rPr>
                <w:rFonts w:eastAsia="Calibri"/>
                <w:color w:val="000000" w:themeColor="text1"/>
                <w:sz w:val="20"/>
                <w:szCs w:val="20"/>
              </w:rPr>
              <w:t>p</w:t>
            </w:r>
            <w:r w:rsidRPr="00C11C26">
              <w:rPr>
                <w:rFonts w:eastAsia="Calibri"/>
                <w:color w:val="000000" w:themeColor="text1"/>
                <w:sz w:val="20"/>
                <w:szCs w:val="20"/>
              </w:rPr>
              <w:t>redloga novele ZGD-1M se je 11. 9. 2023 obravnaval na 5. seji Sveta Vlade RS za korporativno upravljanje, ki so se je udeležili predstavniki Ministrstva za gospodarstvo, turizem in šport, Ministrstva za finance, Agencije za trg vrednostnih papirjev, Banke Slovenije, Slovenskega državnega holdinga, d. d. (SDH), Družbe za upravljanje terjatev bank, d. d., Gospodarske zbornice Slovenije, Ljubljanske borze, d. d., Združenja nadzornikov Slovenije (ZNS) in Zveze računovodij, finančnikov in revizorjev Slovenije.</w:t>
            </w:r>
          </w:p>
          <w:p w14:paraId="48AD6C44" w14:textId="77777777" w:rsidR="000C08CA" w:rsidRPr="00C11C26" w:rsidRDefault="000C08CA" w:rsidP="00FE328D">
            <w:pPr>
              <w:pStyle w:val="Alineazaodstavkom"/>
              <w:numPr>
                <w:ilvl w:val="0"/>
                <w:numId w:val="0"/>
              </w:numPr>
              <w:spacing w:line="260" w:lineRule="exact"/>
              <w:ind w:left="322"/>
              <w:rPr>
                <w:rFonts w:eastAsia="Calibri"/>
                <w:color w:val="000000" w:themeColor="text1"/>
                <w:sz w:val="20"/>
                <w:szCs w:val="20"/>
              </w:rPr>
            </w:pPr>
          </w:p>
          <w:p w14:paraId="401F5095" w14:textId="77777777" w:rsidR="000C08CA" w:rsidRPr="00C11C26" w:rsidRDefault="000C08CA" w:rsidP="00FE328D">
            <w:pPr>
              <w:pStyle w:val="Alineazaodstavkom"/>
              <w:numPr>
                <w:ilvl w:val="0"/>
                <w:numId w:val="0"/>
              </w:numPr>
              <w:spacing w:line="260" w:lineRule="exact"/>
              <w:ind w:left="322"/>
              <w:rPr>
                <w:rFonts w:eastAsia="Calibri"/>
                <w:color w:val="000000" w:themeColor="text1"/>
                <w:sz w:val="20"/>
                <w:szCs w:val="20"/>
              </w:rPr>
            </w:pPr>
            <w:r w:rsidRPr="00C11C26">
              <w:rPr>
                <w:rFonts w:eastAsia="Calibri"/>
                <w:color w:val="000000" w:themeColor="text1"/>
                <w:sz w:val="20"/>
                <w:szCs w:val="20"/>
              </w:rPr>
              <w:t xml:space="preserve">Osnutek </w:t>
            </w:r>
            <w:r>
              <w:rPr>
                <w:rFonts w:eastAsia="Calibri"/>
                <w:color w:val="000000" w:themeColor="text1"/>
                <w:sz w:val="20"/>
                <w:szCs w:val="20"/>
              </w:rPr>
              <w:t>p</w:t>
            </w:r>
            <w:r w:rsidRPr="00C11C26">
              <w:rPr>
                <w:rFonts w:eastAsia="Calibri"/>
                <w:color w:val="000000" w:themeColor="text1"/>
                <w:sz w:val="20"/>
                <w:szCs w:val="20"/>
              </w:rPr>
              <w:t xml:space="preserve">redloga novele ZGD-1M se je 18. 1. 2024 obravnaval </w:t>
            </w:r>
            <w:r>
              <w:rPr>
                <w:rFonts w:eastAsia="Calibri"/>
                <w:color w:val="000000" w:themeColor="text1"/>
                <w:sz w:val="20"/>
                <w:szCs w:val="20"/>
              </w:rPr>
              <w:t>tudi</w:t>
            </w:r>
            <w:r w:rsidRPr="00C11C26">
              <w:rPr>
                <w:rFonts w:eastAsia="Calibri"/>
                <w:color w:val="000000" w:themeColor="text1"/>
                <w:sz w:val="20"/>
                <w:szCs w:val="20"/>
              </w:rPr>
              <w:t xml:space="preserve"> na srečanju z delodajalci in delojemalci, ki so se ga udeležili predstavniki Gospodarske zbornice Slovenije, Združenja delodajalcev Slovenije, Obrtno-podjetniške zbornice Slovenije, Trgovinske zbornice Slovenije, Združenja delodajalcev obrti in podjetnikov Slovenije, Zveze svobodnih sindikatov Slovenije, Konfederacije sindikatov Slovenije Pergam, Konfederacije sindikatov 90 Slovenije, Konfederacije sindikatov javnega sektorja Slovenije, Neodvisnost</w:t>
            </w:r>
            <w:r>
              <w:rPr>
                <w:rFonts w:eastAsia="Calibri"/>
                <w:color w:val="000000" w:themeColor="text1"/>
                <w:sz w:val="20"/>
                <w:szCs w:val="20"/>
              </w:rPr>
              <w:t>i</w:t>
            </w:r>
            <w:r w:rsidRPr="00C11C26">
              <w:rPr>
                <w:rFonts w:eastAsia="Calibri"/>
                <w:color w:val="000000" w:themeColor="text1"/>
                <w:sz w:val="20"/>
                <w:szCs w:val="20"/>
              </w:rPr>
              <w:t xml:space="preserve"> KNSS – Konfederacije novih sindikatov Slovenije, Slovenske zveze sindikatov Alternativa in Zveze delavskih sindikatov Slovenije – Solidarnost.</w:t>
            </w:r>
          </w:p>
          <w:p w14:paraId="0C6342D7" w14:textId="77777777" w:rsidR="000C08CA" w:rsidRPr="009270EC" w:rsidRDefault="000C08CA" w:rsidP="00FE328D">
            <w:pPr>
              <w:pStyle w:val="rkovnatokazaodstavkom"/>
              <w:numPr>
                <w:ilvl w:val="0"/>
                <w:numId w:val="0"/>
              </w:numPr>
              <w:ind w:left="322"/>
              <w:rPr>
                <w:rFonts w:cs="Arial"/>
                <w:color w:val="000000" w:themeColor="text1"/>
                <w:highlight w:val="yellow"/>
              </w:rPr>
            </w:pPr>
          </w:p>
          <w:p w14:paraId="5707FC5C"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seznam subjektov, ki so sodelovali (imen in priimkov fizičnih oseb, ki niso poslovni subjekti, ne navajajte)</w:t>
            </w:r>
          </w:p>
          <w:p w14:paraId="68692F7C"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p>
          <w:p w14:paraId="264F8EA0" w14:textId="77777777" w:rsidR="000C08CA" w:rsidRDefault="000C08CA" w:rsidP="00FE328D">
            <w:pPr>
              <w:pStyle w:val="rkovnatokazaodstavkom"/>
              <w:numPr>
                <w:ilvl w:val="0"/>
                <w:numId w:val="0"/>
              </w:numPr>
              <w:spacing w:line="260" w:lineRule="exact"/>
              <w:ind w:left="322"/>
              <w:rPr>
                <w:rFonts w:cs="Arial"/>
                <w:color w:val="000000" w:themeColor="text1"/>
              </w:rPr>
            </w:pPr>
            <w:r w:rsidRPr="00767DB3">
              <w:rPr>
                <w:rFonts w:cs="Arial"/>
                <w:color w:val="000000" w:themeColor="text1"/>
              </w:rPr>
              <w:t>Agencija Republike Slovenije za javnopravne evidence in storitve, Združenje notranjih revizorjev,</w:t>
            </w:r>
            <w:r>
              <w:rPr>
                <w:rFonts w:cs="Arial"/>
                <w:color w:val="000000" w:themeColor="text1"/>
              </w:rPr>
              <w:t xml:space="preserve"> </w:t>
            </w:r>
            <w:r w:rsidRPr="00767DB3">
              <w:rPr>
                <w:rFonts w:cs="Arial"/>
                <w:color w:val="000000" w:themeColor="text1"/>
              </w:rPr>
              <w:t>Slovenski inštitut za revizijo, Ljubljanska borza, Gospodarska zbornica Slovenije, Agencija za javni nadzor nad revidiranjem, Informacijska pooblaščenka, Obrtno-podjetniška zbornica Slovenije, Združenje bank Slovenije, Banka Slovenije, Ministrstvo za notranje zadeve, Finančna Uprava RS, Bureau Veritas, CER Partnerstvo za trajnostno gospodarstvo, Ministrstvo za naravne vire in prostor,</w:t>
            </w:r>
            <w:r>
              <w:rPr>
                <w:rFonts w:cs="Arial"/>
                <w:color w:val="000000" w:themeColor="text1"/>
              </w:rPr>
              <w:t xml:space="preserve"> </w:t>
            </w:r>
            <w:r w:rsidRPr="00767DB3">
              <w:rPr>
                <w:rFonts w:cs="Arial"/>
                <w:color w:val="000000" w:themeColor="text1"/>
              </w:rPr>
              <w:t>Ministrstvo za finance,</w:t>
            </w:r>
            <w:r>
              <w:rPr>
                <w:rFonts w:cs="Arial"/>
                <w:color w:val="000000" w:themeColor="text1"/>
              </w:rPr>
              <w:t xml:space="preserve"> </w:t>
            </w:r>
            <w:r w:rsidRPr="00767DB3">
              <w:rPr>
                <w:rFonts w:cs="Arial"/>
                <w:color w:val="000000" w:themeColor="text1"/>
              </w:rPr>
              <w:t>GEN-I,</w:t>
            </w:r>
            <w:r>
              <w:rPr>
                <w:rFonts w:cs="Arial"/>
                <w:color w:val="000000" w:themeColor="text1"/>
              </w:rPr>
              <w:t xml:space="preserve"> </w:t>
            </w:r>
            <w:r w:rsidRPr="00767DB3">
              <w:rPr>
                <w:rFonts w:cs="Arial"/>
                <w:color w:val="000000" w:themeColor="text1"/>
              </w:rPr>
              <w:t>Združenje Manager</w:t>
            </w:r>
            <w:r>
              <w:rPr>
                <w:rFonts w:cs="Arial"/>
                <w:color w:val="000000" w:themeColor="text1"/>
              </w:rPr>
              <w:t xml:space="preserve"> </w:t>
            </w:r>
            <w:r w:rsidRPr="00767DB3">
              <w:rPr>
                <w:rFonts w:cs="Arial"/>
                <w:color w:val="000000" w:themeColor="text1"/>
              </w:rPr>
              <w:t>in</w:t>
            </w:r>
            <w:r>
              <w:rPr>
                <w:rFonts w:cs="Arial"/>
                <w:color w:val="000000" w:themeColor="text1"/>
              </w:rPr>
              <w:t xml:space="preserve"> </w:t>
            </w:r>
            <w:r w:rsidRPr="00767DB3">
              <w:rPr>
                <w:rFonts w:cs="Arial"/>
                <w:color w:val="000000" w:themeColor="text1"/>
              </w:rPr>
              <w:t xml:space="preserve">Združenje nadzornikov Slovenije, </w:t>
            </w:r>
            <w:r>
              <w:rPr>
                <w:rFonts w:cs="Arial"/>
                <w:color w:val="000000" w:themeColor="text1"/>
              </w:rPr>
              <w:t>o</w:t>
            </w:r>
            <w:r w:rsidRPr="00767DB3">
              <w:rPr>
                <w:rFonts w:cs="Arial"/>
                <w:color w:val="000000" w:themeColor="text1"/>
              </w:rPr>
              <w:t>dvetnik Mark Jo Moggi, Tržni inšpektorat RS, Ministrstvo za okolje, podnebje in energijo, Zagovornik načela enakosti, Vrhovno sodišče RS.</w:t>
            </w:r>
          </w:p>
          <w:p w14:paraId="551F5D26" w14:textId="77777777" w:rsidR="000C08CA" w:rsidRPr="00204BD1" w:rsidRDefault="000C08CA" w:rsidP="00FE328D">
            <w:pPr>
              <w:pStyle w:val="rkovnatokazaodstavkom"/>
              <w:numPr>
                <w:ilvl w:val="0"/>
                <w:numId w:val="0"/>
              </w:numPr>
              <w:spacing w:line="260" w:lineRule="exact"/>
              <w:rPr>
                <w:rFonts w:cs="Arial"/>
                <w:color w:val="000000" w:themeColor="text1"/>
              </w:rPr>
            </w:pPr>
          </w:p>
          <w:p w14:paraId="2F457085"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bistvena mnenja, predloge in pripombe javnosti,</w:t>
            </w:r>
          </w:p>
          <w:p w14:paraId="15FA5F82"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p>
          <w:p w14:paraId="412EB2C0"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r w:rsidRPr="00AE5745">
              <w:rPr>
                <w:rFonts w:cs="Arial"/>
                <w:color w:val="000000" w:themeColor="text1"/>
              </w:rPr>
              <w:t xml:space="preserve">Mnenja, predlogi in pripombe so bili vsebinske in redakcije narave na člene </w:t>
            </w:r>
            <w:r>
              <w:rPr>
                <w:rFonts w:cs="Arial"/>
                <w:color w:val="000000" w:themeColor="text1"/>
              </w:rPr>
              <w:t>osnutka p</w:t>
            </w:r>
            <w:r w:rsidRPr="00AE5745">
              <w:rPr>
                <w:rFonts w:cs="Arial"/>
                <w:color w:val="000000" w:themeColor="text1"/>
              </w:rPr>
              <w:t>redloga</w:t>
            </w:r>
            <w:r>
              <w:rPr>
                <w:rFonts w:cs="Arial"/>
                <w:color w:val="000000" w:themeColor="text1"/>
              </w:rPr>
              <w:t xml:space="preserve"> novele</w:t>
            </w:r>
            <w:r w:rsidRPr="00AE5745">
              <w:rPr>
                <w:rFonts w:cs="Arial"/>
                <w:color w:val="000000" w:themeColor="text1"/>
              </w:rPr>
              <w:t xml:space="preserve"> ZGD-1</w:t>
            </w:r>
            <w:r>
              <w:rPr>
                <w:rFonts w:cs="Arial"/>
                <w:color w:val="000000" w:themeColor="text1"/>
              </w:rPr>
              <w:t>M</w:t>
            </w:r>
            <w:r w:rsidRPr="00AE5745">
              <w:rPr>
                <w:rFonts w:cs="Arial"/>
                <w:color w:val="000000" w:themeColor="text1"/>
              </w:rPr>
              <w:t xml:space="preserve"> in na druge člene ZGD-1.</w:t>
            </w:r>
          </w:p>
          <w:p w14:paraId="378C5641" w14:textId="77777777" w:rsidR="000C08CA" w:rsidRPr="00204BD1" w:rsidRDefault="000C08CA" w:rsidP="00FE328D">
            <w:pPr>
              <w:pStyle w:val="rkovnatokazaodstavkom"/>
              <w:numPr>
                <w:ilvl w:val="0"/>
                <w:numId w:val="0"/>
              </w:numPr>
              <w:spacing w:line="260" w:lineRule="exact"/>
              <w:ind w:left="322"/>
              <w:rPr>
                <w:rFonts w:cs="Arial"/>
                <w:color w:val="000000" w:themeColor="text1"/>
              </w:rPr>
            </w:pPr>
          </w:p>
          <w:p w14:paraId="1DD5C1AC" w14:textId="77777777" w:rsidR="000C08CA" w:rsidRPr="00204BD1" w:rsidRDefault="000C08CA" w:rsidP="00FE328D">
            <w:pPr>
              <w:pStyle w:val="rkovnatokazaodstavkom"/>
              <w:numPr>
                <w:ilvl w:val="0"/>
                <w:numId w:val="3"/>
              </w:numPr>
              <w:spacing w:line="260" w:lineRule="exact"/>
              <w:ind w:left="322" w:hanging="322"/>
              <w:rPr>
                <w:rFonts w:cs="Arial"/>
                <w:color w:val="000000" w:themeColor="text1"/>
              </w:rPr>
            </w:pPr>
            <w:r w:rsidRPr="00204BD1">
              <w:rPr>
                <w:rFonts w:cs="Arial"/>
                <w:color w:val="000000" w:themeColor="text1"/>
              </w:rPr>
              <w:t>bistvena mnenja, predloge in pripombe javnosti, ki niso bili upoštevani, in razlogi za neupoštevanje</w:t>
            </w:r>
            <w:r>
              <w:rPr>
                <w:rFonts w:cs="Arial"/>
                <w:color w:val="000000" w:themeColor="text1"/>
              </w:rPr>
              <w:t>:</w:t>
            </w:r>
          </w:p>
          <w:p w14:paraId="2C73B6F5" w14:textId="77777777" w:rsidR="000C08CA" w:rsidRDefault="000C08CA" w:rsidP="00FE328D">
            <w:pPr>
              <w:pStyle w:val="Neotevilenodstavek"/>
              <w:widowControl w:val="0"/>
              <w:spacing w:before="0" w:after="0" w:line="260" w:lineRule="exact"/>
              <w:ind w:left="322"/>
              <w:rPr>
                <w:iCs/>
                <w:color w:val="000000" w:themeColor="text1"/>
                <w:sz w:val="20"/>
                <w:szCs w:val="20"/>
              </w:rPr>
            </w:pPr>
          </w:p>
          <w:p w14:paraId="6E3E95D0" w14:textId="77777777" w:rsidR="000C08CA" w:rsidRDefault="000C08CA" w:rsidP="00FE328D">
            <w:pPr>
              <w:pStyle w:val="rkovnatokazaodstavkom"/>
              <w:numPr>
                <w:ilvl w:val="0"/>
                <w:numId w:val="0"/>
              </w:numPr>
              <w:spacing w:line="260" w:lineRule="exact"/>
              <w:ind w:left="322"/>
              <w:rPr>
                <w:rFonts w:cs="Arial"/>
                <w:color w:val="000000" w:themeColor="text1"/>
              </w:rPr>
            </w:pPr>
            <w:bookmarkStart w:id="1" w:name="_Hlk159574380"/>
            <w:r w:rsidRPr="00972D1A">
              <w:rPr>
                <w:rFonts w:cs="Arial"/>
                <w:b/>
                <w:bCs/>
                <w:color w:val="000000" w:themeColor="text1"/>
              </w:rPr>
              <w:t xml:space="preserve">Agencija Republike Slovenije za javnopravne evidence in storitve </w:t>
            </w:r>
            <w:r w:rsidRPr="00FC3309">
              <w:rPr>
                <w:rFonts w:cs="Arial"/>
                <w:color w:val="000000" w:themeColor="text1"/>
              </w:rPr>
              <w:t xml:space="preserve">predlaga </w:t>
            </w:r>
            <w:r>
              <w:rPr>
                <w:rFonts w:cs="Arial"/>
                <w:color w:val="000000" w:themeColor="text1"/>
              </w:rPr>
              <w:t>n</w:t>
            </w:r>
            <w:r w:rsidRPr="00FC3309">
              <w:rPr>
                <w:rFonts w:cs="Arial"/>
                <w:color w:val="000000" w:themeColor="text1"/>
              </w:rPr>
              <w:t>avedb</w:t>
            </w:r>
            <w:r>
              <w:rPr>
                <w:rFonts w:cs="Arial"/>
                <w:color w:val="000000" w:themeColor="text1"/>
              </w:rPr>
              <w:t>o</w:t>
            </w:r>
            <w:r w:rsidRPr="00FC3309">
              <w:rPr>
                <w:rFonts w:cs="Arial"/>
                <w:color w:val="000000" w:themeColor="text1"/>
              </w:rPr>
              <w:t xml:space="preserve"> vseh direktiv </w:t>
            </w:r>
            <w:r>
              <w:rPr>
                <w:rFonts w:cs="Arial"/>
                <w:color w:val="000000" w:themeColor="text1"/>
              </w:rPr>
              <w:t>ali</w:t>
            </w:r>
            <w:r w:rsidRPr="00FC3309">
              <w:rPr>
                <w:rFonts w:cs="Arial"/>
                <w:color w:val="000000" w:themeColor="text1"/>
              </w:rPr>
              <w:t xml:space="preserve"> uredb s</w:t>
            </w:r>
            <w:r w:rsidRPr="00FC3309" w:rsidDel="00744600">
              <w:rPr>
                <w:rFonts w:cs="Arial"/>
                <w:color w:val="000000" w:themeColor="text1"/>
              </w:rPr>
              <w:t xml:space="preserve"> </w:t>
            </w:r>
            <w:r w:rsidRPr="00FC3309">
              <w:rPr>
                <w:rFonts w:cs="Arial"/>
                <w:color w:val="000000" w:themeColor="text1"/>
              </w:rPr>
              <w:t xml:space="preserve">spremembami, ki so v </w:t>
            </w:r>
            <w:r>
              <w:rPr>
                <w:rFonts w:cs="Arial"/>
                <w:color w:val="000000" w:themeColor="text1"/>
              </w:rPr>
              <w:t xml:space="preserve">osnutku </w:t>
            </w:r>
            <w:r w:rsidRPr="00FC3309">
              <w:rPr>
                <w:rFonts w:cs="Arial"/>
                <w:color w:val="000000" w:themeColor="text1"/>
              </w:rPr>
              <w:t>predlog</w:t>
            </w:r>
            <w:r>
              <w:rPr>
                <w:rFonts w:cs="Arial"/>
                <w:color w:val="000000" w:themeColor="text1"/>
              </w:rPr>
              <w:t>a novele</w:t>
            </w:r>
            <w:r w:rsidRPr="00FC3309">
              <w:rPr>
                <w:rFonts w:cs="Arial"/>
                <w:color w:val="000000" w:themeColor="text1"/>
              </w:rPr>
              <w:t xml:space="preserve"> ZGD-1M navedene v posameznih členih, določbe posameznih členov pa naj se obravnavajo zgolj po vsebini</w:t>
            </w:r>
            <w:r>
              <w:rPr>
                <w:rFonts w:cs="Arial"/>
                <w:color w:val="000000" w:themeColor="text1"/>
              </w:rPr>
              <w:t>.</w:t>
            </w:r>
            <w:r w:rsidRPr="00FC3309">
              <w:rPr>
                <w:rFonts w:cs="Arial"/>
                <w:color w:val="000000" w:themeColor="text1"/>
              </w:rPr>
              <w:t xml:space="preserve"> </w:t>
            </w:r>
            <w:r w:rsidRPr="00296AC0">
              <w:rPr>
                <w:rFonts w:cs="Arial"/>
                <w:color w:val="000000" w:themeColor="text1"/>
              </w:rPr>
              <w:t xml:space="preserve">Navajanje posameznih direktiv in uredb z datumi objave </w:t>
            </w:r>
            <w:r>
              <w:rPr>
                <w:rFonts w:cs="Arial"/>
                <w:color w:val="000000" w:themeColor="text1"/>
              </w:rPr>
              <w:t>v</w:t>
            </w:r>
            <w:r w:rsidRPr="00296AC0">
              <w:rPr>
                <w:rFonts w:cs="Arial"/>
                <w:color w:val="000000" w:themeColor="text1"/>
              </w:rPr>
              <w:t xml:space="preserve"> člen</w:t>
            </w:r>
            <w:r>
              <w:rPr>
                <w:rFonts w:cs="Arial"/>
                <w:color w:val="000000" w:themeColor="text1"/>
              </w:rPr>
              <w:t>ih</w:t>
            </w:r>
            <w:r w:rsidRPr="00296AC0">
              <w:rPr>
                <w:rFonts w:cs="Arial"/>
                <w:color w:val="000000" w:themeColor="text1"/>
              </w:rPr>
              <w:t xml:space="preserve"> zakona namreč preveč obremenjuje besedilo zakona in zamegljuje bistvo.</w:t>
            </w:r>
            <w:r>
              <w:rPr>
                <w:rFonts w:cs="Arial"/>
                <w:color w:val="000000" w:themeColor="text1"/>
              </w:rPr>
              <w:t xml:space="preserve"> Predlagajo</w:t>
            </w:r>
            <w:r w:rsidRPr="005A0936" w:rsidDel="00744600">
              <w:rPr>
                <w:rFonts w:cs="Arial"/>
                <w:color w:val="000000" w:themeColor="text1"/>
              </w:rPr>
              <w:t xml:space="preserve"> </w:t>
            </w:r>
            <w:r>
              <w:rPr>
                <w:rFonts w:cs="Arial"/>
                <w:color w:val="000000" w:themeColor="text1"/>
              </w:rPr>
              <w:t>črtanje</w:t>
            </w:r>
            <w:r w:rsidRPr="005A0936">
              <w:rPr>
                <w:rFonts w:cs="Arial"/>
                <w:color w:val="000000" w:themeColor="text1"/>
              </w:rPr>
              <w:t xml:space="preserve"> navedbe, da se v 2. členu v prvi alineji drugega odstavka nadomesti del besedila z »Direktivo (EU) 2022/2464 Evropskega parlamenta in Sveta z dne 14. decembra 2022 o spremembi Uredbe</w:t>
            </w:r>
            <w:r>
              <w:rPr>
                <w:rFonts w:cs="Arial"/>
                <w:color w:val="000000" w:themeColor="text1"/>
              </w:rPr>
              <w:t xml:space="preserve"> </w:t>
            </w:r>
            <w:r w:rsidRPr="005A0936">
              <w:rPr>
                <w:rFonts w:cs="Arial"/>
                <w:color w:val="000000" w:themeColor="text1"/>
              </w:rPr>
              <w:t>(EU) št. 537/2014, Direktive 2004/109/E5, Direktive 2006/43/ES in Direktive 2013/34/EU glede poročanja podjetij o trajnostnosti (UL L št. 322 z dne 16. 12. 2022, str. 15)«</w:t>
            </w:r>
            <w:r>
              <w:rPr>
                <w:rFonts w:cs="Arial"/>
                <w:color w:val="000000" w:themeColor="text1"/>
              </w:rPr>
              <w:t xml:space="preserve">. </w:t>
            </w:r>
            <w:r w:rsidRPr="00502B54">
              <w:rPr>
                <w:rFonts w:cs="Arial"/>
                <w:color w:val="000000" w:themeColor="text1"/>
              </w:rPr>
              <w:t xml:space="preserve">Sklicevanje na spremembo Direktive 2013/34/EU glede poročanja podjetij o trajnostnosti </w:t>
            </w:r>
            <w:r>
              <w:rPr>
                <w:rFonts w:cs="Arial"/>
                <w:color w:val="000000" w:themeColor="text1"/>
              </w:rPr>
              <w:t xml:space="preserve">je po mnenju Ajpesa </w:t>
            </w:r>
            <w:r w:rsidRPr="00502B54">
              <w:rPr>
                <w:rFonts w:cs="Arial"/>
                <w:color w:val="000000" w:themeColor="text1"/>
              </w:rPr>
              <w:t>nepotrebno, saj je ta določba že vsebovana v drugi alineji drugega odstavka 2. člena ZGD-1</w:t>
            </w:r>
            <w:r>
              <w:rPr>
                <w:rFonts w:cs="Arial"/>
                <w:color w:val="000000" w:themeColor="text1"/>
              </w:rPr>
              <w:t xml:space="preserve">. </w:t>
            </w:r>
            <w:r w:rsidRPr="000C6094">
              <w:rPr>
                <w:rFonts w:cs="Arial"/>
                <w:color w:val="000000" w:themeColor="text1"/>
              </w:rPr>
              <w:t>V drugi alineji drugega odstavka 2. člena ZGD-1 manjka navedba prenosa Direktive 2021/2101/EU z dne 24. 11. 2021, s katero se spreminja (oziroma dopolnjuje) Direktiva 2013/34/EU glede razkritja davčnih informacij v zvezi z dohodki</w:t>
            </w:r>
            <w:r>
              <w:rPr>
                <w:rFonts w:cs="Arial"/>
                <w:color w:val="000000" w:themeColor="text1"/>
              </w:rPr>
              <w:t xml:space="preserve">. </w:t>
            </w:r>
            <w:r w:rsidRPr="004F60F5">
              <w:rPr>
                <w:rFonts w:cs="Arial"/>
                <w:color w:val="000000" w:themeColor="text1"/>
              </w:rPr>
              <w:t xml:space="preserve">Navedba prenosa te direktive je </w:t>
            </w:r>
            <w:r>
              <w:rPr>
                <w:rFonts w:cs="Arial"/>
                <w:color w:val="000000" w:themeColor="text1"/>
              </w:rPr>
              <w:t xml:space="preserve">po mnenju Ajpesa </w:t>
            </w:r>
            <w:r w:rsidRPr="004F60F5">
              <w:rPr>
                <w:rFonts w:cs="Arial"/>
                <w:color w:val="000000" w:themeColor="text1"/>
              </w:rPr>
              <w:t>nujna, saj tudi 2.</w:t>
            </w:r>
            <w:r>
              <w:rPr>
                <w:rFonts w:cs="Arial"/>
                <w:color w:val="000000" w:themeColor="text1"/>
              </w:rPr>
              <w:t> </w:t>
            </w:r>
            <w:r w:rsidRPr="004F60F5">
              <w:rPr>
                <w:rFonts w:cs="Arial"/>
                <w:color w:val="000000" w:themeColor="text1"/>
              </w:rPr>
              <w:t>člen Direktive 2021/2101/EU države članice</w:t>
            </w:r>
            <w:r>
              <w:rPr>
                <w:rFonts w:cs="Arial"/>
                <w:color w:val="000000" w:themeColor="text1"/>
              </w:rPr>
              <w:t xml:space="preserve"> </w:t>
            </w:r>
            <w:r w:rsidRPr="004F60F5">
              <w:rPr>
                <w:rFonts w:cs="Arial"/>
                <w:color w:val="000000" w:themeColor="text1"/>
              </w:rPr>
              <w:t>zavezuje, da se v sprejetih predpisih sklicujejo na to direktivo.</w:t>
            </w:r>
          </w:p>
          <w:p w14:paraId="72065155" w14:textId="77777777" w:rsidR="000C08CA" w:rsidRDefault="000C08CA" w:rsidP="00FE328D">
            <w:pPr>
              <w:pStyle w:val="rkovnatokazaodstavkom"/>
              <w:numPr>
                <w:ilvl w:val="0"/>
                <w:numId w:val="0"/>
              </w:numPr>
              <w:spacing w:line="260" w:lineRule="exact"/>
              <w:ind w:left="322"/>
              <w:rPr>
                <w:rFonts w:cs="Arial"/>
                <w:color w:val="000000" w:themeColor="text1"/>
              </w:rPr>
            </w:pPr>
          </w:p>
          <w:p w14:paraId="776B24FC" w14:textId="77777777" w:rsidR="000C08CA" w:rsidRDefault="000C08CA" w:rsidP="00FE328D">
            <w:pPr>
              <w:pStyle w:val="rkovnatokazaodstavkom"/>
              <w:numPr>
                <w:ilvl w:val="0"/>
                <w:numId w:val="0"/>
              </w:numPr>
              <w:spacing w:line="260" w:lineRule="exact"/>
              <w:ind w:left="322"/>
              <w:rPr>
                <w:rFonts w:cs="Arial"/>
                <w:color w:val="000000" w:themeColor="text1"/>
              </w:rPr>
            </w:pPr>
            <w:r w:rsidRPr="00A26AB4">
              <w:rPr>
                <w:rFonts w:cs="Arial"/>
                <w:b/>
                <w:bCs/>
                <w:color w:val="000000" w:themeColor="text1"/>
              </w:rPr>
              <w:lastRenderedPageBreak/>
              <w:t>Ministrstvo za gospodarstvo, turizem in šport</w:t>
            </w:r>
            <w:r>
              <w:rPr>
                <w:rFonts w:cs="Arial"/>
                <w:color w:val="000000" w:themeColor="text1"/>
              </w:rPr>
              <w:t xml:space="preserve"> meni, </w:t>
            </w:r>
            <w:r w:rsidRPr="00A26AB4">
              <w:rPr>
                <w:rFonts w:cs="Arial"/>
                <w:color w:val="000000" w:themeColor="text1"/>
              </w:rPr>
              <w:t>da predlog ni primeren</w:t>
            </w:r>
            <w:r>
              <w:rPr>
                <w:rFonts w:cs="Arial"/>
                <w:color w:val="000000" w:themeColor="text1"/>
              </w:rPr>
              <w:t xml:space="preserve">. </w:t>
            </w:r>
            <w:r w:rsidRPr="00E01A37">
              <w:rPr>
                <w:rFonts w:cs="Arial"/>
                <w:color w:val="000000" w:themeColor="text1"/>
              </w:rPr>
              <w:t>Direktiva 2022/2464</w:t>
            </w:r>
            <w:r>
              <w:rPr>
                <w:rFonts w:cs="Arial"/>
                <w:color w:val="000000" w:themeColor="text1"/>
              </w:rPr>
              <w:t>/EU</w:t>
            </w:r>
            <w:r w:rsidRPr="00E01A37">
              <w:rPr>
                <w:rFonts w:cs="Arial"/>
                <w:color w:val="000000" w:themeColor="text1"/>
              </w:rPr>
              <w:t xml:space="preserve"> spreminja štiri evropske pravne akte, in sicer (1) Uredbo 537/2014</w:t>
            </w:r>
            <w:r>
              <w:rPr>
                <w:rFonts w:cs="Arial"/>
                <w:color w:val="000000" w:themeColor="text1"/>
              </w:rPr>
              <w:t>/EU</w:t>
            </w:r>
            <w:r w:rsidRPr="00E01A37">
              <w:rPr>
                <w:rFonts w:cs="Arial"/>
                <w:color w:val="000000" w:themeColor="text1"/>
              </w:rPr>
              <w:t xml:space="preserve">, (2) Direktivo 2004/109/ES, (3) Direktivo 2006/43/ES in (4) Direktivo 2013/34/EU. Od teh evropskih pravnih aktov so vsebine Direktive 2006/43/ES (revizijska direktiva) in Direktive 2013/34/EU (računovodska direktiva) predmet urejanja ZGD-1. Ker </w:t>
            </w:r>
            <w:r w:rsidRPr="004E55D6">
              <w:rPr>
                <w:rFonts w:cs="Arial"/>
                <w:color w:val="000000" w:themeColor="text1"/>
              </w:rPr>
              <w:t xml:space="preserve">Direktiva 2022/2464/EU </w:t>
            </w:r>
            <w:r w:rsidRPr="00E01A37">
              <w:rPr>
                <w:rFonts w:cs="Arial"/>
                <w:color w:val="000000" w:themeColor="text1"/>
              </w:rPr>
              <w:t xml:space="preserve">torej predstavlja noveliranje več </w:t>
            </w:r>
            <w:r>
              <w:rPr>
                <w:rFonts w:cs="Arial"/>
                <w:color w:val="000000" w:themeColor="text1"/>
              </w:rPr>
              <w:t>evropskih zakonodajnih</w:t>
            </w:r>
            <w:r w:rsidRPr="00E01A37">
              <w:rPr>
                <w:rFonts w:cs="Arial"/>
                <w:color w:val="000000" w:themeColor="text1"/>
              </w:rPr>
              <w:t xml:space="preserve"> aktov z več različnih področij, je treba zadnjo spremembo upoštevati pri navedbi področnega </w:t>
            </w:r>
            <w:r>
              <w:rPr>
                <w:rFonts w:cs="Arial"/>
                <w:color w:val="000000" w:themeColor="text1"/>
              </w:rPr>
              <w:t xml:space="preserve">evropskega zakonodajnega akta, ki je </w:t>
            </w:r>
            <w:r w:rsidRPr="00E01A37">
              <w:rPr>
                <w:rFonts w:cs="Arial"/>
                <w:color w:val="000000" w:themeColor="text1"/>
              </w:rPr>
              <w:t>predmet urejanja ZGD-1.</w:t>
            </w:r>
            <w:r>
              <w:rPr>
                <w:rFonts w:cs="Arial"/>
                <w:color w:val="000000" w:themeColor="text1"/>
              </w:rPr>
              <w:t xml:space="preserve"> </w:t>
            </w:r>
            <w:r w:rsidRPr="00E034E9">
              <w:rPr>
                <w:rFonts w:cs="Arial"/>
                <w:color w:val="000000" w:themeColor="text1"/>
              </w:rPr>
              <w:t>Na podlagi</w:t>
            </w:r>
            <w:r>
              <w:t xml:space="preserve"> </w:t>
            </w:r>
            <w:r>
              <w:rPr>
                <w:rFonts w:cs="Arial"/>
                <w:color w:val="000000" w:themeColor="text1"/>
              </w:rPr>
              <w:t>t</w:t>
            </w:r>
            <w:r w:rsidRPr="00482ED9">
              <w:rPr>
                <w:rFonts w:cs="Arial"/>
                <w:color w:val="000000" w:themeColor="text1"/>
              </w:rPr>
              <w:t>retj</w:t>
            </w:r>
            <w:r>
              <w:rPr>
                <w:rFonts w:cs="Arial"/>
                <w:color w:val="000000" w:themeColor="text1"/>
              </w:rPr>
              <w:t>e</w:t>
            </w:r>
            <w:r w:rsidRPr="00482ED9">
              <w:rPr>
                <w:rFonts w:cs="Arial"/>
                <w:color w:val="000000" w:themeColor="text1"/>
              </w:rPr>
              <w:t>, spremenjen</w:t>
            </w:r>
            <w:r>
              <w:rPr>
                <w:rFonts w:cs="Arial"/>
                <w:color w:val="000000" w:themeColor="text1"/>
              </w:rPr>
              <w:t>e</w:t>
            </w:r>
            <w:r w:rsidRPr="00482ED9">
              <w:rPr>
                <w:rFonts w:cs="Arial"/>
                <w:color w:val="000000" w:themeColor="text1"/>
              </w:rPr>
              <w:t xml:space="preserve"> in dopolnjen</w:t>
            </w:r>
            <w:r>
              <w:rPr>
                <w:rFonts w:cs="Arial"/>
                <w:color w:val="000000" w:themeColor="text1"/>
              </w:rPr>
              <w:t>e</w:t>
            </w:r>
            <w:r w:rsidRPr="00482ED9">
              <w:rPr>
                <w:rFonts w:cs="Arial"/>
                <w:color w:val="000000" w:themeColor="text1"/>
              </w:rPr>
              <w:t xml:space="preserve"> izdaj</w:t>
            </w:r>
            <w:r>
              <w:rPr>
                <w:rFonts w:cs="Arial"/>
                <w:color w:val="000000" w:themeColor="text1"/>
              </w:rPr>
              <w:t xml:space="preserve">e </w:t>
            </w:r>
            <w:r w:rsidRPr="00E034E9">
              <w:rPr>
                <w:rFonts w:cs="Arial"/>
                <w:color w:val="000000" w:themeColor="text1"/>
              </w:rPr>
              <w:t>nomotehničnih smernic</w:t>
            </w:r>
            <w:r>
              <w:rPr>
                <w:rFonts w:cs="Arial"/>
                <w:color w:val="000000" w:themeColor="text1"/>
              </w:rPr>
              <w:t>, ki so se</w:t>
            </w:r>
            <w:r w:rsidRPr="00482ED9">
              <w:rPr>
                <w:rFonts w:cs="Arial"/>
                <w:color w:val="000000" w:themeColor="text1"/>
              </w:rPr>
              <w:t xml:space="preserve"> začel</w:t>
            </w:r>
            <w:r>
              <w:rPr>
                <w:rFonts w:cs="Arial"/>
                <w:color w:val="000000" w:themeColor="text1"/>
              </w:rPr>
              <w:t>e</w:t>
            </w:r>
            <w:r w:rsidRPr="00482ED9">
              <w:rPr>
                <w:rFonts w:cs="Arial"/>
                <w:color w:val="000000" w:themeColor="text1"/>
              </w:rPr>
              <w:t xml:space="preserve"> uporabljati 1. januarja 2019</w:t>
            </w:r>
            <w:r>
              <w:rPr>
                <w:rFonts w:cs="Arial"/>
                <w:color w:val="000000" w:themeColor="text1"/>
              </w:rPr>
              <w:t>,</w:t>
            </w:r>
            <w:r w:rsidRPr="00E034E9">
              <w:rPr>
                <w:rFonts w:cs="Arial"/>
                <w:color w:val="000000" w:themeColor="text1"/>
              </w:rPr>
              <w:t xml:space="preserve"> navedba zadnje spremembe </w:t>
            </w:r>
            <w:r>
              <w:rPr>
                <w:rFonts w:cs="Arial"/>
                <w:color w:val="000000" w:themeColor="text1"/>
              </w:rPr>
              <w:t>evropskega zakonodajnega akta</w:t>
            </w:r>
            <w:r w:rsidRPr="00E034E9">
              <w:rPr>
                <w:rFonts w:cs="Arial"/>
                <w:color w:val="000000" w:themeColor="text1"/>
              </w:rPr>
              <w:t xml:space="preserve"> pomeni, da so vključen</w:t>
            </w:r>
            <w:r>
              <w:rPr>
                <w:rFonts w:cs="Arial"/>
                <w:color w:val="000000" w:themeColor="text1"/>
              </w:rPr>
              <w:t>i</w:t>
            </w:r>
            <w:r w:rsidRPr="00E034E9">
              <w:rPr>
                <w:rFonts w:cs="Arial"/>
                <w:color w:val="000000" w:themeColor="text1"/>
              </w:rPr>
              <w:t xml:space="preserve"> v navedbo vs</w:t>
            </w:r>
            <w:r>
              <w:rPr>
                <w:rFonts w:cs="Arial"/>
                <w:color w:val="000000" w:themeColor="text1"/>
              </w:rPr>
              <w:t>i</w:t>
            </w:r>
            <w:r w:rsidRPr="00E034E9">
              <w:rPr>
                <w:rFonts w:cs="Arial"/>
                <w:color w:val="000000" w:themeColor="text1"/>
              </w:rPr>
              <w:t xml:space="preserve"> predhodn</w:t>
            </w:r>
            <w:r>
              <w:rPr>
                <w:rFonts w:cs="Arial"/>
                <w:color w:val="000000" w:themeColor="text1"/>
              </w:rPr>
              <w:t>i evropski zakonodajni akti, ki so ga do tedaj spreminjali</w:t>
            </w:r>
            <w:r w:rsidRPr="00E034E9">
              <w:rPr>
                <w:rFonts w:cs="Arial"/>
                <w:color w:val="000000" w:themeColor="text1"/>
              </w:rPr>
              <w:t>.</w:t>
            </w:r>
            <w:r>
              <w:rPr>
                <w:rFonts w:cs="Arial"/>
                <w:color w:val="000000" w:themeColor="text1"/>
              </w:rPr>
              <w:t xml:space="preserve"> Ker</w:t>
            </w:r>
            <w:r w:rsidRPr="00E034E9">
              <w:rPr>
                <w:rFonts w:cs="Arial"/>
                <w:color w:val="000000" w:themeColor="text1"/>
              </w:rPr>
              <w:t xml:space="preserve"> je bila v času priprave </w:t>
            </w:r>
            <w:r>
              <w:rPr>
                <w:rFonts w:cs="Arial"/>
                <w:color w:val="000000" w:themeColor="text1"/>
              </w:rPr>
              <w:t xml:space="preserve">osnutka </w:t>
            </w:r>
            <w:r w:rsidRPr="00E034E9">
              <w:rPr>
                <w:rFonts w:cs="Arial"/>
                <w:color w:val="000000" w:themeColor="text1"/>
              </w:rPr>
              <w:t xml:space="preserve">predloga novele ZGD-1M </w:t>
            </w:r>
            <w:r>
              <w:rPr>
                <w:rFonts w:cs="Arial"/>
                <w:color w:val="000000" w:themeColor="text1"/>
              </w:rPr>
              <w:t xml:space="preserve">sprejeta </w:t>
            </w:r>
            <w:r w:rsidRPr="00E034E9">
              <w:rPr>
                <w:rFonts w:cs="Arial"/>
                <w:color w:val="000000" w:themeColor="text1"/>
              </w:rPr>
              <w:t>Delegirana direktiva Komisije (EU) 2023/2775 z dne 17. 10. 2023 o spremembi Direktive 2013/34/EU Evropskega parlamenta in Sveta v zvezi s prilagoditvijo meril velikosti mikro, malih, srednjih in velikih podjetij ali skupin (UL L št. 2023/2775 z dne 21. 12. 2023)</w:t>
            </w:r>
            <w:r>
              <w:rPr>
                <w:rFonts w:cs="Arial"/>
                <w:color w:val="000000" w:themeColor="text1"/>
              </w:rPr>
              <w:t>, bo ta nadomestila navedbo zadnjega evropskega zakonodajnega akta</w:t>
            </w:r>
            <w:r w:rsidRPr="00E034E9">
              <w:rPr>
                <w:rFonts w:cs="Arial"/>
                <w:color w:val="000000" w:themeColor="text1"/>
              </w:rPr>
              <w:t>.</w:t>
            </w:r>
          </w:p>
          <w:p w14:paraId="6476C22B" w14:textId="77777777" w:rsidR="000C08CA" w:rsidRDefault="000C08CA" w:rsidP="00FE328D">
            <w:pPr>
              <w:pStyle w:val="rkovnatokazaodstavkom"/>
              <w:numPr>
                <w:ilvl w:val="0"/>
                <w:numId w:val="0"/>
              </w:numPr>
              <w:spacing w:line="260" w:lineRule="exact"/>
              <w:ind w:left="322"/>
              <w:rPr>
                <w:rFonts w:cs="Arial"/>
                <w:color w:val="000000" w:themeColor="text1"/>
              </w:rPr>
            </w:pPr>
          </w:p>
          <w:p w14:paraId="3B03D7BE" w14:textId="77777777" w:rsidR="000C08CA" w:rsidRPr="00FC3309" w:rsidRDefault="000C08CA" w:rsidP="00FE328D">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meni</w:t>
            </w:r>
            <w:r>
              <w:t>, da n</w:t>
            </w:r>
            <w:r w:rsidRPr="00494C1C">
              <w:rPr>
                <w:rFonts w:cs="Arial"/>
                <w:color w:val="000000" w:themeColor="text1"/>
              </w:rPr>
              <w:t>i nobene potrebe, da bi moral revizor ob revidiranju računovodskih izkazov zadnjega poslovnega leta preveriti tudi, ali je družba za prejšnje poslovno leto pripravila in objavila poročilo o davčnih informacijah, kot je predlagano (kar je tudi v skladu z direktivo) v peti alineji prvega odstavka spremenjenega 57. člena ZGD-1.</w:t>
            </w:r>
            <w:r>
              <w:rPr>
                <w:rFonts w:cs="Arial"/>
                <w:color w:val="000000" w:themeColor="text1"/>
              </w:rPr>
              <w:t xml:space="preserve"> </w:t>
            </w:r>
          </w:p>
          <w:p w14:paraId="1D7871FC" w14:textId="77777777" w:rsidR="000C08CA" w:rsidRPr="00FC3309" w:rsidRDefault="000C08CA" w:rsidP="00FE328D">
            <w:pPr>
              <w:pStyle w:val="rkovnatokazaodstavkom"/>
              <w:numPr>
                <w:ilvl w:val="0"/>
                <w:numId w:val="0"/>
              </w:numPr>
              <w:spacing w:line="260" w:lineRule="exact"/>
              <w:ind w:left="322"/>
              <w:rPr>
                <w:rFonts w:cs="Arial"/>
                <w:color w:val="000000" w:themeColor="text1"/>
              </w:rPr>
            </w:pPr>
          </w:p>
          <w:p w14:paraId="30B9A1D8" w14:textId="77777777" w:rsidR="000C08CA" w:rsidRDefault="000C08CA" w:rsidP="00FE328D">
            <w:pPr>
              <w:pStyle w:val="rkovnatokazaodstavkom"/>
              <w:numPr>
                <w:ilvl w:val="0"/>
                <w:numId w:val="0"/>
              </w:numPr>
              <w:spacing w:line="260" w:lineRule="exact"/>
              <w:ind w:left="322"/>
              <w:rPr>
                <w:rFonts w:cs="Arial"/>
                <w:color w:val="000000" w:themeColor="text1"/>
              </w:rPr>
            </w:pPr>
            <w:r w:rsidRPr="00A26AB4">
              <w:rPr>
                <w:rFonts w:cs="Arial"/>
                <w:b/>
                <w:bCs/>
                <w:color w:val="000000" w:themeColor="text1"/>
              </w:rPr>
              <w:t>Ministrstvo za gospodarstvo, turizem in šport</w:t>
            </w:r>
            <w:r>
              <w:rPr>
                <w:rFonts w:cs="Arial"/>
                <w:color w:val="000000" w:themeColor="text1"/>
              </w:rPr>
              <w:t xml:space="preserve"> meni, </w:t>
            </w:r>
            <w:r w:rsidRPr="00A26AB4">
              <w:rPr>
                <w:rFonts w:cs="Arial"/>
                <w:color w:val="000000" w:themeColor="text1"/>
              </w:rPr>
              <w:t>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 xml:space="preserve">/EU v 1. členu ureja novi, člen </w:t>
            </w:r>
            <w:r w:rsidRPr="00626065">
              <w:rPr>
                <w:rFonts w:cs="Arial"/>
                <w:color w:val="000000" w:themeColor="text1"/>
              </w:rPr>
              <w:t>48f</w:t>
            </w:r>
            <w:r w:rsidDel="00744600">
              <w:rPr>
                <w:rFonts w:cs="Arial"/>
                <w:color w:val="000000" w:themeColor="text1"/>
              </w:rPr>
              <w:t xml:space="preserve"> </w:t>
            </w:r>
            <w:r w:rsidRPr="00B051C3">
              <w:rPr>
                <w:rFonts w:cs="Arial"/>
                <w:color w:val="000000" w:themeColor="text1"/>
              </w:rPr>
              <w:t>Direktive 2013/34/EU</w:t>
            </w:r>
            <w:r>
              <w:rPr>
                <w:rFonts w:cs="Arial"/>
                <w:color w:val="000000" w:themeColor="text1"/>
              </w:rPr>
              <w:t>, ki določa, da d</w:t>
            </w:r>
            <w:r w:rsidRPr="00626065">
              <w:rPr>
                <w:rFonts w:cs="Arial"/>
                <w:color w:val="000000" w:themeColor="text1"/>
              </w:rPr>
              <w:t>ržave članice zahtevajo, da se, k</w:t>
            </w:r>
            <w:r>
              <w:rPr>
                <w:rFonts w:cs="Arial"/>
                <w:color w:val="000000" w:themeColor="text1"/>
              </w:rPr>
              <w:t>adar</w:t>
            </w:r>
            <w:r w:rsidRPr="00626065">
              <w:rPr>
                <w:rFonts w:cs="Arial"/>
                <w:color w:val="000000" w:themeColor="text1"/>
              </w:rPr>
              <w:t xml:space="preserve"> računovodske izkaze podjetja, za katero velja pravo države članice, revidira eden ali več zakonitih revizorjev ali revizijskih podjetij, v revizijskem poročilu navede, ali je moralo podjetje za poslovno leto pred poslovnim letom, za katero so bili pripravljeni računovodski izkazi, ki se revidirajo, objaviti poročilo o davčnih informacijah v zvezi z dohodki v skladu s členom 48b, in če, ali je bilo poročilo objavljeno v skladu s členom 48d.</w:t>
            </w:r>
            <w:r>
              <w:rPr>
                <w:rFonts w:cs="Arial"/>
                <w:color w:val="000000" w:themeColor="text1"/>
              </w:rPr>
              <w:t xml:space="preserve"> Zaradi ustreznega prenosa te določbe </w:t>
            </w:r>
            <w:r w:rsidRPr="00361852">
              <w:rPr>
                <w:rFonts w:cs="Arial"/>
                <w:color w:val="000000" w:themeColor="text1"/>
              </w:rPr>
              <w:t>Direktiv</w:t>
            </w:r>
            <w:r>
              <w:rPr>
                <w:rFonts w:cs="Arial"/>
                <w:color w:val="000000" w:themeColor="text1"/>
              </w:rPr>
              <w:t>e</w:t>
            </w:r>
            <w:r w:rsidRPr="00361852">
              <w:rPr>
                <w:rFonts w:cs="Arial"/>
                <w:color w:val="000000" w:themeColor="text1"/>
              </w:rPr>
              <w:t xml:space="preserve"> 2021/2101/EU</w:t>
            </w:r>
            <w:r>
              <w:rPr>
                <w:rFonts w:cs="Arial"/>
                <w:color w:val="000000" w:themeColor="text1"/>
              </w:rPr>
              <w:t xml:space="preserve"> v slovenski pravni red je treba dopolniti drugi odstavek 57. člena osnutka novele ZGD-1M. </w:t>
            </w:r>
          </w:p>
          <w:p w14:paraId="5C82B861" w14:textId="77777777" w:rsidR="000C08CA" w:rsidRDefault="000C08CA" w:rsidP="00FE328D">
            <w:pPr>
              <w:pStyle w:val="rkovnatokazaodstavkom"/>
              <w:numPr>
                <w:ilvl w:val="0"/>
                <w:numId w:val="0"/>
              </w:numPr>
              <w:spacing w:line="260" w:lineRule="exact"/>
              <w:ind w:left="322"/>
              <w:rPr>
                <w:rFonts w:cs="Arial"/>
                <w:color w:val="000000" w:themeColor="text1"/>
              </w:rPr>
            </w:pPr>
          </w:p>
          <w:p w14:paraId="1DE84412"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CER Partnerstvo za trajnostno gospodarstvo</w:t>
            </w:r>
            <w:r>
              <w:rPr>
                <w:rFonts w:cs="Arial"/>
                <w:color w:val="000000" w:themeColor="text1"/>
              </w:rPr>
              <w:t xml:space="preserve"> predlaga drugačno </w:t>
            </w:r>
            <w:r w:rsidRPr="000C6937">
              <w:rPr>
                <w:rFonts w:cs="Arial"/>
                <w:color w:val="000000" w:themeColor="text1"/>
              </w:rPr>
              <w:t>dikcij</w:t>
            </w:r>
            <w:r>
              <w:rPr>
                <w:rFonts w:cs="Arial"/>
                <w:color w:val="000000" w:themeColor="text1"/>
              </w:rPr>
              <w:t>o</w:t>
            </w:r>
            <w:r w:rsidRPr="000C6937">
              <w:rPr>
                <w:rFonts w:cs="Arial"/>
                <w:color w:val="000000" w:themeColor="text1"/>
              </w:rPr>
              <w:t xml:space="preserve"> za besedno zvezo postopek skrbnega pregleda</w:t>
            </w:r>
            <w:r>
              <w:rPr>
                <w:rFonts w:cs="Arial"/>
                <w:color w:val="000000" w:themeColor="text1"/>
              </w:rPr>
              <w:t>. Pri predlogu izhajajo iz</w:t>
            </w:r>
            <w:r w:rsidRPr="009F1346">
              <w:rPr>
                <w:rFonts w:cs="Arial"/>
                <w:color w:val="000000" w:themeColor="text1"/>
              </w:rPr>
              <w:t xml:space="preserve"> drugačn</w:t>
            </w:r>
            <w:r>
              <w:rPr>
                <w:rFonts w:cs="Arial"/>
                <w:color w:val="000000" w:themeColor="text1"/>
              </w:rPr>
              <w:t>ega</w:t>
            </w:r>
            <w:r w:rsidRPr="009F1346">
              <w:rPr>
                <w:rFonts w:cs="Arial"/>
                <w:color w:val="000000" w:themeColor="text1"/>
              </w:rPr>
              <w:t xml:space="preserve"> prevajanj</w:t>
            </w:r>
            <w:r>
              <w:rPr>
                <w:rFonts w:cs="Arial"/>
                <w:color w:val="000000" w:themeColor="text1"/>
              </w:rPr>
              <w:t>a</w:t>
            </w:r>
            <w:r w:rsidRPr="009F1346">
              <w:rPr>
                <w:rFonts w:cs="Arial"/>
                <w:color w:val="000000" w:themeColor="text1"/>
              </w:rPr>
              <w:t xml:space="preserve"> besedne zveze</w:t>
            </w:r>
            <w:r>
              <w:rPr>
                <w:rFonts w:cs="Arial"/>
                <w:color w:val="000000" w:themeColor="text1"/>
              </w:rPr>
              <w:t>,</w:t>
            </w:r>
            <w:r w:rsidRPr="009F1346">
              <w:rPr>
                <w:rFonts w:cs="Arial"/>
                <w:color w:val="000000" w:themeColor="text1"/>
              </w:rPr>
              <w:t xml:space="preserve"> in sicer po vzoru nemškega, francoskega in italijanskega jezika, ki postopek due diligence v tem kontekstu prevajajo kot postopek dolžne skrbnosti ali postopek skrbnega ravnanje družbe.</w:t>
            </w:r>
          </w:p>
          <w:p w14:paraId="7288306A" w14:textId="77777777" w:rsidR="000C08CA" w:rsidRDefault="000C08CA" w:rsidP="00FE328D">
            <w:pPr>
              <w:pStyle w:val="rkovnatokazaodstavkom"/>
              <w:numPr>
                <w:ilvl w:val="0"/>
                <w:numId w:val="0"/>
              </w:numPr>
              <w:spacing w:line="260" w:lineRule="exact"/>
              <w:ind w:left="322"/>
              <w:rPr>
                <w:rFonts w:cs="Arial"/>
                <w:color w:val="000000" w:themeColor="text1"/>
              </w:rPr>
            </w:pPr>
          </w:p>
          <w:p w14:paraId="6DB65674"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Odvetnik Mark Jo Moggi</w:t>
            </w:r>
            <w:r>
              <w:rPr>
                <w:rFonts w:cs="Arial"/>
                <w:color w:val="000000" w:themeColor="text1"/>
              </w:rPr>
              <w:t xml:space="preserve"> p</w:t>
            </w:r>
            <w:r w:rsidRPr="00136C5A">
              <w:rPr>
                <w:rFonts w:cs="Arial"/>
                <w:color w:val="000000" w:themeColor="text1"/>
              </w:rPr>
              <w:t>redlaga, da se namesto</w:t>
            </w:r>
            <w:r>
              <w:rPr>
                <w:rFonts w:cs="Arial"/>
                <w:color w:val="000000" w:themeColor="text1"/>
              </w:rPr>
              <w:t xml:space="preserve"> izraza</w:t>
            </w:r>
            <w:r w:rsidRPr="00136C5A">
              <w:rPr>
                <w:rFonts w:cs="Arial"/>
                <w:color w:val="000000" w:themeColor="text1"/>
              </w:rPr>
              <w:t xml:space="preserve"> postopek skrbnega pregleda uporablja izraz postopek skrbnega ravnanja ali postopek dolžne skrbnosti. Alternativa (po njegovem mnenju sicer slabša) bi bila, da se </w:t>
            </w:r>
            <w:r>
              <w:rPr>
                <w:rFonts w:cs="Arial"/>
                <w:color w:val="000000" w:themeColor="text1"/>
              </w:rPr>
              <w:t>izraz</w:t>
            </w:r>
            <w:r w:rsidRPr="00136C5A">
              <w:rPr>
                <w:rFonts w:cs="Arial"/>
                <w:color w:val="000000" w:themeColor="text1"/>
              </w:rPr>
              <w:t xml:space="preserve"> skrbni pregled pojasni v </w:t>
            </w:r>
            <w:r>
              <w:rPr>
                <w:rFonts w:cs="Arial"/>
                <w:color w:val="000000" w:themeColor="text1"/>
              </w:rPr>
              <w:t>opredelitvah</w:t>
            </w:r>
            <w:r w:rsidRPr="00136C5A">
              <w:rPr>
                <w:rFonts w:cs="Arial"/>
                <w:color w:val="000000" w:themeColor="text1"/>
              </w:rPr>
              <w:t xml:space="preserve"> zakona v skladu </w:t>
            </w:r>
            <w:r>
              <w:rPr>
                <w:rFonts w:cs="Arial"/>
                <w:color w:val="000000" w:themeColor="text1"/>
              </w:rPr>
              <w:t>z 31. uvodno izjavo</w:t>
            </w:r>
            <w:r w:rsidRPr="00136C5A">
              <w:rPr>
                <w:rFonts w:cs="Arial"/>
                <w:color w:val="000000" w:themeColor="text1"/>
              </w:rPr>
              <w:t xml:space="preserve"> </w:t>
            </w:r>
            <w:r w:rsidRPr="00744600">
              <w:rPr>
                <w:rFonts w:cs="Arial"/>
                <w:color w:val="000000" w:themeColor="text1"/>
              </w:rPr>
              <w:t>Direktiv</w:t>
            </w:r>
            <w:r>
              <w:rPr>
                <w:rFonts w:cs="Arial"/>
                <w:color w:val="000000" w:themeColor="text1"/>
              </w:rPr>
              <w:t>e</w:t>
            </w:r>
            <w:r w:rsidRPr="00744600">
              <w:rPr>
                <w:rFonts w:cs="Arial"/>
                <w:color w:val="000000" w:themeColor="text1"/>
              </w:rPr>
              <w:t xml:space="preserve"> 2022/2464/EU</w:t>
            </w:r>
            <w:r w:rsidRPr="00136C5A">
              <w:rPr>
                <w:rFonts w:cs="Arial"/>
                <w:color w:val="000000" w:themeColor="text1"/>
              </w:rPr>
              <w:t>.</w:t>
            </w:r>
            <w:r>
              <w:rPr>
                <w:rFonts w:cs="Arial"/>
                <w:color w:val="000000" w:themeColor="text1"/>
              </w:rPr>
              <w:t xml:space="preserve"> </w:t>
            </w:r>
            <w:r w:rsidRPr="002C01E2">
              <w:rPr>
                <w:rFonts w:cs="Arial"/>
                <w:color w:val="000000" w:themeColor="text1"/>
              </w:rPr>
              <w:t xml:space="preserve">Uporaba </w:t>
            </w:r>
            <w:r>
              <w:rPr>
                <w:rFonts w:cs="Arial"/>
                <w:color w:val="000000" w:themeColor="text1"/>
              </w:rPr>
              <w:t>izraza</w:t>
            </w:r>
            <w:r w:rsidRPr="002C01E2">
              <w:rPr>
                <w:rFonts w:cs="Arial"/>
                <w:color w:val="000000" w:themeColor="text1"/>
              </w:rPr>
              <w:t xml:space="preserve"> skrbni pregled </w:t>
            </w:r>
            <w:r>
              <w:rPr>
                <w:rFonts w:cs="Arial"/>
                <w:color w:val="000000" w:themeColor="text1"/>
              </w:rPr>
              <w:t xml:space="preserve">po njegovem mnenju </w:t>
            </w:r>
            <w:r w:rsidRPr="002C01E2">
              <w:rPr>
                <w:rFonts w:cs="Arial"/>
                <w:color w:val="000000" w:themeColor="text1"/>
              </w:rPr>
              <w:t xml:space="preserve">ni najprimernejša. V kontekstu </w:t>
            </w:r>
            <w:r w:rsidRPr="00744600">
              <w:rPr>
                <w:rFonts w:cs="Arial"/>
                <w:color w:val="000000" w:themeColor="text1"/>
              </w:rPr>
              <w:t>Direktive 2022/2464/EU</w:t>
            </w:r>
            <w:r w:rsidRPr="002C01E2">
              <w:rPr>
                <w:rFonts w:cs="Arial"/>
                <w:color w:val="000000" w:themeColor="text1"/>
              </w:rPr>
              <w:t xml:space="preserve"> se due diligence namreč ne nanaša na postopek skrbnega pregleda v pomenu pregleda podjetja, ki ga poznamo pri gospodarskopravnih transakcijah. Gre za širši koncept skrbnega ravnanja družb, ki izhaja iz mednarodnih virov (smernice in načela OZN, OECD itd.; gl. </w:t>
            </w:r>
            <w:r>
              <w:rPr>
                <w:rFonts w:cs="Arial"/>
                <w:color w:val="000000" w:themeColor="text1"/>
              </w:rPr>
              <w:t>31. uvodno izjavo</w:t>
            </w:r>
            <w:r w:rsidRPr="002C01E2" w:rsidDel="00744600">
              <w:rPr>
                <w:rFonts w:cs="Arial"/>
                <w:color w:val="000000" w:themeColor="text1"/>
              </w:rPr>
              <w:t xml:space="preserve">  </w:t>
            </w:r>
            <w:r w:rsidRPr="00744600">
              <w:rPr>
                <w:rFonts w:cs="Arial"/>
                <w:color w:val="000000" w:themeColor="text1"/>
              </w:rPr>
              <w:t>Direktive 2022/2464/EU</w:t>
            </w:r>
            <w:r w:rsidRPr="002C01E2">
              <w:rPr>
                <w:rFonts w:cs="Arial"/>
                <w:color w:val="000000" w:themeColor="text1"/>
              </w:rPr>
              <w:t>).</w:t>
            </w:r>
            <w:r w:rsidRPr="002C01E2" w:rsidDel="00744600">
              <w:rPr>
                <w:rFonts w:cs="Arial"/>
                <w:color w:val="000000" w:themeColor="text1"/>
              </w:rPr>
              <w:t xml:space="preserve"> </w:t>
            </w:r>
            <w:r>
              <w:rPr>
                <w:rFonts w:cs="Arial"/>
                <w:color w:val="000000" w:themeColor="text1"/>
              </w:rPr>
              <w:t>Ključno</w:t>
            </w:r>
            <w:r w:rsidRPr="002C01E2">
              <w:rPr>
                <w:rFonts w:cs="Arial"/>
                <w:color w:val="000000" w:themeColor="text1"/>
              </w:rPr>
              <w:t xml:space="preserve"> je, da ta institut ne vključuje zgolj pregleda/odkrivanja škodljivih vplivov, temveč tudi njihovo preprečevanje, blaženje in odpravo (od družb torej terja ukrepanje). Jeziki drugih držav članic v navedenih mednarodnih dokumentih due diligence prevajajo kot dolžna skrbnost oziroma dolžnost skrbnosti (dovere di diligenca (ital.), Sorgfaltspflicht (nem.), devoir de diligence (fr.); v nekaterih različicah pa se v nadaljevanju teksta uporablja kar angleški izvirnik due diligence (gl. OECD Due Diligence Guidance for Responsible Business Conduct v različnih jezikovnih različicah). Nemški zakon, ki kot eden izmed prvih </w:t>
            </w:r>
            <w:r>
              <w:rPr>
                <w:rFonts w:cs="Arial"/>
                <w:color w:val="000000" w:themeColor="text1"/>
              </w:rPr>
              <w:t>prenaša</w:t>
            </w:r>
            <w:r w:rsidRPr="002C01E2">
              <w:rPr>
                <w:rFonts w:cs="Arial"/>
                <w:color w:val="000000" w:themeColor="text1"/>
              </w:rPr>
              <w:t xml:space="preserve"> institut </w:t>
            </w:r>
            <w:r>
              <w:rPr>
                <w:rFonts w:cs="Arial"/>
                <w:color w:val="000000" w:themeColor="text1"/>
              </w:rPr>
              <w:t>d</w:t>
            </w:r>
            <w:r w:rsidRPr="002C01E2">
              <w:rPr>
                <w:rFonts w:cs="Arial"/>
                <w:color w:val="000000" w:themeColor="text1"/>
              </w:rPr>
              <w:t xml:space="preserve">ue </w:t>
            </w:r>
            <w:r>
              <w:rPr>
                <w:rFonts w:cs="Arial"/>
                <w:color w:val="000000" w:themeColor="text1"/>
              </w:rPr>
              <w:t>d</w:t>
            </w:r>
            <w:r w:rsidRPr="002C01E2">
              <w:rPr>
                <w:rFonts w:cs="Arial"/>
                <w:color w:val="000000" w:themeColor="text1"/>
              </w:rPr>
              <w:t>iligence, se imenuje Lieferkettensorgfaltspflichtengesetz (</w:t>
            </w:r>
            <w:r>
              <w:rPr>
                <w:rFonts w:cs="Arial"/>
                <w:color w:val="000000" w:themeColor="text1"/>
              </w:rPr>
              <w:t>ali</w:t>
            </w:r>
            <w:r w:rsidRPr="002C01E2">
              <w:rPr>
                <w:rFonts w:cs="Arial"/>
                <w:color w:val="000000" w:themeColor="text1"/>
              </w:rPr>
              <w:t xml:space="preserve"> Gesetz über unternehmerische Sorgfaltspflichten in </w:t>
            </w:r>
            <w:r w:rsidRPr="002C01E2">
              <w:rPr>
                <w:rFonts w:cs="Arial"/>
                <w:color w:val="000000" w:themeColor="text1"/>
              </w:rPr>
              <w:lastRenderedPageBreak/>
              <w:t xml:space="preserve">Lieferketten), torej zakon o dolžnosti skrbnega ravnanja (oziroma o dolžnosti skrbnosti) podjetij v dobavnih verigah. Pri slovenskih prevodih omenjenih mednarodnih aktov (in posledično tudi </w:t>
            </w:r>
            <w:r w:rsidRPr="00744600">
              <w:rPr>
                <w:rFonts w:cs="Arial"/>
                <w:color w:val="000000" w:themeColor="text1"/>
              </w:rPr>
              <w:t>Direktiva 2014/95/EU</w:t>
            </w:r>
            <w:r w:rsidRPr="002C01E2">
              <w:rPr>
                <w:rFonts w:cs="Arial"/>
                <w:color w:val="000000" w:themeColor="text1"/>
              </w:rPr>
              <w:t xml:space="preserve">) pa se že od začetka pretežno (in po našem mnenju zmotno) uporablja </w:t>
            </w:r>
            <w:r>
              <w:rPr>
                <w:rFonts w:cs="Arial"/>
                <w:color w:val="000000" w:themeColor="text1"/>
              </w:rPr>
              <w:t xml:space="preserve">izraz </w:t>
            </w:r>
            <w:r w:rsidRPr="002C01E2">
              <w:rPr>
                <w:rFonts w:cs="Arial"/>
                <w:color w:val="000000" w:themeColor="text1"/>
              </w:rPr>
              <w:t>skrbni pregled.</w:t>
            </w:r>
          </w:p>
          <w:p w14:paraId="071F9B67" w14:textId="77777777" w:rsidR="000C08CA" w:rsidRDefault="000C08CA" w:rsidP="00FE328D">
            <w:pPr>
              <w:pStyle w:val="rkovnatokazaodstavkom"/>
              <w:numPr>
                <w:ilvl w:val="0"/>
                <w:numId w:val="0"/>
              </w:numPr>
              <w:spacing w:line="260" w:lineRule="exact"/>
              <w:ind w:left="322"/>
              <w:rPr>
                <w:rFonts w:cs="Arial"/>
                <w:color w:val="000000" w:themeColor="text1"/>
              </w:rPr>
            </w:pPr>
          </w:p>
          <w:p w14:paraId="62996A40"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w:t>
            </w:r>
            <w:r w:rsidRPr="00215B57">
              <w:rPr>
                <w:rFonts w:cs="Arial"/>
                <w:color w:val="000000" w:themeColor="text1"/>
              </w:rPr>
              <w:t xml:space="preserve">V 2. alineji 1. odstavka 70.c člena ZGD-1 se že uporablja </w:t>
            </w:r>
            <w:r>
              <w:rPr>
                <w:rFonts w:cs="Arial"/>
                <w:color w:val="000000" w:themeColor="text1"/>
              </w:rPr>
              <w:t>izraz</w:t>
            </w:r>
            <w:r w:rsidRPr="00215B57">
              <w:rPr>
                <w:rFonts w:cs="Arial"/>
                <w:color w:val="000000" w:themeColor="text1"/>
              </w:rPr>
              <w:t xml:space="preserve"> izvajanje postopkov skrbnega pregleda, kar je tudi v skladu z Direktivo 2014/95/EU glede razkritja nefinančnih informacij in informacij o raznolikosti </w:t>
            </w:r>
            <w:r>
              <w:rPr>
                <w:rFonts w:cs="Arial"/>
                <w:color w:val="000000" w:themeColor="text1"/>
              </w:rPr>
              <w:t xml:space="preserve">v </w:t>
            </w:r>
            <w:r w:rsidRPr="00215B57">
              <w:rPr>
                <w:rFonts w:cs="Arial"/>
                <w:color w:val="000000" w:themeColor="text1"/>
              </w:rPr>
              <w:t>nekaterih velikih podjetj</w:t>
            </w:r>
            <w:r>
              <w:rPr>
                <w:rFonts w:cs="Arial"/>
                <w:color w:val="000000" w:themeColor="text1"/>
              </w:rPr>
              <w:t>ih</w:t>
            </w:r>
            <w:r w:rsidRPr="00215B57">
              <w:rPr>
                <w:rFonts w:cs="Arial"/>
                <w:color w:val="000000" w:themeColor="text1"/>
              </w:rPr>
              <w:t xml:space="preserve"> in skupin</w:t>
            </w:r>
            <w:r>
              <w:rPr>
                <w:rFonts w:cs="Arial"/>
                <w:color w:val="000000" w:themeColor="text1"/>
              </w:rPr>
              <w:t>ah</w:t>
            </w:r>
            <w:r w:rsidRPr="00215B57">
              <w:rPr>
                <w:rFonts w:cs="Arial"/>
                <w:color w:val="000000" w:themeColor="text1"/>
              </w:rPr>
              <w:t xml:space="preserve">. Vendar </w:t>
            </w:r>
            <w:r>
              <w:rPr>
                <w:rFonts w:cs="Arial"/>
                <w:color w:val="000000" w:themeColor="text1"/>
              </w:rPr>
              <w:t>navedena d</w:t>
            </w:r>
            <w:r w:rsidRPr="00744600">
              <w:rPr>
                <w:rFonts w:cs="Arial"/>
                <w:color w:val="000000" w:themeColor="text1"/>
              </w:rPr>
              <w:t xml:space="preserve">irektiva </w:t>
            </w:r>
            <w:r w:rsidRPr="00215B57">
              <w:rPr>
                <w:rFonts w:cs="Arial"/>
                <w:color w:val="000000" w:themeColor="text1"/>
              </w:rPr>
              <w:t>ne določa podrobnosti o poročanju o postopkih potrebne skrbnosti niti ne določa, kako jih je treba izvajati.</w:t>
            </w:r>
            <w:r>
              <w:rPr>
                <w:rFonts w:cs="Arial"/>
                <w:color w:val="000000" w:themeColor="text1"/>
              </w:rPr>
              <w:t xml:space="preserve"> Direktiva </w:t>
            </w:r>
            <w:r w:rsidRPr="00046CA9">
              <w:rPr>
                <w:rFonts w:cs="Arial"/>
                <w:color w:val="000000" w:themeColor="text1"/>
              </w:rPr>
              <w:t>2022/2464</w:t>
            </w:r>
            <w:r>
              <w:rPr>
                <w:rFonts w:cs="Arial"/>
                <w:color w:val="000000" w:themeColor="text1"/>
              </w:rPr>
              <w:t xml:space="preserve">/EU </w:t>
            </w:r>
            <w:r w:rsidRPr="00215B57">
              <w:rPr>
                <w:rFonts w:cs="Arial"/>
                <w:color w:val="000000" w:themeColor="text1"/>
              </w:rPr>
              <w:t xml:space="preserve">je ohranila </w:t>
            </w:r>
            <w:r>
              <w:rPr>
                <w:rFonts w:cs="Arial"/>
                <w:color w:val="000000" w:themeColor="text1"/>
              </w:rPr>
              <w:t>izraz</w:t>
            </w:r>
            <w:r w:rsidRPr="00215B57">
              <w:rPr>
                <w:rFonts w:cs="Arial"/>
                <w:color w:val="000000" w:themeColor="text1"/>
              </w:rPr>
              <w:t xml:space="preserve"> skrbnega pregleda, za katerega je značilen poudarek na zadevah v zvezi s trajnostnostjo. Ker </w:t>
            </w:r>
            <w:r>
              <w:rPr>
                <w:rFonts w:cs="Arial"/>
                <w:color w:val="000000" w:themeColor="text1"/>
              </w:rPr>
              <w:t xml:space="preserve">Direktiva </w:t>
            </w:r>
            <w:r w:rsidRPr="00046CA9">
              <w:rPr>
                <w:rFonts w:cs="Arial"/>
                <w:color w:val="000000" w:themeColor="text1"/>
              </w:rPr>
              <w:t>2022/2464</w:t>
            </w:r>
            <w:r>
              <w:rPr>
                <w:rFonts w:cs="Arial"/>
                <w:color w:val="000000" w:themeColor="text1"/>
              </w:rPr>
              <w:t>/EU</w:t>
            </w:r>
            <w:r w:rsidRPr="00215B57">
              <w:rPr>
                <w:rFonts w:cs="Arial"/>
                <w:color w:val="000000" w:themeColor="text1"/>
              </w:rPr>
              <w:t xml:space="preserve"> uporablja skoraj </w:t>
            </w:r>
            <w:r>
              <w:rPr>
                <w:rFonts w:cs="Arial"/>
                <w:color w:val="000000" w:themeColor="text1"/>
              </w:rPr>
              <w:t>enako</w:t>
            </w:r>
            <w:r w:rsidRPr="00215B57">
              <w:rPr>
                <w:rFonts w:cs="Arial"/>
                <w:color w:val="000000" w:themeColor="text1"/>
              </w:rPr>
              <w:t xml:space="preserve"> terminologijo, to je postopek skrbnega pregleda kot prevod </w:t>
            </w:r>
            <w:r>
              <w:rPr>
                <w:rFonts w:cs="Arial"/>
                <w:color w:val="000000" w:themeColor="text1"/>
              </w:rPr>
              <w:t xml:space="preserve">za </w:t>
            </w:r>
            <w:r w:rsidRPr="00215B57">
              <w:rPr>
                <w:rFonts w:cs="Arial"/>
                <w:color w:val="000000" w:themeColor="text1"/>
              </w:rPr>
              <w:t xml:space="preserve">due diligence process, bi bilo smiselno, da se </w:t>
            </w:r>
            <w:r>
              <w:rPr>
                <w:rFonts w:cs="Arial"/>
                <w:color w:val="000000" w:themeColor="text1"/>
              </w:rPr>
              <w:t>izraz</w:t>
            </w:r>
            <w:r w:rsidRPr="00215B57">
              <w:rPr>
                <w:rFonts w:cs="Arial"/>
                <w:color w:val="000000" w:themeColor="text1"/>
              </w:rPr>
              <w:t xml:space="preserve"> zaradi jasnosti in določnosti ohrani, saj je že uveljavljen. Če bi uvedli nov </w:t>
            </w:r>
            <w:r>
              <w:rPr>
                <w:rFonts w:cs="Arial"/>
                <w:color w:val="000000" w:themeColor="text1"/>
              </w:rPr>
              <w:t>izraz</w:t>
            </w:r>
            <w:r w:rsidRPr="00215B57">
              <w:rPr>
                <w:rFonts w:cs="Arial"/>
                <w:color w:val="000000" w:themeColor="text1"/>
              </w:rPr>
              <w:t>, ki bi pomenil enako kot prej uporabljen</w:t>
            </w:r>
            <w:r>
              <w:rPr>
                <w:rFonts w:cs="Arial"/>
                <w:color w:val="000000" w:themeColor="text1"/>
              </w:rPr>
              <w:t>i izraz</w:t>
            </w:r>
            <w:r w:rsidRPr="00215B57">
              <w:rPr>
                <w:rFonts w:cs="Arial"/>
                <w:color w:val="000000" w:themeColor="text1"/>
              </w:rPr>
              <w:t xml:space="preserve">, bi to lahko vneslo več nejasnosti in nedoslednosti. Če pa se odločimo za rabo novega </w:t>
            </w:r>
            <w:r>
              <w:rPr>
                <w:rFonts w:cs="Arial"/>
                <w:color w:val="000000" w:themeColor="text1"/>
              </w:rPr>
              <w:t>izraza</w:t>
            </w:r>
            <w:r w:rsidRPr="00215B57">
              <w:rPr>
                <w:rFonts w:cs="Arial"/>
                <w:color w:val="000000" w:themeColor="text1"/>
              </w:rPr>
              <w:t>,</w:t>
            </w:r>
            <w:r w:rsidRPr="00215B57" w:rsidDel="00744600">
              <w:rPr>
                <w:rFonts w:cs="Arial"/>
                <w:color w:val="000000" w:themeColor="text1"/>
              </w:rPr>
              <w:t xml:space="preserve"> </w:t>
            </w:r>
            <w:r w:rsidRPr="00215B57">
              <w:rPr>
                <w:rFonts w:cs="Arial"/>
                <w:color w:val="000000" w:themeColor="text1"/>
              </w:rPr>
              <w:t>bi morali to pojasniti v obrazložitvi, da gre za spremembo v poimenovanju</w:t>
            </w:r>
            <w:r>
              <w:rPr>
                <w:rFonts w:cs="Arial"/>
                <w:color w:val="000000" w:themeColor="text1"/>
              </w:rPr>
              <w:t>,</w:t>
            </w:r>
            <w:r w:rsidRPr="00215B57">
              <w:rPr>
                <w:rFonts w:cs="Arial"/>
                <w:color w:val="000000" w:themeColor="text1"/>
              </w:rPr>
              <w:t xml:space="preserve"> ne po vsebini. V strokovnem članku (Peter Podgorelec, Due diligence po predlogu Direktive o skrbnem pregledu glede trajnostnosti, Podjetje in delo, št. 6-7, 2023, str. 1241) pravni strokovnjak izpostavlja, da se v korporacijskem pravu in pravu kapitalskega trga </w:t>
            </w:r>
            <w:r>
              <w:rPr>
                <w:rFonts w:cs="Arial"/>
                <w:color w:val="000000" w:themeColor="text1"/>
              </w:rPr>
              <w:t>z izrazom</w:t>
            </w:r>
            <w:r w:rsidRPr="00215B57">
              <w:rPr>
                <w:rFonts w:cs="Arial"/>
                <w:color w:val="000000" w:themeColor="text1"/>
              </w:rPr>
              <w:t xml:space="preserve"> due diligence označuje postopek, ki se vodi z namenom identifikacije in vrednotenja tveganj, ki jim je podjetje izpostavljeno pri poslovanju.</w:t>
            </w:r>
            <w:r>
              <w:rPr>
                <w:rFonts w:cs="Arial"/>
                <w:color w:val="000000" w:themeColor="text1"/>
              </w:rPr>
              <w:t xml:space="preserve"> </w:t>
            </w:r>
            <w:r w:rsidRPr="00215B57">
              <w:rPr>
                <w:rFonts w:cs="Arial"/>
                <w:color w:val="000000" w:themeColor="text1"/>
              </w:rPr>
              <w:t xml:space="preserve">V strokovnem članku (Borut Bratina, Odgovornost direktorjev in nadzornikov za družbeno odgovorno poslovanje podjetja, Podjetje in delo, št. 6-7, 2023, str. 1222) je izpostavljeno, da </w:t>
            </w:r>
            <w:r>
              <w:rPr>
                <w:rFonts w:cs="Arial"/>
                <w:color w:val="000000" w:themeColor="text1"/>
              </w:rPr>
              <w:t>p</w:t>
            </w:r>
            <w:r w:rsidRPr="00922F9E">
              <w:rPr>
                <w:rFonts w:cs="Arial"/>
                <w:color w:val="000000" w:themeColor="text1"/>
              </w:rPr>
              <w:t xml:space="preserve">redlog </w:t>
            </w:r>
            <w:r>
              <w:rPr>
                <w:rFonts w:cs="Arial"/>
                <w:color w:val="000000" w:themeColor="text1"/>
              </w:rPr>
              <w:t>direktive</w:t>
            </w:r>
            <w:r w:rsidRPr="00922F9E">
              <w:rPr>
                <w:rFonts w:cs="Arial"/>
                <w:color w:val="000000" w:themeColor="text1"/>
              </w:rPr>
              <w:t xml:space="preserve"> o skrbnem pregledu v podjetjih glede trajnostnosti in spremembi Direktive (EU) 2019/1937</w:t>
            </w:r>
            <w:r w:rsidDel="00744600">
              <w:rPr>
                <w:rFonts w:cs="Arial"/>
                <w:color w:val="000000" w:themeColor="text1"/>
              </w:rPr>
              <w:t xml:space="preserve"> </w:t>
            </w:r>
            <w:r w:rsidRPr="00215B57">
              <w:rPr>
                <w:rFonts w:cs="Arial"/>
                <w:color w:val="000000" w:themeColor="text1"/>
              </w:rPr>
              <w:t>uvaja obveznost skrbnega pregleda, ki ne zajema le oblikovanja istoimenske politike in sistema obvladovanja tovrstnih tveganj, temveč tudi vzpostavljanje ukrepov za odpravo škodljivih učinkov. Med drugim predlog direktive nalaga direktorjem tudi dolžnost skrbnega ravnanja. Iz dolžnosti skrbnega ravnanja (duty of care) izpeljemo tri velike skupine konkretneje opredeljenih dolžnosti. Prva skupina dolžnosti se nanaša na zagotavljanje zakonitosti poslovanja (člani uprave morajo sami ravnati zakonito, hkrati pa morajo z ustreznimi ukrepi poskrbeti, da tudi družba kot celota deluje zakonito). Druga skupina dolžnosti so dolžnosti, ki so odvisne od okoliščin konkretnega primera, na primer od velikosti podjetja in vrste dejavnosti ter njegovega gospodarskega položaja. Pri konkretizaciji načela skrbnosti (duty of care) imajo pomembno vlogo pravila ekonomske stroke, če so v ekonomski teoriji ustaljena in tudi v praksi potrjena. Uprava mora torej voditi podjetje</w:t>
            </w:r>
            <w:r w:rsidRPr="00215B57" w:rsidDel="00744600">
              <w:rPr>
                <w:rFonts w:cs="Arial"/>
                <w:color w:val="000000" w:themeColor="text1"/>
              </w:rPr>
              <w:t xml:space="preserve"> </w:t>
            </w:r>
            <w:r w:rsidRPr="00215B57">
              <w:rPr>
                <w:rFonts w:cs="Arial"/>
                <w:color w:val="000000" w:themeColor="text1"/>
              </w:rPr>
              <w:t xml:space="preserve">v skladu s tako pravnimi normami kot priznanimi in uveljavljenimi pravili ekonomske stroke. Prav pri teh dveh dolžnostih lahko pride do konflikta med pristno trajnostnostjo (zagovarjanje interesov narave pred </w:t>
            </w:r>
            <w:r>
              <w:rPr>
                <w:rFonts w:cs="Arial"/>
                <w:color w:val="000000" w:themeColor="text1"/>
              </w:rPr>
              <w:t>gospodar</w:t>
            </w:r>
            <w:r w:rsidRPr="00215B57">
              <w:rPr>
                <w:rFonts w:cs="Arial"/>
                <w:color w:val="000000" w:themeColor="text1"/>
              </w:rPr>
              <w:t xml:space="preserve">skimi interesi človeka) in </w:t>
            </w:r>
            <w:r>
              <w:rPr>
                <w:rFonts w:cs="Arial"/>
                <w:color w:val="000000" w:themeColor="text1"/>
              </w:rPr>
              <w:t>gospodar</w:t>
            </w:r>
            <w:r w:rsidRPr="00215B57">
              <w:rPr>
                <w:rFonts w:cs="Arial"/>
                <w:color w:val="000000" w:themeColor="text1"/>
              </w:rPr>
              <w:t>sko učinkovitostjo (na primer zmanjšanje dobička na račun skrbi za naravo). V tretjo skupino pa spadajo dolžnosti nadziranja, ki je lahko horizontalno ali vertikalno.</w:t>
            </w:r>
            <w:r>
              <w:rPr>
                <w:rFonts w:cs="Arial"/>
                <w:color w:val="000000" w:themeColor="text1"/>
              </w:rPr>
              <w:t xml:space="preserve"> </w:t>
            </w:r>
            <w:r w:rsidRPr="00F97D05">
              <w:rPr>
                <w:rFonts w:cs="Arial"/>
                <w:color w:val="000000" w:themeColor="text1"/>
              </w:rPr>
              <w:t>Ministrstvo poudarja, da je veljavna ureditev edina smiselna oziroma primerna.</w:t>
            </w:r>
            <w:r w:rsidRPr="00F97D05" w:rsidDel="00744600">
              <w:rPr>
                <w:rFonts w:cs="Arial"/>
                <w:color w:val="000000" w:themeColor="text1"/>
              </w:rPr>
              <w:t xml:space="preserve"> </w:t>
            </w:r>
            <w:r>
              <w:rPr>
                <w:rFonts w:cs="Arial"/>
                <w:color w:val="000000" w:themeColor="text1"/>
              </w:rPr>
              <w:t xml:space="preserve">To </w:t>
            </w:r>
            <w:r w:rsidRPr="00F97D05">
              <w:rPr>
                <w:rFonts w:cs="Arial"/>
                <w:color w:val="000000" w:themeColor="text1"/>
              </w:rPr>
              <w:t xml:space="preserve">utemeljuje z dejstvom, da </w:t>
            </w:r>
            <w:r>
              <w:rPr>
                <w:rFonts w:cs="Arial"/>
                <w:color w:val="000000" w:themeColor="text1"/>
              </w:rPr>
              <w:t>p</w:t>
            </w:r>
            <w:r w:rsidRPr="00F97D05">
              <w:rPr>
                <w:rFonts w:cs="Arial"/>
                <w:color w:val="000000" w:themeColor="text1"/>
              </w:rPr>
              <w:t>redlog, da se besedna zveza postopek skrbnega pregleda nadomesti z drugačnim prevajanjem besedne zveze</w:t>
            </w:r>
            <w:r>
              <w:rPr>
                <w:rFonts w:cs="Arial"/>
                <w:color w:val="000000" w:themeColor="text1"/>
              </w:rPr>
              <w:t>,</w:t>
            </w:r>
            <w:r w:rsidRPr="00F97D05">
              <w:rPr>
                <w:rFonts w:cs="Arial"/>
                <w:color w:val="000000" w:themeColor="text1"/>
              </w:rPr>
              <w:t xml:space="preserve"> </w:t>
            </w:r>
            <w:r>
              <w:rPr>
                <w:rFonts w:cs="Arial"/>
                <w:color w:val="000000" w:themeColor="text1"/>
              </w:rPr>
              <w:t xml:space="preserve">da </w:t>
            </w:r>
            <w:r w:rsidRPr="00F97D05">
              <w:rPr>
                <w:rFonts w:cs="Arial"/>
                <w:color w:val="000000" w:themeColor="text1"/>
              </w:rPr>
              <w:t>bi due diligence process v tem kontekstu pomenil postopek dolžne skrbnosti ali postopek skrbnega ravnanj</w:t>
            </w:r>
            <w:r>
              <w:rPr>
                <w:rFonts w:cs="Arial"/>
                <w:color w:val="000000" w:themeColor="text1"/>
              </w:rPr>
              <w:t>a</w:t>
            </w:r>
            <w:r w:rsidRPr="00F97D05">
              <w:rPr>
                <w:rFonts w:cs="Arial"/>
                <w:color w:val="000000" w:themeColor="text1"/>
              </w:rPr>
              <w:t xml:space="preserve"> družbe lahko povzročil več pravne nepredvidljivost</w:t>
            </w:r>
            <w:r>
              <w:rPr>
                <w:rFonts w:cs="Arial"/>
                <w:color w:val="000000" w:themeColor="text1"/>
              </w:rPr>
              <w:t>i</w:t>
            </w:r>
            <w:r w:rsidRPr="00F97D05">
              <w:rPr>
                <w:rFonts w:cs="Arial"/>
                <w:color w:val="000000" w:themeColor="text1"/>
              </w:rPr>
              <w:t xml:space="preserve"> zaradi določitve novega pomena uveljavljenemu </w:t>
            </w:r>
            <w:r>
              <w:rPr>
                <w:rFonts w:cs="Arial"/>
                <w:color w:val="000000" w:themeColor="text1"/>
              </w:rPr>
              <w:t>izrazu</w:t>
            </w:r>
            <w:r w:rsidRPr="00F97D05">
              <w:rPr>
                <w:rFonts w:cs="Arial"/>
                <w:color w:val="000000" w:themeColor="text1"/>
              </w:rPr>
              <w:t>. Dodatno poudarja, da je dolžnost skrbnega ravnanja v obliki dodatne obveznosti, za kar si prizadeva predlagatelj</w:t>
            </w:r>
            <w:r>
              <w:rPr>
                <w:rFonts w:cs="Arial"/>
                <w:color w:val="000000" w:themeColor="text1"/>
              </w:rPr>
              <w:t>,</w:t>
            </w:r>
            <w:r w:rsidRPr="00F97D05">
              <w:rPr>
                <w:rFonts w:cs="Arial"/>
                <w:color w:val="000000" w:themeColor="text1"/>
              </w:rPr>
              <w:t xml:space="preserve"> predvidena v </w:t>
            </w:r>
            <w:r>
              <w:rPr>
                <w:rFonts w:cs="Arial"/>
                <w:color w:val="000000" w:themeColor="text1"/>
              </w:rPr>
              <w:t>p</w:t>
            </w:r>
            <w:r w:rsidRPr="00F97D05">
              <w:rPr>
                <w:rFonts w:cs="Arial"/>
                <w:color w:val="000000" w:themeColor="text1"/>
              </w:rPr>
              <w:t xml:space="preserve">redlogu Direktive Evropskega parlamenta in Sveta o skrbnem pregledu v podjetjih glede trajnostnosti in spremembi Direktive (EU) 2019/1937.  </w:t>
            </w:r>
          </w:p>
          <w:p w14:paraId="0C31D9D5" w14:textId="77777777" w:rsidR="000C08CA" w:rsidRDefault="000C08CA" w:rsidP="002748E4">
            <w:pPr>
              <w:pStyle w:val="rkovnatokazaodstavkom"/>
              <w:numPr>
                <w:ilvl w:val="0"/>
                <w:numId w:val="0"/>
              </w:numPr>
              <w:spacing w:line="260" w:lineRule="exact"/>
              <w:rPr>
                <w:rFonts w:cs="Arial"/>
                <w:color w:val="000000" w:themeColor="text1"/>
              </w:rPr>
            </w:pPr>
          </w:p>
          <w:p w14:paraId="6F7E6863" w14:textId="77777777" w:rsidR="000C08CA" w:rsidRDefault="000C08CA" w:rsidP="00FE328D">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p</w:t>
            </w:r>
            <w:r w:rsidRPr="004506F5">
              <w:rPr>
                <w:rFonts w:cs="Arial"/>
                <w:color w:val="000000" w:themeColor="text1"/>
              </w:rPr>
              <w:t>redlaga</w:t>
            </w:r>
            <w:r>
              <w:rPr>
                <w:rFonts w:cs="Arial"/>
                <w:color w:val="000000" w:themeColor="text1"/>
              </w:rPr>
              <w:t xml:space="preserve"> o</w:t>
            </w:r>
            <w:r w:rsidRPr="00F9624B">
              <w:rPr>
                <w:rFonts w:cs="Arial"/>
                <w:color w:val="000000" w:themeColor="text1"/>
              </w:rPr>
              <w:t>predelitev predpisane predloge</w:t>
            </w:r>
            <w:r w:rsidRPr="009E41F1">
              <w:rPr>
                <w:rFonts w:cs="Arial"/>
                <w:color w:val="000000" w:themeColor="text1"/>
              </w:rPr>
              <w:t xml:space="preserve"> </w:t>
            </w:r>
            <w:r>
              <w:rPr>
                <w:rFonts w:cs="Arial"/>
                <w:color w:val="000000" w:themeColor="text1"/>
              </w:rPr>
              <w:t>v 1. odstavku 70.g člena osnutka predloga novele ZGD-1. Ajpesu se poraja</w:t>
            </w:r>
            <w:r w:rsidRPr="00F7659A">
              <w:rPr>
                <w:rFonts w:cs="Arial"/>
                <w:color w:val="000000" w:themeColor="text1"/>
              </w:rPr>
              <w:t xml:space="preserve"> več vprašanj: ali taka predpisana predloga že obstaja, kje </w:t>
            </w:r>
            <w:r>
              <w:rPr>
                <w:rFonts w:cs="Arial"/>
                <w:color w:val="000000" w:themeColor="text1"/>
              </w:rPr>
              <w:t>je</w:t>
            </w:r>
            <w:r w:rsidRPr="00F7659A">
              <w:rPr>
                <w:rFonts w:cs="Arial"/>
                <w:color w:val="000000" w:themeColor="text1"/>
              </w:rPr>
              <w:t xml:space="preserve">, ali gre za predlogo po prvem odstavku </w:t>
            </w:r>
            <w:r>
              <w:rPr>
                <w:rFonts w:cs="Arial"/>
                <w:color w:val="000000" w:themeColor="text1"/>
              </w:rPr>
              <w:t>70.f</w:t>
            </w:r>
            <w:r w:rsidRPr="00F7659A">
              <w:rPr>
                <w:rFonts w:cs="Arial"/>
                <w:color w:val="000000" w:themeColor="text1"/>
              </w:rPr>
              <w:t xml:space="preserve"> člena? Ali naj bi bila podobna predloga tudi po drugem odstavku </w:t>
            </w:r>
            <w:r>
              <w:rPr>
                <w:rFonts w:cs="Arial"/>
                <w:color w:val="000000" w:themeColor="text1"/>
              </w:rPr>
              <w:t>70.f</w:t>
            </w:r>
            <w:r w:rsidRPr="00F7659A">
              <w:rPr>
                <w:rFonts w:cs="Arial"/>
                <w:color w:val="000000" w:themeColor="text1"/>
              </w:rPr>
              <w:t xml:space="preserve"> člena, to je iz oddelka Ill, del</w:t>
            </w:r>
            <w:r>
              <w:rPr>
                <w:rFonts w:cs="Arial"/>
                <w:color w:val="000000" w:themeColor="text1"/>
              </w:rPr>
              <w:t>ov</w:t>
            </w:r>
            <w:r w:rsidRPr="00F7659A">
              <w:rPr>
                <w:rFonts w:cs="Arial"/>
                <w:color w:val="000000" w:themeColor="text1"/>
              </w:rPr>
              <w:t xml:space="preserve"> B in C priloge III k Direktivi Sveta 2011/16/ EU?</w:t>
            </w:r>
          </w:p>
          <w:p w14:paraId="5F779E04" w14:textId="77777777" w:rsidR="000C08CA" w:rsidRDefault="000C08CA" w:rsidP="00FE328D">
            <w:pPr>
              <w:pStyle w:val="rkovnatokazaodstavkom"/>
              <w:numPr>
                <w:ilvl w:val="0"/>
                <w:numId w:val="0"/>
              </w:numPr>
              <w:spacing w:line="260" w:lineRule="exact"/>
              <w:ind w:left="322"/>
              <w:rPr>
                <w:rFonts w:cs="Arial"/>
                <w:color w:val="000000" w:themeColor="text1"/>
              </w:rPr>
            </w:pPr>
          </w:p>
          <w:p w14:paraId="0AF5E9A1" w14:textId="77777777" w:rsidR="000C08CA" w:rsidRDefault="000C08CA" w:rsidP="00FE328D">
            <w:pPr>
              <w:pStyle w:val="rkovnatokazaodstavkom"/>
              <w:numPr>
                <w:ilvl w:val="0"/>
                <w:numId w:val="0"/>
              </w:numPr>
              <w:spacing w:line="260" w:lineRule="exact"/>
              <w:ind w:left="322"/>
              <w:rPr>
                <w:rFonts w:cs="Arial"/>
                <w:color w:val="000000" w:themeColor="text1"/>
              </w:rPr>
            </w:pPr>
            <w:r w:rsidRPr="0042464D">
              <w:rPr>
                <w:rFonts w:cs="Arial"/>
                <w:b/>
                <w:bCs/>
                <w:color w:val="000000" w:themeColor="text1"/>
              </w:rPr>
              <w:lastRenderedPageBreak/>
              <w:t>Združenje bank Slovenije</w:t>
            </w:r>
            <w:r w:rsidRPr="0042464D" w:rsidDel="00744600">
              <w:rPr>
                <w:rFonts w:cs="Arial"/>
                <w:b/>
                <w:color w:val="000000" w:themeColor="text1"/>
              </w:rPr>
              <w:t xml:space="preserve"> </w:t>
            </w:r>
            <w:r>
              <w:rPr>
                <w:rFonts w:cs="Arial"/>
                <w:color w:val="000000" w:themeColor="text1"/>
              </w:rPr>
              <w:t>predlaga, naj se konkretno navede</w:t>
            </w:r>
            <w:r w:rsidRPr="00C84F2A">
              <w:rPr>
                <w:rFonts w:cs="Arial"/>
                <w:color w:val="000000" w:themeColor="text1"/>
              </w:rPr>
              <w:t>, kateri izvedbeni akt je mišljen in ali bo do začetka uporabe novele ZGD-1 že sprejet</w:t>
            </w:r>
            <w:r>
              <w:rPr>
                <w:rFonts w:cs="Arial"/>
                <w:color w:val="000000" w:themeColor="text1"/>
              </w:rPr>
              <w:t xml:space="preserve"> oziroma </w:t>
            </w:r>
            <w:r w:rsidRPr="00C84F2A">
              <w:rPr>
                <w:rFonts w:cs="Arial"/>
                <w:color w:val="000000" w:themeColor="text1"/>
              </w:rPr>
              <w:t>v uporabi</w:t>
            </w:r>
            <w:r>
              <w:rPr>
                <w:rFonts w:cs="Arial"/>
                <w:color w:val="000000" w:themeColor="text1"/>
              </w:rPr>
              <w:t>, saj se n</w:t>
            </w:r>
            <w:r w:rsidRPr="00275311">
              <w:rPr>
                <w:rFonts w:cs="Arial"/>
                <w:color w:val="000000" w:themeColor="text1"/>
              </w:rPr>
              <w:t xml:space="preserve">avaja upoštevanje izvedbenega akta </w:t>
            </w:r>
            <w:r>
              <w:rPr>
                <w:rFonts w:cs="Arial"/>
                <w:color w:val="000000" w:themeColor="text1"/>
              </w:rPr>
              <w:t>K</w:t>
            </w:r>
            <w:r w:rsidRPr="00275311">
              <w:rPr>
                <w:rFonts w:cs="Arial"/>
                <w:color w:val="000000" w:themeColor="text1"/>
              </w:rPr>
              <w:t xml:space="preserve">omisije, ki določa skupno predlogo in elektronske oblike poročanja. </w:t>
            </w:r>
          </w:p>
          <w:p w14:paraId="171087BA" w14:textId="77777777" w:rsidR="000C08CA" w:rsidRDefault="000C08CA" w:rsidP="00FE328D">
            <w:pPr>
              <w:pStyle w:val="rkovnatokazaodstavkom"/>
              <w:numPr>
                <w:ilvl w:val="0"/>
                <w:numId w:val="0"/>
              </w:numPr>
              <w:spacing w:line="260" w:lineRule="exact"/>
              <w:ind w:left="322"/>
              <w:rPr>
                <w:rFonts w:cs="Arial"/>
                <w:color w:val="000000" w:themeColor="text1"/>
              </w:rPr>
            </w:pPr>
          </w:p>
          <w:p w14:paraId="7033B3EC"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novi člen 48.c, ki v 4. odstavku predvideva, da se i</w:t>
            </w:r>
            <w:r w:rsidRPr="007708C7">
              <w:rPr>
                <w:rFonts w:cs="Arial"/>
                <w:color w:val="000000" w:themeColor="text1"/>
              </w:rPr>
              <w:t xml:space="preserve">nformacije predstavijo z uporabo skupne predloge in elektronskih oblik poročanja, ki so strojno berljive. </w:t>
            </w:r>
            <w:r>
              <w:rPr>
                <w:rFonts w:cs="Arial"/>
                <w:color w:val="000000" w:themeColor="text1"/>
              </w:rPr>
              <w:t>K</w:t>
            </w:r>
            <w:r w:rsidRPr="007708C7">
              <w:rPr>
                <w:rFonts w:cs="Arial"/>
                <w:color w:val="000000" w:themeColor="text1"/>
              </w:rPr>
              <w:t>omisija z izvedbenimi akti določi zadevno skupno predlogo in zadevne elektronske oblike poročanja</w:t>
            </w:r>
            <w:r>
              <w:rPr>
                <w:rFonts w:cs="Arial"/>
                <w:color w:val="000000" w:themeColor="text1"/>
              </w:rPr>
              <w:t>, ob tem pa izvedbenega akta, s katerim bi določila</w:t>
            </w:r>
            <w:r w:rsidRPr="007708C7">
              <w:rPr>
                <w:rFonts w:cs="Arial"/>
                <w:color w:val="000000" w:themeColor="text1"/>
              </w:rPr>
              <w:t xml:space="preserve"> zadevno skupno predlogo in zadevne elektronske oblike poročanja</w:t>
            </w:r>
            <w:r>
              <w:rPr>
                <w:rFonts w:cs="Arial"/>
                <w:color w:val="000000" w:themeColor="text1"/>
              </w:rPr>
              <w:t>, še ni sprejela.</w:t>
            </w:r>
          </w:p>
          <w:p w14:paraId="0A8A5E46" w14:textId="77777777" w:rsidR="000C08CA" w:rsidRDefault="000C08CA" w:rsidP="00FE328D">
            <w:pPr>
              <w:pStyle w:val="rkovnatokazaodstavkom"/>
              <w:numPr>
                <w:ilvl w:val="0"/>
                <w:numId w:val="0"/>
              </w:numPr>
              <w:spacing w:line="260" w:lineRule="exact"/>
              <w:ind w:left="322"/>
              <w:rPr>
                <w:rFonts w:cs="Arial"/>
                <w:color w:val="000000" w:themeColor="text1"/>
              </w:rPr>
            </w:pPr>
          </w:p>
          <w:p w14:paraId="794F4884" w14:textId="5DB14D93" w:rsidR="000C08CA" w:rsidRDefault="000C08CA" w:rsidP="00FE328D">
            <w:pPr>
              <w:pStyle w:val="rkovnatokazaodstavkom"/>
              <w:numPr>
                <w:ilvl w:val="0"/>
                <w:numId w:val="0"/>
              </w:numPr>
              <w:spacing w:line="260" w:lineRule="exact"/>
              <w:ind w:left="322"/>
              <w:rPr>
                <w:rFonts w:cs="Arial"/>
              </w:rPr>
            </w:pPr>
            <w:r w:rsidRPr="00972D1A">
              <w:rPr>
                <w:rFonts w:cs="Arial"/>
                <w:b/>
                <w:bCs/>
                <w:color w:val="000000" w:themeColor="text1"/>
              </w:rPr>
              <w:t xml:space="preserve">Agencija Republike Slovenije za javnopravne evidence in storitve </w:t>
            </w:r>
            <w:r w:rsidRPr="00342FBD">
              <w:rPr>
                <w:rFonts w:cs="Arial"/>
                <w:color w:val="000000" w:themeColor="text1"/>
              </w:rPr>
              <w:t>izpostavlja, da je nepotrebno podvajanje objav na spletni strani družbe in na spletni strani Ajpes</w:t>
            </w:r>
            <w:r>
              <w:rPr>
                <w:rFonts w:cs="Arial"/>
                <w:color w:val="000000" w:themeColor="text1"/>
              </w:rPr>
              <w:t xml:space="preserve">a. </w:t>
            </w:r>
            <w:r w:rsidRPr="00172566">
              <w:rPr>
                <w:rFonts w:cs="Arial"/>
                <w:iCs/>
              </w:rPr>
              <w:t>V drugem delu prvega odstavka se določa obvezna objava poročila o davčnih informacijah tudi na spletni strani družbe. Meni</w:t>
            </w:r>
            <w:r>
              <w:rPr>
                <w:rFonts w:cs="Arial"/>
                <w:iCs/>
              </w:rPr>
              <w:t>j</w:t>
            </w:r>
            <w:r w:rsidRPr="00172566">
              <w:rPr>
                <w:rFonts w:cs="Arial"/>
                <w:iCs/>
              </w:rPr>
              <w:t xml:space="preserve">o, da gre za nepotrebno podvajanje objav, hkrati pa Direktiva </w:t>
            </w:r>
            <w:r w:rsidR="003507D8" w:rsidRPr="00EF0FCF">
              <w:rPr>
                <w:rFonts w:cs="Arial"/>
                <w:iCs/>
              </w:rPr>
              <w:t>2021/2101</w:t>
            </w:r>
            <w:r w:rsidR="003507D8">
              <w:rPr>
                <w:rFonts w:cs="Arial"/>
                <w:iCs/>
              </w:rPr>
              <w:t>/EU</w:t>
            </w:r>
            <w:r w:rsidR="003507D8" w:rsidRPr="00172566">
              <w:rPr>
                <w:rFonts w:cs="Arial"/>
                <w:iCs/>
              </w:rPr>
              <w:t xml:space="preserve"> </w:t>
            </w:r>
            <w:r w:rsidRPr="00172566">
              <w:rPr>
                <w:rFonts w:cs="Arial"/>
                <w:iCs/>
              </w:rPr>
              <w:t>državam članicam</w:t>
            </w:r>
            <w:r>
              <w:rPr>
                <w:rFonts w:cs="Arial"/>
                <w:iCs/>
              </w:rPr>
              <w:t xml:space="preserve"> EU </w:t>
            </w:r>
            <w:r w:rsidRPr="00172566">
              <w:rPr>
                <w:rFonts w:cs="Arial"/>
                <w:iCs/>
              </w:rPr>
              <w:t>izrecno omogoča, da lahko, k</w:t>
            </w:r>
            <w:r>
              <w:rPr>
                <w:rFonts w:cs="Arial"/>
                <w:iCs/>
              </w:rPr>
              <w:t>adar</w:t>
            </w:r>
            <w:r w:rsidRPr="00172566">
              <w:rPr>
                <w:rFonts w:cs="Arial"/>
                <w:iCs/>
              </w:rPr>
              <w:t xml:space="preserve"> se poročilo o davčnih informacijah objavi na spletnem mestu, na katerem se objavljajo letna poročila (</w:t>
            </w:r>
            <w:r>
              <w:rPr>
                <w:rFonts w:cs="Arial"/>
                <w:iCs/>
              </w:rPr>
              <w:t>v d</w:t>
            </w:r>
            <w:r w:rsidRPr="00172566">
              <w:rPr>
                <w:rFonts w:cs="Arial"/>
                <w:iCs/>
              </w:rPr>
              <w:t>irektiv</w:t>
            </w:r>
            <w:r>
              <w:rPr>
                <w:rFonts w:cs="Arial"/>
                <w:iCs/>
              </w:rPr>
              <w:t xml:space="preserve">i se </w:t>
            </w:r>
            <w:r w:rsidRPr="00172566">
              <w:rPr>
                <w:rFonts w:cs="Arial"/>
                <w:iCs/>
              </w:rPr>
              <w:t>uporab</w:t>
            </w:r>
            <w:r>
              <w:rPr>
                <w:rFonts w:cs="Arial"/>
                <w:iCs/>
              </w:rPr>
              <w:t xml:space="preserve">lja izraz </w:t>
            </w:r>
            <w:r w:rsidRPr="00172566">
              <w:rPr>
                <w:rFonts w:cs="Arial"/>
                <w:iCs/>
              </w:rPr>
              <w:t xml:space="preserve">register, kar v Sloveniji pomeni aplikacijo JOLP </w:t>
            </w:r>
            <w:r>
              <w:rPr>
                <w:rFonts w:cs="Arial"/>
                <w:iCs/>
              </w:rPr>
              <w:t xml:space="preserve">‒ </w:t>
            </w:r>
            <w:r w:rsidRPr="00172566">
              <w:rPr>
                <w:rFonts w:cs="Arial"/>
                <w:iCs/>
              </w:rPr>
              <w:t>javna objava letnih poročil na spletni strani Ajpes</w:t>
            </w:r>
            <w:r>
              <w:rPr>
                <w:rFonts w:cs="Arial"/>
                <w:iCs/>
              </w:rPr>
              <w:t>a</w:t>
            </w:r>
            <w:r w:rsidRPr="00172566">
              <w:rPr>
                <w:rFonts w:cs="Arial"/>
                <w:iCs/>
              </w:rPr>
              <w:t xml:space="preserve">, kjer so vsa objavljena poročila dostopna brezplačno za zadnjih </w:t>
            </w:r>
            <w:r>
              <w:rPr>
                <w:rFonts w:cs="Arial"/>
                <w:iCs/>
              </w:rPr>
              <w:t>pet</w:t>
            </w:r>
            <w:r w:rsidRPr="00172566">
              <w:rPr>
                <w:rFonts w:cs="Arial"/>
                <w:iCs/>
              </w:rPr>
              <w:t xml:space="preserve"> let),</w:t>
            </w:r>
            <w:r w:rsidRPr="00172566" w:rsidDel="00744600">
              <w:rPr>
                <w:rFonts w:cs="Arial"/>
                <w:iCs/>
              </w:rPr>
              <w:t xml:space="preserve"> </w:t>
            </w:r>
            <w:r w:rsidRPr="00172566">
              <w:rPr>
                <w:rFonts w:cs="Arial"/>
                <w:iCs/>
              </w:rPr>
              <w:t>te družbe izvzamejo (ne le, če tako želijo) iz obvezne objave na svojih spletnih straneh.</w:t>
            </w:r>
            <w:r w:rsidRPr="00172566">
              <w:rPr>
                <w:rFonts w:cs="Arial"/>
              </w:rPr>
              <w:t xml:space="preserve"> </w:t>
            </w:r>
            <w:r w:rsidRPr="00172566">
              <w:rPr>
                <w:rFonts w:cs="Arial"/>
                <w:iCs/>
              </w:rPr>
              <w:t>Meni</w:t>
            </w:r>
            <w:r>
              <w:rPr>
                <w:rFonts w:cs="Arial"/>
                <w:iCs/>
              </w:rPr>
              <w:t>j</w:t>
            </w:r>
            <w:r w:rsidRPr="00172566">
              <w:rPr>
                <w:rFonts w:cs="Arial"/>
                <w:iCs/>
              </w:rPr>
              <w:t>o, da je dovolj, da družbe na svojih spletnih straneh (predvsem zaradi tujcev) objavijo zgolj informacijo, kje je poročilo objavljeno, s povezavo do spletne strani Ajpes</w:t>
            </w:r>
            <w:r>
              <w:rPr>
                <w:rFonts w:cs="Arial"/>
                <w:iCs/>
              </w:rPr>
              <w:t xml:space="preserve">a, tj. </w:t>
            </w:r>
            <w:r w:rsidRPr="00172566">
              <w:rPr>
                <w:rFonts w:cs="Arial"/>
                <w:iCs/>
              </w:rPr>
              <w:t>JOLP.</w:t>
            </w:r>
          </w:p>
          <w:p w14:paraId="719DECC8" w14:textId="77777777" w:rsidR="000C08CA" w:rsidRDefault="000C08CA" w:rsidP="00FE328D">
            <w:pPr>
              <w:pStyle w:val="rkovnatokazaodstavkom"/>
              <w:numPr>
                <w:ilvl w:val="0"/>
                <w:numId w:val="0"/>
              </w:numPr>
              <w:spacing w:line="260" w:lineRule="exact"/>
              <w:ind w:left="322"/>
              <w:rPr>
                <w:rFonts w:cs="Arial"/>
                <w:color w:val="000000" w:themeColor="text1"/>
              </w:rPr>
            </w:pPr>
          </w:p>
          <w:p w14:paraId="5291A62C"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w:t>
            </w:r>
            <w:r w:rsidRPr="00787EE6">
              <w:rPr>
                <w:rFonts w:cs="Arial"/>
                <w:color w:val="000000" w:themeColor="text1"/>
              </w:rPr>
              <w:t xml:space="preserve">Direktiva </w:t>
            </w:r>
            <w:r w:rsidRPr="0059274D">
              <w:rPr>
                <w:rFonts w:cs="Arial"/>
                <w:color w:val="000000" w:themeColor="text1"/>
              </w:rPr>
              <w:t>2021/2101</w:t>
            </w:r>
            <w:r>
              <w:rPr>
                <w:rFonts w:cs="Arial"/>
                <w:color w:val="000000" w:themeColor="text1"/>
              </w:rPr>
              <w:t xml:space="preserve">/EU </w:t>
            </w:r>
            <w:r w:rsidRPr="00787EE6">
              <w:rPr>
                <w:rFonts w:cs="Arial"/>
                <w:color w:val="000000" w:themeColor="text1"/>
              </w:rPr>
              <w:t xml:space="preserve">določa, da morajo </w:t>
            </w:r>
            <w:r>
              <w:rPr>
                <w:rFonts w:cs="Arial"/>
                <w:color w:val="000000" w:themeColor="text1"/>
              </w:rPr>
              <w:t>države članice</w:t>
            </w:r>
            <w:r w:rsidRPr="00787EE6">
              <w:rPr>
                <w:rFonts w:cs="Arial"/>
                <w:color w:val="000000" w:themeColor="text1"/>
              </w:rPr>
              <w:t xml:space="preserve"> zagotoviti obveznost javne objave na spletnih straneh, lahko pa določijo izjemo, če se javna objava zagotavlja na drug način</w:t>
            </w:r>
            <w:r>
              <w:rPr>
                <w:rFonts w:cs="Arial"/>
                <w:color w:val="000000" w:themeColor="text1"/>
              </w:rPr>
              <w:t xml:space="preserve">, kot je </w:t>
            </w:r>
            <w:r w:rsidRPr="00172566">
              <w:rPr>
                <w:rFonts w:cs="Arial"/>
                <w:iCs/>
              </w:rPr>
              <w:t>javna objava letnih poročil na spletni strani Ajpes</w:t>
            </w:r>
            <w:r>
              <w:rPr>
                <w:rFonts w:cs="Arial"/>
                <w:iCs/>
              </w:rPr>
              <w:t>a</w:t>
            </w:r>
            <w:r w:rsidRPr="00787EE6">
              <w:rPr>
                <w:rFonts w:cs="Arial"/>
                <w:color w:val="000000" w:themeColor="text1"/>
              </w:rPr>
              <w:t>.</w:t>
            </w:r>
            <w:r>
              <w:rPr>
                <w:rFonts w:cs="Arial"/>
                <w:color w:val="000000" w:themeColor="text1"/>
              </w:rPr>
              <w:t xml:space="preserve"> Meni, da besedilo osnutka predloga novele ZGD-1M ureja javno poročanje na način, kot ga je predstavil Ajpes. </w:t>
            </w:r>
          </w:p>
          <w:p w14:paraId="38A0C704" w14:textId="77777777" w:rsidR="000C08CA" w:rsidRDefault="000C08CA" w:rsidP="00FE328D">
            <w:pPr>
              <w:pStyle w:val="rkovnatokazaodstavkom"/>
              <w:numPr>
                <w:ilvl w:val="0"/>
                <w:numId w:val="0"/>
              </w:numPr>
              <w:spacing w:line="260" w:lineRule="exact"/>
              <w:ind w:left="322"/>
              <w:rPr>
                <w:rFonts w:cs="Arial"/>
                <w:color w:val="000000" w:themeColor="text1"/>
              </w:rPr>
            </w:pPr>
          </w:p>
          <w:p w14:paraId="0AFFC6EA" w14:textId="77777777" w:rsidR="000C08CA" w:rsidRDefault="000C08CA" w:rsidP="00FE328D">
            <w:pPr>
              <w:pStyle w:val="rkovnatokazaodstavkom"/>
              <w:numPr>
                <w:ilvl w:val="0"/>
                <w:numId w:val="0"/>
              </w:numPr>
              <w:spacing w:line="260" w:lineRule="exact"/>
              <w:ind w:left="322"/>
              <w:rPr>
                <w:rFonts w:cs="Arial"/>
                <w:iCs/>
              </w:rPr>
            </w:pPr>
            <w:r w:rsidRPr="00972D1A">
              <w:rPr>
                <w:rFonts w:cs="Arial"/>
                <w:b/>
                <w:bCs/>
                <w:color w:val="000000" w:themeColor="text1"/>
              </w:rPr>
              <w:t xml:space="preserve">Agencija Republike Slovenije za javnopravne evidence in storitve </w:t>
            </w:r>
            <w:r>
              <w:rPr>
                <w:rFonts w:cs="Arial"/>
                <w:color w:val="000000" w:themeColor="text1"/>
              </w:rPr>
              <w:t>predlaga d</w:t>
            </w:r>
            <w:r w:rsidRPr="00172566">
              <w:rPr>
                <w:rFonts w:cs="Arial"/>
                <w:iCs/>
              </w:rPr>
              <w:t xml:space="preserve">oločitev meril, </w:t>
            </w:r>
            <w:r>
              <w:rPr>
                <w:rFonts w:cs="Arial"/>
                <w:iCs/>
              </w:rPr>
              <w:t xml:space="preserve">v skladu s katerimi se šteje, </w:t>
            </w:r>
            <w:r w:rsidRPr="00172566">
              <w:rPr>
                <w:rFonts w:cs="Arial"/>
                <w:iCs/>
              </w:rPr>
              <w:t>da so odvisne družbe namenoma organizirane tako, da se z neizpolnjevanjem pogojev izognejo obveznostim poročanja o davčnih informacijah v zvezi z dohodki</w:t>
            </w:r>
            <w:r>
              <w:rPr>
                <w:rFonts w:cs="Arial"/>
                <w:iCs/>
              </w:rPr>
              <w:t xml:space="preserve">. </w:t>
            </w:r>
            <w:r w:rsidRPr="00E0749B">
              <w:rPr>
                <w:rFonts w:cs="Arial"/>
                <w:iCs/>
              </w:rPr>
              <w:t>Peti odstavek določa: »Ne glede na pogoj iz prejšnjega odstavka velja obveznost poročanja o davčnih informacijah v zvezi z dohodki iz tega člena za vse odvisne družbe, če so namenoma organizirane tako, da se z neizpolnjevanjem pogojev izognejo obveznostim poročanja o davčnih informacijah v zvezi z dohodki.« Ta določba je preveč splošna, zato menijo, da bi moral zakon jasno določiti, kdaj se šteje, da so odvisne družbe namenoma organizirane tako, da se z neizpolnjevanjem pogojev izognejo obveznostim poročanja o davčnih informacijah v zvezi z dohodki. Šele ob jasnih merilih bo mogoče ugotavljati zavezanost družb k poročanju.</w:t>
            </w:r>
          </w:p>
          <w:p w14:paraId="117EA60C" w14:textId="77777777" w:rsidR="000C08CA" w:rsidRDefault="000C08CA" w:rsidP="00FE328D">
            <w:pPr>
              <w:pStyle w:val="rkovnatokazaodstavkom"/>
              <w:numPr>
                <w:ilvl w:val="0"/>
                <w:numId w:val="0"/>
              </w:numPr>
              <w:spacing w:line="260" w:lineRule="exact"/>
              <w:ind w:left="322"/>
              <w:rPr>
                <w:rFonts w:cs="Arial"/>
                <w:color w:val="000000" w:themeColor="text1"/>
              </w:rPr>
            </w:pPr>
          </w:p>
          <w:p w14:paraId="42B4E630"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sidRPr="00787EE6">
              <w:rPr>
                <w:rFonts w:cs="Arial"/>
                <w:color w:val="000000" w:themeColor="text1"/>
              </w:rPr>
              <w:t xml:space="preserve"> </w:t>
            </w:r>
            <w:r w:rsidRPr="00111FFA">
              <w:rPr>
                <w:rFonts w:cs="Arial"/>
                <w:color w:val="000000" w:themeColor="text1"/>
              </w:rPr>
              <w:t xml:space="preserve">Direktiva 2021/2101/EU ne določa meril, </w:t>
            </w:r>
            <w:r>
              <w:rPr>
                <w:rFonts w:cs="Arial"/>
                <w:color w:val="000000" w:themeColor="text1"/>
              </w:rPr>
              <w:t xml:space="preserve">v skladu s katerimi </w:t>
            </w:r>
            <w:r w:rsidRPr="00111FFA">
              <w:rPr>
                <w:rFonts w:cs="Arial"/>
                <w:color w:val="000000" w:themeColor="text1"/>
              </w:rPr>
              <w:t xml:space="preserve">se šteje, da so odvisne družbe namenoma organizirane tako, da se z neizpolnjevanjem pogojev izognejo obveznostim poročanja o davčnih informacijah v zvezi z dohodki. </w:t>
            </w:r>
            <w:r>
              <w:rPr>
                <w:rFonts w:cs="Arial"/>
                <w:color w:val="000000" w:themeColor="text1"/>
              </w:rPr>
              <w:t>S</w:t>
            </w:r>
            <w:r w:rsidRPr="00111FFA">
              <w:rPr>
                <w:rFonts w:cs="Arial"/>
                <w:color w:val="000000" w:themeColor="text1"/>
              </w:rPr>
              <w:t>trinja</w:t>
            </w:r>
            <w:r>
              <w:rPr>
                <w:rFonts w:cs="Arial"/>
                <w:color w:val="000000" w:themeColor="text1"/>
              </w:rPr>
              <w:t xml:space="preserve"> se</w:t>
            </w:r>
            <w:r w:rsidRPr="00111FFA">
              <w:rPr>
                <w:rFonts w:cs="Arial"/>
                <w:color w:val="000000" w:themeColor="text1"/>
              </w:rPr>
              <w:t xml:space="preserve">, da je določba zelo abstraktna, vendar poudarja, da je takšna ureditev edina smiselna oziroma primerna. </w:t>
            </w:r>
            <w:r>
              <w:rPr>
                <w:rFonts w:cs="Arial"/>
                <w:color w:val="000000" w:themeColor="text1"/>
              </w:rPr>
              <w:t>To</w:t>
            </w:r>
            <w:r w:rsidRPr="00111FFA">
              <w:rPr>
                <w:rFonts w:cs="Arial"/>
                <w:color w:val="000000" w:themeColor="text1"/>
              </w:rPr>
              <w:t xml:space="preserve"> utemeljuje z dejstvom, da zaradi različnih situacij, ki lahko nastanejo v posameznem primeru</w:t>
            </w:r>
            <w:r>
              <w:rPr>
                <w:rFonts w:cs="Arial"/>
                <w:color w:val="000000" w:themeColor="text1"/>
              </w:rPr>
              <w:t>,</w:t>
            </w:r>
            <w:r w:rsidRPr="00111FFA">
              <w:rPr>
                <w:rFonts w:cs="Arial"/>
                <w:color w:val="000000" w:themeColor="text1"/>
              </w:rPr>
              <w:t xml:space="preserve"> </w:t>
            </w:r>
            <w:r>
              <w:rPr>
                <w:rFonts w:cs="Arial"/>
                <w:color w:val="000000" w:themeColor="text1"/>
              </w:rPr>
              <w:t>in</w:t>
            </w:r>
            <w:r w:rsidRPr="00111FFA">
              <w:rPr>
                <w:rFonts w:cs="Arial"/>
                <w:color w:val="000000" w:themeColor="text1"/>
              </w:rPr>
              <w:t xml:space="preserve"> </w:t>
            </w:r>
            <w:r>
              <w:rPr>
                <w:rFonts w:cs="Arial"/>
                <w:color w:val="000000" w:themeColor="text1"/>
              </w:rPr>
              <w:t>ker</w:t>
            </w:r>
            <w:r w:rsidRPr="00111FFA">
              <w:rPr>
                <w:rFonts w:cs="Arial"/>
                <w:color w:val="000000" w:themeColor="text1"/>
              </w:rPr>
              <w:t xml:space="preserve"> praksa na tem področju še ni bila v celoti vzpostavljena, ni mogoče uporabiti taksativnega ali eksemplifikativnega normiranja</w:t>
            </w:r>
            <w:r>
              <w:rPr>
                <w:rFonts w:cs="Arial"/>
                <w:color w:val="000000" w:themeColor="text1"/>
              </w:rPr>
              <w:t>,</w:t>
            </w:r>
            <w:r w:rsidRPr="00111FFA">
              <w:rPr>
                <w:rFonts w:cs="Arial"/>
                <w:color w:val="000000" w:themeColor="text1"/>
              </w:rPr>
              <w:t xml:space="preserve"> s katerim bi bilo mogoče zajeziti navedeno zakonsko določbo. Vse konkretne primere je namreč v tem trenutku nemogoče vnaprej posamično konkretno določiti in urediti. Brez metode abstraktnega normiranja bi bilo konkretno urejenih primerov lahko na tisoče, vendar še vedno ne bi bili zajeti vsi primeri. Ministrstvo pri tem dodatno poudarja, da takšnemu abstraktnemu normiranju tudi ni mogoče očitati pravne nepredvidljivosti, saj iz določbe jasno izhaja, da izogibanje poročanju o davčnih informacijah v zvezi z dohodki ni dovoljeno. </w:t>
            </w:r>
          </w:p>
          <w:p w14:paraId="30EF9262" w14:textId="77777777" w:rsidR="000C08CA" w:rsidRDefault="000C08CA" w:rsidP="00FE328D">
            <w:pPr>
              <w:pStyle w:val="rkovnatokazaodstavkom"/>
              <w:numPr>
                <w:ilvl w:val="0"/>
                <w:numId w:val="0"/>
              </w:numPr>
              <w:spacing w:line="260" w:lineRule="exact"/>
              <w:ind w:left="322"/>
              <w:rPr>
                <w:rFonts w:cs="Arial"/>
                <w:color w:val="000000" w:themeColor="text1"/>
              </w:rPr>
            </w:pPr>
          </w:p>
          <w:p w14:paraId="71CF965C" w14:textId="77777777" w:rsidR="000C08CA" w:rsidRPr="00A138C7" w:rsidRDefault="000C08CA" w:rsidP="00FE328D">
            <w:pPr>
              <w:pStyle w:val="rkovnatokazaodstavkom"/>
              <w:numPr>
                <w:ilvl w:val="0"/>
                <w:numId w:val="0"/>
              </w:numPr>
              <w:spacing w:line="260" w:lineRule="exact"/>
              <w:ind w:left="322"/>
              <w:rPr>
                <w:rFonts w:cs="Arial"/>
                <w:color w:val="000000" w:themeColor="text1"/>
              </w:rPr>
            </w:pPr>
            <w:r w:rsidRPr="007D62D3">
              <w:rPr>
                <w:rFonts w:cs="Arial"/>
                <w:b/>
                <w:bCs/>
                <w:color w:val="000000" w:themeColor="text1"/>
              </w:rPr>
              <w:t>Banka Slovenije</w:t>
            </w:r>
            <w:r>
              <w:rPr>
                <w:rFonts w:cs="Arial"/>
                <w:color w:val="000000" w:themeColor="text1"/>
              </w:rPr>
              <w:t xml:space="preserve"> meni, da bi bilo z</w:t>
            </w:r>
            <w:r w:rsidRPr="007D62D3">
              <w:rPr>
                <w:rFonts w:cs="Arial"/>
                <w:color w:val="000000" w:themeColor="text1"/>
              </w:rPr>
              <w:t>a družbe, ki imajo sedež v Republiki Sloveniji</w:t>
            </w:r>
            <w:r>
              <w:rPr>
                <w:rFonts w:cs="Arial"/>
                <w:color w:val="000000" w:themeColor="text1"/>
              </w:rPr>
              <w:t xml:space="preserve">, </w:t>
            </w:r>
            <w:r w:rsidRPr="007D62D3">
              <w:rPr>
                <w:rFonts w:cs="Arial"/>
                <w:color w:val="000000" w:themeColor="text1"/>
              </w:rPr>
              <w:t>smiselno, da je poročilo vsaj v delu, ki se nanaša na njihov del poslovanja</w:t>
            </w:r>
            <w:r>
              <w:rPr>
                <w:rFonts w:cs="Arial"/>
                <w:color w:val="000000" w:themeColor="text1"/>
              </w:rPr>
              <w:t>,</w:t>
            </w:r>
            <w:r w:rsidRPr="007D62D3">
              <w:rPr>
                <w:rFonts w:cs="Arial"/>
                <w:color w:val="000000" w:themeColor="text1"/>
              </w:rPr>
              <w:t xml:space="preserve"> objavljeno v slovenskem jeziku.</w:t>
            </w:r>
            <w:r>
              <w:rPr>
                <w:rFonts w:cs="Arial"/>
                <w:color w:val="000000" w:themeColor="text1"/>
              </w:rPr>
              <w:t xml:space="preserve"> </w:t>
            </w:r>
            <w:r w:rsidRPr="007D62D3">
              <w:rPr>
                <w:rFonts w:cs="Arial"/>
                <w:color w:val="000000" w:themeColor="text1"/>
              </w:rPr>
              <w:t>Smiselno bi bilo, da se določba glede objav v slovenskem jeziku pr</w:t>
            </w:r>
            <w:r>
              <w:rPr>
                <w:rFonts w:cs="Arial"/>
                <w:color w:val="000000" w:themeColor="text1"/>
              </w:rPr>
              <w:t>o</w:t>
            </w:r>
            <w:r w:rsidRPr="007D62D3">
              <w:rPr>
                <w:rFonts w:cs="Arial"/>
                <w:color w:val="000000" w:themeColor="text1"/>
              </w:rPr>
              <w:t xml:space="preserve">uči v okviru drugih zahtev </w:t>
            </w:r>
            <w:r>
              <w:rPr>
                <w:rFonts w:cs="Arial"/>
                <w:color w:val="000000" w:themeColor="text1"/>
              </w:rPr>
              <w:t>zakona o gospodarskih družbah</w:t>
            </w:r>
            <w:r w:rsidRPr="007D62D3">
              <w:rPr>
                <w:rFonts w:cs="Arial"/>
                <w:color w:val="000000" w:themeColor="text1"/>
              </w:rPr>
              <w:t xml:space="preserve"> in drugih zakonov</w:t>
            </w:r>
            <w:r w:rsidRPr="007D62D3" w:rsidDel="00744600">
              <w:rPr>
                <w:rFonts w:cs="Arial"/>
                <w:color w:val="000000" w:themeColor="text1"/>
              </w:rPr>
              <w:t xml:space="preserve"> </w:t>
            </w:r>
            <w:r w:rsidRPr="007D62D3">
              <w:rPr>
                <w:rFonts w:cs="Arial"/>
                <w:color w:val="000000" w:themeColor="text1"/>
              </w:rPr>
              <w:t>in</w:t>
            </w:r>
            <w:r>
              <w:rPr>
                <w:rFonts w:cs="Arial"/>
                <w:color w:val="000000" w:themeColor="text1"/>
              </w:rPr>
              <w:t xml:space="preserve"> se </w:t>
            </w:r>
            <w:r w:rsidRPr="007D62D3">
              <w:rPr>
                <w:rFonts w:cs="Arial"/>
                <w:color w:val="000000" w:themeColor="text1"/>
              </w:rPr>
              <w:t>to ustrezno pojasni v obrazložitvi.</w:t>
            </w:r>
            <w:r>
              <w:rPr>
                <w:rFonts w:cs="Arial"/>
                <w:color w:val="000000" w:themeColor="text1"/>
              </w:rPr>
              <w:t xml:space="preserve"> </w:t>
            </w:r>
          </w:p>
          <w:p w14:paraId="43C842AE" w14:textId="77777777" w:rsidR="000C08CA" w:rsidRDefault="000C08CA" w:rsidP="00FE328D">
            <w:pPr>
              <w:pStyle w:val="rkovnatokazaodstavkom"/>
              <w:numPr>
                <w:ilvl w:val="0"/>
                <w:numId w:val="0"/>
              </w:numPr>
              <w:spacing w:line="260" w:lineRule="exact"/>
              <w:ind w:left="322"/>
              <w:rPr>
                <w:rFonts w:cs="Arial"/>
                <w:color w:val="000000" w:themeColor="text1"/>
              </w:rPr>
            </w:pPr>
          </w:p>
          <w:p w14:paraId="74B2DF68" w14:textId="77777777" w:rsidR="000C08CA" w:rsidRPr="00A575FE"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Direktiva </w:t>
            </w:r>
            <w:r w:rsidRPr="0059274D">
              <w:rPr>
                <w:rFonts w:cs="Arial"/>
                <w:color w:val="000000" w:themeColor="text1"/>
              </w:rPr>
              <w:t>2021/2101</w:t>
            </w:r>
            <w:r>
              <w:rPr>
                <w:rFonts w:cs="Arial"/>
                <w:color w:val="000000" w:themeColor="text1"/>
              </w:rPr>
              <w:t>/EU v 1. členu ureja novi člen 48b, ki v 6. odstavku predvideva izjemo za poročevalce, če tuje podjetje iz tretje države pripravi</w:t>
            </w:r>
            <w:r w:rsidRPr="00992D9A">
              <w:rPr>
                <w:rFonts w:cs="Arial"/>
                <w:color w:val="000000" w:themeColor="text1"/>
              </w:rPr>
              <w:t xml:space="preserve"> poročilo o davčnih informacijah </w:t>
            </w:r>
            <w:r>
              <w:rPr>
                <w:rFonts w:cs="Arial"/>
                <w:color w:val="000000" w:themeColor="text1"/>
              </w:rPr>
              <w:t xml:space="preserve">in ga na ustrezen način javno objavi. </w:t>
            </w:r>
          </w:p>
          <w:p w14:paraId="0D317C97" w14:textId="77777777" w:rsidR="000C08CA" w:rsidRDefault="000C08CA" w:rsidP="00FE328D">
            <w:pPr>
              <w:pStyle w:val="rkovnatokazaodstavkom"/>
              <w:numPr>
                <w:ilvl w:val="0"/>
                <w:numId w:val="0"/>
              </w:numPr>
              <w:spacing w:line="260" w:lineRule="exact"/>
              <w:ind w:left="322"/>
              <w:rPr>
                <w:rFonts w:cs="Arial"/>
                <w:color w:val="000000" w:themeColor="text1"/>
              </w:rPr>
            </w:pPr>
          </w:p>
          <w:p w14:paraId="3E855E3C" w14:textId="77777777" w:rsidR="000C08CA" w:rsidRPr="00C61013" w:rsidRDefault="000C08CA" w:rsidP="00FE328D">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predlaga</w:t>
            </w:r>
            <w:r w:rsidRPr="00AF3548">
              <w:rPr>
                <w:rFonts w:cs="Arial"/>
                <w:color w:val="000000" w:themeColor="text1"/>
              </w:rPr>
              <w:t>, da se v določbah</w:t>
            </w:r>
            <w:r>
              <w:rPr>
                <w:rFonts w:cs="Arial"/>
                <w:color w:val="000000" w:themeColor="text1"/>
              </w:rPr>
              <w:t xml:space="preserve"> novega 683.c člena ZGD-1</w:t>
            </w:r>
            <w:r w:rsidRPr="00AF3548">
              <w:rPr>
                <w:rFonts w:cs="Arial"/>
                <w:color w:val="000000" w:themeColor="text1"/>
              </w:rPr>
              <w:t xml:space="preserve"> ne sklicuje na seznam v Prilogi I k Direktivi 2013/34/EU</w:t>
            </w:r>
            <w:r>
              <w:t>, s čimer</w:t>
            </w:r>
            <w:r w:rsidRPr="00B22CBE">
              <w:rPr>
                <w:rFonts w:cs="Arial"/>
                <w:color w:val="000000" w:themeColor="text1"/>
              </w:rPr>
              <w:t xml:space="preserve"> bi odpravili zahtevnost besedila, ki zahteva sočasno uporabo zakona in direktiv</w:t>
            </w:r>
            <w:r>
              <w:rPr>
                <w:rFonts w:cs="Arial"/>
                <w:color w:val="000000" w:themeColor="text1"/>
              </w:rPr>
              <w:t xml:space="preserve">. </w:t>
            </w:r>
          </w:p>
          <w:p w14:paraId="1D7CF22D" w14:textId="77777777" w:rsidR="000C08CA" w:rsidRDefault="000C08CA" w:rsidP="00FE328D">
            <w:pPr>
              <w:pStyle w:val="rkovnatokazaodstavkom"/>
              <w:numPr>
                <w:ilvl w:val="0"/>
                <w:numId w:val="0"/>
              </w:numPr>
              <w:spacing w:line="260" w:lineRule="exact"/>
              <w:ind w:left="322"/>
              <w:rPr>
                <w:rFonts w:cs="Arial"/>
                <w:color w:val="000000" w:themeColor="text1"/>
              </w:rPr>
            </w:pPr>
          </w:p>
          <w:p w14:paraId="5D635BAC"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Sklic jasno določa primerljivost tujega podjetja iz tretje države, katerega pravnoorganizacijska oblika je primerljiva podjetjem s seznama </w:t>
            </w:r>
            <w:r w:rsidRPr="00AF3548">
              <w:rPr>
                <w:rFonts w:cs="Arial"/>
                <w:color w:val="000000" w:themeColor="text1"/>
              </w:rPr>
              <w:t>v Prilogi I k Direktivi 2013/34/EU</w:t>
            </w:r>
            <w:r>
              <w:rPr>
                <w:rFonts w:cs="Arial"/>
                <w:color w:val="000000" w:themeColor="text1"/>
              </w:rPr>
              <w:t>.</w:t>
            </w:r>
          </w:p>
          <w:p w14:paraId="47C0BF95" w14:textId="77777777" w:rsidR="000C08CA" w:rsidRPr="00A575FE" w:rsidRDefault="000C08CA" w:rsidP="00FE328D">
            <w:pPr>
              <w:pStyle w:val="rkovnatokazaodstavkom"/>
              <w:numPr>
                <w:ilvl w:val="0"/>
                <w:numId w:val="0"/>
              </w:numPr>
              <w:spacing w:line="260" w:lineRule="exact"/>
              <w:ind w:left="322"/>
              <w:rPr>
                <w:rFonts w:cs="Arial"/>
                <w:color w:val="000000" w:themeColor="text1"/>
              </w:rPr>
            </w:pPr>
          </w:p>
          <w:p w14:paraId="488298C3" w14:textId="77777777" w:rsidR="000C08CA" w:rsidRDefault="000C08CA" w:rsidP="00FE328D">
            <w:pPr>
              <w:pStyle w:val="rkovnatokazaodstavkom"/>
              <w:numPr>
                <w:ilvl w:val="0"/>
                <w:numId w:val="0"/>
              </w:numPr>
              <w:spacing w:line="260" w:lineRule="exact"/>
              <w:ind w:left="322"/>
              <w:rPr>
                <w:rFonts w:cs="Arial"/>
                <w:color w:val="000000" w:themeColor="text1"/>
              </w:rPr>
            </w:pPr>
            <w:r w:rsidRPr="00972D1A">
              <w:rPr>
                <w:rFonts w:cs="Arial"/>
                <w:b/>
                <w:bCs/>
                <w:color w:val="000000" w:themeColor="text1"/>
              </w:rPr>
              <w:t xml:space="preserve">Agencija Republike Slovenije za javnopravne evidence in storitve </w:t>
            </w:r>
            <w:r>
              <w:rPr>
                <w:rFonts w:cs="Arial"/>
                <w:color w:val="000000" w:themeColor="text1"/>
              </w:rPr>
              <w:t>predlaga, da</w:t>
            </w:r>
            <w:r w:rsidRPr="00267E70">
              <w:rPr>
                <w:rFonts w:cs="Arial"/>
                <w:color w:val="000000" w:themeColor="text1"/>
              </w:rPr>
              <w:t xml:space="preserve"> ZGD-1 natančno določ</w:t>
            </w:r>
            <w:r>
              <w:rPr>
                <w:rFonts w:cs="Arial"/>
                <w:color w:val="000000" w:themeColor="text1"/>
              </w:rPr>
              <w:t>a</w:t>
            </w:r>
            <w:r w:rsidRPr="00267E70">
              <w:rPr>
                <w:rFonts w:cs="Arial"/>
                <w:color w:val="000000" w:themeColor="text1"/>
              </w:rPr>
              <w:t xml:space="preserve"> datum začetka</w:t>
            </w:r>
            <w:r>
              <w:rPr>
                <w:rFonts w:cs="Arial"/>
                <w:color w:val="000000" w:themeColor="text1"/>
              </w:rPr>
              <w:t xml:space="preserve"> poročanja</w:t>
            </w:r>
            <w:r w:rsidRPr="00267E70">
              <w:rPr>
                <w:rFonts w:cs="Arial"/>
                <w:color w:val="000000" w:themeColor="text1"/>
              </w:rPr>
              <w:t>, pri čemer iz enakih razlogov kot pri 29. členu predlagajo začetek poročanja prvič za poslovno leto, ki se začne 1. januarja 2026.</w:t>
            </w:r>
          </w:p>
          <w:p w14:paraId="552B3E51" w14:textId="77777777" w:rsidR="000C08CA" w:rsidRDefault="000C08CA" w:rsidP="00FE328D">
            <w:pPr>
              <w:pStyle w:val="rkovnatokazaodstavkom"/>
              <w:numPr>
                <w:ilvl w:val="0"/>
                <w:numId w:val="0"/>
              </w:numPr>
              <w:spacing w:line="260" w:lineRule="exact"/>
              <w:ind w:left="322"/>
              <w:rPr>
                <w:rFonts w:cs="Arial"/>
                <w:color w:val="000000" w:themeColor="text1"/>
              </w:rPr>
            </w:pPr>
          </w:p>
          <w:p w14:paraId="77027C38" w14:textId="77777777" w:rsidR="000C08CA" w:rsidRDefault="000C08CA" w:rsidP="00FE328D">
            <w:pPr>
              <w:pStyle w:val="rkovnatokazaodstavkom"/>
              <w:numPr>
                <w:ilvl w:val="0"/>
                <w:numId w:val="0"/>
              </w:numPr>
              <w:spacing w:line="260" w:lineRule="exact"/>
              <w:ind w:left="322"/>
              <w:rPr>
                <w:rFonts w:cs="Arial"/>
                <w:color w:val="000000" w:themeColor="text1"/>
              </w:rPr>
            </w:pPr>
            <w:r w:rsidRPr="00C25FEE">
              <w:rPr>
                <w:rFonts w:cs="Arial"/>
                <w:b/>
                <w:bCs/>
                <w:color w:val="000000" w:themeColor="text1"/>
              </w:rPr>
              <w:t>Ministrstvo za gospodarstvo, turizem in šport</w:t>
            </w:r>
            <w:r w:rsidRPr="002C01E2">
              <w:rPr>
                <w:rFonts w:cs="Arial"/>
                <w:color w:val="000000" w:themeColor="text1"/>
              </w:rPr>
              <w:t xml:space="preserve"> </w:t>
            </w:r>
            <w:r>
              <w:rPr>
                <w:rFonts w:cs="Arial"/>
                <w:color w:val="000000" w:themeColor="text1"/>
              </w:rPr>
              <w:t>meni</w:t>
            </w:r>
            <w:r w:rsidRPr="002C01E2">
              <w:rPr>
                <w:rFonts w:cs="Arial"/>
                <w:color w:val="000000" w:themeColor="text1"/>
              </w:rPr>
              <w:t>, da predlog ni primeren</w:t>
            </w:r>
            <w:r>
              <w:rPr>
                <w:rFonts w:cs="Arial"/>
                <w:color w:val="000000" w:themeColor="text1"/>
              </w:rPr>
              <w:t xml:space="preserve">. Iz predlaganega besedila osnutka predloga novele ZGD-1M jasno izhaja začetek poročanja. </w:t>
            </w:r>
            <w:r w:rsidRPr="0010646F">
              <w:rPr>
                <w:rFonts w:cs="Arial"/>
                <w:color w:val="000000" w:themeColor="text1"/>
              </w:rPr>
              <w:t>Družbe in podružnice pripravijo, objavijo in zagotovijo dostop do poročila o davčnih informacijah v zvezi z dohodki v skladu s 70.e do 70.l ter 683.c do 683.d členom zakona najpozneje od datuma začetka prvega poslovnega leta, ki se začne 22. junij</w:t>
            </w:r>
            <w:r>
              <w:rPr>
                <w:rFonts w:cs="Arial"/>
                <w:color w:val="000000" w:themeColor="text1"/>
              </w:rPr>
              <w:t>a</w:t>
            </w:r>
            <w:r w:rsidRPr="0010646F">
              <w:rPr>
                <w:rFonts w:cs="Arial"/>
                <w:color w:val="000000" w:themeColor="text1"/>
              </w:rPr>
              <w:t xml:space="preserve"> 2024 ali po tem datumu.</w:t>
            </w:r>
          </w:p>
          <w:bookmarkEnd w:id="1"/>
          <w:p w14:paraId="35646588" w14:textId="77777777" w:rsidR="000C08CA" w:rsidRDefault="000C08CA" w:rsidP="00FE328D">
            <w:pPr>
              <w:pStyle w:val="rkovnatokazaodstavkom"/>
              <w:numPr>
                <w:ilvl w:val="0"/>
                <w:numId w:val="0"/>
              </w:numPr>
              <w:spacing w:line="260" w:lineRule="exact"/>
              <w:ind w:left="322"/>
              <w:rPr>
                <w:rFonts w:cs="Arial"/>
                <w:color w:val="000000" w:themeColor="text1"/>
              </w:rPr>
            </w:pPr>
          </w:p>
          <w:p w14:paraId="6797EF8A" w14:textId="77777777" w:rsidR="000C08CA" w:rsidRPr="000E25E5" w:rsidRDefault="000C08CA" w:rsidP="00FE328D">
            <w:pPr>
              <w:ind w:left="322"/>
              <w:jc w:val="both"/>
              <w:rPr>
                <w:rFonts w:cs="Arial"/>
                <w:szCs w:val="20"/>
                <w:shd w:val="clear" w:color="auto" w:fill="FFFFFF"/>
              </w:rPr>
            </w:pPr>
            <w:r w:rsidRPr="000E25E5">
              <w:rPr>
                <w:rFonts w:cs="Arial"/>
                <w:b/>
                <w:bCs/>
                <w:szCs w:val="20"/>
              </w:rPr>
              <w:t>GEN-I</w:t>
            </w:r>
            <w:r w:rsidRPr="000E25E5">
              <w:rPr>
                <w:rFonts w:cs="Arial"/>
                <w:szCs w:val="20"/>
              </w:rPr>
              <w:t xml:space="preserve"> je predlagal, da se besedilo v 254.b členu prilagodi tako, da se </w:t>
            </w:r>
            <w:r>
              <w:rPr>
                <w:rFonts w:cs="Arial"/>
                <w:szCs w:val="20"/>
              </w:rPr>
              <w:t>opredelitev</w:t>
            </w:r>
            <w:r w:rsidRPr="000E25E5">
              <w:rPr>
                <w:rFonts w:cs="Arial"/>
                <w:szCs w:val="20"/>
              </w:rPr>
              <w:t xml:space="preserve"> družbe z večinsko kapitalsko naložbo države uskladi z </w:t>
            </w:r>
            <w:r>
              <w:rPr>
                <w:rFonts w:cs="Arial"/>
                <w:szCs w:val="20"/>
              </w:rPr>
              <w:t>opredelitvijo</w:t>
            </w:r>
            <w:r w:rsidRPr="000E25E5">
              <w:rPr>
                <w:rFonts w:cs="Arial"/>
                <w:szCs w:val="20"/>
              </w:rPr>
              <w:t xml:space="preserve">, ki jo vsebuje </w:t>
            </w:r>
            <w:r w:rsidRPr="000E25E5">
              <w:rPr>
                <w:rFonts w:cs="Arial"/>
                <w:szCs w:val="20"/>
                <w:shd w:val="clear" w:color="auto" w:fill="FFFFFF"/>
              </w:rPr>
              <w:t>Zakon o Slovenskem državnem holdingu (Uradni list RS, št. </w:t>
            </w:r>
            <w:hyperlink r:id="rId24" w:tgtFrame="_blank" w:tooltip="Zakon o Slovenskem državnem holdingu (ZSDH-1)" w:history="1">
              <w:r w:rsidRPr="002748E4">
                <w:rPr>
                  <w:rStyle w:val="Hyperlink"/>
                  <w:rFonts w:cs="Arial"/>
                  <w:color w:val="auto"/>
                  <w:szCs w:val="20"/>
                  <w:u w:val="none"/>
                  <w:shd w:val="clear" w:color="auto" w:fill="FFFFFF"/>
                </w:rPr>
                <w:t>25/14</w:t>
              </w:r>
            </w:hyperlink>
            <w:r w:rsidRPr="002748E4">
              <w:rPr>
                <w:rFonts w:cs="Arial"/>
                <w:szCs w:val="20"/>
                <w:shd w:val="clear" w:color="auto" w:fill="FFFFFF"/>
              </w:rPr>
              <w:t> in </w:t>
            </w:r>
            <w:hyperlink r:id="rId25" w:tgtFrame="_blank" w:tooltip="Zakon o spremembah in dopolnitvah Zakona o Slovenskem državnem holdingu" w:history="1">
              <w:r w:rsidRPr="002748E4">
                <w:rPr>
                  <w:rStyle w:val="Hyperlink"/>
                  <w:rFonts w:cs="Arial"/>
                  <w:color w:val="auto"/>
                  <w:szCs w:val="20"/>
                  <w:u w:val="none"/>
                  <w:shd w:val="clear" w:color="auto" w:fill="FFFFFF"/>
                </w:rPr>
                <w:t>140/22</w:t>
              </w:r>
            </w:hyperlink>
            <w:r w:rsidRPr="002748E4">
              <w:rPr>
                <w:rFonts w:cs="Arial"/>
                <w:szCs w:val="20"/>
                <w:shd w:val="clear" w:color="auto" w:fill="FFFFFF"/>
              </w:rPr>
              <w:t xml:space="preserve"> –</w:t>
            </w:r>
            <w:r w:rsidRPr="000F400B">
              <w:rPr>
                <w:rFonts w:cs="Arial"/>
                <w:szCs w:val="20"/>
                <w:shd w:val="clear" w:color="auto" w:fill="FFFFFF"/>
              </w:rPr>
              <w:t xml:space="preserve"> v nadaljevanju: ZDDH-1)</w:t>
            </w:r>
            <w:r w:rsidRPr="000F400B">
              <w:rPr>
                <w:rFonts w:cs="Arial"/>
                <w:szCs w:val="20"/>
              </w:rPr>
              <w:t xml:space="preserve">, ki kapitalsko naložbo države opredeljuje kot kapitalsko naložbo v lasti Republike Slovenije, KAD ali SDH, družbo s kapitalsko naložbo države pa kot pravno osebo, izdajateljico kapitalskih naložb v lasti SDH, in družbo, ki je izdajateljica kapitalskih naložb v upravljanju SDH in v lasti Republike Slovenije. Besedilo predlaganega 254.b člena družbe z večinsko kapitalsko naložbo države opredeljuje precej širše kot ZSDH-1, saj v krog družb zavezank ne vključuje le družb s kapitalsko naložbo države v smislu ZSDH-1, ampak tudi vse druge družbe, ki so posredno v večinski lasti države. Navajajo, da ni dovolj jasen namen zakonodajalca, da se v krog družb zavezank po 254.b členu poleg družb s kapitalsko naložbo države vključijo tudi vse druge družbe, ki so posredno v večinski lasti države, ker to ne izhaja iz obrazložitve k 17. členu predloga ZGD-1M. Namen določbe je, da so zavezanke za spoštovanje pravil glede uravnotežene zastopanosti spolov v organih vse družbe, ki so v posredni ali neposredni večinski lasti Republike Slovenije ali lokalne samoupravne skupnosti (v nadaljnjem besedilu: državne in lokalne družbe). Izhajali smo iz opredelitve, ki je navedena v </w:t>
            </w:r>
            <w:r w:rsidRPr="000F400B">
              <w:rPr>
                <w:rFonts w:cs="Arial"/>
                <w:szCs w:val="20"/>
                <w:shd w:val="clear" w:color="auto" w:fill="FFFFFF"/>
              </w:rPr>
              <w:t>Zakonu o prejemkih poslovodnih oseb v gospodarskih družbah v večinski lasti Republike Slovenije in samoupravnih lokalnih skupnosti (Uradni list RS, št. </w:t>
            </w:r>
            <w:hyperlink r:id="rId26" w:tgtFrame="_blank" w:tooltip="Zakon o prejemkih poslovodnih oseb v gospodarskih družbah v večinski lasti Republike Slovenije in samoupravnih lokalnih skupnosti (ZPPOGD)" w:history="1">
              <w:r w:rsidRPr="002748E4">
                <w:rPr>
                  <w:rStyle w:val="Hyperlink"/>
                  <w:rFonts w:cs="Arial"/>
                  <w:color w:val="auto"/>
                  <w:szCs w:val="20"/>
                  <w:u w:val="none"/>
                  <w:shd w:val="clear" w:color="auto" w:fill="FFFFFF"/>
                </w:rPr>
                <w:t>21/10</w:t>
              </w:r>
            </w:hyperlink>
            <w:r w:rsidRPr="002748E4">
              <w:rPr>
                <w:rFonts w:cs="Arial"/>
                <w:szCs w:val="20"/>
                <w:shd w:val="clear" w:color="auto" w:fill="FFFFFF"/>
              </w:rPr>
              <w:t>, </w:t>
            </w:r>
            <w:hyperlink r:id="rId27" w:tgtFrame="_blank" w:tooltip="Avtentična razlaga druge alineje tretjega odstavka 4. člena Zakona o prejemkih poslovodnih oseb v gospodarskih družbah v večinski lasti Republike Slovenije in samoupravnih lokalnih skupnosti" w:history="1">
              <w:r w:rsidRPr="002748E4">
                <w:rPr>
                  <w:rStyle w:val="Hyperlink"/>
                  <w:rFonts w:cs="Arial"/>
                  <w:color w:val="auto"/>
                  <w:szCs w:val="20"/>
                  <w:u w:val="none"/>
                  <w:shd w:val="clear" w:color="auto" w:fill="FFFFFF"/>
                </w:rPr>
                <w:t>8/11</w:t>
              </w:r>
            </w:hyperlink>
            <w:r w:rsidRPr="002748E4">
              <w:rPr>
                <w:rFonts w:cs="Arial"/>
                <w:szCs w:val="20"/>
                <w:shd w:val="clear" w:color="auto" w:fill="FFFFFF"/>
              </w:rPr>
              <w:t> – ORZPPOGD4 in </w:t>
            </w:r>
            <w:hyperlink r:id="rId28" w:tgtFrame="_blank" w:tooltip="Zakon o spremembah in dopolnitvah Zakona o dostopu do informacij javnega značaja" w:history="1">
              <w:r w:rsidRPr="002748E4">
                <w:rPr>
                  <w:rStyle w:val="Hyperlink"/>
                  <w:rFonts w:cs="Arial"/>
                  <w:color w:val="auto"/>
                  <w:szCs w:val="20"/>
                  <w:u w:val="none"/>
                  <w:shd w:val="clear" w:color="auto" w:fill="FFFFFF"/>
                </w:rPr>
                <w:t>23/14</w:t>
              </w:r>
            </w:hyperlink>
            <w:r w:rsidRPr="002748E4">
              <w:rPr>
                <w:rFonts w:cs="Arial"/>
                <w:szCs w:val="20"/>
                <w:shd w:val="clear" w:color="auto" w:fill="FFFFFF"/>
              </w:rPr>
              <w:t> </w:t>
            </w:r>
            <w:r w:rsidRPr="000F400B">
              <w:rPr>
                <w:rFonts w:cs="Arial"/>
                <w:szCs w:val="20"/>
                <w:shd w:val="clear" w:color="auto" w:fill="FFFFFF"/>
              </w:rPr>
              <w:t>– ZDIJZ</w:t>
            </w:r>
            <w:r w:rsidRPr="000E25E5">
              <w:rPr>
                <w:rFonts w:cs="Arial"/>
                <w:szCs w:val="20"/>
                <w:shd w:val="clear" w:color="auto" w:fill="FFFFFF"/>
              </w:rPr>
              <w:t xml:space="preserve">-C). Pri ugotavljanju lastništva družb je ključen njegov dejanski (končni) lastnik, kar je v družbah, ki so v posredni večinski lasti države </w:t>
            </w:r>
            <w:r>
              <w:rPr>
                <w:rFonts w:cs="Arial"/>
                <w:szCs w:val="20"/>
                <w:shd w:val="clear" w:color="auto" w:fill="FFFFFF"/>
              </w:rPr>
              <w:t xml:space="preserve">ali </w:t>
            </w:r>
            <w:r w:rsidRPr="000E25E5">
              <w:rPr>
                <w:rFonts w:cs="Arial"/>
                <w:szCs w:val="20"/>
                <w:shd w:val="clear" w:color="auto" w:fill="FFFFFF"/>
              </w:rPr>
              <w:t xml:space="preserve">lokalne skupnosti, Republika Slovenija ali lokalna skupnost. Podjetja v lasti države imajo v Republiki Sloveniji velik delež v gospodarstvu in pomembno vlogo v družbenem razvoju. </w:t>
            </w:r>
            <w:r>
              <w:rPr>
                <w:rFonts w:cs="Arial"/>
                <w:szCs w:val="20"/>
                <w:shd w:val="clear" w:color="auto" w:fill="FFFFFF"/>
              </w:rPr>
              <w:t>U</w:t>
            </w:r>
            <w:r w:rsidRPr="009B69A0">
              <w:rPr>
                <w:rFonts w:cs="Arial"/>
                <w:szCs w:val="20"/>
                <w:shd w:val="clear" w:color="auto" w:fill="FFFFFF"/>
              </w:rPr>
              <w:t>ravnotežen</w:t>
            </w:r>
            <w:r>
              <w:rPr>
                <w:rFonts w:cs="Arial"/>
                <w:szCs w:val="20"/>
                <w:shd w:val="clear" w:color="auto" w:fill="FFFFFF"/>
              </w:rPr>
              <w:t>a</w:t>
            </w:r>
            <w:r w:rsidRPr="009B69A0">
              <w:rPr>
                <w:rFonts w:cs="Arial"/>
                <w:szCs w:val="20"/>
                <w:shd w:val="clear" w:color="auto" w:fill="FFFFFF"/>
              </w:rPr>
              <w:t xml:space="preserve"> zastopanost spolov</w:t>
            </w:r>
            <w:r w:rsidRPr="000E25E5" w:rsidDel="009B69A0">
              <w:rPr>
                <w:rFonts w:cs="Arial"/>
                <w:szCs w:val="20"/>
                <w:shd w:val="clear" w:color="auto" w:fill="FFFFFF"/>
              </w:rPr>
              <w:t xml:space="preserve"> </w:t>
            </w:r>
            <w:r w:rsidRPr="000E25E5">
              <w:rPr>
                <w:rFonts w:cs="Arial"/>
                <w:szCs w:val="20"/>
                <w:shd w:val="clear" w:color="auto" w:fill="FFFFFF"/>
              </w:rPr>
              <w:t xml:space="preserve">v organih vodenja in nadzora družb dokazano prispeva k boljšemu upravljanju družb, kar posledično vpliva na boljše poslovanje, finančno uspešnost in dobičkonosnost. </w:t>
            </w:r>
            <w:r>
              <w:rPr>
                <w:rFonts w:cs="Arial"/>
                <w:szCs w:val="20"/>
                <w:shd w:val="clear" w:color="auto" w:fill="FFFFFF"/>
              </w:rPr>
              <w:t>To</w:t>
            </w:r>
            <w:r w:rsidRPr="000E25E5">
              <w:rPr>
                <w:rFonts w:cs="Arial"/>
                <w:szCs w:val="20"/>
                <w:shd w:val="clear" w:color="auto" w:fill="FFFFFF"/>
              </w:rPr>
              <w:t xml:space="preserve"> </w:t>
            </w:r>
            <w:r w:rsidRPr="000E25E5">
              <w:rPr>
                <w:rFonts w:cs="Arial"/>
                <w:szCs w:val="20"/>
              </w:rPr>
              <w:t>pomembno vpliva tudi na državni proračun</w:t>
            </w:r>
            <w:r>
              <w:rPr>
                <w:rFonts w:cs="Arial"/>
                <w:szCs w:val="20"/>
              </w:rPr>
              <w:t>,</w:t>
            </w:r>
            <w:r w:rsidRPr="000E25E5">
              <w:rPr>
                <w:rFonts w:cs="Arial"/>
                <w:szCs w:val="20"/>
              </w:rPr>
              <w:t xml:space="preserve"> zato je pomembno, da n</w:t>
            </w:r>
            <w:r w:rsidRPr="000E25E5">
              <w:rPr>
                <w:rFonts w:cs="Arial"/>
                <w:szCs w:val="20"/>
                <w:shd w:val="clear" w:color="auto" w:fill="FFFFFF"/>
              </w:rPr>
              <w:t xml:space="preserve">e glede na obliko kapitalske </w:t>
            </w:r>
            <w:r w:rsidRPr="000E25E5">
              <w:rPr>
                <w:rFonts w:cs="Arial"/>
                <w:szCs w:val="20"/>
                <w:shd w:val="clear" w:color="auto" w:fill="FFFFFF"/>
              </w:rPr>
              <w:lastRenderedPageBreak/>
              <w:t xml:space="preserve">naložbe države ali lokalne skupnosti, tj. posredno ali neposredno, te družbe upoštevajo najvišje normative pri poslovanju in upravljanju, kar </w:t>
            </w:r>
            <w:r w:rsidRPr="000E25E5">
              <w:rPr>
                <w:rFonts w:cs="Arial"/>
                <w:szCs w:val="20"/>
              </w:rPr>
              <w:t>pomembno prispeva k uresničevanju razvojnih in drugih strateških ciljev države in k uresničevanju javnega interesa</w:t>
            </w:r>
            <w:r w:rsidRPr="000E25E5">
              <w:rPr>
                <w:rFonts w:cs="Arial"/>
                <w:szCs w:val="20"/>
                <w:shd w:val="clear" w:color="auto" w:fill="FFFFFF"/>
              </w:rPr>
              <w:t xml:space="preserve">, hkrati pa s tem predstavljajo pozitiven zgled za </w:t>
            </w:r>
            <w:r>
              <w:rPr>
                <w:rFonts w:cs="Arial"/>
                <w:szCs w:val="20"/>
                <w:shd w:val="clear" w:color="auto" w:fill="FFFFFF"/>
              </w:rPr>
              <w:t>druge</w:t>
            </w:r>
            <w:r w:rsidRPr="000E25E5">
              <w:rPr>
                <w:rFonts w:cs="Arial"/>
                <w:szCs w:val="20"/>
                <w:shd w:val="clear" w:color="auto" w:fill="FFFFFF"/>
              </w:rPr>
              <w:t xml:space="preserve"> gospodarske družbe.</w:t>
            </w:r>
          </w:p>
          <w:p w14:paraId="4ACD78DE" w14:textId="77777777" w:rsidR="000C08CA" w:rsidRDefault="000C08CA" w:rsidP="00FE328D">
            <w:pPr>
              <w:pStyle w:val="rkovnatokazaodstavkom"/>
              <w:numPr>
                <w:ilvl w:val="0"/>
                <w:numId w:val="0"/>
              </w:numPr>
              <w:spacing w:line="260" w:lineRule="exact"/>
              <w:ind w:left="644"/>
              <w:rPr>
                <w:rFonts w:cs="Arial"/>
                <w:color w:val="000000" w:themeColor="text1"/>
              </w:rPr>
            </w:pPr>
          </w:p>
          <w:p w14:paraId="47A2C087" w14:textId="77777777" w:rsidR="000C08CA" w:rsidRPr="003555A0" w:rsidRDefault="000C08CA" w:rsidP="00FE328D">
            <w:pPr>
              <w:jc w:val="both"/>
              <w:rPr>
                <w:rFonts w:cs="Arial"/>
                <w:b/>
                <w:bCs/>
                <w:szCs w:val="20"/>
                <w:shd w:val="clear" w:color="auto" w:fill="FFFFFF"/>
              </w:rPr>
            </w:pPr>
            <w:r w:rsidRPr="003555A0">
              <w:rPr>
                <w:rFonts w:cs="Arial"/>
                <w:b/>
                <w:bCs/>
                <w:szCs w:val="20"/>
                <w:shd w:val="clear" w:color="auto" w:fill="FFFFFF"/>
              </w:rPr>
              <w:t>Z</w:t>
            </w:r>
            <w:r>
              <w:rPr>
                <w:rFonts w:cs="Arial"/>
                <w:b/>
                <w:bCs/>
                <w:szCs w:val="20"/>
                <w:shd w:val="clear" w:color="auto" w:fill="FFFFFF"/>
              </w:rPr>
              <w:t>agovornik načela enakosti</w:t>
            </w:r>
            <w:r w:rsidRPr="003555A0">
              <w:rPr>
                <w:rFonts w:cs="Arial"/>
                <w:b/>
                <w:bCs/>
                <w:szCs w:val="20"/>
                <w:shd w:val="clear" w:color="auto" w:fill="FFFFFF"/>
              </w:rPr>
              <w:t xml:space="preserve"> je predlagal:</w:t>
            </w:r>
          </w:p>
          <w:p w14:paraId="49C0D9C1" w14:textId="77777777" w:rsidR="000C08CA" w:rsidRPr="006F7E65" w:rsidRDefault="000C08CA" w:rsidP="00FE328D">
            <w:pPr>
              <w:pStyle w:val="ListParagraph"/>
              <w:numPr>
                <w:ilvl w:val="0"/>
                <w:numId w:val="94"/>
              </w:numPr>
              <w:spacing w:after="0" w:line="260" w:lineRule="atLeast"/>
              <w:jc w:val="both"/>
              <w:rPr>
                <w:rFonts w:ascii="Arial" w:hAnsi="Arial" w:cs="Arial"/>
                <w:sz w:val="20"/>
                <w:szCs w:val="20"/>
              </w:rPr>
            </w:pPr>
            <w:r w:rsidRPr="003555A0">
              <w:rPr>
                <w:rFonts w:ascii="Arial" w:hAnsi="Arial" w:cs="Arial"/>
                <w:b/>
                <w:bCs/>
                <w:sz w:val="20"/>
                <w:szCs w:val="20"/>
              </w:rPr>
              <w:t xml:space="preserve">da se razširi krog družb, ki morajo zagotoviti ciljni delež zastopanosti manj zastopanega spola, na vse družbe z večinsko naložbo države </w:t>
            </w:r>
            <w:r>
              <w:rPr>
                <w:rFonts w:ascii="Arial" w:hAnsi="Arial" w:cs="Arial"/>
                <w:b/>
                <w:bCs/>
                <w:sz w:val="20"/>
                <w:szCs w:val="20"/>
              </w:rPr>
              <w:t>ali</w:t>
            </w:r>
            <w:r w:rsidRPr="003555A0">
              <w:rPr>
                <w:rFonts w:ascii="Arial" w:hAnsi="Arial" w:cs="Arial"/>
                <w:b/>
                <w:bCs/>
                <w:sz w:val="20"/>
                <w:szCs w:val="20"/>
              </w:rPr>
              <w:t xml:space="preserve"> samoupravne lokalne skupnosti, ne glede na njihovo velikost, in vse gospodarske družbe z več kot 250 zaposlenimi. </w:t>
            </w:r>
            <w:r w:rsidRPr="003555A0">
              <w:rPr>
                <w:rFonts w:ascii="Arial" w:hAnsi="Arial" w:cs="Arial"/>
                <w:sz w:val="20"/>
                <w:szCs w:val="20"/>
              </w:rPr>
              <w:t xml:space="preserve">Zagovornik priporoča širitev kroga zavezancev s približno 30 na prek 500 glede na pomen ciljev in namenov direktive ter določb primarnega prava EU, ki so nedvomno v najširšem javnem interesu in ker enakost spolov v družbah na splošno ni dosežena. Pri pripravi predlogov določb za prenos direktive, ki ureja </w:t>
            </w:r>
            <w:r>
              <w:rPr>
                <w:rFonts w:ascii="Arial" w:hAnsi="Arial" w:cs="Arial"/>
                <w:color w:val="000000" w:themeColor="text1"/>
                <w:sz w:val="20"/>
                <w:szCs w:val="20"/>
              </w:rPr>
              <w:t xml:space="preserve">uravnoteženo </w:t>
            </w:r>
            <w:r w:rsidRPr="003555A0">
              <w:rPr>
                <w:rFonts w:ascii="Arial" w:hAnsi="Arial" w:cs="Arial"/>
                <w:sz w:val="20"/>
                <w:szCs w:val="20"/>
              </w:rPr>
              <w:t xml:space="preserve">zastopanost </w:t>
            </w:r>
            <w:r>
              <w:rPr>
                <w:rFonts w:ascii="Arial" w:hAnsi="Arial" w:cs="Arial"/>
                <w:sz w:val="20"/>
                <w:szCs w:val="20"/>
              </w:rPr>
              <w:t xml:space="preserve">spolov </w:t>
            </w:r>
            <w:r w:rsidRPr="003555A0">
              <w:rPr>
                <w:rFonts w:ascii="Arial" w:hAnsi="Arial" w:cs="Arial"/>
                <w:sz w:val="20"/>
                <w:szCs w:val="20"/>
              </w:rPr>
              <w:t>na najvišjih položajih v gospodarskih družbah, smo pr</w:t>
            </w:r>
            <w:r>
              <w:rPr>
                <w:rFonts w:ascii="Arial" w:hAnsi="Arial" w:cs="Arial"/>
                <w:sz w:val="20"/>
                <w:szCs w:val="20"/>
              </w:rPr>
              <w:t>o</w:t>
            </w:r>
            <w:r w:rsidRPr="003555A0">
              <w:rPr>
                <w:rFonts w:ascii="Arial" w:hAnsi="Arial" w:cs="Arial"/>
                <w:sz w:val="20"/>
                <w:szCs w:val="20"/>
              </w:rPr>
              <w:t>učili stanje na področju, imeli sestanke z relevantnimi deležniki in naredili mednarodno pravno primerjavo na področju. Iskali s</w:t>
            </w:r>
            <w:r w:rsidRPr="003555A0" w:rsidDel="005C6659">
              <w:rPr>
                <w:rFonts w:ascii="Arial" w:hAnsi="Arial" w:cs="Arial"/>
                <w:sz w:val="20"/>
                <w:szCs w:val="20"/>
              </w:rPr>
              <w:t>m</w:t>
            </w:r>
            <w:r w:rsidRPr="003555A0">
              <w:rPr>
                <w:rFonts w:ascii="Arial" w:hAnsi="Arial" w:cs="Arial"/>
                <w:sz w:val="20"/>
                <w:szCs w:val="20"/>
              </w:rPr>
              <w:t xml:space="preserve">o sorazmerno rešitev, ki bi bila sprejemljiva za predstavnike gospodarstva, </w:t>
            </w:r>
            <w:r>
              <w:rPr>
                <w:rFonts w:ascii="Arial" w:hAnsi="Arial" w:cs="Arial"/>
                <w:sz w:val="20"/>
                <w:szCs w:val="20"/>
              </w:rPr>
              <w:t>ki</w:t>
            </w:r>
            <w:r w:rsidRPr="003555A0">
              <w:rPr>
                <w:rFonts w:ascii="Arial" w:hAnsi="Arial" w:cs="Arial"/>
                <w:sz w:val="20"/>
                <w:szCs w:val="20"/>
              </w:rPr>
              <w:t xml:space="preserve"> zagovarjajo minimalno harmonizacijo z direktivo</w:t>
            </w:r>
            <w:r>
              <w:rPr>
                <w:rFonts w:ascii="Arial" w:hAnsi="Arial" w:cs="Arial"/>
                <w:sz w:val="20"/>
                <w:szCs w:val="20"/>
              </w:rPr>
              <w:t>,</w:t>
            </w:r>
            <w:r w:rsidRPr="003555A0">
              <w:rPr>
                <w:rFonts w:ascii="Arial" w:hAnsi="Arial" w:cs="Arial"/>
                <w:sz w:val="20"/>
                <w:szCs w:val="20"/>
              </w:rPr>
              <w:t xml:space="preserve"> in druge deležnike, ki zagovarjajo širitev zahtev prek direktive.</w:t>
            </w:r>
            <w:r w:rsidRPr="003555A0">
              <w:rPr>
                <w:rFonts w:cs="Arial"/>
                <w:szCs w:val="20"/>
              </w:rPr>
              <w:t xml:space="preserve"> V</w:t>
            </w:r>
            <w:r w:rsidRPr="003555A0">
              <w:rPr>
                <w:rFonts w:ascii="Arial" w:hAnsi="Arial" w:cs="Arial"/>
                <w:sz w:val="20"/>
                <w:szCs w:val="20"/>
              </w:rPr>
              <w:t xml:space="preserve"> skladu z merili iz </w:t>
            </w:r>
            <w:r>
              <w:rPr>
                <w:rFonts w:ascii="Arial" w:hAnsi="Arial" w:cs="Arial"/>
                <w:sz w:val="20"/>
                <w:szCs w:val="20"/>
              </w:rPr>
              <w:t>direktive bi</w:t>
            </w:r>
            <w:r w:rsidRPr="003555A0">
              <w:rPr>
                <w:rFonts w:ascii="Arial" w:hAnsi="Arial" w:cs="Arial"/>
                <w:sz w:val="20"/>
                <w:szCs w:val="20"/>
              </w:rPr>
              <w:t xml:space="preserve"> pravila v zvezi z uravnoteženo</w:t>
            </w:r>
            <w:r w:rsidRPr="003555A0" w:rsidDel="006E0C85">
              <w:rPr>
                <w:rFonts w:ascii="Arial" w:hAnsi="Arial" w:cs="Arial"/>
                <w:sz w:val="20"/>
                <w:szCs w:val="20"/>
              </w:rPr>
              <w:t xml:space="preserve"> </w:t>
            </w:r>
            <w:r w:rsidRPr="003555A0">
              <w:rPr>
                <w:rFonts w:ascii="Arial" w:hAnsi="Arial" w:cs="Arial"/>
                <w:sz w:val="20"/>
                <w:szCs w:val="20"/>
              </w:rPr>
              <w:t xml:space="preserve">zastopanostjo </w:t>
            </w:r>
            <w:r w:rsidRPr="006E0C85">
              <w:rPr>
                <w:rFonts w:ascii="Arial" w:hAnsi="Arial" w:cs="Arial"/>
                <w:sz w:val="20"/>
                <w:szCs w:val="20"/>
              </w:rPr>
              <w:t xml:space="preserve">spolov </w:t>
            </w:r>
            <w:r w:rsidRPr="003555A0">
              <w:rPr>
                <w:rFonts w:ascii="Arial" w:hAnsi="Arial" w:cs="Arial"/>
                <w:sz w:val="20"/>
                <w:szCs w:val="20"/>
              </w:rPr>
              <w:t xml:space="preserve">med vodilnimi osebami v družbah veljala za </w:t>
            </w:r>
            <w:r>
              <w:rPr>
                <w:rFonts w:ascii="Arial" w:hAnsi="Arial" w:cs="Arial"/>
                <w:sz w:val="20"/>
                <w:szCs w:val="20"/>
              </w:rPr>
              <w:t>malo</w:t>
            </w:r>
            <w:r w:rsidRPr="003555A0">
              <w:rPr>
                <w:rFonts w:ascii="Arial" w:hAnsi="Arial" w:cs="Arial"/>
                <w:sz w:val="20"/>
                <w:szCs w:val="20"/>
              </w:rPr>
              <w:t xml:space="preserve"> zavezancev (11 družb v letu 2023), zato smo razmišljali o možnostih razširitve obsega </w:t>
            </w:r>
            <w:r w:rsidRPr="00586165">
              <w:rPr>
                <w:rFonts w:ascii="Arial" w:hAnsi="Arial" w:cs="Arial"/>
                <w:sz w:val="20"/>
                <w:szCs w:val="20"/>
              </w:rPr>
              <w:t xml:space="preserve">kroga </w:t>
            </w:r>
            <w:r w:rsidRPr="003555A0">
              <w:rPr>
                <w:rFonts w:ascii="Arial" w:hAnsi="Arial" w:cs="Arial"/>
                <w:sz w:val="20"/>
                <w:szCs w:val="20"/>
              </w:rPr>
              <w:t>zavezancev. Najprej s</w:t>
            </w:r>
            <w:r w:rsidRPr="003555A0" w:rsidDel="005C6659">
              <w:rPr>
                <w:rFonts w:ascii="Arial" w:hAnsi="Arial" w:cs="Arial"/>
                <w:sz w:val="20"/>
                <w:szCs w:val="20"/>
              </w:rPr>
              <w:t>m</w:t>
            </w:r>
            <w:r w:rsidRPr="003555A0">
              <w:rPr>
                <w:rFonts w:ascii="Arial" w:hAnsi="Arial" w:cs="Arial"/>
                <w:sz w:val="20"/>
                <w:szCs w:val="20"/>
              </w:rPr>
              <w:t xml:space="preserve">o se odločili razširiti obseg </w:t>
            </w:r>
            <w:r w:rsidRPr="00586165">
              <w:rPr>
                <w:rFonts w:ascii="Arial" w:hAnsi="Arial" w:cs="Arial"/>
                <w:sz w:val="20"/>
                <w:szCs w:val="20"/>
              </w:rPr>
              <w:t xml:space="preserve">kroga </w:t>
            </w:r>
            <w:r w:rsidRPr="003555A0">
              <w:rPr>
                <w:rFonts w:ascii="Arial" w:hAnsi="Arial" w:cs="Arial"/>
                <w:sz w:val="20"/>
                <w:szCs w:val="20"/>
              </w:rPr>
              <w:t xml:space="preserve">zavezancev na velike družbe s kapitalsko naložbo države in lokalnih skupnosti, v katerih ima država </w:t>
            </w:r>
            <w:r>
              <w:rPr>
                <w:rFonts w:ascii="Arial" w:hAnsi="Arial" w:cs="Arial"/>
                <w:sz w:val="20"/>
                <w:szCs w:val="20"/>
              </w:rPr>
              <w:t>ali</w:t>
            </w:r>
            <w:r w:rsidRPr="003555A0">
              <w:rPr>
                <w:rFonts w:ascii="Arial" w:hAnsi="Arial" w:cs="Arial"/>
                <w:sz w:val="20"/>
                <w:szCs w:val="20"/>
              </w:rPr>
              <w:t xml:space="preserve"> lokalna skupnost večinski delež v kapitalu ali večino glasovalnih pravic ter imajo več kot 250 zaposlenih. Razlog je bil predvsem, da imajo </w:t>
            </w:r>
            <w:r w:rsidRPr="003555A0">
              <w:rPr>
                <w:rFonts w:ascii="Arial" w:hAnsi="Arial" w:cs="Arial"/>
                <w:sz w:val="20"/>
                <w:szCs w:val="20"/>
                <w:shd w:val="clear" w:color="auto" w:fill="FFFFFF"/>
              </w:rPr>
              <w:t>podjetja v lasti države v Republiki Sloveniji velik delež v gospodarstvu in pomembno vlogo v družbenem razvoju. Zaradi dokazanih pozitivnih korelacij med</w:t>
            </w:r>
            <w:r w:rsidRPr="003555A0" w:rsidDel="009B69A0">
              <w:rPr>
                <w:rFonts w:ascii="Arial" w:hAnsi="Arial" w:cs="Arial"/>
                <w:sz w:val="20"/>
                <w:szCs w:val="20"/>
                <w:shd w:val="clear" w:color="auto" w:fill="FFFFFF"/>
              </w:rPr>
              <w:t xml:space="preserve"> </w:t>
            </w:r>
            <w:r w:rsidRPr="009B69A0">
              <w:rPr>
                <w:rFonts w:ascii="Arial" w:hAnsi="Arial" w:cs="Arial"/>
                <w:sz w:val="20"/>
                <w:szCs w:val="20"/>
                <w:shd w:val="clear" w:color="auto" w:fill="FFFFFF"/>
              </w:rPr>
              <w:t>uravnotežen</w:t>
            </w:r>
            <w:r>
              <w:rPr>
                <w:rFonts w:ascii="Arial" w:hAnsi="Arial" w:cs="Arial"/>
                <w:sz w:val="20"/>
                <w:szCs w:val="20"/>
                <w:shd w:val="clear" w:color="auto" w:fill="FFFFFF"/>
              </w:rPr>
              <w:t>o</w:t>
            </w:r>
            <w:r w:rsidRPr="009B69A0">
              <w:rPr>
                <w:rFonts w:ascii="Arial" w:hAnsi="Arial" w:cs="Arial"/>
                <w:sz w:val="20"/>
                <w:szCs w:val="20"/>
                <w:shd w:val="clear" w:color="auto" w:fill="FFFFFF"/>
              </w:rPr>
              <w:t xml:space="preserve"> zastopanost</w:t>
            </w:r>
            <w:r>
              <w:rPr>
                <w:rFonts w:ascii="Arial" w:hAnsi="Arial" w:cs="Arial"/>
                <w:sz w:val="20"/>
                <w:szCs w:val="20"/>
                <w:shd w:val="clear" w:color="auto" w:fill="FFFFFF"/>
              </w:rPr>
              <w:t>jo</w:t>
            </w:r>
            <w:r w:rsidRPr="009B69A0">
              <w:rPr>
                <w:rFonts w:ascii="Arial" w:hAnsi="Arial" w:cs="Arial"/>
                <w:sz w:val="20"/>
                <w:szCs w:val="20"/>
                <w:shd w:val="clear" w:color="auto" w:fill="FFFFFF"/>
              </w:rPr>
              <w:t xml:space="preserve"> spolov</w:t>
            </w:r>
            <w:r w:rsidRPr="003555A0" w:rsidDel="009B69A0">
              <w:rPr>
                <w:rFonts w:ascii="Arial" w:hAnsi="Arial" w:cs="Arial"/>
                <w:sz w:val="20"/>
                <w:szCs w:val="20"/>
                <w:shd w:val="clear" w:color="auto" w:fill="FFFFFF"/>
              </w:rPr>
              <w:t xml:space="preserve"> </w:t>
            </w:r>
            <w:r>
              <w:rPr>
                <w:rFonts w:ascii="Arial" w:hAnsi="Arial" w:cs="Arial"/>
                <w:sz w:val="20"/>
                <w:szCs w:val="20"/>
                <w:shd w:val="clear" w:color="auto" w:fill="FFFFFF"/>
              </w:rPr>
              <w:t>v</w:t>
            </w:r>
            <w:r w:rsidRPr="003555A0">
              <w:rPr>
                <w:rFonts w:ascii="Arial" w:hAnsi="Arial" w:cs="Arial"/>
                <w:sz w:val="20"/>
                <w:szCs w:val="20"/>
                <w:shd w:val="clear" w:color="auto" w:fill="FFFFFF"/>
              </w:rPr>
              <w:t xml:space="preserve"> organ</w:t>
            </w:r>
            <w:r>
              <w:rPr>
                <w:rFonts w:ascii="Arial" w:hAnsi="Arial" w:cs="Arial"/>
                <w:sz w:val="20"/>
                <w:szCs w:val="20"/>
                <w:shd w:val="clear" w:color="auto" w:fill="FFFFFF"/>
              </w:rPr>
              <w:t>u</w:t>
            </w:r>
            <w:r w:rsidRPr="003555A0">
              <w:rPr>
                <w:rFonts w:ascii="Arial" w:hAnsi="Arial" w:cs="Arial"/>
                <w:sz w:val="20"/>
                <w:szCs w:val="20"/>
                <w:shd w:val="clear" w:color="auto" w:fill="FFFFFF"/>
              </w:rPr>
              <w:t xml:space="preserve"> vodenja in nadzora ter finančno uspešnostjo in dobičkonosnostjo družbe je pomembno, da te upoštevajo najvišje normative pri poslovanju in upravljanju, kar </w:t>
            </w:r>
            <w:r w:rsidRPr="003555A0">
              <w:rPr>
                <w:rFonts w:ascii="Arial" w:hAnsi="Arial" w:cs="Arial"/>
                <w:sz w:val="20"/>
                <w:szCs w:val="20"/>
              </w:rPr>
              <w:t>pomembno prispeva k uresničevanju razvojnih in drugih strateških ciljev države ter k uresničevanju javnega interesa</w:t>
            </w:r>
            <w:r w:rsidRPr="003555A0">
              <w:rPr>
                <w:rFonts w:ascii="Arial" w:hAnsi="Arial" w:cs="Arial"/>
                <w:sz w:val="20"/>
                <w:szCs w:val="20"/>
                <w:shd w:val="clear" w:color="auto" w:fill="FFFFFF"/>
              </w:rPr>
              <w:t xml:space="preserve">. </w:t>
            </w:r>
            <w:r w:rsidRPr="003555A0">
              <w:rPr>
                <w:rFonts w:ascii="Arial" w:hAnsi="Arial" w:cs="Arial"/>
                <w:sz w:val="20"/>
                <w:szCs w:val="20"/>
              </w:rPr>
              <w:t xml:space="preserve">Med pogajanji </w:t>
            </w:r>
            <w:r>
              <w:rPr>
                <w:rFonts w:ascii="Arial" w:hAnsi="Arial" w:cs="Arial"/>
                <w:sz w:val="20"/>
                <w:szCs w:val="20"/>
              </w:rPr>
              <w:t xml:space="preserve">glede </w:t>
            </w:r>
            <w:r w:rsidRPr="003555A0">
              <w:rPr>
                <w:rFonts w:ascii="Arial" w:hAnsi="Arial" w:cs="Arial"/>
                <w:sz w:val="20"/>
                <w:szCs w:val="20"/>
              </w:rPr>
              <w:t>direktive je bilo tudi večkrat poudarjeno, da imajo javne in državne gospodarske družbe velik vpliv na gospodarstvo, so prepoznavne in zgled zasebnemu sektorju.</w:t>
            </w:r>
            <w:r w:rsidRPr="003555A0">
              <w:rPr>
                <w:rFonts w:cs="Arial"/>
                <w:szCs w:val="20"/>
              </w:rPr>
              <w:t xml:space="preserve"> </w:t>
            </w:r>
            <w:r w:rsidRPr="003555A0">
              <w:rPr>
                <w:rFonts w:ascii="Arial" w:hAnsi="Arial" w:cs="Arial"/>
                <w:sz w:val="20"/>
                <w:szCs w:val="20"/>
              </w:rPr>
              <w:t>V zvezi s predlogom, da bi bile zavezanke vse državne družbe ne glede na velikost</w:t>
            </w:r>
            <w:r>
              <w:rPr>
                <w:rFonts w:ascii="Arial" w:hAnsi="Arial" w:cs="Arial"/>
                <w:sz w:val="20"/>
                <w:szCs w:val="20"/>
              </w:rPr>
              <w:t>,</w:t>
            </w:r>
            <w:r w:rsidRPr="003555A0">
              <w:rPr>
                <w:rFonts w:ascii="Arial" w:hAnsi="Arial" w:cs="Arial"/>
                <w:sz w:val="20"/>
                <w:szCs w:val="20"/>
              </w:rPr>
              <w:t xml:space="preserve"> pojasnjujemo, da smo po analogiji </w:t>
            </w:r>
            <w:r>
              <w:rPr>
                <w:rFonts w:ascii="Arial" w:hAnsi="Arial" w:cs="Arial"/>
                <w:sz w:val="20"/>
                <w:szCs w:val="20"/>
              </w:rPr>
              <w:t xml:space="preserve">z </w:t>
            </w:r>
            <w:r w:rsidRPr="003555A0">
              <w:rPr>
                <w:rFonts w:ascii="Arial" w:hAnsi="Arial" w:cs="Arial"/>
                <w:sz w:val="20"/>
                <w:szCs w:val="20"/>
              </w:rPr>
              <w:t>direktiv</w:t>
            </w:r>
            <w:r>
              <w:rPr>
                <w:rFonts w:ascii="Arial" w:hAnsi="Arial" w:cs="Arial"/>
                <w:sz w:val="20"/>
                <w:szCs w:val="20"/>
              </w:rPr>
              <w:t>o</w:t>
            </w:r>
            <w:r w:rsidRPr="003555A0">
              <w:rPr>
                <w:rFonts w:ascii="Arial" w:hAnsi="Arial" w:cs="Arial"/>
                <w:sz w:val="20"/>
                <w:szCs w:val="20"/>
              </w:rPr>
              <w:t xml:space="preserve">, ki določa, da so srednje in majhne borzne družbe izključene iz obsega uporabe, to upoštevali tudi pri širitvi </w:t>
            </w:r>
            <w:r w:rsidRPr="00586165">
              <w:rPr>
                <w:rFonts w:ascii="Arial" w:hAnsi="Arial" w:cs="Arial"/>
                <w:sz w:val="20"/>
                <w:szCs w:val="20"/>
              </w:rPr>
              <w:t xml:space="preserve">kroga </w:t>
            </w:r>
            <w:r w:rsidRPr="003555A0">
              <w:rPr>
                <w:rFonts w:ascii="Arial" w:hAnsi="Arial" w:cs="Arial"/>
                <w:sz w:val="20"/>
                <w:szCs w:val="20"/>
              </w:rPr>
              <w:t>zavezancev. Smiselno je, da se spremlja</w:t>
            </w:r>
            <w:r>
              <w:rPr>
                <w:rFonts w:ascii="Arial" w:hAnsi="Arial" w:cs="Arial"/>
                <w:sz w:val="20"/>
                <w:szCs w:val="20"/>
              </w:rPr>
              <w:t>jo</w:t>
            </w:r>
            <w:r w:rsidRPr="003555A0">
              <w:rPr>
                <w:rFonts w:ascii="Arial" w:hAnsi="Arial" w:cs="Arial"/>
                <w:sz w:val="20"/>
                <w:szCs w:val="20"/>
              </w:rPr>
              <w:t xml:space="preserve"> velike družbe, ker imajo te praviloma veččlanske organe vodenja in nadzora, v katerih je lažje zagotoviti uravnoteženo zastopanost</w:t>
            </w:r>
            <w:r>
              <w:t xml:space="preserve"> </w:t>
            </w:r>
            <w:r w:rsidRPr="006E0C85">
              <w:rPr>
                <w:rFonts w:ascii="Arial" w:hAnsi="Arial" w:cs="Arial"/>
                <w:sz w:val="20"/>
                <w:szCs w:val="20"/>
              </w:rPr>
              <w:t>spolov</w:t>
            </w:r>
            <w:r w:rsidRPr="003555A0">
              <w:rPr>
                <w:rFonts w:ascii="Arial" w:hAnsi="Arial" w:cs="Arial"/>
                <w:sz w:val="20"/>
                <w:szCs w:val="20"/>
              </w:rPr>
              <w:t>.</w:t>
            </w:r>
            <w:r w:rsidRPr="003555A0">
              <w:rPr>
                <w:rFonts w:cs="Arial"/>
                <w:szCs w:val="20"/>
              </w:rPr>
              <w:t xml:space="preserve"> </w:t>
            </w:r>
            <w:r w:rsidRPr="003555A0">
              <w:rPr>
                <w:rFonts w:ascii="Arial" w:hAnsi="Arial" w:cs="Arial"/>
                <w:sz w:val="20"/>
                <w:szCs w:val="20"/>
              </w:rPr>
              <w:t xml:space="preserve">Odločitev o obsegu </w:t>
            </w:r>
            <w:r w:rsidRPr="00586165">
              <w:rPr>
                <w:rFonts w:ascii="Arial" w:hAnsi="Arial" w:cs="Arial"/>
                <w:sz w:val="20"/>
                <w:szCs w:val="20"/>
              </w:rPr>
              <w:t xml:space="preserve">kroga </w:t>
            </w:r>
            <w:r w:rsidRPr="003555A0">
              <w:rPr>
                <w:rFonts w:ascii="Arial" w:hAnsi="Arial" w:cs="Arial"/>
                <w:sz w:val="20"/>
                <w:szCs w:val="20"/>
              </w:rPr>
              <w:t xml:space="preserve">zavezancev je temeljila tudi na mednarodno primerjalni analizi. Države članice, ki že imajo zakonsko določene deleže glede </w:t>
            </w:r>
            <w:r w:rsidRPr="006E0C85">
              <w:rPr>
                <w:rFonts w:ascii="Arial" w:hAnsi="Arial" w:cs="Arial"/>
                <w:sz w:val="20"/>
                <w:szCs w:val="20"/>
              </w:rPr>
              <w:t>uravnotežen</w:t>
            </w:r>
            <w:r>
              <w:rPr>
                <w:rFonts w:ascii="Arial" w:hAnsi="Arial" w:cs="Arial"/>
                <w:sz w:val="20"/>
                <w:szCs w:val="20"/>
              </w:rPr>
              <w:t>e</w:t>
            </w:r>
            <w:r w:rsidRPr="006E0C85"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družb, imajo večinoma to urejeno za velike borzne družbe in družbe v državni </w:t>
            </w:r>
            <w:r>
              <w:rPr>
                <w:rFonts w:ascii="Arial" w:hAnsi="Arial" w:cs="Arial"/>
                <w:sz w:val="20"/>
                <w:szCs w:val="20"/>
              </w:rPr>
              <w:t>ali</w:t>
            </w:r>
            <w:r w:rsidRPr="003555A0">
              <w:rPr>
                <w:rFonts w:ascii="Arial" w:hAnsi="Arial" w:cs="Arial"/>
                <w:sz w:val="20"/>
                <w:szCs w:val="20"/>
              </w:rPr>
              <w:t xml:space="preserve"> lokalni lasti. V nekaterih državah (Nemčija, Nizozemska) so velike zasebne družbe</w:t>
            </w:r>
            <w:r w:rsidRPr="003555A0">
              <w:rPr>
                <w:rFonts w:ascii="Arial" w:hAnsi="Arial" w:cs="Arial"/>
                <w:sz w:val="20"/>
                <w:szCs w:val="20"/>
                <w:shd w:val="clear" w:color="auto" w:fill="FFFFFF"/>
              </w:rPr>
              <w:t xml:space="preserve"> zavezane, da določijo ambiciozne prostovoljne ciljne deleže zastopanosti na najvišjih vodilnih mestih v družbah. </w:t>
            </w:r>
            <w:r>
              <w:rPr>
                <w:rFonts w:ascii="Arial" w:hAnsi="Arial" w:cs="Arial"/>
                <w:sz w:val="20"/>
                <w:szCs w:val="20"/>
                <w:shd w:val="clear" w:color="auto" w:fill="FFFFFF"/>
              </w:rPr>
              <w:t>Tako</w:t>
            </w:r>
            <w:r w:rsidRPr="003555A0">
              <w:rPr>
                <w:rFonts w:ascii="Arial" w:hAnsi="Arial" w:cs="Arial"/>
                <w:sz w:val="20"/>
                <w:szCs w:val="20"/>
                <w:shd w:val="clear" w:color="auto" w:fill="FFFFFF"/>
              </w:rPr>
              <w:t xml:space="preserve"> države spodbujajo tudi zasebne družbe k prizadevanjem, da zagotovijo uravnoteženo zastopanost </w:t>
            </w:r>
            <w:r w:rsidRPr="006E0C85">
              <w:rPr>
                <w:rFonts w:ascii="Arial" w:hAnsi="Arial" w:cs="Arial"/>
                <w:sz w:val="20"/>
                <w:szCs w:val="20"/>
                <w:shd w:val="clear" w:color="auto" w:fill="FFFFFF"/>
              </w:rPr>
              <w:t xml:space="preserve">spolov </w:t>
            </w:r>
            <w:r w:rsidRPr="003555A0">
              <w:rPr>
                <w:rFonts w:ascii="Arial" w:hAnsi="Arial" w:cs="Arial"/>
                <w:sz w:val="20"/>
                <w:szCs w:val="20"/>
                <w:shd w:val="clear" w:color="auto" w:fill="FFFFFF"/>
              </w:rPr>
              <w:t>na najvišjih vodilnih mestih.</w:t>
            </w:r>
            <w:r w:rsidRPr="003555A0">
              <w:rPr>
                <w:rFonts w:ascii="Arial" w:hAnsi="Arial" w:cs="Arial"/>
                <w:sz w:val="20"/>
                <w:szCs w:val="20"/>
              </w:rPr>
              <w:t xml:space="preserve"> Države članice, ki imajo zakonsko že urejene zahteve v zvezi z uravnoteženo zastopanostjo spolov v organih vodenja in nadzora v gospodarskih družbah, so postop</w:t>
            </w:r>
            <w:r>
              <w:rPr>
                <w:rFonts w:ascii="Arial" w:hAnsi="Arial" w:cs="Arial"/>
                <w:sz w:val="20"/>
                <w:szCs w:val="20"/>
              </w:rPr>
              <w:t>n</w:t>
            </w:r>
            <w:r w:rsidRPr="003555A0">
              <w:rPr>
                <w:rFonts w:ascii="Arial" w:hAnsi="Arial" w:cs="Arial"/>
                <w:sz w:val="20"/>
                <w:szCs w:val="20"/>
              </w:rPr>
              <w:t xml:space="preserve">o širile obseg </w:t>
            </w:r>
            <w:r w:rsidRPr="00586165">
              <w:rPr>
                <w:rFonts w:ascii="Arial" w:hAnsi="Arial" w:cs="Arial"/>
                <w:sz w:val="20"/>
                <w:szCs w:val="20"/>
              </w:rPr>
              <w:t xml:space="preserve">kroga </w:t>
            </w:r>
            <w:r w:rsidRPr="003555A0">
              <w:rPr>
                <w:rFonts w:ascii="Arial" w:hAnsi="Arial" w:cs="Arial"/>
                <w:sz w:val="20"/>
                <w:szCs w:val="20"/>
              </w:rPr>
              <w:t>zavezancev, ki morajo spoštovati zadevna pravila. Večina držav je v prvi fazi vključila velike javne družbe oziroma borzne družbe in nekatere tudi družbe v večinski lasti države</w:t>
            </w:r>
            <w:r w:rsidRPr="003555A0" w:rsidDel="00B14678">
              <w:rPr>
                <w:rFonts w:ascii="Arial" w:hAnsi="Arial" w:cs="Arial"/>
                <w:sz w:val="20"/>
                <w:szCs w:val="20"/>
              </w:rPr>
              <w:t xml:space="preserve"> </w:t>
            </w:r>
            <w:r>
              <w:rPr>
                <w:rFonts w:ascii="Arial" w:hAnsi="Arial" w:cs="Arial"/>
                <w:sz w:val="20"/>
                <w:szCs w:val="20"/>
              </w:rPr>
              <w:t>ali</w:t>
            </w:r>
            <w:r w:rsidRPr="003555A0">
              <w:rPr>
                <w:rFonts w:ascii="Arial" w:hAnsi="Arial" w:cs="Arial"/>
                <w:sz w:val="20"/>
                <w:szCs w:val="20"/>
              </w:rPr>
              <w:t xml:space="preserve"> lokalnih skupnosti, obseg zavezancev</w:t>
            </w:r>
            <w:r w:rsidRPr="003555A0" w:rsidDel="00B14678">
              <w:rPr>
                <w:rFonts w:ascii="Arial" w:hAnsi="Arial" w:cs="Arial"/>
                <w:sz w:val="20"/>
                <w:szCs w:val="20"/>
              </w:rPr>
              <w:t xml:space="preserve"> </w:t>
            </w:r>
            <w:r>
              <w:rPr>
                <w:rFonts w:ascii="Arial" w:hAnsi="Arial" w:cs="Arial"/>
                <w:sz w:val="20"/>
                <w:szCs w:val="20"/>
              </w:rPr>
              <w:t xml:space="preserve">pa </w:t>
            </w:r>
            <w:r w:rsidRPr="003555A0">
              <w:rPr>
                <w:rFonts w:ascii="Arial" w:hAnsi="Arial" w:cs="Arial"/>
                <w:sz w:val="20"/>
                <w:szCs w:val="20"/>
              </w:rPr>
              <w:t>so širile</w:t>
            </w:r>
            <w:r w:rsidRPr="003555A0" w:rsidDel="00B14678">
              <w:rPr>
                <w:rFonts w:ascii="Arial" w:hAnsi="Arial" w:cs="Arial"/>
                <w:sz w:val="20"/>
                <w:szCs w:val="20"/>
              </w:rPr>
              <w:t xml:space="preserve"> </w:t>
            </w:r>
            <w:r w:rsidRPr="003555A0">
              <w:rPr>
                <w:rFonts w:ascii="Arial" w:hAnsi="Arial" w:cs="Arial"/>
                <w:sz w:val="20"/>
                <w:szCs w:val="20"/>
              </w:rPr>
              <w:t xml:space="preserve">šele po določenem (večletnem) obdobju na podlagi spremljanja izvajanja zakonskih določb in stanja na področju. Glede na </w:t>
            </w:r>
            <w:r>
              <w:rPr>
                <w:rFonts w:ascii="Arial" w:hAnsi="Arial" w:cs="Arial"/>
                <w:sz w:val="20"/>
                <w:szCs w:val="20"/>
              </w:rPr>
              <w:t>to</w:t>
            </w:r>
            <w:r w:rsidRPr="003555A0">
              <w:rPr>
                <w:rFonts w:ascii="Arial" w:hAnsi="Arial" w:cs="Arial"/>
                <w:sz w:val="20"/>
                <w:szCs w:val="20"/>
              </w:rPr>
              <w:t xml:space="preserve">, da v Republiki Sloveniji prvič zakonsko urejamo področje glede uravnotežene zastopanosti </w:t>
            </w:r>
            <w:r w:rsidRPr="006E0C85">
              <w:rPr>
                <w:rFonts w:ascii="Arial" w:hAnsi="Arial" w:cs="Arial"/>
                <w:sz w:val="20"/>
                <w:szCs w:val="20"/>
              </w:rPr>
              <w:t xml:space="preserve">spolov </w:t>
            </w:r>
            <w:r w:rsidRPr="003555A0">
              <w:rPr>
                <w:rFonts w:ascii="Arial" w:hAnsi="Arial" w:cs="Arial"/>
                <w:sz w:val="20"/>
                <w:szCs w:val="20"/>
              </w:rPr>
              <w:t xml:space="preserve">na najvišjih položajih odločanja v gospodarskih družbah, bi bil lahko tako širok krog zavezancev (poleg borznih, državnih in lokalnih družb tudi velike zasebne družbe) nesorazmerno obremenjujoč za zasebne družbe. </w:t>
            </w:r>
            <w:r>
              <w:rPr>
                <w:rFonts w:ascii="Arial" w:hAnsi="Arial" w:cs="Arial"/>
                <w:sz w:val="20"/>
                <w:szCs w:val="20"/>
              </w:rPr>
              <w:t>Menimo</w:t>
            </w:r>
            <w:r w:rsidRPr="003555A0">
              <w:rPr>
                <w:rFonts w:ascii="Arial" w:hAnsi="Arial" w:cs="Arial"/>
                <w:sz w:val="20"/>
                <w:szCs w:val="20"/>
              </w:rPr>
              <w:t xml:space="preserve">, da bi to pomenilo prevelik poseg v zasebni sektor, ki potrebuje čas za prilagoditve na področju. Iz teorije je razvidno, da so potrebne družbene, institucionalne in individualne spremembe, če želimo doseči cilj glede uravnotežene zastopanosti spolov v organih vodenja in nadzora gospodarskih družb. Ker je treba </w:t>
            </w:r>
            <w:r>
              <w:rPr>
                <w:rFonts w:ascii="Arial" w:hAnsi="Arial" w:cs="Arial"/>
                <w:sz w:val="20"/>
                <w:szCs w:val="20"/>
              </w:rPr>
              <w:t xml:space="preserve">v </w:t>
            </w:r>
            <w:r w:rsidRPr="003555A0">
              <w:rPr>
                <w:rFonts w:ascii="Arial" w:hAnsi="Arial" w:cs="Arial"/>
                <w:sz w:val="20"/>
                <w:szCs w:val="20"/>
              </w:rPr>
              <w:t>sklad</w:t>
            </w:r>
            <w:r>
              <w:rPr>
                <w:rFonts w:ascii="Arial" w:hAnsi="Arial" w:cs="Arial"/>
                <w:sz w:val="20"/>
                <w:szCs w:val="20"/>
              </w:rPr>
              <w:t>u</w:t>
            </w:r>
            <w:r w:rsidRPr="003555A0">
              <w:rPr>
                <w:rFonts w:ascii="Arial" w:hAnsi="Arial" w:cs="Arial"/>
                <w:sz w:val="20"/>
                <w:szCs w:val="20"/>
              </w:rPr>
              <w:t xml:space="preserve"> z direktivo </w:t>
            </w:r>
            <w:r w:rsidRPr="003555A0">
              <w:rPr>
                <w:rFonts w:ascii="Arial" w:hAnsi="Arial" w:cs="Arial"/>
                <w:sz w:val="20"/>
                <w:szCs w:val="20"/>
              </w:rPr>
              <w:lastRenderedPageBreak/>
              <w:t>imenovati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w:t>
            </w:r>
            <w:r w:rsidRPr="003555A0">
              <w:rPr>
                <w:rStyle w:val="normaltextrun"/>
                <w:rFonts w:ascii="Arial" w:hAnsi="Arial" w:cs="Arial"/>
                <w:color w:val="000000"/>
                <w:sz w:val="20"/>
                <w:szCs w:val="20"/>
                <w:bdr w:val="none" w:sz="0" w:space="0" w:color="auto" w:frame="1"/>
              </w:rPr>
              <w:t>člani organov vodenja in nadzora ter izvršnimi direktorji</w:t>
            </w:r>
            <w:r>
              <w:rPr>
                <w:rStyle w:val="normaltextrun"/>
                <w:rFonts w:ascii="Arial" w:hAnsi="Arial" w:cs="Arial"/>
                <w:color w:val="000000"/>
                <w:sz w:val="20"/>
                <w:szCs w:val="20"/>
                <w:bdr w:val="none" w:sz="0" w:space="0" w:color="auto" w:frame="1"/>
              </w:rPr>
              <w:t>,</w:t>
            </w:r>
            <w:r w:rsidRPr="003555A0">
              <w:rPr>
                <w:rStyle w:val="normaltextrun"/>
                <w:rFonts w:ascii="Arial" w:hAnsi="Arial" w:cs="Arial"/>
                <w:color w:val="000000"/>
                <w:sz w:val="20"/>
                <w:szCs w:val="20"/>
                <w:bdr w:val="none" w:sz="0" w:space="0" w:color="auto" w:frame="1"/>
              </w:rPr>
              <w:t xml:space="preserve"> pričakujemo, da bodo družbe v </w:t>
            </w:r>
            <w:r>
              <w:rPr>
                <w:rStyle w:val="normaltextrun"/>
                <w:rFonts w:ascii="Arial" w:hAnsi="Arial" w:cs="Arial"/>
                <w:color w:val="000000"/>
                <w:sz w:val="20"/>
                <w:szCs w:val="20"/>
                <w:bdr w:val="none" w:sz="0" w:space="0" w:color="auto" w:frame="1"/>
              </w:rPr>
              <w:t>nekem</w:t>
            </w:r>
            <w:r w:rsidRPr="003555A0">
              <w:rPr>
                <w:rStyle w:val="normaltextrun"/>
                <w:rFonts w:ascii="Arial" w:hAnsi="Arial" w:cs="Arial"/>
                <w:color w:val="000000"/>
                <w:sz w:val="20"/>
                <w:szCs w:val="20"/>
                <w:bdr w:val="none" w:sz="0" w:space="0" w:color="auto" w:frame="1"/>
              </w:rPr>
              <w:t xml:space="preserve"> obdobju bolj ozaveščene o pozitivnih vidikih, ki jih </w:t>
            </w:r>
            <w:r>
              <w:rPr>
                <w:rStyle w:val="normaltextrun"/>
                <w:rFonts w:ascii="Arial" w:hAnsi="Arial" w:cs="Arial"/>
                <w:color w:val="000000"/>
                <w:sz w:val="20"/>
                <w:szCs w:val="20"/>
                <w:bdr w:val="none" w:sz="0" w:space="0" w:color="auto" w:frame="1"/>
              </w:rPr>
              <w:t>omogoča</w:t>
            </w:r>
            <w:r w:rsidRPr="003555A0">
              <w:rPr>
                <w:rStyle w:val="normaltextrun"/>
                <w:rFonts w:ascii="Arial" w:hAnsi="Arial" w:cs="Arial"/>
                <w:color w:val="000000"/>
                <w:sz w:val="20"/>
                <w:szCs w:val="20"/>
                <w:bdr w:val="none" w:sz="0" w:space="0" w:color="auto" w:frame="1"/>
              </w:rPr>
              <w:t xml:space="preserve"> </w:t>
            </w:r>
            <w:r w:rsidRPr="009B69A0">
              <w:rPr>
                <w:rStyle w:val="normaltextrun"/>
                <w:rFonts w:ascii="Arial" w:hAnsi="Arial" w:cs="Arial"/>
                <w:color w:val="000000"/>
                <w:sz w:val="20"/>
                <w:szCs w:val="20"/>
                <w:bdr w:val="none" w:sz="0" w:space="0" w:color="auto" w:frame="1"/>
              </w:rPr>
              <w:t>uravnotežen</w:t>
            </w:r>
            <w:r>
              <w:rPr>
                <w:rStyle w:val="normaltextrun"/>
                <w:rFonts w:ascii="Arial" w:hAnsi="Arial" w:cs="Arial"/>
                <w:color w:val="000000"/>
                <w:sz w:val="20"/>
                <w:szCs w:val="20"/>
                <w:bdr w:val="none" w:sz="0" w:space="0" w:color="auto" w:frame="1"/>
              </w:rPr>
              <w:t>a</w:t>
            </w:r>
            <w:r w:rsidRPr="009B69A0">
              <w:rPr>
                <w:rStyle w:val="normaltextrun"/>
                <w:rFonts w:ascii="Arial" w:hAnsi="Arial" w:cs="Arial"/>
                <w:color w:val="000000"/>
                <w:sz w:val="20"/>
                <w:szCs w:val="20"/>
                <w:bdr w:val="none" w:sz="0" w:space="0" w:color="auto" w:frame="1"/>
              </w:rPr>
              <w:t xml:space="preserve"> zastopanost spolov</w:t>
            </w:r>
            <w:r w:rsidRPr="009B69A0" w:rsidDel="009B69A0">
              <w:rPr>
                <w:rStyle w:val="normaltextrun"/>
                <w:rFonts w:ascii="Arial" w:hAnsi="Arial" w:cs="Arial"/>
                <w:color w:val="000000"/>
                <w:sz w:val="20"/>
                <w:szCs w:val="20"/>
                <w:bdr w:val="none" w:sz="0" w:space="0" w:color="auto" w:frame="1"/>
              </w:rPr>
              <w:t xml:space="preserve"> </w:t>
            </w:r>
            <w:r w:rsidRPr="003555A0">
              <w:rPr>
                <w:rStyle w:val="normaltextrun"/>
                <w:rFonts w:ascii="Arial" w:hAnsi="Arial" w:cs="Arial"/>
                <w:color w:val="000000"/>
                <w:sz w:val="20"/>
                <w:szCs w:val="20"/>
                <w:bdr w:val="none" w:sz="0" w:space="0" w:color="auto" w:frame="1"/>
              </w:rPr>
              <w:t xml:space="preserve">v organih vodenja in nadzora, zato bodo prostovoljno sledile k zagotoviti ciljev glede uravnotežene zastopanosti </w:t>
            </w:r>
            <w:r w:rsidRPr="006E0C85">
              <w:rPr>
                <w:rStyle w:val="normaltextrun"/>
                <w:rFonts w:ascii="Arial" w:hAnsi="Arial" w:cs="Arial"/>
                <w:color w:val="000000"/>
                <w:sz w:val="20"/>
                <w:szCs w:val="20"/>
                <w:bdr w:val="none" w:sz="0" w:space="0" w:color="auto" w:frame="1"/>
              </w:rPr>
              <w:t xml:space="preserve">spolov </w:t>
            </w:r>
            <w:r w:rsidRPr="003555A0">
              <w:rPr>
                <w:rStyle w:val="normaltextrun"/>
                <w:rFonts w:ascii="Arial" w:hAnsi="Arial" w:cs="Arial"/>
                <w:color w:val="000000"/>
                <w:sz w:val="20"/>
                <w:szCs w:val="20"/>
                <w:bdr w:val="none" w:sz="0" w:space="0" w:color="auto" w:frame="1"/>
              </w:rPr>
              <w:t xml:space="preserve">na najvišjih vodstvenih položajih v družbah. </w:t>
            </w:r>
            <w:r w:rsidRPr="003555A0">
              <w:rPr>
                <w:rFonts w:ascii="Arial" w:hAnsi="Arial" w:cs="Arial"/>
                <w:sz w:val="20"/>
                <w:szCs w:val="20"/>
              </w:rPr>
              <w:t>Z nesorazmernim obsegom</w:t>
            </w:r>
            <w:r>
              <w:t xml:space="preserve"> </w:t>
            </w:r>
            <w:r w:rsidRPr="00586165">
              <w:rPr>
                <w:rFonts w:ascii="Arial" w:hAnsi="Arial" w:cs="Arial"/>
                <w:sz w:val="20"/>
                <w:szCs w:val="20"/>
              </w:rPr>
              <w:t>kroga</w:t>
            </w:r>
            <w:r w:rsidRPr="003555A0">
              <w:rPr>
                <w:rFonts w:ascii="Arial" w:hAnsi="Arial" w:cs="Arial"/>
                <w:sz w:val="20"/>
                <w:szCs w:val="20"/>
              </w:rPr>
              <w:t xml:space="preserve"> zavezancev bi presegli cilj in namen predloga zakona, ki je doseči bolj uravnoteženo zastopanost žensk in moških v organih vodenja in nadzora v najvplivnejših gospodarskih družbah (tj. velikih borznih, državnih in lokalnih družbah), </w:t>
            </w:r>
            <w:r>
              <w:rPr>
                <w:rFonts w:ascii="Arial" w:hAnsi="Arial" w:cs="Arial"/>
                <w:sz w:val="20"/>
                <w:szCs w:val="20"/>
              </w:rPr>
              <w:t>ki</w:t>
            </w:r>
            <w:r w:rsidRPr="003555A0">
              <w:rPr>
                <w:rFonts w:ascii="Arial" w:hAnsi="Arial" w:cs="Arial"/>
                <w:sz w:val="20"/>
                <w:szCs w:val="20"/>
              </w:rPr>
              <w:t xml:space="preserve"> so zgled in postavljajo standarde za celotni trg. Cilj je tudi pospešiti napredek na področju, vendar ob upoštevanju, da se družbam dopusti dovolj časa za uvedbo potrebnih ukrepov za dosego navedenega cilja. Iz direktive</w:t>
            </w:r>
            <w:r w:rsidRPr="003555A0" w:rsidDel="00B14678">
              <w:rPr>
                <w:rFonts w:ascii="Arial" w:hAnsi="Arial" w:cs="Arial"/>
                <w:sz w:val="20"/>
                <w:szCs w:val="20"/>
              </w:rPr>
              <w:t xml:space="preserve"> </w:t>
            </w:r>
            <w:r>
              <w:rPr>
                <w:rFonts w:ascii="Arial" w:hAnsi="Arial" w:cs="Arial"/>
                <w:sz w:val="20"/>
                <w:szCs w:val="20"/>
              </w:rPr>
              <w:t>in</w:t>
            </w:r>
            <w:r w:rsidRPr="003555A0">
              <w:rPr>
                <w:rFonts w:ascii="Arial" w:hAnsi="Arial" w:cs="Arial"/>
                <w:sz w:val="20"/>
                <w:szCs w:val="20"/>
              </w:rPr>
              <w:t xml:space="preserve"> iz predloga zakona izhaja, da je namen določiti učinkovite ukrepe, ki bodo spodbudili napredek pri zagotavljanju uravnotežene zastopanosti spolov na najvišjih vodilnih položajih v družbah.</w:t>
            </w:r>
            <w:r w:rsidRPr="003555A0">
              <w:rPr>
                <w:rFonts w:cs="Arial"/>
                <w:szCs w:val="20"/>
              </w:rPr>
              <w:t xml:space="preserve"> </w:t>
            </w:r>
            <w:r w:rsidRPr="003555A0">
              <w:rPr>
                <w:rFonts w:ascii="Arial" w:hAnsi="Arial" w:cs="Arial"/>
                <w:sz w:val="20"/>
                <w:szCs w:val="20"/>
              </w:rPr>
              <w:t xml:space="preserve">Dodaten argument za predlog obsega </w:t>
            </w:r>
            <w:r w:rsidRPr="00586165">
              <w:rPr>
                <w:rFonts w:ascii="Arial" w:hAnsi="Arial" w:cs="Arial"/>
                <w:sz w:val="20"/>
                <w:szCs w:val="20"/>
              </w:rPr>
              <w:t xml:space="preserve">kroga </w:t>
            </w:r>
            <w:r w:rsidRPr="003555A0">
              <w:rPr>
                <w:rFonts w:ascii="Arial" w:hAnsi="Arial" w:cs="Arial"/>
                <w:sz w:val="20"/>
                <w:szCs w:val="20"/>
              </w:rPr>
              <w:t xml:space="preserve">zavezancev je tudi narava direktive, na podlagi katere se v </w:t>
            </w:r>
            <w:r>
              <w:rPr>
                <w:rFonts w:ascii="Arial" w:hAnsi="Arial" w:cs="Arial"/>
                <w:sz w:val="20"/>
                <w:szCs w:val="20"/>
              </w:rPr>
              <w:t>določenem</w:t>
            </w:r>
            <w:r w:rsidRPr="003555A0" w:rsidDel="00B14678">
              <w:rPr>
                <w:rFonts w:ascii="Arial" w:hAnsi="Arial" w:cs="Arial"/>
                <w:sz w:val="20"/>
                <w:szCs w:val="20"/>
              </w:rPr>
              <w:t xml:space="preserve"> </w:t>
            </w:r>
            <w:r w:rsidRPr="003555A0">
              <w:rPr>
                <w:rFonts w:ascii="Arial" w:hAnsi="Arial" w:cs="Arial"/>
                <w:sz w:val="20"/>
                <w:szCs w:val="20"/>
              </w:rPr>
              <w:t xml:space="preserve">obdobju pričakuje napredek </w:t>
            </w:r>
            <w:r>
              <w:rPr>
                <w:rFonts w:ascii="Arial" w:hAnsi="Arial" w:cs="Arial"/>
                <w:sz w:val="20"/>
                <w:szCs w:val="20"/>
              </w:rPr>
              <w:t>glede</w:t>
            </w:r>
            <w:r w:rsidRPr="003555A0">
              <w:rPr>
                <w:rFonts w:ascii="Arial" w:hAnsi="Arial" w:cs="Arial"/>
                <w:sz w:val="20"/>
                <w:szCs w:val="20"/>
              </w:rPr>
              <w:t xml:space="preserve"> uravnotežene zastopanosti </w:t>
            </w:r>
            <w:r w:rsidRPr="006E0C85">
              <w:rPr>
                <w:rFonts w:ascii="Arial" w:hAnsi="Arial" w:cs="Arial"/>
                <w:sz w:val="20"/>
                <w:szCs w:val="20"/>
              </w:rPr>
              <w:t xml:space="preserve">spolov </w:t>
            </w:r>
            <w:r w:rsidRPr="003555A0">
              <w:rPr>
                <w:rFonts w:ascii="Arial" w:hAnsi="Arial" w:cs="Arial"/>
                <w:sz w:val="20"/>
                <w:szCs w:val="20"/>
              </w:rPr>
              <w:t xml:space="preserve">na najvišjih položajih odločanja v družbah. Namreč, veljavnost direktive je časovno omejena, in sicer naj bi prenehala veljati 31. 12. 2038. </w:t>
            </w:r>
            <w:r>
              <w:rPr>
                <w:rFonts w:ascii="Arial" w:hAnsi="Arial" w:cs="Arial"/>
                <w:sz w:val="20"/>
                <w:szCs w:val="20"/>
              </w:rPr>
              <w:t>K</w:t>
            </w:r>
            <w:r w:rsidRPr="003555A0">
              <w:rPr>
                <w:rFonts w:ascii="Arial" w:hAnsi="Arial" w:cs="Arial"/>
                <w:sz w:val="20"/>
                <w:szCs w:val="20"/>
              </w:rPr>
              <w:t>omisija bo morala poročilo o</w:t>
            </w:r>
            <w:r w:rsidRPr="003555A0" w:rsidDel="00B14678">
              <w:rPr>
                <w:rFonts w:ascii="Arial" w:hAnsi="Arial" w:cs="Arial"/>
                <w:sz w:val="20"/>
                <w:szCs w:val="20"/>
              </w:rPr>
              <w:t xml:space="preserve"> </w:t>
            </w:r>
            <w:r>
              <w:rPr>
                <w:rFonts w:ascii="Arial" w:hAnsi="Arial" w:cs="Arial"/>
                <w:sz w:val="20"/>
                <w:szCs w:val="20"/>
              </w:rPr>
              <w:t>izvajanju</w:t>
            </w:r>
            <w:r w:rsidRPr="003555A0">
              <w:rPr>
                <w:rFonts w:ascii="Arial" w:hAnsi="Arial" w:cs="Arial"/>
                <w:sz w:val="20"/>
                <w:szCs w:val="20"/>
              </w:rPr>
              <w:t xml:space="preserve"> direktive in stanju na področju </w:t>
            </w:r>
            <w:r w:rsidRPr="003555A0">
              <w:rPr>
                <w:rFonts w:ascii="Arial" w:hAnsi="Arial" w:cs="Arial"/>
                <w:color w:val="000000"/>
                <w:sz w:val="20"/>
                <w:szCs w:val="20"/>
                <w:shd w:val="clear" w:color="auto" w:fill="FFFFFF"/>
              </w:rPr>
              <w:t>za</w:t>
            </w:r>
            <w:r w:rsidRPr="003555A0">
              <w:rPr>
                <w:rFonts w:ascii="Arial" w:hAnsi="Arial" w:cs="Arial"/>
                <w:sz w:val="20"/>
                <w:szCs w:val="20"/>
              </w:rPr>
              <w:t xml:space="preserve"> Evropski parlament in Svet pripraviti do</w:t>
            </w:r>
            <w:r w:rsidRPr="003555A0">
              <w:rPr>
                <w:rFonts w:ascii="Arial" w:hAnsi="Arial" w:cs="Arial"/>
                <w:color w:val="000000"/>
                <w:sz w:val="20"/>
                <w:szCs w:val="20"/>
                <w:shd w:val="clear" w:color="auto" w:fill="FFFFFF"/>
              </w:rPr>
              <w:t xml:space="preserve"> 31. 12. 2030</w:t>
            </w:r>
            <w:r w:rsidRPr="003555A0">
              <w:rPr>
                <w:rFonts w:ascii="Arial" w:hAnsi="Arial" w:cs="Arial"/>
                <w:sz w:val="20"/>
                <w:szCs w:val="20"/>
              </w:rPr>
              <w:t>,</w:t>
            </w:r>
            <w:r w:rsidRPr="003555A0" w:rsidDel="00B14678">
              <w:rPr>
                <w:rFonts w:ascii="Arial" w:hAnsi="Arial" w:cs="Arial"/>
                <w:sz w:val="20"/>
                <w:szCs w:val="20"/>
              </w:rPr>
              <w:t xml:space="preserve"> </w:t>
            </w:r>
            <w:r w:rsidRPr="003555A0">
              <w:rPr>
                <w:rFonts w:ascii="Arial" w:hAnsi="Arial" w:cs="Arial"/>
                <w:sz w:val="20"/>
                <w:szCs w:val="20"/>
              </w:rPr>
              <w:t xml:space="preserve">po tem datumu </w:t>
            </w:r>
            <w:r>
              <w:rPr>
                <w:rFonts w:ascii="Arial" w:hAnsi="Arial" w:cs="Arial"/>
                <w:sz w:val="20"/>
                <w:szCs w:val="20"/>
              </w:rPr>
              <w:t xml:space="preserve">pa </w:t>
            </w:r>
            <w:r w:rsidRPr="003555A0">
              <w:rPr>
                <w:rFonts w:ascii="Arial" w:hAnsi="Arial" w:cs="Arial"/>
                <w:color w:val="000000"/>
                <w:sz w:val="20"/>
                <w:szCs w:val="20"/>
                <w:shd w:val="clear" w:color="auto" w:fill="FFFFFF"/>
              </w:rPr>
              <w:t>vsaki dve leti</w:t>
            </w:r>
            <w:r w:rsidRPr="003555A0">
              <w:rPr>
                <w:rFonts w:ascii="Arial" w:hAnsi="Arial" w:cs="Arial"/>
                <w:sz w:val="20"/>
                <w:szCs w:val="20"/>
              </w:rPr>
              <w:t xml:space="preserve">. </w:t>
            </w:r>
            <w:r w:rsidRPr="003555A0">
              <w:rPr>
                <w:rFonts w:ascii="Arial" w:hAnsi="Arial" w:cs="Arial"/>
                <w:color w:val="000000"/>
                <w:sz w:val="20"/>
                <w:szCs w:val="20"/>
                <w:shd w:val="clear" w:color="auto" w:fill="FFFFFF"/>
              </w:rPr>
              <w:t xml:space="preserve">Ob upoštevanju napredka v zvezi z zastopanostjo žensk in moških v organih družb na različnih ravneh odločanja v celotnem gospodarstvu ter ob upoštevanju, ali je doseženi napredek dovolj trajen, bo Komisija </w:t>
            </w:r>
            <w:r>
              <w:rPr>
                <w:rFonts w:ascii="Arial" w:hAnsi="Arial" w:cs="Arial"/>
                <w:color w:val="000000"/>
                <w:sz w:val="20"/>
                <w:szCs w:val="20"/>
                <w:shd w:val="clear" w:color="auto" w:fill="FFFFFF"/>
              </w:rPr>
              <w:t>presodila</w:t>
            </w:r>
            <w:r w:rsidRPr="003555A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ali</w:t>
            </w:r>
            <w:r w:rsidRPr="003555A0">
              <w:rPr>
                <w:rFonts w:ascii="Arial" w:hAnsi="Arial" w:cs="Arial"/>
                <w:color w:val="000000"/>
                <w:sz w:val="20"/>
                <w:szCs w:val="20"/>
                <w:shd w:val="clear" w:color="auto" w:fill="FFFFFF"/>
              </w:rPr>
              <w:t xml:space="preserve"> so bili doseženi cilji direktive in ali je ta direktiva učinkovit in uspešen instrument za zagotovitev bolj uravnotežene zastopanosti spolov v organih družb. Na podlagi te ocene bo morala Komisija pr</w:t>
            </w:r>
            <w:r>
              <w:rPr>
                <w:rFonts w:ascii="Arial" w:hAnsi="Arial" w:cs="Arial"/>
                <w:color w:val="000000"/>
                <w:sz w:val="20"/>
                <w:szCs w:val="20"/>
                <w:shd w:val="clear" w:color="auto" w:fill="FFFFFF"/>
              </w:rPr>
              <w:t>o</w:t>
            </w:r>
            <w:r w:rsidRPr="003555A0">
              <w:rPr>
                <w:rFonts w:ascii="Arial" w:hAnsi="Arial" w:cs="Arial"/>
                <w:color w:val="000000"/>
                <w:sz w:val="20"/>
                <w:szCs w:val="20"/>
                <w:shd w:val="clear" w:color="auto" w:fill="FFFFFF"/>
              </w:rPr>
              <w:t>učiti, ali bo treba podaljšati veljavnost te direktive po 31. 12. 2038 ali pa jo bo treba spremeniti, na primer z razširitvijo njenega področja uporabe na družbe, ki ne kotirajo na borzi in ne spadajo v opredelitev MSP, da se zagotovi nadaljnji napredek pri zagotavljanju bolj uravnotežene zastopanosti žensk in moških na izvršnih in neizvršnih direktorskih mestih ali na vseh direktorskih mestih v družbah, ki kotirajo na borzi (gl. 13. člen Direktive (EU) 2022/2381).</w:t>
            </w:r>
            <w:r w:rsidRPr="003555A0">
              <w:rPr>
                <w:rFonts w:cs="Arial"/>
                <w:color w:val="000000"/>
                <w:szCs w:val="20"/>
                <w:shd w:val="clear" w:color="auto" w:fill="FFFFFF"/>
              </w:rPr>
              <w:t xml:space="preserve"> </w:t>
            </w:r>
            <w:r w:rsidRPr="003555A0">
              <w:rPr>
                <w:rFonts w:ascii="Arial" w:hAnsi="Arial" w:cs="Arial"/>
                <w:sz w:val="20"/>
                <w:szCs w:val="20"/>
              </w:rPr>
              <w:t xml:space="preserve">S širjenjem </w:t>
            </w:r>
            <w:r>
              <w:rPr>
                <w:rFonts w:ascii="Arial" w:hAnsi="Arial" w:cs="Arial"/>
                <w:sz w:val="20"/>
                <w:szCs w:val="20"/>
              </w:rPr>
              <w:t>k</w:t>
            </w:r>
            <w:r>
              <w:t xml:space="preserve">roga </w:t>
            </w:r>
            <w:r w:rsidRPr="003555A0">
              <w:rPr>
                <w:rFonts w:ascii="Arial" w:hAnsi="Arial" w:cs="Arial"/>
                <w:sz w:val="20"/>
                <w:szCs w:val="20"/>
              </w:rPr>
              <w:t>zavezancev na zasebne družbe bi lahko posegli tudi v ustavno pravico do svobodne gospodarske pobude, zagotovljene s 74. členom Ustave Republike Slovenije in do zasebne lastnine, zagotovljene s 33. členom Ustave Republike Slovenije. Kot izhaja iz komentarja Ustave RS k navedenemu členu, je omejitev svobodne gospodarske pobude dovoljena ob upoštevanju načela sorazmernosti zaradi varovanja javne koristi. Pri tem je treba izbrati zakonski ukrep, ki bo zagotovil učinkovito varstvo javne koristi in hkrati najmanj posegel v ustavno pravico. Sprašujemo se, ali bi bile</w:t>
            </w:r>
            <w:r w:rsidRPr="003555A0" w:rsidDel="00E37DCB">
              <w:rPr>
                <w:rFonts w:ascii="Arial" w:hAnsi="Arial" w:cs="Arial"/>
                <w:sz w:val="20"/>
                <w:szCs w:val="20"/>
              </w:rPr>
              <w:t xml:space="preserve"> </w:t>
            </w:r>
            <w:r w:rsidRPr="003555A0">
              <w:rPr>
                <w:rFonts w:ascii="Arial" w:hAnsi="Arial" w:cs="Arial"/>
                <w:sz w:val="20"/>
                <w:szCs w:val="20"/>
              </w:rPr>
              <w:t>zahteve glede uravnotežene</w:t>
            </w:r>
            <w:r w:rsidRPr="003555A0"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na vodilnih mestih za zasebne gospodarske družbe z vidika doseganja splošnih javnih ciljev, zaradi katerih je dopustna omejitev svobodne gospodarske pobude</w:t>
            </w:r>
            <w:r>
              <w:rPr>
                <w:rFonts w:ascii="Arial" w:hAnsi="Arial" w:cs="Arial"/>
                <w:sz w:val="20"/>
                <w:szCs w:val="20"/>
              </w:rPr>
              <w:t xml:space="preserve">, </w:t>
            </w:r>
            <w:r w:rsidRPr="003555A0">
              <w:rPr>
                <w:rFonts w:ascii="Arial" w:hAnsi="Arial" w:cs="Arial"/>
                <w:sz w:val="20"/>
                <w:szCs w:val="20"/>
              </w:rPr>
              <w:t>sorazmerne.</w:t>
            </w:r>
            <w:r w:rsidRPr="003555A0" w:rsidDel="00E37DCB">
              <w:rPr>
                <w:rFonts w:ascii="Arial" w:hAnsi="Arial" w:cs="Arial"/>
                <w:sz w:val="20"/>
                <w:szCs w:val="20"/>
              </w:rPr>
              <w:t xml:space="preserve"> </w:t>
            </w:r>
            <w:r>
              <w:rPr>
                <w:rFonts w:ascii="Arial" w:hAnsi="Arial" w:cs="Arial"/>
                <w:sz w:val="20"/>
                <w:szCs w:val="20"/>
              </w:rPr>
              <w:t>Z</w:t>
            </w:r>
            <w:r w:rsidRPr="003555A0">
              <w:rPr>
                <w:rFonts w:ascii="Arial" w:hAnsi="Arial" w:cs="Arial"/>
                <w:sz w:val="20"/>
                <w:szCs w:val="20"/>
              </w:rPr>
              <w:t>asebne družbe se bo</w:t>
            </w:r>
            <w:r>
              <w:rPr>
                <w:rFonts w:ascii="Arial" w:hAnsi="Arial" w:cs="Arial"/>
                <w:sz w:val="20"/>
                <w:szCs w:val="20"/>
              </w:rPr>
              <w:t>do</w:t>
            </w:r>
            <w:r w:rsidRPr="003555A0">
              <w:rPr>
                <w:rFonts w:ascii="Arial" w:hAnsi="Arial" w:cs="Arial"/>
                <w:sz w:val="20"/>
                <w:szCs w:val="20"/>
              </w:rPr>
              <w:t xml:space="preserve"> </w:t>
            </w:r>
            <w:r>
              <w:rPr>
                <w:rFonts w:ascii="Arial" w:hAnsi="Arial" w:cs="Arial"/>
                <w:sz w:val="20"/>
                <w:szCs w:val="20"/>
              </w:rPr>
              <w:t>n</w:t>
            </w:r>
            <w:r w:rsidRPr="003555A0">
              <w:rPr>
                <w:rFonts w:ascii="Arial" w:hAnsi="Arial" w:cs="Arial"/>
                <w:sz w:val="20"/>
                <w:szCs w:val="20"/>
              </w:rPr>
              <w:t>amreč spodbujal</w:t>
            </w:r>
            <w:r>
              <w:rPr>
                <w:rFonts w:ascii="Arial" w:hAnsi="Arial" w:cs="Arial"/>
                <w:sz w:val="20"/>
                <w:szCs w:val="20"/>
              </w:rPr>
              <w:t>e</w:t>
            </w:r>
            <w:r w:rsidRPr="003555A0">
              <w:rPr>
                <w:rFonts w:ascii="Arial" w:hAnsi="Arial" w:cs="Arial"/>
                <w:sz w:val="20"/>
                <w:szCs w:val="20"/>
              </w:rPr>
              <w:t xml:space="preserve"> z ozaveščanjem o pozitivnih vidikih </w:t>
            </w:r>
            <w:r w:rsidRPr="009B69A0">
              <w:rPr>
                <w:rFonts w:ascii="Arial" w:hAnsi="Arial" w:cs="Arial"/>
                <w:sz w:val="20"/>
                <w:szCs w:val="20"/>
              </w:rPr>
              <w:t>uravnotežene zastopanosti spolov</w:t>
            </w:r>
            <w:r w:rsidRPr="009B69A0" w:rsidDel="009B69A0">
              <w:rPr>
                <w:rFonts w:ascii="Arial" w:hAnsi="Arial" w:cs="Arial"/>
                <w:sz w:val="20"/>
                <w:szCs w:val="20"/>
              </w:rPr>
              <w:t xml:space="preserve"> </w:t>
            </w:r>
            <w:r>
              <w:rPr>
                <w:rFonts w:ascii="Arial" w:hAnsi="Arial" w:cs="Arial"/>
                <w:sz w:val="20"/>
                <w:szCs w:val="20"/>
              </w:rPr>
              <w:t xml:space="preserve">v </w:t>
            </w:r>
            <w:r w:rsidRPr="003555A0">
              <w:rPr>
                <w:rFonts w:ascii="Arial" w:hAnsi="Arial" w:cs="Arial"/>
                <w:sz w:val="20"/>
                <w:szCs w:val="20"/>
              </w:rPr>
              <w:t>vodstv</w:t>
            </w:r>
            <w:r>
              <w:rPr>
                <w:rFonts w:ascii="Arial" w:hAnsi="Arial" w:cs="Arial"/>
                <w:sz w:val="20"/>
                <w:szCs w:val="20"/>
              </w:rPr>
              <w:t>u</w:t>
            </w:r>
            <w:r w:rsidRPr="003555A0">
              <w:rPr>
                <w:rFonts w:ascii="Arial" w:hAnsi="Arial" w:cs="Arial"/>
                <w:sz w:val="20"/>
                <w:szCs w:val="20"/>
              </w:rPr>
              <w:t xml:space="preserve"> (boljše upravljanje, večja dobičkonosnost in uspešnost družb) in aktivnostmi, ki bodo privedle do sprememb družbenih, organizacijskih in individualnih norm. V ta namen bo skladno z direktivo določen tudi organ za</w:t>
            </w:r>
            <w:r w:rsidRPr="003555A0">
              <w:rPr>
                <w:rFonts w:ascii="Arial" w:hAnsi="Arial" w:cs="Arial"/>
                <w:color w:val="000000"/>
                <w:sz w:val="20"/>
                <w:szCs w:val="20"/>
                <w:shd w:val="clear" w:color="auto" w:fill="FFFFFF"/>
              </w:rPr>
              <w:t xml:space="preserve"> spodbujanje, analiziranje, spremljanje in podpiranje uravnotežene zastopanosti spolov </w:t>
            </w:r>
            <w:r w:rsidRPr="003555A0">
              <w:rPr>
                <w:rFonts w:ascii="Arial" w:hAnsi="Arial" w:cs="Arial"/>
                <w:sz w:val="20"/>
                <w:szCs w:val="20"/>
              </w:rPr>
              <w:t xml:space="preserve">med najvišjimi vodilnimi </w:t>
            </w:r>
            <w:r w:rsidRPr="003555A0">
              <w:rPr>
                <w:rStyle w:val="normaltextrun"/>
                <w:rFonts w:ascii="Arial" w:hAnsi="Arial" w:cs="Arial"/>
                <w:color w:val="000000"/>
                <w:sz w:val="20"/>
                <w:szCs w:val="20"/>
                <w:bdr w:val="none" w:sz="0" w:space="0" w:color="auto" w:frame="1"/>
              </w:rPr>
              <w:t>člani v družbah.</w:t>
            </w:r>
            <w:r w:rsidRPr="003555A0">
              <w:rPr>
                <w:rFonts w:ascii="Arial" w:hAnsi="Arial" w:cs="Arial"/>
                <w:sz w:val="20"/>
                <w:szCs w:val="20"/>
              </w:rPr>
              <w:t xml:space="preserve"> </w:t>
            </w:r>
            <w:r>
              <w:rPr>
                <w:rFonts w:ascii="Arial" w:hAnsi="Arial" w:cs="Arial"/>
                <w:sz w:val="20"/>
                <w:szCs w:val="20"/>
              </w:rPr>
              <w:t>S</w:t>
            </w:r>
            <w:r w:rsidRPr="003555A0">
              <w:rPr>
                <w:rStyle w:val="cf01"/>
                <w:rFonts w:ascii="Arial" w:hAnsi="Arial" w:cs="Arial"/>
                <w:sz w:val="20"/>
                <w:szCs w:val="20"/>
              </w:rPr>
              <w:t>podbuja</w:t>
            </w:r>
            <w:r>
              <w:rPr>
                <w:rStyle w:val="cf01"/>
                <w:rFonts w:ascii="Arial" w:hAnsi="Arial" w:cs="Arial"/>
                <w:sz w:val="20"/>
                <w:szCs w:val="20"/>
              </w:rPr>
              <w:t>jo se tudi</w:t>
            </w:r>
            <w:r w:rsidRPr="003555A0">
              <w:rPr>
                <w:rStyle w:val="cf01"/>
                <w:rFonts w:ascii="Arial" w:hAnsi="Arial" w:cs="Arial"/>
                <w:sz w:val="20"/>
                <w:szCs w:val="20"/>
              </w:rPr>
              <w:t xml:space="preserve"> k bolj uravnoteženi zastopanosti žensk in moških v organih vodenja in nadzora z raznimi ukrepi, na primer </w:t>
            </w:r>
            <w:r>
              <w:rPr>
                <w:rStyle w:val="cf01"/>
                <w:rFonts w:ascii="Arial" w:hAnsi="Arial" w:cs="Arial"/>
                <w:sz w:val="20"/>
                <w:szCs w:val="20"/>
              </w:rPr>
              <w:t>z</w:t>
            </w:r>
            <w:r w:rsidRPr="003555A0">
              <w:rPr>
                <w:rStyle w:val="cf01"/>
                <w:rFonts w:ascii="Arial" w:hAnsi="Arial" w:cs="Arial"/>
                <w:sz w:val="20"/>
                <w:szCs w:val="20"/>
              </w:rPr>
              <w:t xml:space="preserve"> referenčni</w:t>
            </w:r>
            <w:r>
              <w:rPr>
                <w:rStyle w:val="cf01"/>
                <w:rFonts w:ascii="Arial" w:hAnsi="Arial" w:cs="Arial"/>
                <w:sz w:val="20"/>
                <w:szCs w:val="20"/>
              </w:rPr>
              <w:t>mi</w:t>
            </w:r>
            <w:r w:rsidRPr="003555A0">
              <w:rPr>
                <w:rStyle w:val="cf01"/>
                <w:rFonts w:ascii="Arial" w:hAnsi="Arial" w:cs="Arial"/>
                <w:sz w:val="20"/>
                <w:szCs w:val="20"/>
              </w:rPr>
              <w:t xml:space="preserve"> kodeks</w:t>
            </w:r>
            <w:r>
              <w:rPr>
                <w:rStyle w:val="cf01"/>
                <w:rFonts w:ascii="Arial" w:hAnsi="Arial" w:cs="Arial"/>
                <w:sz w:val="20"/>
                <w:szCs w:val="20"/>
              </w:rPr>
              <w:t>i</w:t>
            </w:r>
            <w:r w:rsidRPr="003555A0">
              <w:rPr>
                <w:rStyle w:val="cf01"/>
                <w:rFonts w:ascii="Arial" w:hAnsi="Arial" w:cs="Arial"/>
                <w:sz w:val="20"/>
                <w:szCs w:val="20"/>
              </w:rPr>
              <w:t xml:space="preserve"> korporativnega upravljanja, ki so zbirke priporočil in dobrih praks. </w:t>
            </w:r>
            <w:r w:rsidRPr="003555A0">
              <w:rPr>
                <w:rFonts w:ascii="Arial" w:hAnsi="Arial" w:cs="Arial"/>
                <w:color w:val="202220"/>
                <w:sz w:val="20"/>
                <w:szCs w:val="20"/>
                <w:shd w:val="clear" w:color="auto" w:fill="FFFFFF"/>
              </w:rPr>
              <w:t xml:space="preserve">Združenje nadzornikov Slovenije je 14. 11. 2019 predstavilo pobudo za prostovoljno doseganje cilja </w:t>
            </w:r>
            <w:r w:rsidRPr="009B69A0">
              <w:rPr>
                <w:rFonts w:ascii="Arial" w:hAnsi="Arial" w:cs="Arial"/>
                <w:color w:val="202220"/>
                <w:sz w:val="20"/>
                <w:szCs w:val="20"/>
                <w:shd w:val="clear" w:color="auto" w:fill="FFFFFF"/>
              </w:rPr>
              <w:t>uravnotežene zastopanosti spolov</w:t>
            </w:r>
            <w:r w:rsidRPr="009B69A0" w:rsidDel="009B69A0">
              <w:rPr>
                <w:rFonts w:ascii="Arial" w:hAnsi="Arial" w:cs="Arial"/>
                <w:color w:val="202220"/>
                <w:sz w:val="20"/>
                <w:szCs w:val="20"/>
                <w:shd w:val="clear" w:color="auto" w:fill="FFFFFF"/>
              </w:rPr>
              <w:t xml:space="preserve"> </w:t>
            </w:r>
            <w:r w:rsidRPr="003555A0">
              <w:rPr>
                <w:rFonts w:ascii="Arial" w:hAnsi="Arial" w:cs="Arial"/>
                <w:color w:val="202220"/>
                <w:sz w:val="20"/>
                <w:szCs w:val="20"/>
                <w:shd w:val="clear" w:color="auto" w:fill="FFFFFF"/>
              </w:rPr>
              <w:t xml:space="preserve">do konca leta 2026, in sicer 40 % za člane nadzornih svetov in skupaj 33 % za člane nadzornih svetov in uprav manj zastopanega spola v javnih delniških družbah in družbah v državni lasti, </w:t>
            </w:r>
            <w:r>
              <w:rPr>
                <w:rFonts w:ascii="Arial" w:hAnsi="Arial" w:cs="Arial"/>
                <w:color w:val="202220"/>
                <w:sz w:val="20"/>
                <w:szCs w:val="20"/>
                <w:shd w:val="clear" w:color="auto" w:fill="FFFFFF"/>
              </w:rPr>
              <w:t>ki jo</w:t>
            </w:r>
            <w:r w:rsidRPr="003555A0">
              <w:rPr>
                <w:rFonts w:ascii="Arial" w:hAnsi="Arial" w:cs="Arial"/>
                <w:color w:val="202220"/>
                <w:sz w:val="20"/>
                <w:szCs w:val="20"/>
                <w:shd w:val="clear" w:color="auto" w:fill="FFFFFF"/>
              </w:rPr>
              <w:t xml:space="preserve"> </w:t>
            </w:r>
            <w:r w:rsidRPr="003555A0">
              <w:rPr>
                <w:rStyle w:val="cf01"/>
                <w:rFonts w:ascii="Arial" w:hAnsi="Arial" w:cs="Arial"/>
                <w:sz w:val="20"/>
                <w:szCs w:val="20"/>
              </w:rPr>
              <w:t xml:space="preserve">spremlja </w:t>
            </w:r>
            <w:r w:rsidRPr="003555A0">
              <w:rPr>
                <w:rFonts w:ascii="Arial" w:hAnsi="Arial" w:cs="Arial"/>
                <w:color w:val="202220"/>
                <w:sz w:val="20"/>
                <w:szCs w:val="20"/>
                <w:shd w:val="clear" w:color="auto" w:fill="FFFFFF"/>
              </w:rPr>
              <w:t xml:space="preserve">skupaj </w:t>
            </w:r>
            <w:r w:rsidRPr="003555A0">
              <w:rPr>
                <w:rStyle w:val="cf01"/>
                <w:rFonts w:ascii="Arial" w:hAnsi="Arial" w:cs="Arial"/>
                <w:sz w:val="20"/>
                <w:szCs w:val="20"/>
              </w:rPr>
              <w:t>z Deloittom</w:t>
            </w:r>
            <w:r>
              <w:rPr>
                <w:rStyle w:val="cf01"/>
                <w:rFonts w:ascii="Arial" w:hAnsi="Arial" w:cs="Arial"/>
                <w:sz w:val="20"/>
                <w:szCs w:val="20"/>
              </w:rPr>
              <w:t>, oba</w:t>
            </w:r>
            <w:r w:rsidRPr="003555A0">
              <w:rPr>
                <w:rStyle w:val="cf01"/>
                <w:rFonts w:ascii="Arial" w:hAnsi="Arial" w:cs="Arial"/>
                <w:sz w:val="20"/>
                <w:szCs w:val="20"/>
              </w:rPr>
              <w:t xml:space="preserve"> </w:t>
            </w:r>
            <w:r>
              <w:rPr>
                <w:rStyle w:val="cf01"/>
                <w:rFonts w:ascii="Arial" w:hAnsi="Arial" w:cs="Arial"/>
                <w:sz w:val="20"/>
                <w:szCs w:val="20"/>
              </w:rPr>
              <w:t>tudi</w:t>
            </w:r>
            <w:r w:rsidRPr="003555A0">
              <w:rPr>
                <w:rStyle w:val="cf01"/>
                <w:rFonts w:ascii="Arial" w:hAnsi="Arial" w:cs="Arial"/>
                <w:sz w:val="20"/>
                <w:szCs w:val="20"/>
              </w:rPr>
              <w:t xml:space="preserve"> pripravljata obdobna poročila o stanju v navedenih družbah</w:t>
            </w:r>
            <w:r>
              <w:rPr>
                <w:rStyle w:val="cf01"/>
                <w:rFonts w:ascii="Arial" w:hAnsi="Arial" w:cs="Arial"/>
                <w:sz w:val="20"/>
                <w:szCs w:val="20"/>
              </w:rPr>
              <w:t>;</w:t>
            </w:r>
            <w:r w:rsidRPr="003555A0">
              <w:rPr>
                <w:rStyle w:val="cf01"/>
                <w:rFonts w:ascii="Arial" w:hAnsi="Arial" w:cs="Arial"/>
                <w:sz w:val="20"/>
                <w:szCs w:val="20"/>
              </w:rPr>
              <w:t xml:space="preserve"> </w:t>
            </w:r>
          </w:p>
          <w:p w14:paraId="066E8B5F" w14:textId="77777777" w:rsidR="000C08CA" w:rsidRPr="003555A0" w:rsidRDefault="000C08CA" w:rsidP="00FE328D">
            <w:pPr>
              <w:pStyle w:val="ListParagraph"/>
              <w:numPr>
                <w:ilvl w:val="0"/>
                <w:numId w:val="94"/>
              </w:numPr>
              <w:spacing w:after="120" w:line="260" w:lineRule="exact"/>
              <w:jc w:val="both"/>
              <w:rPr>
                <w:rFonts w:ascii="Arial" w:hAnsi="Arial" w:cs="Arial"/>
                <w:b/>
                <w:bCs/>
                <w:sz w:val="20"/>
                <w:szCs w:val="20"/>
              </w:rPr>
            </w:pPr>
            <w:r w:rsidRPr="003555A0">
              <w:rPr>
                <w:rFonts w:ascii="Arial" w:hAnsi="Arial" w:cs="Arial"/>
                <w:b/>
                <w:bCs/>
                <w:sz w:val="20"/>
                <w:szCs w:val="20"/>
              </w:rPr>
              <w:t xml:space="preserve">da vse družbe zavezanke pred začetkom izbirnih postopkov določijo merila in pogoje izbirnega postopka, ki jih morajo tudi javno objaviti na vidnem mestu (ne samo tiste, ki ne izpolnjujejo zahtevanih deležev nezadostno zastopanega spola). </w:t>
            </w:r>
            <w:r>
              <w:rPr>
                <w:rFonts w:ascii="Arial" w:hAnsi="Arial" w:cs="Arial"/>
                <w:b/>
                <w:bCs/>
                <w:sz w:val="20"/>
                <w:szCs w:val="20"/>
              </w:rPr>
              <w:t xml:space="preserve">MGTŠ </w:t>
            </w:r>
            <w:r w:rsidRPr="006F7E65">
              <w:rPr>
                <w:rFonts w:ascii="Arial" w:hAnsi="Arial" w:cs="Arial"/>
                <w:sz w:val="20"/>
                <w:szCs w:val="20"/>
              </w:rPr>
              <w:t>meni, da bi</w:t>
            </w:r>
            <w:r>
              <w:rPr>
                <w:rFonts w:ascii="Arial" w:hAnsi="Arial" w:cs="Arial"/>
                <w:b/>
                <w:bCs/>
                <w:sz w:val="20"/>
                <w:szCs w:val="20"/>
              </w:rPr>
              <w:t xml:space="preserve"> </w:t>
            </w:r>
            <w:r>
              <w:rPr>
                <w:rFonts w:ascii="Arial" w:hAnsi="Arial" w:cs="Arial"/>
                <w:sz w:val="20"/>
                <w:szCs w:val="20"/>
              </w:rPr>
              <w:t>s</w:t>
            </w:r>
            <w:r w:rsidRPr="003555A0">
              <w:rPr>
                <w:rFonts w:ascii="Arial" w:hAnsi="Arial" w:cs="Arial"/>
                <w:sz w:val="20"/>
                <w:szCs w:val="20"/>
              </w:rPr>
              <w:t xml:space="preserve"> tovrstnim ukrepom presegli zahteve </w:t>
            </w:r>
            <w:r>
              <w:rPr>
                <w:rFonts w:ascii="Arial" w:hAnsi="Arial" w:cs="Arial"/>
                <w:sz w:val="20"/>
                <w:szCs w:val="20"/>
              </w:rPr>
              <w:t xml:space="preserve">iz </w:t>
            </w:r>
            <w:r w:rsidRPr="003555A0">
              <w:rPr>
                <w:rFonts w:ascii="Arial" w:hAnsi="Arial" w:cs="Arial"/>
                <w:sz w:val="20"/>
                <w:szCs w:val="20"/>
              </w:rPr>
              <w:t xml:space="preserve">direktive in dodatno obremenili gospodarske družbe. Gospodarske družbe so podvržene k vedno večji regulaciji in zahtevam </w:t>
            </w:r>
            <w:r>
              <w:rPr>
                <w:rFonts w:ascii="Arial" w:hAnsi="Arial" w:cs="Arial"/>
                <w:sz w:val="20"/>
                <w:szCs w:val="20"/>
              </w:rPr>
              <w:t>področnih organov</w:t>
            </w:r>
            <w:r w:rsidRPr="003555A0">
              <w:rPr>
                <w:rFonts w:ascii="Arial" w:hAnsi="Arial" w:cs="Arial"/>
                <w:sz w:val="20"/>
                <w:szCs w:val="20"/>
              </w:rPr>
              <w:t xml:space="preserve">, kar </w:t>
            </w:r>
            <w:r w:rsidRPr="003555A0">
              <w:rPr>
                <w:rFonts w:ascii="Arial" w:hAnsi="Arial" w:cs="Arial"/>
                <w:sz w:val="20"/>
                <w:szCs w:val="20"/>
              </w:rPr>
              <w:lastRenderedPageBreak/>
              <w:t>vpliva tudi na njihovo konkurenčnost. S predlogom ZGD-1M prenašamo štiri evropske direktive, ki določajo dodatne zahteve za družbe, predvsem glede poročanja o trajnostnosti. Strinjamo se, da bi s predlaganim ukrepom dosegli večjo</w:t>
            </w:r>
            <w:r w:rsidRPr="003555A0" w:rsidDel="00E37DCB">
              <w:rPr>
                <w:rFonts w:ascii="Arial" w:hAnsi="Arial" w:cs="Arial"/>
                <w:sz w:val="20"/>
                <w:szCs w:val="20"/>
              </w:rPr>
              <w:t xml:space="preserve"> </w:t>
            </w:r>
            <w:r>
              <w:rPr>
                <w:rFonts w:ascii="Arial" w:hAnsi="Arial" w:cs="Arial"/>
                <w:sz w:val="20"/>
                <w:szCs w:val="20"/>
              </w:rPr>
              <w:t>preglednost</w:t>
            </w:r>
            <w:r w:rsidRPr="003555A0">
              <w:rPr>
                <w:rFonts w:ascii="Arial" w:hAnsi="Arial" w:cs="Arial"/>
                <w:sz w:val="20"/>
                <w:szCs w:val="20"/>
              </w:rPr>
              <w:t xml:space="preserve"> pri izbirnih postopkih za člane organov vodenja in nadzora, vendar zaradi navedenih razlogov trenutno sledimo minimalni harmonizaciji z Direktivo (EU) 2022/2381. Zahteva za družbe, ki ne izpolnjujejo deležev glede uravnotežen</w:t>
            </w:r>
            <w:r>
              <w:rPr>
                <w:rFonts w:ascii="Arial" w:hAnsi="Arial" w:cs="Arial"/>
                <w:sz w:val="20"/>
                <w:szCs w:val="20"/>
              </w:rPr>
              <w:t>e zastopanosti</w:t>
            </w:r>
            <w:r w:rsidRPr="003555A0">
              <w:rPr>
                <w:rFonts w:ascii="Arial" w:hAnsi="Arial" w:cs="Arial"/>
                <w:sz w:val="20"/>
                <w:szCs w:val="20"/>
              </w:rPr>
              <w:t xml:space="preserve"> </w:t>
            </w:r>
            <w:r w:rsidRPr="006E0C85">
              <w:rPr>
                <w:rFonts w:ascii="Arial" w:hAnsi="Arial" w:cs="Arial"/>
                <w:sz w:val="20"/>
                <w:szCs w:val="20"/>
              </w:rPr>
              <w:t xml:space="preserve">spolov </w:t>
            </w:r>
            <w:r w:rsidRPr="003555A0">
              <w:rPr>
                <w:rFonts w:ascii="Arial" w:hAnsi="Arial" w:cs="Arial"/>
                <w:sz w:val="20"/>
                <w:szCs w:val="20"/>
              </w:rPr>
              <w:t>med člani vodenja in nadzora, da pred začetkom izbirnih postopkov določijo merila in pogoje izbirnega postopka, ki jih morajo tudi javno objaviti na vidnem mestu</w:t>
            </w:r>
            <w:r>
              <w:rPr>
                <w:rFonts w:ascii="Arial" w:hAnsi="Arial" w:cs="Arial"/>
                <w:sz w:val="20"/>
                <w:szCs w:val="20"/>
              </w:rPr>
              <w:t>,</w:t>
            </w:r>
            <w:r w:rsidRPr="003555A0">
              <w:rPr>
                <w:rFonts w:ascii="Arial" w:hAnsi="Arial" w:cs="Arial"/>
                <w:sz w:val="20"/>
                <w:szCs w:val="20"/>
              </w:rPr>
              <w:t xml:space="preserve"> je samo eden izmed ukrepov, s katerimi se želi</w:t>
            </w:r>
            <w:r>
              <w:rPr>
                <w:rFonts w:ascii="Arial" w:hAnsi="Arial" w:cs="Arial"/>
                <w:sz w:val="20"/>
                <w:szCs w:val="20"/>
              </w:rPr>
              <w:t>jo</w:t>
            </w:r>
            <w:r w:rsidRPr="003555A0">
              <w:rPr>
                <w:rFonts w:ascii="Arial" w:hAnsi="Arial" w:cs="Arial"/>
                <w:sz w:val="20"/>
                <w:szCs w:val="20"/>
              </w:rPr>
              <w:t xml:space="preserve"> družbe spodbuditi, da zagotovijo uravnoteženo zastopanost spolov v organih vodenja in nadzora. Pri pripravi določb smo sledili namenu direktive, da z mehkimi ukrepi spodbudimo družbe k prizadevanjem za bolj uravnoteženo zastopanost </w:t>
            </w:r>
            <w:r w:rsidRPr="006E0C85">
              <w:rPr>
                <w:rFonts w:ascii="Arial" w:hAnsi="Arial" w:cs="Arial"/>
                <w:sz w:val="20"/>
                <w:szCs w:val="20"/>
              </w:rPr>
              <w:t xml:space="preserve">spolov </w:t>
            </w:r>
            <w:r w:rsidRPr="003555A0">
              <w:rPr>
                <w:rFonts w:ascii="Arial" w:hAnsi="Arial" w:cs="Arial"/>
                <w:sz w:val="20"/>
                <w:szCs w:val="20"/>
              </w:rPr>
              <w:t xml:space="preserve">med člani organov vodenja in nadzora. Če družbe dosežejo cilj glede uravnotežene zastopanosti spolov v organih vodenja in nadzora, jih ne želimo po nepotrebnem dodatno obremenjevati z zavezami glede izpolnitve drugih ukrepov, ker to ni namen Direktive (EU) 2022/2381 </w:t>
            </w:r>
            <w:r>
              <w:rPr>
                <w:rFonts w:ascii="Arial" w:hAnsi="Arial" w:cs="Arial"/>
                <w:sz w:val="20"/>
                <w:szCs w:val="20"/>
              </w:rPr>
              <w:t>niti</w:t>
            </w:r>
            <w:r w:rsidRPr="003555A0">
              <w:rPr>
                <w:rFonts w:ascii="Arial" w:hAnsi="Arial" w:cs="Arial"/>
                <w:sz w:val="20"/>
                <w:szCs w:val="20"/>
              </w:rPr>
              <w:t xml:space="preserve"> nacionalne zakonodaje</w:t>
            </w:r>
            <w:r>
              <w:rPr>
                <w:rFonts w:ascii="Arial" w:hAnsi="Arial" w:cs="Arial"/>
                <w:sz w:val="20"/>
                <w:szCs w:val="20"/>
              </w:rPr>
              <w:t>;</w:t>
            </w:r>
          </w:p>
          <w:p w14:paraId="59E56F36" w14:textId="77777777" w:rsidR="000C08CA" w:rsidRPr="003555A0" w:rsidRDefault="000C08CA" w:rsidP="00FE328D">
            <w:pPr>
              <w:pStyle w:val="ListParagraph"/>
              <w:numPr>
                <w:ilvl w:val="0"/>
                <w:numId w:val="94"/>
              </w:numPr>
              <w:spacing w:after="120" w:line="276" w:lineRule="auto"/>
              <w:jc w:val="both"/>
              <w:rPr>
                <w:rFonts w:ascii="Arial" w:hAnsi="Arial" w:cs="Arial"/>
                <w:b/>
                <w:bCs/>
                <w:sz w:val="20"/>
                <w:szCs w:val="20"/>
              </w:rPr>
            </w:pPr>
            <w:r w:rsidRPr="003555A0">
              <w:rPr>
                <w:rFonts w:ascii="Arial" w:hAnsi="Arial" w:cs="Arial"/>
                <w:b/>
                <w:bCs/>
                <w:sz w:val="20"/>
                <w:szCs w:val="20"/>
              </w:rPr>
              <w:t xml:space="preserve">da se doda, da bo </w:t>
            </w:r>
            <w:r w:rsidRPr="003555A0">
              <w:rPr>
                <w:rFonts w:ascii="Arial" w:hAnsi="Arial" w:cs="Arial"/>
                <w:b/>
                <w:bCs/>
                <w:color w:val="222222"/>
                <w:sz w:val="20"/>
                <w:szCs w:val="20"/>
                <w:lang w:eastAsia="en-GB"/>
              </w:rPr>
              <w:t xml:space="preserve">kandidatom, ki niso bili izbrani, omogočeno od vseh družb zahtevati podatke in utemeljitve o poteku izbirnega postopka (ne le od družb, ki ne izpolnjujejo zahtev v zvezi z deleži </w:t>
            </w:r>
            <w:r w:rsidRPr="006E0C85">
              <w:rPr>
                <w:rFonts w:ascii="Arial" w:hAnsi="Arial" w:cs="Arial"/>
                <w:b/>
                <w:bCs/>
                <w:color w:val="222222"/>
                <w:sz w:val="20"/>
                <w:szCs w:val="20"/>
                <w:lang w:eastAsia="en-GB"/>
              </w:rPr>
              <w:t>uravnotežene</w:t>
            </w:r>
            <w:r w:rsidRPr="006E0C85" w:rsidDel="006E0C85">
              <w:rPr>
                <w:rFonts w:ascii="Arial" w:hAnsi="Arial" w:cs="Arial"/>
                <w:b/>
                <w:bCs/>
                <w:color w:val="222222"/>
                <w:sz w:val="20"/>
                <w:szCs w:val="20"/>
                <w:lang w:eastAsia="en-GB"/>
              </w:rPr>
              <w:t xml:space="preserve"> </w:t>
            </w:r>
            <w:r w:rsidRPr="003555A0">
              <w:rPr>
                <w:rFonts w:ascii="Arial" w:hAnsi="Arial" w:cs="Arial"/>
                <w:b/>
                <w:bCs/>
                <w:color w:val="222222"/>
                <w:sz w:val="20"/>
                <w:szCs w:val="20"/>
                <w:lang w:eastAsia="en-GB"/>
              </w:rPr>
              <w:t>zastopanosti</w:t>
            </w:r>
            <w:r>
              <w:rPr>
                <w:rFonts w:ascii="Arial" w:hAnsi="Arial" w:cs="Arial"/>
                <w:b/>
                <w:bCs/>
                <w:color w:val="222222"/>
                <w:sz w:val="20"/>
                <w:szCs w:val="20"/>
                <w:lang w:eastAsia="en-GB"/>
              </w:rPr>
              <w:t xml:space="preserve"> </w:t>
            </w:r>
            <w:r w:rsidRPr="006E0C85">
              <w:rPr>
                <w:rFonts w:ascii="Arial" w:hAnsi="Arial" w:cs="Arial"/>
                <w:b/>
                <w:bCs/>
                <w:color w:val="222222"/>
                <w:sz w:val="20"/>
                <w:szCs w:val="20"/>
                <w:lang w:eastAsia="en-GB"/>
              </w:rPr>
              <w:t>spolov</w:t>
            </w:r>
            <w:r w:rsidRPr="003555A0">
              <w:rPr>
                <w:rFonts w:ascii="Arial" w:hAnsi="Arial" w:cs="Arial"/>
                <w:b/>
                <w:bCs/>
                <w:color w:val="222222"/>
                <w:sz w:val="20"/>
                <w:szCs w:val="20"/>
                <w:lang w:eastAsia="en-GB"/>
              </w:rPr>
              <w:t xml:space="preserve">). </w:t>
            </w:r>
            <w:r w:rsidRPr="003555A0">
              <w:rPr>
                <w:rFonts w:ascii="Arial" w:hAnsi="Arial" w:cs="Arial"/>
                <w:sz w:val="20"/>
                <w:szCs w:val="20"/>
              </w:rPr>
              <w:t>Podobno kot pri pr</w:t>
            </w:r>
            <w:r>
              <w:rPr>
                <w:rFonts w:ascii="Arial" w:hAnsi="Arial" w:cs="Arial"/>
                <w:sz w:val="20"/>
                <w:szCs w:val="20"/>
              </w:rPr>
              <w:t>edhodnem predlogu</w:t>
            </w:r>
            <w:r w:rsidRPr="003555A0">
              <w:rPr>
                <w:rFonts w:ascii="Arial" w:hAnsi="Arial" w:cs="Arial"/>
                <w:sz w:val="20"/>
                <w:szCs w:val="20"/>
              </w:rPr>
              <w:t xml:space="preserve"> pojasnjujemo, da smo pri pripravi predloga ZGD-1M upoštevali minimalno harmonizacijo z zahtevami iz Direktive (EU) 2022/2381. Možnost pridobitve podatkov v zvezi z izbirnim postopkom, ki jo imajo neizbrani kandidati manj zastopanega spola, je samo eden od ukrepov, s katerim se </w:t>
            </w:r>
            <w:r>
              <w:rPr>
                <w:rFonts w:ascii="Arial" w:hAnsi="Arial" w:cs="Arial"/>
                <w:sz w:val="20"/>
                <w:szCs w:val="20"/>
              </w:rPr>
              <w:t xml:space="preserve">želi </w:t>
            </w:r>
            <w:r w:rsidRPr="003555A0">
              <w:rPr>
                <w:rFonts w:ascii="Arial" w:hAnsi="Arial" w:cs="Arial"/>
                <w:sz w:val="20"/>
                <w:szCs w:val="20"/>
              </w:rPr>
              <w:t>družbe spodbu</w:t>
            </w:r>
            <w:r>
              <w:rPr>
                <w:rFonts w:ascii="Arial" w:hAnsi="Arial" w:cs="Arial"/>
                <w:sz w:val="20"/>
                <w:szCs w:val="20"/>
              </w:rPr>
              <w:t>diti</w:t>
            </w:r>
            <w:r w:rsidRPr="003555A0">
              <w:rPr>
                <w:rFonts w:ascii="Arial" w:hAnsi="Arial" w:cs="Arial"/>
                <w:sz w:val="20"/>
                <w:szCs w:val="20"/>
              </w:rPr>
              <w:t xml:space="preserve">, da si </w:t>
            </w:r>
            <w:r>
              <w:rPr>
                <w:rFonts w:ascii="Arial" w:hAnsi="Arial" w:cs="Arial"/>
                <w:sz w:val="20"/>
                <w:szCs w:val="20"/>
              </w:rPr>
              <w:t>za</w:t>
            </w:r>
            <w:r w:rsidRPr="003555A0">
              <w:rPr>
                <w:rFonts w:ascii="Arial" w:hAnsi="Arial" w:cs="Arial"/>
                <w:sz w:val="20"/>
                <w:szCs w:val="20"/>
              </w:rPr>
              <w:t xml:space="preserve">čnejo prizadevati za uravnoteženo zastopanost </w:t>
            </w:r>
            <w:r w:rsidRPr="006E0C85">
              <w:rPr>
                <w:rFonts w:ascii="Arial" w:hAnsi="Arial" w:cs="Arial"/>
                <w:sz w:val="20"/>
                <w:szCs w:val="20"/>
              </w:rPr>
              <w:t xml:space="preserve">spolov </w:t>
            </w:r>
            <w:r w:rsidRPr="003555A0">
              <w:rPr>
                <w:rFonts w:ascii="Arial" w:hAnsi="Arial" w:cs="Arial"/>
                <w:sz w:val="20"/>
                <w:szCs w:val="20"/>
              </w:rPr>
              <w:t xml:space="preserve">v organih vodenja in nadzora. </w:t>
            </w:r>
            <w:r>
              <w:rPr>
                <w:rFonts w:ascii="Arial" w:hAnsi="Arial" w:cs="Arial"/>
                <w:sz w:val="20"/>
                <w:szCs w:val="20"/>
              </w:rPr>
              <w:t>Če</w:t>
            </w:r>
            <w:r w:rsidRPr="003555A0">
              <w:rPr>
                <w:rFonts w:ascii="Arial" w:hAnsi="Arial" w:cs="Arial"/>
                <w:sz w:val="20"/>
                <w:szCs w:val="20"/>
              </w:rPr>
              <w:t xml:space="preserve"> družbe ne dosežejo cilja glede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spolov</w:t>
            </w:r>
            <w:r>
              <w:rPr>
                <w:rFonts w:ascii="Arial" w:hAnsi="Arial" w:cs="Arial"/>
                <w:sz w:val="20"/>
                <w:szCs w:val="20"/>
              </w:rPr>
              <w:t>,</w:t>
            </w:r>
            <w:r w:rsidRPr="006E0C85">
              <w:rPr>
                <w:rFonts w:ascii="Arial" w:hAnsi="Arial" w:cs="Arial"/>
                <w:sz w:val="20"/>
                <w:szCs w:val="20"/>
              </w:rPr>
              <w:t xml:space="preserve"> </w:t>
            </w:r>
            <w:r w:rsidRPr="003555A0">
              <w:rPr>
                <w:rFonts w:ascii="Arial" w:hAnsi="Arial" w:cs="Arial"/>
                <w:sz w:val="20"/>
                <w:szCs w:val="20"/>
              </w:rPr>
              <w:t>določenih z direktivo, morajo namreč upoštevati druge ukrepe, s katerimi se spodbuja</w:t>
            </w:r>
            <w:r>
              <w:rPr>
                <w:rFonts w:ascii="Arial" w:hAnsi="Arial" w:cs="Arial"/>
                <w:sz w:val="20"/>
                <w:szCs w:val="20"/>
              </w:rPr>
              <w:t>jo</w:t>
            </w:r>
            <w:r w:rsidRPr="003555A0">
              <w:rPr>
                <w:rFonts w:ascii="Arial" w:hAnsi="Arial" w:cs="Arial"/>
                <w:sz w:val="20"/>
                <w:szCs w:val="20"/>
              </w:rPr>
              <w:t xml:space="preserve"> k sestavi </w:t>
            </w:r>
            <w:r>
              <w:rPr>
                <w:rFonts w:ascii="Arial" w:hAnsi="Arial" w:cs="Arial"/>
                <w:sz w:val="20"/>
                <w:szCs w:val="20"/>
              </w:rPr>
              <w:t>takih</w:t>
            </w:r>
            <w:r w:rsidRPr="003555A0">
              <w:rPr>
                <w:rFonts w:ascii="Arial" w:hAnsi="Arial" w:cs="Arial"/>
                <w:sz w:val="20"/>
                <w:szCs w:val="20"/>
              </w:rPr>
              <w:t xml:space="preserve"> organov vodenja in nadzora</w:t>
            </w:r>
            <w:r>
              <w:rPr>
                <w:rFonts w:ascii="Arial" w:hAnsi="Arial" w:cs="Arial"/>
                <w:sz w:val="20"/>
                <w:szCs w:val="20"/>
              </w:rPr>
              <w:t xml:space="preserve">, da se doseže </w:t>
            </w:r>
            <w:r w:rsidRPr="006E0C85">
              <w:rPr>
                <w:rFonts w:ascii="Arial" w:hAnsi="Arial" w:cs="Arial"/>
                <w:sz w:val="20"/>
                <w:szCs w:val="20"/>
              </w:rPr>
              <w:t>uravnotežen</w:t>
            </w:r>
            <w:r>
              <w:rPr>
                <w:rFonts w:ascii="Arial" w:hAnsi="Arial" w:cs="Arial"/>
                <w:sz w:val="20"/>
                <w:szCs w:val="20"/>
              </w:rPr>
              <w:t xml:space="preserve">a </w:t>
            </w:r>
            <w:r w:rsidRPr="006E0C85">
              <w:rPr>
                <w:rFonts w:ascii="Arial" w:hAnsi="Arial" w:cs="Arial"/>
                <w:sz w:val="20"/>
                <w:szCs w:val="20"/>
              </w:rPr>
              <w:t>zastopanost</w:t>
            </w:r>
            <w:r>
              <w:t xml:space="preserve"> </w:t>
            </w:r>
            <w:r w:rsidRPr="006E0C85">
              <w:rPr>
                <w:rFonts w:ascii="Arial" w:hAnsi="Arial" w:cs="Arial"/>
                <w:sz w:val="20"/>
                <w:szCs w:val="20"/>
              </w:rPr>
              <w:t>spolov</w:t>
            </w:r>
            <w:r w:rsidRPr="003555A0">
              <w:rPr>
                <w:rFonts w:ascii="Arial" w:hAnsi="Arial" w:cs="Arial"/>
                <w:sz w:val="20"/>
                <w:szCs w:val="20"/>
              </w:rPr>
              <w:t xml:space="preserve">, kar zajema tudi razkritje </w:t>
            </w:r>
            <w:r>
              <w:rPr>
                <w:rFonts w:ascii="Arial" w:hAnsi="Arial" w:cs="Arial"/>
                <w:sz w:val="20"/>
                <w:szCs w:val="20"/>
              </w:rPr>
              <w:t>nekaterih</w:t>
            </w:r>
            <w:r w:rsidRPr="003555A0">
              <w:rPr>
                <w:rFonts w:ascii="Arial" w:hAnsi="Arial" w:cs="Arial"/>
                <w:sz w:val="20"/>
                <w:szCs w:val="20"/>
              </w:rPr>
              <w:t xml:space="preserve"> podatkov (o merilih glede kvalifikacij, na katerih je temeljil izbor</w:t>
            </w:r>
            <w:r>
              <w:rPr>
                <w:rFonts w:ascii="Arial" w:hAnsi="Arial" w:cs="Arial"/>
                <w:sz w:val="20"/>
                <w:szCs w:val="20"/>
              </w:rPr>
              <w:t>,</w:t>
            </w:r>
            <w:r w:rsidRPr="003555A0">
              <w:rPr>
                <w:rFonts w:ascii="Arial" w:hAnsi="Arial" w:cs="Arial"/>
                <w:sz w:val="20"/>
                <w:szCs w:val="20"/>
              </w:rPr>
              <w:t xml:space="preserve"> o objektivni primerjalni oceni kandidatov in o posebnih vidikih, ki so pretehtali v korist izbranega kandidata) na zahtevo neizbranega kandidata manj zastopanega spola, ob upoštevanju pravil glede varstva osebnih podatkov. Če družbe dosežejo cilj glede uravnotežene zastopanosti spolov v organih vodenja in nadzora, jih ne želimo po nepotrebnem dodatno obremenjevati z zavezami glede izpolnitve drugih ukrepov, ker to ni namen Direktive (EU) 2022/2381 </w:t>
            </w:r>
            <w:r>
              <w:rPr>
                <w:rFonts w:ascii="Arial" w:hAnsi="Arial" w:cs="Arial"/>
                <w:sz w:val="20"/>
                <w:szCs w:val="20"/>
              </w:rPr>
              <w:t>niti</w:t>
            </w:r>
            <w:r w:rsidRPr="003555A0">
              <w:rPr>
                <w:rFonts w:ascii="Arial" w:hAnsi="Arial" w:cs="Arial"/>
                <w:sz w:val="20"/>
                <w:szCs w:val="20"/>
              </w:rPr>
              <w:t xml:space="preserve"> nacionalne zakonodaje</w:t>
            </w:r>
            <w:r>
              <w:rPr>
                <w:rFonts w:ascii="Arial" w:hAnsi="Arial" w:cs="Arial"/>
                <w:sz w:val="20"/>
                <w:szCs w:val="20"/>
              </w:rPr>
              <w:t>;</w:t>
            </w:r>
          </w:p>
          <w:p w14:paraId="51E85131" w14:textId="77777777" w:rsidR="000C08CA" w:rsidRPr="003555A0" w:rsidRDefault="000C08CA" w:rsidP="00FE328D">
            <w:pPr>
              <w:pStyle w:val="ListParagraph"/>
              <w:numPr>
                <w:ilvl w:val="0"/>
                <w:numId w:val="94"/>
              </w:numPr>
              <w:spacing w:after="120" w:line="276" w:lineRule="auto"/>
              <w:contextualSpacing w:val="0"/>
              <w:jc w:val="both"/>
              <w:rPr>
                <w:rFonts w:ascii="Arial" w:hAnsi="Arial" w:cs="Arial"/>
                <w:b/>
                <w:bCs/>
                <w:sz w:val="20"/>
                <w:szCs w:val="20"/>
              </w:rPr>
            </w:pPr>
            <w:r w:rsidRPr="003555A0">
              <w:rPr>
                <w:rFonts w:ascii="Arial" w:hAnsi="Arial" w:cs="Arial"/>
                <w:b/>
                <w:bCs/>
                <w:color w:val="222222"/>
                <w:sz w:val="20"/>
                <w:szCs w:val="20"/>
                <w:lang w:eastAsia="en-GB"/>
              </w:rPr>
              <w:t>da se natančno opredeli</w:t>
            </w:r>
            <w:r>
              <w:rPr>
                <w:rFonts w:ascii="Arial" w:hAnsi="Arial" w:cs="Arial"/>
                <w:b/>
                <w:bCs/>
                <w:color w:val="222222"/>
                <w:sz w:val="20"/>
                <w:szCs w:val="20"/>
                <w:lang w:eastAsia="en-GB"/>
              </w:rPr>
              <w:t>jo</w:t>
            </w:r>
            <w:r w:rsidRPr="003555A0">
              <w:rPr>
                <w:rFonts w:ascii="Arial" w:hAnsi="Arial" w:cs="Arial"/>
                <w:b/>
                <w:bCs/>
                <w:color w:val="222222"/>
                <w:sz w:val="20"/>
                <w:szCs w:val="20"/>
                <w:lang w:eastAsia="en-GB"/>
              </w:rPr>
              <w:t xml:space="preserve"> izjeme, kadar družbe v primeru enako kvalificiranih kandidatov v izbirnem</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postopku</w:t>
            </w:r>
            <w:r w:rsidRPr="003555A0">
              <w:rPr>
                <w:rFonts w:ascii="Arial" w:hAnsi="Arial" w:cs="Arial"/>
                <w:color w:val="222222"/>
                <w:sz w:val="20"/>
                <w:szCs w:val="20"/>
                <w:lang w:eastAsia="en-GB"/>
              </w:rPr>
              <w:t xml:space="preserve"> </w:t>
            </w:r>
            <w:r w:rsidRPr="003555A0">
              <w:rPr>
                <w:rFonts w:ascii="Arial" w:hAnsi="Arial" w:cs="Arial"/>
                <w:b/>
                <w:bCs/>
                <w:color w:val="222222"/>
                <w:sz w:val="20"/>
                <w:szCs w:val="20"/>
                <w:lang w:eastAsia="en-GB"/>
              </w:rPr>
              <w:t>niso dolžne izbrati osebe manj zastopanega spola</w:t>
            </w:r>
            <w:r w:rsidRPr="00143F97">
              <w:rPr>
                <w:rFonts w:ascii="Arial" w:hAnsi="Arial" w:cs="Arial"/>
                <w:b/>
                <w:color w:val="222222"/>
                <w:sz w:val="20"/>
                <w:szCs w:val="20"/>
                <w:lang w:eastAsia="en-GB"/>
              </w:rPr>
              <w:t>.</w:t>
            </w:r>
            <w:r w:rsidRPr="003555A0">
              <w:rPr>
                <w:rFonts w:ascii="Arial" w:hAnsi="Arial" w:cs="Arial"/>
                <w:color w:val="222222"/>
                <w:sz w:val="20"/>
                <w:szCs w:val="20"/>
                <w:lang w:eastAsia="en-GB"/>
              </w:rPr>
              <w:t xml:space="preserve"> V 6. členu Direktive (EU) 2022/2381 </w:t>
            </w:r>
            <w:r>
              <w:rPr>
                <w:rFonts w:ascii="Arial" w:hAnsi="Arial" w:cs="Arial"/>
                <w:color w:val="222222"/>
                <w:sz w:val="20"/>
                <w:szCs w:val="20"/>
                <w:lang w:eastAsia="en-GB"/>
              </w:rPr>
              <w:t>in</w:t>
            </w:r>
            <w:r w:rsidRPr="003555A0">
              <w:rPr>
                <w:rFonts w:ascii="Arial" w:hAnsi="Arial" w:cs="Arial"/>
                <w:color w:val="222222"/>
                <w:sz w:val="20"/>
                <w:szCs w:val="20"/>
                <w:lang w:eastAsia="en-GB"/>
              </w:rPr>
              <w:t xml:space="preserve"> v obrazložitvi novega 254.č člena je navedeno, da se izjeme nanašajo na primere, kadar razlogi večje pravne teže pretehtajo v korist kandidata nasprotnega spola. Razlogi večje pravne teže</w:t>
            </w:r>
            <w:r w:rsidRPr="003555A0" w:rsidDel="006823D5">
              <w:rPr>
                <w:rFonts w:ascii="Arial" w:hAnsi="Arial" w:cs="Arial"/>
                <w:color w:val="222222"/>
                <w:sz w:val="20"/>
                <w:szCs w:val="20"/>
                <w:lang w:eastAsia="en-GB"/>
              </w:rPr>
              <w:t xml:space="preserve"> </w:t>
            </w:r>
            <w:r w:rsidRPr="003555A0">
              <w:rPr>
                <w:rFonts w:ascii="Arial" w:hAnsi="Arial" w:cs="Arial"/>
                <w:color w:val="222222"/>
                <w:sz w:val="20"/>
                <w:szCs w:val="20"/>
                <w:lang w:eastAsia="en-GB"/>
              </w:rPr>
              <w:t xml:space="preserve">so lahko na primer izvajanje </w:t>
            </w:r>
            <w:r w:rsidRPr="003555A0" w:rsidDel="009B69A0">
              <w:rPr>
                <w:rFonts w:ascii="Arial" w:hAnsi="Arial" w:cs="Arial"/>
                <w:color w:val="222222"/>
                <w:sz w:val="20"/>
                <w:szCs w:val="20"/>
                <w:lang w:eastAsia="en-GB"/>
              </w:rPr>
              <w:t xml:space="preserve">drugih </w:t>
            </w:r>
            <w:r w:rsidRPr="003555A0">
              <w:rPr>
                <w:rFonts w:ascii="Arial" w:hAnsi="Arial" w:cs="Arial"/>
                <w:color w:val="222222"/>
                <w:sz w:val="20"/>
                <w:szCs w:val="20"/>
                <w:lang w:eastAsia="en-GB"/>
              </w:rPr>
              <w:t>politik raznolikosti</w:t>
            </w:r>
            <w:r w:rsidRPr="003555A0" w:rsidDel="009B69A0">
              <w:rPr>
                <w:rFonts w:ascii="Arial" w:hAnsi="Arial" w:cs="Arial"/>
                <w:color w:val="222222"/>
                <w:sz w:val="20"/>
                <w:szCs w:val="20"/>
                <w:lang w:eastAsia="en-GB"/>
              </w:rPr>
              <w:t xml:space="preserve"> </w:t>
            </w:r>
            <w:r>
              <w:rPr>
                <w:rFonts w:ascii="Arial" w:hAnsi="Arial" w:cs="Arial"/>
                <w:color w:val="222222"/>
                <w:sz w:val="20"/>
                <w:szCs w:val="20"/>
                <w:lang w:eastAsia="en-GB"/>
              </w:rPr>
              <w:t xml:space="preserve">v </w:t>
            </w:r>
            <w:r w:rsidRPr="003555A0">
              <w:rPr>
                <w:rFonts w:ascii="Arial" w:hAnsi="Arial" w:cs="Arial"/>
                <w:color w:val="222222"/>
                <w:sz w:val="20"/>
                <w:szCs w:val="20"/>
                <w:lang w:eastAsia="en-GB"/>
              </w:rPr>
              <w:t>družb</w:t>
            </w:r>
            <w:r>
              <w:rPr>
                <w:rFonts w:ascii="Arial" w:hAnsi="Arial" w:cs="Arial"/>
                <w:color w:val="222222"/>
                <w:sz w:val="20"/>
                <w:szCs w:val="20"/>
                <w:lang w:eastAsia="en-GB"/>
              </w:rPr>
              <w:t>i</w:t>
            </w:r>
            <w:r w:rsidRPr="003555A0">
              <w:rPr>
                <w:rFonts w:ascii="Arial" w:hAnsi="Arial" w:cs="Arial"/>
                <w:color w:val="222222"/>
                <w:sz w:val="20"/>
                <w:szCs w:val="20"/>
                <w:lang w:eastAsia="en-GB"/>
              </w:rPr>
              <w:t>, na katere se mora sklicevati v okviru objektivne ocene, upoštevati poseben položaj nasprotnega spola in temeljiti na nediskriminatornih merilih. T</w:t>
            </w:r>
            <w:r w:rsidRPr="003555A0">
              <w:rPr>
                <w:rFonts w:ascii="Arial" w:hAnsi="Arial" w:cs="Arial"/>
                <w:sz w:val="20"/>
                <w:szCs w:val="20"/>
              </w:rPr>
              <w:t>aksativno navajanje primerov izjem v členu zakona</w:t>
            </w:r>
            <w:r w:rsidRPr="003555A0" w:rsidDel="006823D5">
              <w:rPr>
                <w:rFonts w:ascii="Arial" w:hAnsi="Arial" w:cs="Arial"/>
                <w:sz w:val="20"/>
                <w:szCs w:val="20"/>
              </w:rPr>
              <w:t xml:space="preserve"> </w:t>
            </w:r>
            <w:r>
              <w:rPr>
                <w:rFonts w:ascii="Arial" w:hAnsi="Arial" w:cs="Arial"/>
                <w:sz w:val="20"/>
                <w:szCs w:val="20"/>
              </w:rPr>
              <w:t>ustvarja</w:t>
            </w:r>
            <w:r w:rsidRPr="003555A0">
              <w:rPr>
                <w:rFonts w:ascii="Arial" w:hAnsi="Arial" w:cs="Arial"/>
                <w:sz w:val="20"/>
                <w:szCs w:val="20"/>
              </w:rPr>
              <w:t xml:space="preserve"> tveganje, da omejimo njihov nabor samo na </w:t>
            </w:r>
            <w:r>
              <w:rPr>
                <w:rFonts w:ascii="Arial" w:hAnsi="Arial" w:cs="Arial"/>
                <w:sz w:val="20"/>
                <w:szCs w:val="20"/>
              </w:rPr>
              <w:t>nekatere</w:t>
            </w:r>
            <w:r w:rsidRPr="003555A0">
              <w:rPr>
                <w:rFonts w:ascii="Arial" w:hAnsi="Arial" w:cs="Arial"/>
                <w:sz w:val="20"/>
                <w:szCs w:val="20"/>
              </w:rPr>
              <w:t xml:space="preserve"> izjeme, kar se lahko v praksi izkaže za neustrezno, zato menimo, da to ni zakonska materija. </w:t>
            </w:r>
            <w:r>
              <w:rPr>
                <w:rFonts w:ascii="Arial" w:hAnsi="Arial" w:cs="Arial"/>
                <w:sz w:val="20"/>
                <w:szCs w:val="20"/>
              </w:rPr>
              <w:t>Delno bomo upoštevali predlog in navedli primer izjeme v 254.č členu in</w:t>
            </w:r>
            <w:r w:rsidRPr="003555A0">
              <w:rPr>
                <w:rFonts w:ascii="Arial" w:hAnsi="Arial" w:cs="Arial"/>
                <w:sz w:val="20"/>
                <w:szCs w:val="20"/>
              </w:rPr>
              <w:t xml:space="preserve"> dopolnili obrazložitev </w:t>
            </w:r>
            <w:r>
              <w:rPr>
                <w:rFonts w:ascii="Arial" w:hAnsi="Arial" w:cs="Arial"/>
                <w:sz w:val="20"/>
                <w:szCs w:val="20"/>
              </w:rPr>
              <w:t>z</w:t>
            </w:r>
            <w:r w:rsidRPr="003555A0">
              <w:rPr>
                <w:rFonts w:ascii="Arial" w:hAnsi="Arial" w:cs="Arial"/>
                <w:sz w:val="20"/>
                <w:szCs w:val="20"/>
              </w:rPr>
              <w:t xml:space="preserve"> naved</w:t>
            </w:r>
            <w:r>
              <w:rPr>
                <w:rFonts w:ascii="Arial" w:hAnsi="Arial" w:cs="Arial"/>
                <w:sz w:val="20"/>
                <w:szCs w:val="20"/>
              </w:rPr>
              <w:t>bo</w:t>
            </w:r>
            <w:r w:rsidRPr="003555A0">
              <w:rPr>
                <w:rFonts w:ascii="Arial" w:hAnsi="Arial" w:cs="Arial"/>
                <w:sz w:val="20"/>
                <w:szCs w:val="20"/>
              </w:rPr>
              <w:t xml:space="preserve"> primerov, ki bi pri določitvi meril v izbirnih postopkih lahko prevladali nad spolom, kot je na primer starost, nacionalnost, invalidnost, če je to pomembno za izvajanje </w:t>
            </w:r>
            <w:r>
              <w:rPr>
                <w:rFonts w:ascii="Arial" w:hAnsi="Arial" w:cs="Arial"/>
                <w:sz w:val="20"/>
                <w:szCs w:val="20"/>
              </w:rPr>
              <w:t>zgoraj navedenih</w:t>
            </w:r>
            <w:r w:rsidRPr="003555A0">
              <w:rPr>
                <w:rFonts w:ascii="Arial" w:hAnsi="Arial" w:cs="Arial"/>
                <w:sz w:val="20"/>
                <w:szCs w:val="20"/>
              </w:rPr>
              <w:t xml:space="preserve"> politik družbe</w:t>
            </w:r>
            <w:r>
              <w:rPr>
                <w:rFonts w:ascii="Arial" w:hAnsi="Arial" w:cs="Arial"/>
                <w:sz w:val="20"/>
                <w:szCs w:val="20"/>
              </w:rPr>
              <w:t>;</w:t>
            </w:r>
          </w:p>
          <w:p w14:paraId="587FB830" w14:textId="77777777" w:rsidR="000C08CA" w:rsidRPr="003555A0" w:rsidRDefault="000C08CA" w:rsidP="00FE328D">
            <w:pPr>
              <w:pStyle w:val="ListParagraph"/>
              <w:numPr>
                <w:ilvl w:val="0"/>
                <w:numId w:val="94"/>
              </w:numPr>
              <w:spacing w:after="120" w:line="276" w:lineRule="auto"/>
              <w:contextualSpacing w:val="0"/>
              <w:jc w:val="both"/>
              <w:rPr>
                <w:rFonts w:ascii="Arial" w:hAnsi="Arial" w:cs="Arial"/>
                <w:b/>
                <w:bCs/>
                <w:sz w:val="20"/>
                <w:szCs w:val="20"/>
              </w:rPr>
            </w:pPr>
            <w:r w:rsidRPr="003555A0">
              <w:rPr>
                <w:rFonts w:ascii="Arial" w:hAnsi="Arial" w:cs="Arial"/>
                <w:b/>
                <w:bCs/>
                <w:sz w:val="20"/>
                <w:szCs w:val="20"/>
              </w:rPr>
              <w:t>da je imenovanje osebe, ki je bila v izbirnem postopku izbrana v nasprotju z določbami tega zakona</w:t>
            </w:r>
            <w:r>
              <w:rPr>
                <w:rFonts w:ascii="Arial" w:hAnsi="Arial" w:cs="Arial"/>
                <w:b/>
                <w:bCs/>
                <w:sz w:val="20"/>
                <w:szCs w:val="20"/>
              </w:rPr>
              <w:t>,</w:t>
            </w:r>
            <w:r w:rsidRPr="003555A0">
              <w:rPr>
                <w:rFonts w:ascii="Arial" w:hAnsi="Arial" w:cs="Arial"/>
                <w:b/>
                <w:bCs/>
                <w:sz w:val="20"/>
                <w:szCs w:val="20"/>
              </w:rPr>
              <w:t xml:space="preserve"> glede zagotavljanja večje zastopanosti manj zastopanega spola nično, hkrati pa je oškodovana oseba upravičena do odškodnine in nadomestila. </w:t>
            </w:r>
            <w:r>
              <w:rPr>
                <w:rFonts w:ascii="Arial" w:hAnsi="Arial" w:cs="Arial"/>
                <w:sz w:val="20"/>
                <w:szCs w:val="20"/>
              </w:rPr>
              <w:t>Na podlagi</w:t>
            </w:r>
            <w:r w:rsidRPr="003555A0">
              <w:rPr>
                <w:rFonts w:ascii="Arial" w:hAnsi="Arial" w:cs="Arial"/>
                <w:sz w:val="20"/>
                <w:szCs w:val="20"/>
              </w:rPr>
              <w:t xml:space="preserve"> </w:t>
            </w:r>
            <w:r w:rsidRPr="003555A0">
              <w:rPr>
                <w:rStyle w:val="normaltextrun"/>
                <w:rFonts w:ascii="Arial" w:hAnsi="Arial" w:cs="Arial"/>
                <w:sz w:val="20"/>
                <w:szCs w:val="20"/>
              </w:rPr>
              <w:t>Direktiv</w:t>
            </w:r>
            <w:r>
              <w:rPr>
                <w:rStyle w:val="normaltextrun"/>
                <w:rFonts w:ascii="Arial" w:hAnsi="Arial" w:cs="Arial"/>
                <w:sz w:val="20"/>
                <w:szCs w:val="20"/>
              </w:rPr>
              <w:t>e</w:t>
            </w:r>
            <w:r w:rsidRPr="003555A0">
              <w:rPr>
                <w:rStyle w:val="normaltextrun"/>
                <w:rFonts w:ascii="Arial" w:hAnsi="Arial" w:cs="Arial"/>
                <w:sz w:val="20"/>
                <w:szCs w:val="20"/>
              </w:rPr>
              <w:t xml:space="preserve"> (EU) 2022/2381 lahko države članice</w:t>
            </w:r>
            <w:r>
              <w:rPr>
                <w:rStyle w:val="normaltextrun"/>
                <w:rFonts w:ascii="Arial" w:hAnsi="Arial" w:cs="Arial"/>
                <w:sz w:val="20"/>
                <w:szCs w:val="20"/>
              </w:rPr>
              <w:t xml:space="preserve"> </w:t>
            </w:r>
            <w:r w:rsidRPr="003555A0">
              <w:rPr>
                <w:rStyle w:val="normaltextrun"/>
                <w:rFonts w:ascii="Arial" w:hAnsi="Arial" w:cs="Arial"/>
                <w:sz w:val="20"/>
                <w:szCs w:val="20"/>
              </w:rPr>
              <w:t xml:space="preserve">določijo različne vrste sankcij, ki lahko vključujejo globe, </w:t>
            </w:r>
            <w:r w:rsidRPr="003555A0">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3555A0">
              <w:rPr>
                <w:rStyle w:val="normaltextrun"/>
                <w:rFonts w:ascii="Arial" w:hAnsi="Arial" w:cs="Arial"/>
                <w:sz w:val="20"/>
                <w:szCs w:val="20"/>
              </w:rPr>
              <w:t>Predlog ZGD-1M določa globe za sankcije v primerih kršitev, ki jih predvideva Direktiva (EU) 2022/2381.</w:t>
            </w:r>
            <w:r w:rsidRPr="003555A0">
              <w:rPr>
                <w:rFonts w:ascii="Arial" w:hAnsi="Arial" w:cs="Arial"/>
                <w:sz w:val="20"/>
                <w:szCs w:val="20"/>
              </w:rPr>
              <w:t xml:space="preserve"> Razmišljali smo tudi o možnosti določitve ničnosti v primerih kršitve izbirnih postopkov, vendar smo zadržani do predloga zaradi možnih pravnih </w:t>
            </w:r>
            <w:r w:rsidRPr="003555A0">
              <w:rPr>
                <w:rFonts w:ascii="Arial" w:hAnsi="Arial" w:cs="Arial"/>
                <w:sz w:val="20"/>
                <w:szCs w:val="20"/>
              </w:rPr>
              <w:lastRenderedPageBreak/>
              <w:t>posledic na poslovanje družb oz. veljavnost pravnih poslov v primeru ugotovljene ničnosti (ničnost velja za nazaj) in dolgotrajnih sodnih postopkov ugotovitve ničnosti. Kot smo že večkrat omenili</w:t>
            </w:r>
            <w:r>
              <w:rPr>
                <w:rFonts w:ascii="Arial" w:hAnsi="Arial" w:cs="Arial"/>
                <w:sz w:val="20"/>
                <w:szCs w:val="20"/>
              </w:rPr>
              <w:t>,</w:t>
            </w:r>
            <w:r w:rsidRPr="003555A0">
              <w:rPr>
                <w:rFonts w:ascii="Arial" w:hAnsi="Arial" w:cs="Arial"/>
                <w:sz w:val="20"/>
                <w:szCs w:val="20"/>
              </w:rPr>
              <w:t xml:space="preserve"> sledimo tudi pri določitvi sankcij minimalnim zahtevam </w:t>
            </w:r>
            <w:r>
              <w:rPr>
                <w:rFonts w:ascii="Arial" w:hAnsi="Arial" w:cs="Arial"/>
                <w:sz w:val="20"/>
                <w:szCs w:val="20"/>
              </w:rPr>
              <w:t xml:space="preserve">iz </w:t>
            </w:r>
            <w:r w:rsidRPr="003555A0">
              <w:rPr>
                <w:rFonts w:ascii="Arial" w:hAnsi="Arial" w:cs="Arial"/>
                <w:sz w:val="20"/>
                <w:szCs w:val="20"/>
              </w:rPr>
              <w:t xml:space="preserve">Direktive (EU) 2022/2381, tako da z mehkim pristopom spodbudimo napredek pri uravnoteženi zastopanosti spolov na najvišjih vodilnih mestih v družbah, ki bo v praksi podkrepljen tudi z drugimi podpornimi ukrepi. Iz raziskav </w:t>
            </w:r>
            <w:r>
              <w:rPr>
                <w:rFonts w:ascii="Arial" w:hAnsi="Arial" w:cs="Arial"/>
                <w:sz w:val="20"/>
                <w:szCs w:val="20"/>
              </w:rPr>
              <w:t>in</w:t>
            </w:r>
            <w:r w:rsidRPr="003555A0">
              <w:rPr>
                <w:rFonts w:ascii="Arial" w:hAnsi="Arial" w:cs="Arial"/>
                <w:sz w:val="20"/>
                <w:szCs w:val="20"/>
              </w:rPr>
              <w:t xml:space="preserve"> iz direktive je razvidno, da je potreben čas, da se družbe prilagodijo in seznanijo s pozitivnimi vidiki </w:t>
            </w:r>
            <w:r w:rsidRPr="009B69A0">
              <w:rPr>
                <w:rFonts w:ascii="Arial" w:hAnsi="Arial" w:cs="Arial"/>
                <w:sz w:val="20"/>
                <w:szCs w:val="20"/>
              </w:rPr>
              <w:t>uravnotežene zastopanosti spolov</w:t>
            </w:r>
            <w:r w:rsidRPr="009B69A0" w:rsidDel="009B69A0">
              <w:rPr>
                <w:rFonts w:ascii="Arial" w:hAnsi="Arial" w:cs="Arial"/>
                <w:sz w:val="20"/>
                <w:szCs w:val="20"/>
              </w:rPr>
              <w:t xml:space="preserve"> </w:t>
            </w:r>
            <w:r>
              <w:rPr>
                <w:rFonts w:ascii="Arial" w:hAnsi="Arial" w:cs="Arial"/>
                <w:sz w:val="20"/>
                <w:szCs w:val="20"/>
              </w:rPr>
              <w:t>p</w:t>
            </w:r>
            <w:r>
              <w:t xml:space="preserve">ri </w:t>
            </w:r>
            <w:r w:rsidRPr="003555A0">
              <w:rPr>
                <w:rFonts w:ascii="Arial" w:hAnsi="Arial" w:cs="Arial"/>
                <w:sz w:val="20"/>
                <w:szCs w:val="20"/>
              </w:rPr>
              <w:t>vodenj</w:t>
            </w:r>
            <w:r>
              <w:rPr>
                <w:rFonts w:ascii="Arial" w:hAnsi="Arial" w:cs="Arial"/>
                <w:sz w:val="20"/>
                <w:szCs w:val="20"/>
              </w:rPr>
              <w:t>u</w:t>
            </w:r>
            <w:r w:rsidRPr="003555A0">
              <w:rPr>
                <w:rFonts w:ascii="Arial" w:hAnsi="Arial" w:cs="Arial"/>
                <w:sz w:val="20"/>
                <w:szCs w:val="20"/>
              </w:rPr>
              <w:t>, zato menimo, da bi bila trenutno ničnost prestroga sankcija</w:t>
            </w:r>
            <w:r>
              <w:rPr>
                <w:rFonts w:ascii="Arial" w:hAnsi="Arial" w:cs="Arial"/>
                <w:sz w:val="20"/>
                <w:szCs w:val="20"/>
              </w:rPr>
              <w:t>;</w:t>
            </w:r>
          </w:p>
          <w:p w14:paraId="36C9FF27" w14:textId="77777777" w:rsidR="000C08CA" w:rsidRPr="003555A0" w:rsidRDefault="000C08CA" w:rsidP="00FE328D">
            <w:pPr>
              <w:pStyle w:val="ListParagraph"/>
              <w:numPr>
                <w:ilvl w:val="0"/>
                <w:numId w:val="94"/>
              </w:numPr>
              <w:spacing w:after="120" w:line="276" w:lineRule="auto"/>
              <w:contextualSpacing w:val="0"/>
              <w:jc w:val="both"/>
              <w:rPr>
                <w:rFonts w:ascii="Arial" w:hAnsi="Arial" w:cs="Arial"/>
                <w:b/>
                <w:bCs/>
                <w:color w:val="222222"/>
                <w:sz w:val="20"/>
                <w:szCs w:val="20"/>
                <w:lang w:eastAsia="en-GB"/>
              </w:rPr>
            </w:pPr>
            <w:r w:rsidRPr="003555A0">
              <w:rPr>
                <w:rFonts w:ascii="Arial" w:hAnsi="Arial" w:cs="Arial"/>
                <w:b/>
                <w:bCs/>
                <w:color w:val="222222"/>
                <w:sz w:val="20"/>
                <w:szCs w:val="20"/>
                <w:lang w:eastAsia="en-GB"/>
              </w:rPr>
              <w:t>da se predvidena naloga centralizirane javne objave informacij družb iz njihovih letnih poročil dodeli Ajpes</w:t>
            </w:r>
            <w:r>
              <w:rPr>
                <w:rFonts w:ascii="Arial" w:hAnsi="Arial" w:cs="Arial"/>
                <w:b/>
                <w:bCs/>
                <w:color w:val="222222"/>
                <w:sz w:val="20"/>
                <w:szCs w:val="20"/>
                <w:lang w:eastAsia="en-GB"/>
              </w:rPr>
              <w:t>u</w:t>
            </w:r>
            <w:r w:rsidRPr="003555A0">
              <w:rPr>
                <w:rFonts w:ascii="Arial" w:hAnsi="Arial" w:cs="Arial"/>
                <w:b/>
                <w:bCs/>
                <w:color w:val="222222"/>
                <w:sz w:val="20"/>
                <w:szCs w:val="20"/>
                <w:lang w:eastAsia="en-GB"/>
              </w:rPr>
              <w:t xml:space="preserve">. </w:t>
            </w:r>
            <w:r w:rsidRPr="003555A0">
              <w:rPr>
                <w:rFonts w:ascii="Arial" w:hAnsi="Arial" w:cs="Arial"/>
                <w:sz w:val="20"/>
                <w:szCs w:val="20"/>
              </w:rPr>
              <w:t xml:space="preserve">Določitev organa za izvajanje naloge centralizirane javne objave informacij seznama družb zavezank in deležev, ki so jih dosegle glede </w:t>
            </w:r>
            <w:r w:rsidRPr="006E0C85">
              <w:rPr>
                <w:rFonts w:ascii="Arial" w:hAnsi="Arial" w:cs="Arial"/>
                <w:sz w:val="20"/>
                <w:szCs w:val="20"/>
              </w:rPr>
              <w:t>uravnotežene</w:t>
            </w:r>
            <w:r w:rsidRPr="006E0C85" w:rsidDel="006E0C85">
              <w:rPr>
                <w:rFonts w:ascii="Arial" w:hAnsi="Arial" w:cs="Arial"/>
                <w:sz w:val="20"/>
                <w:szCs w:val="20"/>
              </w:rPr>
              <w:t xml:space="preserv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med člani organov vodenja in nadzora ter izvršnimi direktorji, je povezana z izvajanjem drugih nalog</w:t>
            </w:r>
            <w:r>
              <w:rPr>
                <w:rFonts w:ascii="Arial" w:hAnsi="Arial" w:cs="Arial"/>
                <w:sz w:val="20"/>
                <w:szCs w:val="20"/>
              </w:rPr>
              <w:t>,</w:t>
            </w:r>
            <w:r w:rsidRPr="003555A0">
              <w:rPr>
                <w:rFonts w:ascii="Arial" w:hAnsi="Arial" w:cs="Arial"/>
                <w:sz w:val="20"/>
                <w:szCs w:val="20"/>
              </w:rPr>
              <w:t xml:space="preserve"> predvidenih z Direktivo (EU) 2022/2381.</w:t>
            </w:r>
            <w:r w:rsidRPr="003555A0" w:rsidDel="006823D5">
              <w:rPr>
                <w:rFonts w:ascii="Arial" w:hAnsi="Arial" w:cs="Arial"/>
                <w:sz w:val="20"/>
                <w:szCs w:val="20"/>
              </w:rPr>
              <w:t xml:space="preserve"> </w:t>
            </w:r>
            <w:r>
              <w:rPr>
                <w:rFonts w:ascii="Arial" w:hAnsi="Arial" w:cs="Arial"/>
                <w:sz w:val="20"/>
                <w:szCs w:val="20"/>
              </w:rPr>
              <w:t>V</w:t>
            </w:r>
            <w:r w:rsidRPr="003555A0">
              <w:rPr>
                <w:rFonts w:ascii="Arial" w:hAnsi="Arial" w:cs="Arial"/>
                <w:sz w:val="20"/>
                <w:szCs w:val="20"/>
              </w:rPr>
              <w:t xml:space="preserve"> skladu z 10. členom Direktive (EU) 2022/2381 je treba </w:t>
            </w:r>
            <w:r>
              <w:rPr>
                <w:rFonts w:ascii="Arial" w:hAnsi="Arial" w:cs="Arial"/>
                <w:sz w:val="20"/>
                <w:szCs w:val="20"/>
              </w:rPr>
              <w:t>n</w:t>
            </w:r>
            <w:r w:rsidRPr="003555A0">
              <w:rPr>
                <w:rFonts w:ascii="Arial" w:hAnsi="Arial" w:cs="Arial"/>
                <w:sz w:val="20"/>
                <w:szCs w:val="20"/>
              </w:rPr>
              <w:t>amreč imenovati organ za spodbujanje, analiziranje, spremljanje in spodbujanje uravnotežene zastopanosti spolov v organih družb, v katerem je tudi napotilo, da so to lahko organi za enakost. Zaradi enotne in sistemske ureditve področja smo predlagali, da bi bil pristojen en organ za vse obveznosti na področju (objava seznama družb, spremljanje, analiziranje, nadziranje itd.), kar bi zagotovilo lažje izvajanje vseh povezanih aktivnosti na področju uravnotežene zastopanosti spolov v organih družb. Ajpes ni pristojen za spremljanje informacij</w:t>
            </w:r>
            <w:r>
              <w:rPr>
                <w:rFonts w:ascii="Arial" w:hAnsi="Arial" w:cs="Arial"/>
                <w:sz w:val="20"/>
                <w:szCs w:val="20"/>
              </w:rPr>
              <w:t>,</w:t>
            </w:r>
            <w:r w:rsidRPr="003555A0">
              <w:rPr>
                <w:rFonts w:ascii="Arial" w:hAnsi="Arial" w:cs="Arial"/>
                <w:sz w:val="20"/>
                <w:szCs w:val="20"/>
              </w:rPr>
              <w:t xml:space="preserve"> navedenih v letnih poročilih družb</w:t>
            </w:r>
            <w:r>
              <w:rPr>
                <w:rFonts w:ascii="Arial" w:hAnsi="Arial" w:cs="Arial"/>
                <w:sz w:val="20"/>
                <w:szCs w:val="20"/>
              </w:rPr>
              <w:t>,</w:t>
            </w:r>
            <w:r w:rsidRPr="003555A0">
              <w:rPr>
                <w:rFonts w:ascii="Arial" w:hAnsi="Arial" w:cs="Arial"/>
                <w:sz w:val="20"/>
                <w:szCs w:val="20"/>
              </w:rPr>
              <w:t xml:space="preserve"> </w:t>
            </w:r>
            <w:r>
              <w:rPr>
                <w:rFonts w:ascii="Arial" w:hAnsi="Arial" w:cs="Arial"/>
                <w:sz w:val="20"/>
                <w:szCs w:val="20"/>
              </w:rPr>
              <w:t>niti za</w:t>
            </w:r>
            <w:r w:rsidRPr="003555A0">
              <w:rPr>
                <w:rFonts w:ascii="Arial" w:hAnsi="Arial" w:cs="Arial"/>
                <w:sz w:val="20"/>
                <w:szCs w:val="20"/>
              </w:rPr>
              <w:t xml:space="preserve"> vod</w:t>
            </w:r>
            <w:r>
              <w:rPr>
                <w:rFonts w:ascii="Arial" w:hAnsi="Arial" w:cs="Arial"/>
                <w:sz w:val="20"/>
                <w:szCs w:val="20"/>
              </w:rPr>
              <w:t>enje</w:t>
            </w:r>
            <w:r w:rsidRPr="003555A0">
              <w:rPr>
                <w:rFonts w:ascii="Arial" w:hAnsi="Arial" w:cs="Arial"/>
                <w:sz w:val="20"/>
                <w:szCs w:val="20"/>
              </w:rPr>
              <w:t xml:space="preserve"> posebn</w:t>
            </w:r>
            <w:r>
              <w:rPr>
                <w:rFonts w:ascii="Arial" w:hAnsi="Arial" w:cs="Arial"/>
                <w:sz w:val="20"/>
                <w:szCs w:val="20"/>
              </w:rPr>
              <w:t>ih</w:t>
            </w:r>
            <w:r w:rsidRPr="003555A0">
              <w:rPr>
                <w:rFonts w:ascii="Arial" w:hAnsi="Arial" w:cs="Arial"/>
                <w:sz w:val="20"/>
                <w:szCs w:val="20"/>
              </w:rPr>
              <w:t xml:space="preserve"> seznam</w:t>
            </w:r>
            <w:r>
              <w:rPr>
                <w:rFonts w:ascii="Arial" w:hAnsi="Arial" w:cs="Arial"/>
                <w:sz w:val="20"/>
                <w:szCs w:val="20"/>
              </w:rPr>
              <w:t>ov</w:t>
            </w:r>
            <w:r w:rsidRPr="003555A0">
              <w:rPr>
                <w:rFonts w:ascii="Arial" w:hAnsi="Arial" w:cs="Arial"/>
                <w:sz w:val="20"/>
                <w:szCs w:val="20"/>
              </w:rPr>
              <w:t xml:space="preserve">. Informacije glede seznama družb zavezank in deležev, ki so jih dosegle glede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med člani organov vodenja in nadzora ter izvršnimi direktorji, se ne bodo pridobivale iz letnih poročil, temveč bi jih družbe zavezanke neposredno poslale Zagovorniku. </w:t>
            </w:r>
            <w:r>
              <w:rPr>
                <w:rFonts w:ascii="Arial" w:hAnsi="Arial" w:cs="Arial"/>
                <w:sz w:val="20"/>
                <w:szCs w:val="20"/>
              </w:rPr>
              <w:t>N</w:t>
            </w:r>
            <w:r w:rsidRPr="003555A0">
              <w:rPr>
                <w:rFonts w:ascii="Arial" w:hAnsi="Arial" w:cs="Arial"/>
                <w:sz w:val="20"/>
                <w:szCs w:val="20"/>
              </w:rPr>
              <w:t>avedene informacije bodo vključene v letno poročilo (kar ni obvezno po direktivi) in družbe jih bodo morale objaviti na svoji spletni strani. Sezam bo imel večjo težo in vpliv na družbe, če bo to objavljeno na spletni strani ugledne institucije</w:t>
            </w:r>
            <w:r>
              <w:rPr>
                <w:rFonts w:ascii="Arial" w:hAnsi="Arial" w:cs="Arial"/>
                <w:sz w:val="20"/>
                <w:szCs w:val="20"/>
              </w:rPr>
              <w:t>,</w:t>
            </w:r>
            <w:r w:rsidRPr="003555A0">
              <w:rPr>
                <w:rFonts w:ascii="Arial" w:hAnsi="Arial" w:cs="Arial"/>
                <w:sz w:val="20"/>
                <w:szCs w:val="20"/>
              </w:rPr>
              <w:t xml:space="preserve"> kot je Zagovornik, ki se zavzema za cilje </w:t>
            </w:r>
            <w:r>
              <w:rPr>
                <w:rFonts w:ascii="Arial" w:hAnsi="Arial" w:cs="Arial"/>
                <w:sz w:val="20"/>
                <w:szCs w:val="20"/>
              </w:rPr>
              <w:t>izvajanja</w:t>
            </w:r>
            <w:r w:rsidRPr="003555A0">
              <w:rPr>
                <w:rFonts w:ascii="Arial" w:hAnsi="Arial" w:cs="Arial"/>
                <w:sz w:val="20"/>
                <w:szCs w:val="20"/>
              </w:rPr>
              <w:t xml:space="preserve"> načela enakosti</w:t>
            </w:r>
            <w:r>
              <w:rPr>
                <w:rFonts w:ascii="Arial" w:hAnsi="Arial" w:cs="Arial"/>
                <w:sz w:val="20"/>
                <w:szCs w:val="20"/>
              </w:rPr>
              <w:t>;</w:t>
            </w:r>
          </w:p>
          <w:p w14:paraId="7E4E3C5A" w14:textId="77777777" w:rsidR="000C08CA" w:rsidRPr="003555A0" w:rsidRDefault="000C08CA" w:rsidP="00FE328D">
            <w:pPr>
              <w:pStyle w:val="ListParagraph"/>
              <w:numPr>
                <w:ilvl w:val="0"/>
                <w:numId w:val="94"/>
              </w:numPr>
              <w:spacing w:after="0" w:line="260" w:lineRule="atLeast"/>
              <w:jc w:val="both"/>
              <w:rPr>
                <w:rFonts w:ascii="Arial" w:hAnsi="Arial" w:cs="Arial"/>
                <w:sz w:val="20"/>
                <w:szCs w:val="20"/>
              </w:rPr>
            </w:pPr>
            <w:r w:rsidRPr="003555A0">
              <w:rPr>
                <w:rFonts w:ascii="Arial" w:hAnsi="Arial" w:cs="Arial"/>
                <w:b/>
                <w:bCs/>
                <w:sz w:val="20"/>
                <w:szCs w:val="20"/>
              </w:rPr>
              <w:t xml:space="preserve">da nadzor nad izvajanjem določb tega zakona glede obveznosti iz direktive za zagotavljanje večje zastopanosti manj zastopanega spola opravljata Ajpes in Inšpektorat Republike Slovenije za delo. </w:t>
            </w:r>
            <w:r w:rsidRPr="003555A0">
              <w:rPr>
                <w:rFonts w:ascii="Arial" w:hAnsi="Arial" w:cs="Arial"/>
                <w:sz w:val="20"/>
                <w:szCs w:val="20"/>
              </w:rPr>
              <w:t xml:space="preserve">Ajpes kot registrski organ ni pristojen za vsebinsko pregledovanje letnih poročil družb, temveč samo za njihovo javno objavo. Vsebinsko jih pregleda revizor </w:t>
            </w:r>
            <w:r>
              <w:rPr>
                <w:rFonts w:ascii="Arial" w:hAnsi="Arial" w:cs="Arial"/>
                <w:sz w:val="20"/>
                <w:szCs w:val="20"/>
              </w:rPr>
              <w:t>ter glede</w:t>
            </w:r>
            <w:r w:rsidRPr="003555A0">
              <w:rPr>
                <w:rFonts w:ascii="Arial" w:hAnsi="Arial" w:cs="Arial"/>
                <w:sz w:val="20"/>
                <w:szCs w:val="20"/>
              </w:rPr>
              <w:t xml:space="preserve"> točnosti in zanesljivosti informacij </w:t>
            </w:r>
            <w:r>
              <w:rPr>
                <w:rFonts w:ascii="Arial" w:hAnsi="Arial" w:cs="Arial"/>
                <w:sz w:val="20"/>
                <w:szCs w:val="20"/>
              </w:rPr>
              <w:t xml:space="preserve">poda </w:t>
            </w:r>
            <w:r w:rsidRPr="003555A0">
              <w:rPr>
                <w:rFonts w:ascii="Arial" w:hAnsi="Arial" w:cs="Arial"/>
                <w:sz w:val="20"/>
                <w:szCs w:val="20"/>
              </w:rPr>
              <w:t xml:space="preserve">določeno stopnjo zagotovila na poročilo. Poleg obveznosti, da se podatki o </w:t>
            </w:r>
            <w:r w:rsidRPr="006E0C85">
              <w:rPr>
                <w:rFonts w:ascii="Arial" w:hAnsi="Arial" w:cs="Arial"/>
                <w:sz w:val="20"/>
                <w:szCs w:val="20"/>
              </w:rPr>
              <w:t>uravnotežen</w:t>
            </w:r>
            <w:r>
              <w:rPr>
                <w:rFonts w:ascii="Arial" w:hAnsi="Arial" w:cs="Arial"/>
                <w:sz w:val="20"/>
                <w:szCs w:val="20"/>
              </w:rPr>
              <w:t>i</w:t>
            </w:r>
            <w:r w:rsidRPr="006E0C85">
              <w:rPr>
                <w:rFonts w:ascii="Arial" w:hAnsi="Arial" w:cs="Arial"/>
                <w:sz w:val="20"/>
                <w:szCs w:val="20"/>
              </w:rPr>
              <w:t xml:space="preserve"> </w:t>
            </w:r>
            <w:r w:rsidRPr="003555A0">
              <w:rPr>
                <w:rFonts w:ascii="Arial" w:hAnsi="Arial" w:cs="Arial"/>
                <w:sz w:val="20"/>
                <w:szCs w:val="20"/>
              </w:rPr>
              <w:t>zastopanosti</w:t>
            </w:r>
            <w:r>
              <w:t xml:space="preserve"> </w:t>
            </w:r>
            <w:r w:rsidRPr="006E0C85">
              <w:rPr>
                <w:rFonts w:ascii="Arial" w:hAnsi="Arial" w:cs="Arial"/>
                <w:sz w:val="20"/>
                <w:szCs w:val="20"/>
              </w:rPr>
              <w:t>spolov</w:t>
            </w:r>
            <w:r w:rsidRPr="003555A0">
              <w:rPr>
                <w:rFonts w:ascii="Arial" w:hAnsi="Arial" w:cs="Arial"/>
                <w:sz w:val="20"/>
                <w:szCs w:val="20"/>
              </w:rPr>
              <w:t xml:space="preserve">, sprejetih ukrepih za dosego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in o razlogih, če deleži niso bili doseženi</w:t>
            </w:r>
            <w:r>
              <w:rPr>
                <w:rFonts w:ascii="Arial" w:hAnsi="Arial" w:cs="Arial"/>
                <w:sz w:val="20"/>
                <w:szCs w:val="20"/>
              </w:rPr>
              <w:t>,</w:t>
            </w:r>
            <w:r w:rsidRPr="003555A0">
              <w:rPr>
                <w:rFonts w:ascii="Arial" w:hAnsi="Arial" w:cs="Arial"/>
                <w:sz w:val="20"/>
                <w:szCs w:val="20"/>
              </w:rPr>
              <w:t xml:space="preserve"> vključijo v </w:t>
            </w:r>
            <w:r>
              <w:rPr>
                <w:rFonts w:ascii="Arial" w:hAnsi="Arial" w:cs="Arial"/>
                <w:sz w:val="20"/>
                <w:szCs w:val="20"/>
              </w:rPr>
              <w:t>i</w:t>
            </w:r>
            <w:r w:rsidRPr="003555A0">
              <w:rPr>
                <w:rFonts w:ascii="Arial" w:hAnsi="Arial" w:cs="Arial"/>
                <w:sz w:val="20"/>
                <w:szCs w:val="20"/>
              </w:rPr>
              <w:t xml:space="preserve">zjavo o upravljanju, ki je del letnega poročila, morajo družbe navedene podatke objaviti tudi na svoji spletni strani, kar izhaja iz 7. člena Direktive (EU) 2022/2381. Menimo, da mora biti za vse navedeno pristojen en organ, ki bo nadziral vse zahtevane oblike poročanja družb glede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družb, vključno z njihovo vsebino. Razpolaganje s podatki o deležih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vodenja in nadzora so pomembni tudi za izvajanje aktivnosti spodbujanja, analiziranja, spremljanja in spodbujanja uravnotežene zastopanosti spolov v organih družb. Podan je bil tudi predlog, da Inšpektorat Republike Slovenije za delo opravlja nadzor </w:t>
            </w:r>
            <w:r>
              <w:rPr>
                <w:rFonts w:ascii="Arial" w:hAnsi="Arial" w:cs="Arial"/>
                <w:sz w:val="20"/>
                <w:szCs w:val="20"/>
              </w:rPr>
              <w:t>nad</w:t>
            </w:r>
            <w:r w:rsidRPr="003555A0">
              <w:rPr>
                <w:rFonts w:ascii="Arial" w:hAnsi="Arial" w:cs="Arial"/>
                <w:sz w:val="20"/>
                <w:szCs w:val="20"/>
              </w:rPr>
              <w:t xml:space="preserve"> kršitvami v primeru nespoštovanja ukrepov glede izbirnega postopka izbora kandidatov za imenovanje članov v organe vodenja in nadzora.</w:t>
            </w:r>
            <w:r w:rsidRPr="003555A0" w:rsidDel="007767DF">
              <w:rPr>
                <w:rFonts w:ascii="Arial" w:hAnsi="Arial" w:cs="Arial"/>
                <w:sz w:val="20"/>
                <w:szCs w:val="20"/>
              </w:rPr>
              <w:t xml:space="preserve"> </w:t>
            </w:r>
            <w:r>
              <w:rPr>
                <w:rFonts w:ascii="Arial" w:hAnsi="Arial" w:cs="Arial"/>
                <w:sz w:val="20"/>
                <w:szCs w:val="20"/>
              </w:rPr>
              <w:t>Ta</w:t>
            </w:r>
            <w:r w:rsidRPr="003555A0">
              <w:rPr>
                <w:rFonts w:ascii="Arial" w:hAnsi="Arial" w:cs="Arial"/>
                <w:sz w:val="20"/>
                <w:szCs w:val="20"/>
              </w:rPr>
              <w:t xml:space="preserve"> ima inšpekcijske pristojnosti na področju delovnopravne zakonodaje, varnosti in zdravja pri delu ter socialne varnosti, zato menimo, da ni ustrezen organ za presojo izbirnih postopkov </w:t>
            </w:r>
            <w:r>
              <w:rPr>
                <w:rFonts w:ascii="Arial" w:hAnsi="Arial" w:cs="Arial"/>
                <w:sz w:val="20"/>
                <w:szCs w:val="20"/>
              </w:rPr>
              <w:t>in</w:t>
            </w:r>
            <w:r w:rsidRPr="003555A0">
              <w:rPr>
                <w:rFonts w:ascii="Arial" w:hAnsi="Arial" w:cs="Arial"/>
                <w:sz w:val="20"/>
                <w:szCs w:val="20"/>
              </w:rPr>
              <w:t xml:space="preserve"> imenovanj v organe vodenja in nadzora. Pri opravljanju funkcij članov organov nadzora ali vodenja praviloma ne gre za delovna razmerja, temveč se sklenejo civilnopravne pogodbe. </w:t>
            </w:r>
            <w:r>
              <w:rPr>
                <w:rFonts w:ascii="Arial" w:hAnsi="Arial" w:cs="Arial"/>
                <w:sz w:val="20"/>
                <w:szCs w:val="20"/>
              </w:rPr>
              <w:t>Poleg tega</w:t>
            </w:r>
            <w:r w:rsidRPr="003555A0">
              <w:rPr>
                <w:rFonts w:ascii="Arial" w:hAnsi="Arial" w:cs="Arial"/>
                <w:sz w:val="20"/>
                <w:szCs w:val="20"/>
              </w:rPr>
              <w:t xml:space="preserve"> so nekatere zahteve </w:t>
            </w:r>
            <w:r>
              <w:rPr>
                <w:rFonts w:ascii="Arial" w:hAnsi="Arial" w:cs="Arial"/>
                <w:sz w:val="20"/>
                <w:szCs w:val="20"/>
              </w:rPr>
              <w:t xml:space="preserve">iz </w:t>
            </w:r>
            <w:r w:rsidRPr="003555A0">
              <w:rPr>
                <w:rFonts w:ascii="Arial" w:hAnsi="Arial" w:cs="Arial"/>
                <w:sz w:val="20"/>
                <w:szCs w:val="20"/>
              </w:rPr>
              <w:t>Direktive (EU) 2022/2381 delno že urejene v Zakonu o varstvu pred diskriminacijo, na podlagi katerega je določeno ugotavljanje diskriminacije v postopkih kot izvirna pristojnost Zagovornika načela enakosti. P</w:t>
            </w:r>
            <w:r>
              <w:rPr>
                <w:rFonts w:ascii="Arial" w:hAnsi="Arial" w:cs="Arial"/>
                <w:sz w:val="20"/>
                <w:szCs w:val="20"/>
              </w:rPr>
              <w:t>oleg</w:t>
            </w:r>
            <w:r w:rsidRPr="003555A0">
              <w:rPr>
                <w:rFonts w:ascii="Arial" w:hAnsi="Arial" w:cs="Arial"/>
                <w:sz w:val="20"/>
                <w:szCs w:val="20"/>
              </w:rPr>
              <w:t xml:space="preserve"> t</w:t>
            </w:r>
            <w:r>
              <w:rPr>
                <w:rFonts w:ascii="Arial" w:hAnsi="Arial" w:cs="Arial"/>
                <w:sz w:val="20"/>
                <w:szCs w:val="20"/>
              </w:rPr>
              <w:t>ega</w:t>
            </w:r>
            <w:r w:rsidRPr="003555A0">
              <w:rPr>
                <w:rFonts w:ascii="Arial" w:hAnsi="Arial" w:cs="Arial"/>
                <w:sz w:val="20"/>
                <w:szCs w:val="20"/>
              </w:rPr>
              <w:t xml:space="preserve"> imajo osebe, ki menijo, da so bile diskriminirane</w:t>
            </w:r>
            <w:r>
              <w:rPr>
                <w:rFonts w:ascii="Arial" w:hAnsi="Arial" w:cs="Arial"/>
                <w:sz w:val="20"/>
                <w:szCs w:val="20"/>
              </w:rPr>
              <w:t xml:space="preserve">, </w:t>
            </w:r>
            <w:r w:rsidRPr="003555A0">
              <w:rPr>
                <w:rFonts w:ascii="Arial" w:hAnsi="Arial" w:cs="Arial"/>
                <w:sz w:val="20"/>
                <w:szCs w:val="20"/>
              </w:rPr>
              <w:t>na podlagi Zakon</w:t>
            </w:r>
            <w:r>
              <w:rPr>
                <w:rFonts w:ascii="Arial" w:hAnsi="Arial" w:cs="Arial"/>
                <w:sz w:val="20"/>
                <w:szCs w:val="20"/>
              </w:rPr>
              <w:t>a</w:t>
            </w:r>
            <w:r w:rsidRPr="003555A0">
              <w:rPr>
                <w:rFonts w:ascii="Arial" w:hAnsi="Arial" w:cs="Arial"/>
                <w:sz w:val="20"/>
                <w:szCs w:val="20"/>
              </w:rPr>
              <w:t xml:space="preserve"> o varstvu pred diskriminacijo že zagotovljeno pravno varstvo, kar pa je tudi zahteva </w:t>
            </w:r>
            <w:r>
              <w:rPr>
                <w:rFonts w:ascii="Arial" w:hAnsi="Arial" w:cs="Arial"/>
                <w:sz w:val="20"/>
                <w:szCs w:val="20"/>
              </w:rPr>
              <w:t xml:space="preserve">iz </w:t>
            </w:r>
            <w:r w:rsidRPr="003555A0">
              <w:rPr>
                <w:rFonts w:ascii="Arial" w:hAnsi="Arial" w:cs="Arial"/>
                <w:sz w:val="20"/>
                <w:szCs w:val="20"/>
              </w:rPr>
              <w:t xml:space="preserve">četrtega odstavka 6. člena Direktive (EU) 2022/2381. Glede na </w:t>
            </w:r>
            <w:r>
              <w:rPr>
                <w:rFonts w:ascii="Arial" w:hAnsi="Arial" w:cs="Arial"/>
                <w:sz w:val="20"/>
                <w:szCs w:val="20"/>
              </w:rPr>
              <w:t>t</w:t>
            </w:r>
            <w:r w:rsidRPr="003555A0">
              <w:rPr>
                <w:rFonts w:ascii="Arial" w:hAnsi="Arial" w:cs="Arial"/>
                <w:sz w:val="20"/>
                <w:szCs w:val="20"/>
              </w:rPr>
              <w:t xml:space="preserve">o, da Zagovornik že opravlja nekatere </w:t>
            </w:r>
            <w:r w:rsidRPr="003555A0">
              <w:rPr>
                <w:rFonts w:ascii="Arial" w:hAnsi="Arial" w:cs="Arial"/>
                <w:sz w:val="20"/>
                <w:szCs w:val="20"/>
              </w:rPr>
              <w:lastRenderedPageBreak/>
              <w:t xml:space="preserve">naloge, ki izhajajo iz Direktive (EU) 2022/2381 in delno zagotavljajo pravno varstvo diskriminiranim osebam, menimo, da je smiselno, da Zagovornik prevzame tudi nadzor nad poročanjem in določanjem ciljev glede deležev </w:t>
            </w:r>
            <w:r w:rsidRPr="006E0C85">
              <w:rPr>
                <w:rFonts w:ascii="Arial" w:hAnsi="Arial" w:cs="Arial"/>
                <w:sz w:val="20"/>
                <w:szCs w:val="20"/>
              </w:rPr>
              <w:t xml:space="preserve">uravnotežene </w:t>
            </w:r>
            <w:r w:rsidRPr="003555A0">
              <w:rPr>
                <w:rFonts w:ascii="Arial" w:hAnsi="Arial" w:cs="Arial"/>
                <w:sz w:val="20"/>
                <w:szCs w:val="20"/>
              </w:rPr>
              <w:t xml:space="preserve">zastopanosti </w:t>
            </w:r>
            <w:r w:rsidRPr="006E0C85">
              <w:rPr>
                <w:rFonts w:ascii="Arial" w:hAnsi="Arial" w:cs="Arial"/>
                <w:sz w:val="20"/>
                <w:szCs w:val="20"/>
              </w:rPr>
              <w:t xml:space="preserve">spolov </w:t>
            </w:r>
            <w:r w:rsidRPr="003555A0">
              <w:rPr>
                <w:rFonts w:ascii="Arial" w:hAnsi="Arial" w:cs="Arial"/>
                <w:sz w:val="20"/>
                <w:szCs w:val="20"/>
              </w:rPr>
              <w:t xml:space="preserve">v organih vodenja in nadzora, ki jih nameravajo družbe doseči zaradi enotne in sistemske ureditve področja. </w:t>
            </w:r>
          </w:p>
          <w:p w14:paraId="1A6E49F3" w14:textId="77777777" w:rsidR="000C08CA" w:rsidRPr="00FC3309" w:rsidRDefault="000C08CA" w:rsidP="00FE328D">
            <w:pPr>
              <w:pStyle w:val="rkovnatokazaodstavkom"/>
              <w:numPr>
                <w:ilvl w:val="0"/>
                <w:numId w:val="0"/>
              </w:numPr>
              <w:spacing w:line="260" w:lineRule="exact"/>
              <w:ind w:left="322"/>
              <w:rPr>
                <w:rFonts w:cs="Arial"/>
                <w:color w:val="000000" w:themeColor="text1"/>
              </w:rPr>
            </w:pPr>
          </w:p>
          <w:p w14:paraId="1417AF7E" w14:textId="77777777" w:rsidR="000C08CA" w:rsidRPr="00081F83" w:rsidRDefault="000C08CA" w:rsidP="00FE328D">
            <w:pPr>
              <w:spacing w:after="120" w:line="276" w:lineRule="auto"/>
              <w:jc w:val="both"/>
              <w:rPr>
                <w:rFonts w:cs="Arial"/>
                <w:szCs w:val="20"/>
              </w:rPr>
            </w:pPr>
            <w:r w:rsidRPr="00081F83">
              <w:rPr>
                <w:rFonts w:cs="Arial"/>
                <w:b/>
                <w:bCs/>
                <w:szCs w:val="20"/>
              </w:rPr>
              <w:t>Z</w:t>
            </w:r>
            <w:r>
              <w:rPr>
                <w:rFonts w:cs="Arial"/>
                <w:b/>
                <w:bCs/>
                <w:szCs w:val="20"/>
              </w:rPr>
              <w:t>druženje nadzornikov Slovenije</w:t>
            </w:r>
            <w:r w:rsidRPr="00081F83">
              <w:rPr>
                <w:rFonts w:cs="Arial"/>
                <w:b/>
                <w:bCs/>
                <w:szCs w:val="20"/>
              </w:rPr>
              <w:t xml:space="preserve"> in Z</w:t>
            </w:r>
            <w:r>
              <w:rPr>
                <w:rFonts w:cs="Arial"/>
                <w:b/>
                <w:bCs/>
                <w:szCs w:val="20"/>
              </w:rPr>
              <w:t>druženje manager</w:t>
            </w:r>
            <w:r w:rsidRPr="00081F83">
              <w:rPr>
                <w:rFonts w:cs="Arial"/>
                <w:szCs w:val="20"/>
              </w:rPr>
              <w:t xml:space="preserve"> sta predlagala:</w:t>
            </w:r>
          </w:p>
          <w:p w14:paraId="6BB441CC" w14:textId="77777777" w:rsidR="000C08CA" w:rsidRPr="006F7E65" w:rsidRDefault="000C08CA" w:rsidP="00FE328D">
            <w:pPr>
              <w:pStyle w:val="ListParagraph"/>
              <w:numPr>
                <w:ilvl w:val="0"/>
                <w:numId w:val="95"/>
              </w:numPr>
              <w:spacing w:after="120" w:line="276" w:lineRule="auto"/>
              <w:jc w:val="both"/>
              <w:rPr>
                <w:rFonts w:ascii="Arial" w:hAnsi="Arial" w:cs="Arial"/>
                <w:b/>
                <w:bCs/>
                <w:sz w:val="20"/>
                <w:szCs w:val="20"/>
              </w:rPr>
            </w:pPr>
            <w:r w:rsidRPr="00081F83">
              <w:rPr>
                <w:rFonts w:ascii="Arial" w:hAnsi="Arial" w:cs="Arial"/>
                <w:b/>
                <w:bCs/>
                <w:sz w:val="20"/>
                <w:szCs w:val="20"/>
              </w:rPr>
              <w:t xml:space="preserve">razširitev </w:t>
            </w:r>
            <w:r>
              <w:rPr>
                <w:rFonts w:ascii="Arial" w:hAnsi="Arial" w:cs="Arial"/>
                <w:b/>
                <w:bCs/>
                <w:sz w:val="20"/>
                <w:szCs w:val="20"/>
              </w:rPr>
              <w:t xml:space="preserve">kroga </w:t>
            </w:r>
            <w:r w:rsidRPr="00081F83">
              <w:rPr>
                <w:rFonts w:ascii="Arial" w:hAnsi="Arial" w:cs="Arial"/>
                <w:b/>
                <w:bCs/>
                <w:sz w:val="20"/>
                <w:szCs w:val="20"/>
              </w:rPr>
              <w:t>zavezancev</w:t>
            </w:r>
            <w:r w:rsidRPr="006F7E65">
              <w:rPr>
                <w:rFonts w:ascii="Arial" w:hAnsi="Arial" w:cs="Arial"/>
                <w:b/>
                <w:bCs/>
                <w:sz w:val="20"/>
                <w:szCs w:val="20"/>
              </w:rPr>
              <w:t xml:space="preserve">, </w:t>
            </w:r>
            <w:r w:rsidRPr="00081F83">
              <w:rPr>
                <w:rFonts w:ascii="Arial" w:hAnsi="Arial" w:cs="Arial"/>
                <w:b/>
                <w:bCs/>
                <w:sz w:val="20"/>
                <w:szCs w:val="20"/>
              </w:rPr>
              <w:t>ki morajo zagotoviti ciljni delež zastopanosti manj zastopanega spola</w:t>
            </w:r>
            <w:r>
              <w:rPr>
                <w:rFonts w:ascii="Arial" w:hAnsi="Arial" w:cs="Arial"/>
                <w:b/>
                <w:bCs/>
                <w:sz w:val="20"/>
                <w:szCs w:val="20"/>
              </w:rPr>
              <w:t>,</w:t>
            </w:r>
            <w:r w:rsidRPr="00081F83">
              <w:rPr>
                <w:rFonts w:ascii="Arial" w:hAnsi="Arial" w:cs="Arial"/>
                <w:b/>
                <w:bCs/>
                <w:sz w:val="20"/>
                <w:szCs w:val="20"/>
              </w:rPr>
              <w:t xml:space="preserve"> tudi na družbe, ki izpolnjujejo pogoje za velike (nejavne) družbe po 55. členu ZGD-1 in imajo vsaj 250 zaposlenih</w:t>
            </w:r>
            <w:r w:rsidRPr="00081F83">
              <w:rPr>
                <w:rFonts w:ascii="Arial" w:hAnsi="Arial" w:cs="Arial"/>
                <w:sz w:val="20"/>
                <w:szCs w:val="20"/>
              </w:rPr>
              <w:t>. Zanj</w:t>
            </w:r>
            <w:r>
              <w:rPr>
                <w:rFonts w:ascii="Arial" w:hAnsi="Arial" w:cs="Arial"/>
                <w:sz w:val="20"/>
                <w:szCs w:val="20"/>
              </w:rPr>
              <w:t>e</w:t>
            </w:r>
            <w:r w:rsidRPr="00081F83">
              <w:rPr>
                <w:rFonts w:ascii="Arial" w:hAnsi="Arial" w:cs="Arial"/>
                <w:sz w:val="20"/>
                <w:szCs w:val="20"/>
              </w:rPr>
              <w:t xml:space="preserve"> naj bi veljajo daljše prehodno obdobje, do 30. 6. 2028. Meni</w:t>
            </w:r>
            <w:r>
              <w:rPr>
                <w:rFonts w:ascii="Arial" w:hAnsi="Arial" w:cs="Arial"/>
                <w:sz w:val="20"/>
                <w:szCs w:val="20"/>
              </w:rPr>
              <w:t>ta</w:t>
            </w:r>
            <w:r w:rsidRPr="00081F83">
              <w:rPr>
                <w:rFonts w:ascii="Arial" w:hAnsi="Arial" w:cs="Arial"/>
                <w:sz w:val="20"/>
                <w:szCs w:val="20"/>
              </w:rPr>
              <w:t xml:space="preserve">, da je obseg družb zavezank zastavljen preozko in ga je </w:t>
            </w:r>
            <w:r>
              <w:rPr>
                <w:rFonts w:ascii="Arial" w:hAnsi="Arial" w:cs="Arial"/>
                <w:sz w:val="20"/>
                <w:szCs w:val="20"/>
              </w:rPr>
              <w:t>treba</w:t>
            </w:r>
            <w:r w:rsidRPr="00081F83">
              <w:rPr>
                <w:rFonts w:ascii="Arial" w:hAnsi="Arial" w:cs="Arial"/>
                <w:sz w:val="20"/>
                <w:szCs w:val="20"/>
              </w:rPr>
              <w:t xml:space="preserve"> razširiti, da bo slovensko gospodarstvo lahko v čim </w:t>
            </w:r>
            <w:r>
              <w:rPr>
                <w:rFonts w:ascii="Arial" w:hAnsi="Arial" w:cs="Arial"/>
                <w:sz w:val="20"/>
                <w:szCs w:val="20"/>
              </w:rPr>
              <w:t>bolj</w:t>
            </w:r>
            <w:r w:rsidRPr="00081F83">
              <w:rPr>
                <w:rFonts w:ascii="Arial" w:hAnsi="Arial" w:cs="Arial"/>
                <w:sz w:val="20"/>
                <w:szCs w:val="20"/>
              </w:rPr>
              <w:t xml:space="preserve"> doseglo pozitivne učinke, ki jih prinaša raznoliko vodstvo, zato predlaga</w:t>
            </w:r>
            <w:r>
              <w:rPr>
                <w:rFonts w:ascii="Arial" w:hAnsi="Arial" w:cs="Arial"/>
                <w:sz w:val="20"/>
                <w:szCs w:val="20"/>
              </w:rPr>
              <w:t>ta</w:t>
            </w:r>
            <w:r w:rsidRPr="00081F83">
              <w:rPr>
                <w:rFonts w:ascii="Arial" w:hAnsi="Arial" w:cs="Arial"/>
                <w:sz w:val="20"/>
                <w:szCs w:val="20"/>
              </w:rPr>
              <w:t>, da se ukrepi za izboljšanje uravnoteženosti spolov v poslovodnih in nadzornih organih izvajajo tudi v nekaterih nejavnih družbah. Razlogi in obrazložitev za neupoštevanj</w:t>
            </w:r>
            <w:r>
              <w:rPr>
                <w:rFonts w:ascii="Arial" w:hAnsi="Arial" w:cs="Arial"/>
                <w:sz w:val="20"/>
                <w:szCs w:val="20"/>
              </w:rPr>
              <w:t>e</w:t>
            </w:r>
            <w:r w:rsidRPr="00081F83">
              <w:rPr>
                <w:rFonts w:ascii="Arial" w:hAnsi="Arial" w:cs="Arial"/>
                <w:sz w:val="20"/>
                <w:szCs w:val="20"/>
              </w:rPr>
              <w:t xml:space="preserve"> </w:t>
            </w:r>
            <w:r>
              <w:rPr>
                <w:rFonts w:ascii="Arial" w:hAnsi="Arial" w:cs="Arial"/>
                <w:sz w:val="20"/>
                <w:szCs w:val="20"/>
              </w:rPr>
              <w:t xml:space="preserve">tega </w:t>
            </w:r>
            <w:r w:rsidRPr="00081F83">
              <w:rPr>
                <w:rFonts w:ascii="Arial" w:hAnsi="Arial" w:cs="Arial"/>
                <w:sz w:val="20"/>
                <w:szCs w:val="20"/>
              </w:rPr>
              <w:t>so enaki kot pri pojasnilu Zagovorniku načela enakosti</w:t>
            </w:r>
            <w:r>
              <w:rPr>
                <w:rFonts w:ascii="Arial" w:hAnsi="Arial" w:cs="Arial"/>
                <w:sz w:val="20"/>
                <w:szCs w:val="20"/>
              </w:rPr>
              <w:t>;</w:t>
            </w:r>
            <w:r w:rsidRPr="00081F83">
              <w:rPr>
                <w:rFonts w:ascii="Arial" w:hAnsi="Arial" w:cs="Arial"/>
                <w:sz w:val="20"/>
                <w:szCs w:val="20"/>
              </w:rPr>
              <w:t xml:space="preserve"> </w:t>
            </w:r>
          </w:p>
          <w:p w14:paraId="7D4D24D1" w14:textId="77777777" w:rsidR="000C08CA" w:rsidRPr="006F7E65" w:rsidRDefault="000C08CA" w:rsidP="00FE328D">
            <w:pPr>
              <w:pStyle w:val="ListParagraph"/>
              <w:numPr>
                <w:ilvl w:val="0"/>
                <w:numId w:val="95"/>
              </w:numPr>
              <w:spacing w:after="120" w:line="276" w:lineRule="auto"/>
              <w:jc w:val="both"/>
              <w:rPr>
                <w:rFonts w:ascii="Arial" w:hAnsi="Arial" w:cs="Arial"/>
                <w:b/>
                <w:bCs/>
                <w:sz w:val="20"/>
                <w:szCs w:val="20"/>
              </w:rPr>
            </w:pPr>
            <w:r w:rsidRPr="00081F83">
              <w:rPr>
                <w:rFonts w:ascii="Arial" w:hAnsi="Arial" w:cs="Arial"/>
                <w:b/>
                <w:bCs/>
                <w:sz w:val="20"/>
                <w:szCs w:val="20"/>
              </w:rPr>
              <w:t>v primeru izbire 40</w:t>
            </w:r>
            <w:r>
              <w:rPr>
                <w:rFonts w:ascii="Arial" w:hAnsi="Arial" w:cs="Arial"/>
                <w:b/>
                <w:bCs/>
                <w:sz w:val="20"/>
                <w:szCs w:val="20"/>
              </w:rPr>
              <w:t xml:space="preserve">-odstotnega </w:t>
            </w:r>
            <w:r w:rsidRPr="00081F83">
              <w:rPr>
                <w:rFonts w:ascii="Arial" w:hAnsi="Arial" w:cs="Arial"/>
                <w:b/>
                <w:bCs/>
                <w:sz w:val="20"/>
                <w:szCs w:val="20"/>
              </w:rPr>
              <w:t>ciljnega deleža zastopanosti med neizvršnimi direktorji se določi obveznost, da izbrani kvantitativni cilj za izvršne direktorje ne sme znašati 0 %.</w:t>
            </w:r>
            <w:r w:rsidRPr="006F7E65">
              <w:rPr>
                <w:rFonts w:ascii="Arial" w:hAnsi="Arial" w:cs="Arial"/>
                <w:b/>
                <w:bCs/>
                <w:sz w:val="20"/>
                <w:szCs w:val="20"/>
              </w:rPr>
              <w:t xml:space="preserve"> </w:t>
            </w:r>
            <w:r w:rsidRPr="006F7E65">
              <w:rPr>
                <w:rFonts w:ascii="Arial" w:hAnsi="Arial" w:cs="Arial"/>
                <w:sz w:val="20"/>
                <w:szCs w:val="20"/>
              </w:rPr>
              <w:t xml:space="preserve">Predlog bi dodatno določil minimalni delež tudi med člani organov vodenja, kar pa ni zahteva </w:t>
            </w:r>
            <w:r>
              <w:rPr>
                <w:rFonts w:ascii="Arial" w:hAnsi="Arial" w:cs="Arial"/>
                <w:sz w:val="20"/>
                <w:szCs w:val="20"/>
              </w:rPr>
              <w:t xml:space="preserve">iz </w:t>
            </w:r>
            <w:r w:rsidRPr="006F7E65">
              <w:rPr>
                <w:rFonts w:ascii="Arial" w:hAnsi="Arial" w:cs="Arial"/>
                <w:sz w:val="20"/>
                <w:szCs w:val="20"/>
              </w:rPr>
              <w:t xml:space="preserve">Direktive 2022/2381/EU. Pri oblikovanju predloga določbe smo sledili </w:t>
            </w:r>
            <w:r w:rsidRPr="00081F83">
              <w:rPr>
                <w:rFonts w:ascii="Arial" w:hAnsi="Arial" w:cs="Arial"/>
                <w:bCs/>
                <w:sz w:val="20"/>
                <w:szCs w:val="20"/>
              </w:rPr>
              <w:t xml:space="preserve">minimalni harmonizaciji z direktivo, ki ne določa cilja glede deleža </w:t>
            </w:r>
            <w:r w:rsidRPr="006E0C85">
              <w:rPr>
                <w:rFonts w:ascii="Arial" w:hAnsi="Arial" w:cs="Arial"/>
                <w:bCs/>
                <w:sz w:val="20"/>
                <w:szCs w:val="20"/>
              </w:rPr>
              <w:t xml:space="preserve">uravnotežene </w:t>
            </w:r>
            <w:r w:rsidRPr="00081F83">
              <w:rPr>
                <w:rFonts w:ascii="Arial" w:hAnsi="Arial" w:cs="Arial"/>
                <w:bCs/>
                <w:sz w:val="20"/>
                <w:szCs w:val="20"/>
              </w:rPr>
              <w:t xml:space="preserve">zastopanosti </w:t>
            </w:r>
            <w:r w:rsidRPr="006E0C85">
              <w:rPr>
                <w:rFonts w:ascii="Arial" w:hAnsi="Arial" w:cs="Arial"/>
                <w:bCs/>
                <w:sz w:val="20"/>
                <w:szCs w:val="20"/>
              </w:rPr>
              <w:t xml:space="preserve">spolov </w:t>
            </w:r>
            <w:r w:rsidRPr="00081F83">
              <w:rPr>
                <w:rFonts w:ascii="Arial" w:hAnsi="Arial" w:cs="Arial"/>
                <w:bCs/>
                <w:sz w:val="20"/>
                <w:szCs w:val="20"/>
              </w:rPr>
              <w:t>za izvršne direktorje</w:t>
            </w:r>
            <w:r>
              <w:rPr>
                <w:rFonts w:ascii="Arial" w:hAnsi="Arial" w:cs="Arial"/>
                <w:bCs/>
                <w:sz w:val="20"/>
                <w:szCs w:val="20"/>
              </w:rPr>
              <w:t>;</w:t>
            </w:r>
          </w:p>
          <w:p w14:paraId="138A73EB" w14:textId="77777777" w:rsidR="000C08CA" w:rsidRPr="006F7E65" w:rsidRDefault="000C08CA" w:rsidP="00FE328D">
            <w:pPr>
              <w:pStyle w:val="ListParagraph"/>
              <w:numPr>
                <w:ilvl w:val="0"/>
                <w:numId w:val="95"/>
              </w:numPr>
              <w:spacing w:after="120" w:line="276" w:lineRule="auto"/>
              <w:jc w:val="both"/>
              <w:rPr>
                <w:rFonts w:ascii="Arial" w:hAnsi="Arial" w:cs="Arial"/>
                <w:b/>
                <w:bCs/>
                <w:sz w:val="20"/>
                <w:szCs w:val="20"/>
              </w:rPr>
            </w:pPr>
            <w:r w:rsidRPr="006F7E65">
              <w:rPr>
                <w:rFonts w:ascii="Arial" w:hAnsi="Arial" w:cs="Arial"/>
                <w:b/>
                <w:bCs/>
                <w:sz w:val="20"/>
                <w:szCs w:val="20"/>
              </w:rPr>
              <w:t>ohranit</w:t>
            </w:r>
            <w:r>
              <w:rPr>
                <w:rFonts w:ascii="Arial" w:hAnsi="Arial" w:cs="Arial"/>
                <w:b/>
                <w:bCs/>
                <w:sz w:val="20"/>
                <w:szCs w:val="20"/>
              </w:rPr>
              <w:t>ev</w:t>
            </w:r>
            <w:r w:rsidRPr="006F7E65">
              <w:rPr>
                <w:rFonts w:ascii="Arial" w:hAnsi="Arial" w:cs="Arial"/>
                <w:b/>
                <w:bCs/>
                <w:sz w:val="20"/>
                <w:szCs w:val="20"/>
              </w:rPr>
              <w:t xml:space="preserve"> sankcij</w:t>
            </w:r>
            <w:r>
              <w:rPr>
                <w:rFonts w:ascii="Arial" w:hAnsi="Arial" w:cs="Arial"/>
                <w:b/>
                <w:bCs/>
                <w:sz w:val="20"/>
                <w:szCs w:val="20"/>
              </w:rPr>
              <w:t>e</w:t>
            </w:r>
            <w:r w:rsidRPr="006F7E65">
              <w:rPr>
                <w:rFonts w:ascii="Arial" w:hAnsi="Arial" w:cs="Arial"/>
                <w:b/>
                <w:bCs/>
                <w:sz w:val="20"/>
                <w:szCs w:val="20"/>
              </w:rPr>
              <w:t xml:space="preserve"> ničnosti imenovanja,</w:t>
            </w:r>
            <w:r w:rsidRPr="006F7E65">
              <w:rPr>
                <w:rFonts w:ascii="Arial" w:hAnsi="Arial" w:cs="Arial"/>
                <w:sz w:val="20"/>
                <w:szCs w:val="20"/>
              </w:rPr>
              <w:t xml:space="preserve"> ki že velja po veljavnem členu ZGD-1, </w:t>
            </w:r>
            <w:r>
              <w:rPr>
                <w:rFonts w:ascii="Arial" w:hAnsi="Arial" w:cs="Arial"/>
                <w:sz w:val="20"/>
                <w:szCs w:val="20"/>
              </w:rPr>
              <w:t>če</w:t>
            </w:r>
            <w:r w:rsidRPr="006F7E65">
              <w:rPr>
                <w:rFonts w:ascii="Arial" w:hAnsi="Arial" w:cs="Arial"/>
                <w:sz w:val="20"/>
                <w:szCs w:val="20"/>
              </w:rPr>
              <w:t xml:space="preserve"> je organ nadzora sestavljen v nasprotju z ZGD-1. Po nj</w:t>
            </w:r>
            <w:r>
              <w:rPr>
                <w:rFonts w:ascii="Arial" w:hAnsi="Arial" w:cs="Arial"/>
                <w:sz w:val="20"/>
                <w:szCs w:val="20"/>
              </w:rPr>
              <w:t>unem</w:t>
            </w:r>
            <w:r w:rsidRPr="006F7E65">
              <w:rPr>
                <w:rFonts w:ascii="Arial" w:hAnsi="Arial" w:cs="Arial"/>
                <w:sz w:val="20"/>
                <w:szCs w:val="20"/>
              </w:rPr>
              <w:t xml:space="preserve"> mnenju predlagane sankcije niso učinkovite, sorazmerne in odvračilne, kot določa Direktiva. Predlaga</w:t>
            </w:r>
            <w:r>
              <w:rPr>
                <w:rFonts w:ascii="Arial" w:hAnsi="Arial" w:cs="Arial"/>
                <w:sz w:val="20"/>
                <w:szCs w:val="20"/>
              </w:rPr>
              <w:t>ta</w:t>
            </w:r>
            <w:r w:rsidRPr="006F7E65">
              <w:rPr>
                <w:rFonts w:ascii="Arial" w:hAnsi="Arial" w:cs="Arial"/>
                <w:sz w:val="20"/>
                <w:szCs w:val="20"/>
              </w:rPr>
              <w:t xml:space="preserve">, da se poleg sankcij za neporočanje </w:t>
            </w:r>
            <w:r w:rsidRPr="006F7E65">
              <w:rPr>
                <w:rFonts w:ascii="Arial" w:hAnsi="Arial" w:cs="Arial"/>
                <w:b/>
                <w:bCs/>
                <w:sz w:val="20"/>
                <w:szCs w:val="20"/>
              </w:rPr>
              <w:t>dodajo</w:t>
            </w:r>
            <w:r w:rsidRPr="006F7E65" w:rsidDel="00B714D5">
              <w:rPr>
                <w:rFonts w:ascii="Arial" w:hAnsi="Arial" w:cs="Arial"/>
                <w:b/>
                <w:bCs/>
                <w:sz w:val="20"/>
                <w:szCs w:val="20"/>
              </w:rPr>
              <w:t xml:space="preserve"> </w:t>
            </w:r>
            <w:r>
              <w:rPr>
                <w:rFonts w:ascii="Arial" w:hAnsi="Arial" w:cs="Arial"/>
                <w:b/>
                <w:bCs/>
                <w:sz w:val="20"/>
                <w:szCs w:val="20"/>
              </w:rPr>
              <w:t>še</w:t>
            </w:r>
            <w:r w:rsidRPr="006F7E65">
              <w:rPr>
                <w:rFonts w:ascii="Arial" w:hAnsi="Arial" w:cs="Arial"/>
                <w:b/>
                <w:bCs/>
                <w:sz w:val="20"/>
                <w:szCs w:val="20"/>
              </w:rPr>
              <w:t xml:space="preserve"> druge sankcije zaradi kršitve obveznosti imenovanja kandidata manj zastopanega spola v organ vodenja ali nadzora.</w:t>
            </w:r>
            <w:r w:rsidRPr="006F7E65">
              <w:rPr>
                <w:rFonts w:ascii="Arial" w:hAnsi="Arial" w:cs="Arial"/>
                <w:sz w:val="20"/>
                <w:szCs w:val="20"/>
              </w:rPr>
              <w:t xml:space="preserve"> V skladu z </w:t>
            </w:r>
            <w:r w:rsidRPr="00081F83">
              <w:rPr>
                <w:rStyle w:val="normaltextrun"/>
                <w:rFonts w:ascii="Arial" w:hAnsi="Arial" w:cs="Arial"/>
                <w:sz w:val="20"/>
                <w:szCs w:val="20"/>
              </w:rPr>
              <w:t xml:space="preserve">Direktivo (EU) 2022/2381 lahko države članice določijo različne vrste sankcij, ki lahko vključujejo globe, </w:t>
            </w:r>
            <w:r w:rsidRPr="006F7E65">
              <w:rPr>
                <w:rFonts w:ascii="Arial" w:hAnsi="Arial" w:cs="Arial"/>
                <w:sz w:val="20"/>
                <w:szCs w:val="20"/>
              </w:rPr>
              <w:t xml:space="preserve">možnost razveljavitve odločitve o izboru direktorja ali direktorice ter možnost, da se odločitev razglasi za nično. Pri določitvi sankcij smo sledili načelom, da morajo biti te učinkovite, sorazmerne in odvračilne. </w:t>
            </w:r>
            <w:r w:rsidRPr="00081F83">
              <w:rPr>
                <w:rStyle w:val="normaltextrun"/>
                <w:rFonts w:ascii="Arial" w:hAnsi="Arial" w:cs="Arial"/>
                <w:sz w:val="20"/>
                <w:szCs w:val="20"/>
              </w:rPr>
              <w:t>Predlog ZGD-1M določa globe za sankcije v primerih kršitev, ki jih predvideva Direktiva (EU) 2022/2381.</w:t>
            </w:r>
            <w:r w:rsidRPr="006F7E65">
              <w:rPr>
                <w:rFonts w:ascii="Arial" w:hAnsi="Arial" w:cs="Arial"/>
                <w:sz w:val="20"/>
                <w:szCs w:val="20"/>
              </w:rPr>
              <w:t xml:space="preserve"> Razmišljali smo tudi o možnosti določitve ničnosti v primerih kršitve izbirnih postopkov, vendar smo zadržani do predloga zaradi možnih pravnih posledic na poslovanje družb oz. veljavnost pravnih poslov v primeru ugotovljene ničnosti (ničnost velja za nazaj) in dolgotrajnih sodnih postopkov ugotovitve ničnosti. Kot smo že večkrat omenili</w:t>
            </w:r>
            <w:r>
              <w:rPr>
                <w:rFonts w:ascii="Arial" w:hAnsi="Arial" w:cs="Arial"/>
                <w:sz w:val="20"/>
                <w:szCs w:val="20"/>
              </w:rPr>
              <w:t>,</w:t>
            </w:r>
            <w:r w:rsidRPr="006F7E65">
              <w:rPr>
                <w:rFonts w:ascii="Arial" w:hAnsi="Arial" w:cs="Arial"/>
                <w:sz w:val="20"/>
                <w:szCs w:val="20"/>
              </w:rPr>
              <w:t xml:space="preserve"> sledimo tudi pri določitvi sankcij minimalnim zahtevam Direktive (EU) 2022/2381, tako da z mehkim pristopom spodbudimo napredek pri uravnoteženi zastopanosti spolov na najvišjih vodilnih mestih v družbah, ki bo v praksi podkrepljen tudi z drugimi podpornimi ukrepi. Iz raziskav </w:t>
            </w:r>
            <w:r>
              <w:rPr>
                <w:rFonts w:ascii="Arial" w:hAnsi="Arial" w:cs="Arial"/>
                <w:sz w:val="20"/>
                <w:szCs w:val="20"/>
              </w:rPr>
              <w:t>in</w:t>
            </w:r>
            <w:r w:rsidRPr="006F7E65">
              <w:rPr>
                <w:rFonts w:ascii="Arial" w:hAnsi="Arial" w:cs="Arial"/>
                <w:sz w:val="20"/>
                <w:szCs w:val="20"/>
              </w:rPr>
              <w:t xml:space="preserve"> iz direktive je razvidno, da je potreben čas, da se družbe prilagodijo in seznanijo s pozitivnimi vidiki </w:t>
            </w:r>
            <w:r w:rsidRPr="009B69A0">
              <w:rPr>
                <w:rFonts w:ascii="Arial" w:hAnsi="Arial" w:cs="Arial"/>
                <w:sz w:val="20"/>
                <w:szCs w:val="20"/>
              </w:rPr>
              <w:t>uravnotežene zastopanosti spolov</w:t>
            </w:r>
            <w:r w:rsidRPr="006F7E65">
              <w:rPr>
                <w:rFonts w:ascii="Arial" w:hAnsi="Arial" w:cs="Arial"/>
                <w:sz w:val="20"/>
                <w:szCs w:val="20"/>
              </w:rPr>
              <w:t xml:space="preserve"> </w:t>
            </w:r>
            <w:r>
              <w:rPr>
                <w:rFonts w:ascii="Arial" w:hAnsi="Arial" w:cs="Arial"/>
                <w:sz w:val="20"/>
                <w:szCs w:val="20"/>
              </w:rPr>
              <w:t xml:space="preserve">pri </w:t>
            </w:r>
            <w:r w:rsidRPr="006F7E65">
              <w:rPr>
                <w:rFonts w:ascii="Arial" w:hAnsi="Arial" w:cs="Arial"/>
                <w:sz w:val="20"/>
                <w:szCs w:val="20"/>
              </w:rPr>
              <w:t>vodenj</w:t>
            </w:r>
            <w:r>
              <w:rPr>
                <w:rFonts w:ascii="Arial" w:hAnsi="Arial" w:cs="Arial"/>
                <w:sz w:val="20"/>
                <w:szCs w:val="20"/>
              </w:rPr>
              <w:t>u</w:t>
            </w:r>
            <w:r w:rsidRPr="006F7E65">
              <w:rPr>
                <w:rFonts w:ascii="Arial" w:hAnsi="Arial" w:cs="Arial"/>
                <w:sz w:val="20"/>
                <w:szCs w:val="20"/>
              </w:rPr>
              <w:t>, zato menimo, da bi bila trenutno ničnost prestroga sankcija.</w:t>
            </w:r>
          </w:p>
          <w:p w14:paraId="418DB9F0" w14:textId="77777777" w:rsidR="000C08CA" w:rsidRPr="00665831" w:rsidRDefault="000C08CA" w:rsidP="00FE328D">
            <w:pPr>
              <w:pStyle w:val="ListParagraph"/>
              <w:spacing w:after="120" w:line="276" w:lineRule="auto"/>
              <w:ind w:left="360"/>
              <w:jc w:val="both"/>
              <w:rPr>
                <w:rFonts w:ascii="Arial" w:hAnsi="Arial" w:cs="Arial"/>
                <w:b/>
                <w:bCs/>
                <w:sz w:val="20"/>
                <w:szCs w:val="20"/>
              </w:rPr>
            </w:pPr>
          </w:p>
          <w:p w14:paraId="75231589" w14:textId="77777777" w:rsidR="000C08CA" w:rsidRPr="00665831" w:rsidRDefault="000C08CA" w:rsidP="00FE328D">
            <w:pPr>
              <w:spacing w:after="120" w:line="276" w:lineRule="auto"/>
              <w:ind w:left="360"/>
              <w:jc w:val="both"/>
              <w:rPr>
                <w:rFonts w:cs="Arial"/>
                <w:b/>
                <w:bCs/>
                <w:szCs w:val="20"/>
              </w:rPr>
            </w:pPr>
            <w:r w:rsidRPr="00665831">
              <w:rPr>
                <w:rFonts w:cs="Arial"/>
                <w:b/>
                <w:bCs/>
                <w:szCs w:val="20"/>
              </w:rPr>
              <w:t>L</w:t>
            </w:r>
            <w:r>
              <w:rPr>
                <w:rFonts w:cs="Arial"/>
                <w:b/>
                <w:bCs/>
                <w:szCs w:val="20"/>
              </w:rPr>
              <w:t xml:space="preserve">jubljanska borza </w:t>
            </w:r>
            <w:r w:rsidRPr="006F7E65">
              <w:rPr>
                <w:rFonts w:cs="Arial"/>
                <w:b/>
                <w:bCs/>
                <w:szCs w:val="20"/>
              </w:rPr>
              <w:t xml:space="preserve">je predlagala razširitev obsega </w:t>
            </w:r>
            <w:r w:rsidRPr="00586165">
              <w:rPr>
                <w:rFonts w:cs="Arial"/>
                <w:b/>
                <w:bCs/>
                <w:szCs w:val="20"/>
              </w:rPr>
              <w:t xml:space="preserve">kroga </w:t>
            </w:r>
            <w:r w:rsidRPr="006F7E65">
              <w:rPr>
                <w:rFonts w:cs="Arial"/>
                <w:b/>
                <w:bCs/>
                <w:szCs w:val="20"/>
              </w:rPr>
              <w:t>zavezancev</w:t>
            </w:r>
            <w:r w:rsidRPr="00665831">
              <w:rPr>
                <w:rFonts w:cs="Arial"/>
                <w:szCs w:val="20"/>
              </w:rPr>
              <w:t xml:space="preserve"> </w:t>
            </w:r>
            <w:r w:rsidRPr="00665831">
              <w:rPr>
                <w:rFonts w:cs="Arial"/>
                <w:b/>
                <w:bCs/>
                <w:szCs w:val="20"/>
              </w:rPr>
              <w:t>na vse velike družbe iz petega odstavka 55. člena ZGD-1</w:t>
            </w:r>
            <w:r w:rsidRPr="00665831">
              <w:rPr>
                <w:rFonts w:cs="Arial"/>
                <w:szCs w:val="20"/>
              </w:rPr>
              <w:t>, za katere se lahko določi daljše prehodno obdobje, npr. do 30. 6. 2029. Meni, da bi lahko samo z dovolj velikim naborom zavezanih družb dosegli namen, ki ga zasleduje direktiva. Nalaganje dodatnih obveznosti borznim družbam ni v skladu s strategijo vlade glede razvoja kapitalskega trga. Tovrstni ukrepi, ki borznim družbam nalagajo dodatne obveznosti, bodo naš trg naredile še manj zanimiv, zaradi česar se družbe še vedno ne bodo odločale za kotacijo svojih vrednostnih papirjev na organiziranem trgu oz. bodo</w:t>
            </w:r>
            <w:r w:rsidRPr="00665831" w:rsidDel="00B714D5">
              <w:rPr>
                <w:rFonts w:cs="Arial"/>
                <w:szCs w:val="20"/>
              </w:rPr>
              <w:t xml:space="preserve"> </w:t>
            </w:r>
            <w:r w:rsidRPr="00665831">
              <w:rPr>
                <w:rFonts w:cs="Arial"/>
                <w:szCs w:val="20"/>
              </w:rPr>
              <w:t xml:space="preserve">družbe še </w:t>
            </w:r>
            <w:r>
              <w:rPr>
                <w:rFonts w:cs="Arial"/>
                <w:szCs w:val="20"/>
              </w:rPr>
              <w:t>bolj</w:t>
            </w:r>
            <w:r w:rsidRPr="00665831">
              <w:rPr>
                <w:rFonts w:cs="Arial"/>
                <w:szCs w:val="20"/>
              </w:rPr>
              <w:t xml:space="preserve"> razmišljale o umik</w:t>
            </w:r>
            <w:r>
              <w:rPr>
                <w:rFonts w:cs="Arial"/>
                <w:szCs w:val="20"/>
              </w:rPr>
              <w:t>u</w:t>
            </w:r>
            <w:r w:rsidRPr="00665831">
              <w:rPr>
                <w:rFonts w:cs="Arial"/>
                <w:szCs w:val="20"/>
              </w:rPr>
              <w:t xml:space="preserve"> z organiziranega trga. </w:t>
            </w:r>
            <w:r>
              <w:rPr>
                <w:rFonts w:cs="Arial"/>
                <w:szCs w:val="20"/>
              </w:rPr>
              <w:t>Če</w:t>
            </w:r>
            <w:r w:rsidRPr="00665831">
              <w:rPr>
                <w:rFonts w:cs="Arial"/>
                <w:szCs w:val="20"/>
              </w:rPr>
              <w:t xml:space="preserve"> bi ukrepi za zagotavljanje uravnotežene zastopanosti spolov med direktorji družb veljali za vse velike družbe, menimo</w:t>
            </w:r>
            <w:r>
              <w:rPr>
                <w:rFonts w:cs="Arial"/>
                <w:szCs w:val="20"/>
              </w:rPr>
              <w:t>,</w:t>
            </w:r>
            <w:r w:rsidRPr="00665831">
              <w:rPr>
                <w:rFonts w:cs="Arial"/>
                <w:szCs w:val="20"/>
              </w:rPr>
              <w:t xml:space="preserve"> da to ne bi odvračalo družb od kotacije njihovih vrednostnih papirjev na organiziranem trgu, s širšim naborom zavezanih družb pa </w:t>
            </w:r>
            <w:r>
              <w:rPr>
                <w:rFonts w:cs="Arial"/>
                <w:szCs w:val="20"/>
              </w:rPr>
              <w:t xml:space="preserve">bi </w:t>
            </w:r>
            <w:r w:rsidRPr="00665831">
              <w:rPr>
                <w:rFonts w:cs="Arial"/>
                <w:szCs w:val="20"/>
              </w:rPr>
              <w:t>prizadevanja evropske regulative na tem področju dosegl</w:t>
            </w:r>
            <w:r>
              <w:rPr>
                <w:rFonts w:cs="Arial"/>
                <w:szCs w:val="20"/>
              </w:rPr>
              <w:t>a</w:t>
            </w:r>
            <w:r w:rsidRPr="00665831">
              <w:rPr>
                <w:rFonts w:cs="Arial"/>
                <w:szCs w:val="20"/>
              </w:rPr>
              <w:t xml:space="preserve"> svoj namen in ne bi ostala zgolj črka na papirju, ki bi zavezovala samo izjemno ozek krog družb pri nas. Razlogi in obrazložitev za neupoštevanje predloga so enaki kot pri pojasnilu Zagovorniku načela enakosti. </w:t>
            </w:r>
          </w:p>
          <w:p w14:paraId="5DFE1171" w14:textId="77777777" w:rsidR="000C08CA" w:rsidRDefault="000C08CA" w:rsidP="00FE328D">
            <w:pPr>
              <w:spacing w:after="120" w:line="276" w:lineRule="auto"/>
              <w:ind w:left="360"/>
              <w:jc w:val="both"/>
              <w:rPr>
                <w:rFonts w:cs="Arial"/>
                <w:color w:val="222222"/>
                <w:szCs w:val="20"/>
                <w:lang w:eastAsia="en-GB"/>
              </w:rPr>
            </w:pPr>
            <w:r w:rsidRPr="00665831">
              <w:rPr>
                <w:rFonts w:cs="Arial"/>
                <w:b/>
                <w:bCs/>
                <w:color w:val="222222"/>
                <w:szCs w:val="20"/>
                <w:lang w:eastAsia="en-GB"/>
              </w:rPr>
              <w:lastRenderedPageBreak/>
              <w:t>G</w:t>
            </w:r>
            <w:r>
              <w:rPr>
                <w:rFonts w:cs="Arial"/>
                <w:b/>
                <w:bCs/>
                <w:color w:val="222222"/>
                <w:szCs w:val="20"/>
                <w:lang w:eastAsia="en-GB"/>
              </w:rPr>
              <w:t>ospodarska zbornica Slovenije je</w:t>
            </w:r>
            <w:r w:rsidRPr="00665831">
              <w:rPr>
                <w:rFonts w:cs="Arial"/>
                <w:b/>
                <w:bCs/>
                <w:color w:val="222222"/>
                <w:szCs w:val="20"/>
                <w:lang w:eastAsia="en-GB"/>
              </w:rPr>
              <w:t xml:space="preserve"> </w:t>
            </w:r>
            <w:r>
              <w:rPr>
                <w:rFonts w:cs="Arial"/>
                <w:color w:val="222222"/>
                <w:szCs w:val="20"/>
                <w:lang w:eastAsia="en-GB"/>
              </w:rPr>
              <w:t>p</w:t>
            </w:r>
            <w:r w:rsidRPr="00172566">
              <w:rPr>
                <w:rFonts w:cs="Arial"/>
                <w:color w:val="222222"/>
                <w:szCs w:val="20"/>
                <w:lang w:eastAsia="en-GB"/>
              </w:rPr>
              <w:t>redlaga</w:t>
            </w:r>
            <w:r>
              <w:rPr>
                <w:rFonts w:cs="Arial"/>
                <w:color w:val="222222"/>
                <w:szCs w:val="20"/>
                <w:lang w:eastAsia="en-GB"/>
              </w:rPr>
              <w:t>la</w:t>
            </w:r>
            <w:r w:rsidRPr="00172566">
              <w:rPr>
                <w:rFonts w:cs="Arial"/>
                <w:color w:val="222222"/>
                <w:szCs w:val="20"/>
                <w:lang w:eastAsia="en-GB"/>
              </w:rPr>
              <w:t>, da se iz uporabe člena</w:t>
            </w:r>
            <w:r>
              <w:rPr>
                <w:rFonts w:cs="Arial"/>
                <w:color w:val="222222"/>
                <w:szCs w:val="20"/>
                <w:lang w:eastAsia="en-GB"/>
              </w:rPr>
              <w:t xml:space="preserve"> glede izbirnih postopkov</w:t>
            </w:r>
            <w:r w:rsidRPr="00172566">
              <w:rPr>
                <w:rFonts w:cs="Arial"/>
                <w:color w:val="222222"/>
                <w:szCs w:val="20"/>
                <w:lang w:eastAsia="en-GB"/>
              </w:rPr>
              <w:t xml:space="preserve"> izvzame bančni sektor</w:t>
            </w:r>
            <w:r>
              <w:rPr>
                <w:rFonts w:cs="Arial"/>
                <w:color w:val="222222"/>
                <w:szCs w:val="20"/>
                <w:lang w:eastAsia="en-GB"/>
              </w:rPr>
              <w:t xml:space="preserve">, ker zanj </w:t>
            </w:r>
            <w:r w:rsidRPr="00172566">
              <w:rPr>
                <w:rFonts w:cs="Arial"/>
                <w:color w:val="222222"/>
                <w:szCs w:val="20"/>
                <w:lang w:eastAsia="en-GB"/>
              </w:rPr>
              <w:t>veljajo posebne zahteve glede primernosti kandidatov za člane organov upravljanja. Izpolnjevanje navedenih zahtev presoja že Evropska centralna banka v okviru izdaje licence.</w:t>
            </w:r>
            <w:r>
              <w:rPr>
                <w:rFonts w:cs="Arial"/>
                <w:color w:val="222222"/>
                <w:szCs w:val="20"/>
                <w:lang w:eastAsia="en-GB"/>
              </w:rPr>
              <w:t xml:space="preserve"> Predlog ni bil upoštevan, ker Direktiva 2022/2381/EU ne predvideva tovrstnih izjem.</w:t>
            </w:r>
          </w:p>
          <w:p w14:paraId="28A050D7" w14:textId="294A1A87" w:rsidR="007C3AB0" w:rsidRPr="007C3AB0" w:rsidRDefault="000C08CA" w:rsidP="007C3AB0">
            <w:pPr>
              <w:spacing w:after="120" w:line="276" w:lineRule="auto"/>
              <w:ind w:left="360"/>
              <w:jc w:val="both"/>
              <w:rPr>
                <w:rFonts w:cs="Arial"/>
                <w:color w:val="222222"/>
                <w:lang w:eastAsia="en-GB"/>
              </w:rPr>
            </w:pPr>
            <w:r w:rsidRPr="00AB4209">
              <w:rPr>
                <w:rFonts w:cs="Arial"/>
                <w:b/>
                <w:bCs/>
                <w:szCs w:val="20"/>
              </w:rPr>
              <w:t>Banka Slovenije</w:t>
            </w:r>
            <w:r>
              <w:rPr>
                <w:rFonts w:cs="Arial"/>
                <w:szCs w:val="20"/>
              </w:rPr>
              <w:t xml:space="preserve"> je predlagala,</w:t>
            </w:r>
            <w:r w:rsidDel="00B714D5">
              <w:rPr>
                <w:rFonts w:cs="Arial"/>
                <w:szCs w:val="20"/>
              </w:rPr>
              <w:t xml:space="preserve"> </w:t>
            </w:r>
            <w:r>
              <w:rPr>
                <w:rFonts w:cs="Arial"/>
                <w:szCs w:val="20"/>
              </w:rPr>
              <w:t>naj se v</w:t>
            </w:r>
            <w:r w:rsidRPr="00172566">
              <w:rPr>
                <w:rFonts w:cs="Arial"/>
                <w:szCs w:val="20"/>
              </w:rPr>
              <w:t xml:space="preserve"> obrazložitvi člena pojasni uporabnost oz. veljavnost določbe tudi za banke.</w:t>
            </w:r>
            <w:r w:rsidRPr="00AB4209">
              <w:rPr>
                <w:rFonts w:cs="Arial"/>
                <w:szCs w:val="20"/>
              </w:rPr>
              <w:t xml:space="preserve"> </w:t>
            </w:r>
            <w:r w:rsidRPr="00172566">
              <w:rPr>
                <w:rFonts w:cs="Arial"/>
                <w:szCs w:val="20"/>
              </w:rPr>
              <w:t>Pogoje iz tega člena izpolnjujejo tudi nekatere banke, za katere glede uravnotežene zastopanosti spolov v upravljalnih organih že veljajo tudi zahteve ZBan-3 in na njegovi podlagi sprejeti podzakonski predpisi</w:t>
            </w:r>
            <w:r>
              <w:rPr>
                <w:rFonts w:cs="Arial"/>
                <w:szCs w:val="20"/>
              </w:rPr>
              <w:t xml:space="preserve">. </w:t>
            </w:r>
            <w:r>
              <w:rPr>
                <w:rFonts w:cs="Arial"/>
                <w:color w:val="222222"/>
                <w:szCs w:val="20"/>
                <w:lang w:eastAsia="en-GB"/>
              </w:rPr>
              <w:t>Predlog ni bil upoštevan, ker Direktiva 2022/2381/EU ne predvideva tovrstnih izjem. Poleg tega je Zakon o gospodarskih družbah splošni zakon in so lahko posebnosti urejene tudi v drugi področni zakonodaji.</w:t>
            </w:r>
          </w:p>
          <w:p w14:paraId="58850094" w14:textId="77777777" w:rsidR="000C08CA" w:rsidRDefault="000C08CA" w:rsidP="00FE328D">
            <w:pPr>
              <w:ind w:left="322"/>
              <w:jc w:val="both"/>
              <w:rPr>
                <w:rFonts w:cs="Arial"/>
              </w:rPr>
            </w:pPr>
            <w:r w:rsidRPr="00C62C52">
              <w:rPr>
                <w:rFonts w:cs="Arial"/>
                <w:b/>
                <w:bCs/>
                <w:color w:val="000000" w:themeColor="text1"/>
              </w:rPr>
              <w:t>Obrtno-podjetniška zbornica Slovenije</w:t>
            </w:r>
            <w:r>
              <w:rPr>
                <w:rFonts w:cs="Arial"/>
                <w:b/>
                <w:bCs/>
                <w:color w:val="000000" w:themeColor="text1"/>
              </w:rPr>
              <w:t xml:space="preserve"> </w:t>
            </w:r>
            <w:r w:rsidRPr="60564BD9">
              <w:rPr>
                <w:rFonts w:cs="Arial"/>
              </w:rPr>
              <w:t>predlaga, da se</w:t>
            </w:r>
            <w:r w:rsidRPr="60564BD9" w:rsidDel="001A40A5">
              <w:rPr>
                <w:rFonts w:cs="Arial"/>
              </w:rPr>
              <w:t xml:space="preserve"> </w:t>
            </w:r>
            <w:r w:rsidRPr="60564BD9">
              <w:rPr>
                <w:rFonts w:cs="Arial"/>
                <w:u w:val="single"/>
              </w:rPr>
              <w:t>odpravi obveznost javne objave vseh posameznih podatkov iz letnega oz. poslovnega poročila</w:t>
            </w:r>
            <w:r w:rsidRPr="60564BD9">
              <w:rPr>
                <w:rFonts w:cs="Arial"/>
              </w:rPr>
              <w:t xml:space="preserve"> družb in drugih poslovnih subjektov, ki so zavezanci za objavo teh podatkov v skladu z 58. členom ZGD-1 in Pravilnikom o načinu predložitve letnih poročil in njihove javne objave (Uradni list RS, št. 47/08). Zatrjuje, da je</w:t>
            </w:r>
            <w:r w:rsidRPr="60564BD9" w:rsidDel="001A40A5">
              <w:rPr>
                <w:rFonts w:cs="Arial"/>
              </w:rPr>
              <w:t xml:space="preserve"> </w:t>
            </w:r>
            <w:r w:rsidRPr="60564BD9">
              <w:rPr>
                <w:rFonts w:cs="Arial"/>
                <w:u w:val="single"/>
              </w:rPr>
              <w:t>sporna zlasti javna objava podatkov o letnem dobičku oz. izgubi na način, kot je ta urejena zdaj</w:t>
            </w:r>
            <w:r w:rsidRPr="60564BD9">
              <w:rPr>
                <w:rFonts w:cs="Arial"/>
              </w:rPr>
              <w:t>,</w:t>
            </w:r>
            <w:r w:rsidRPr="60564BD9" w:rsidDel="00925457">
              <w:rPr>
                <w:rFonts w:cs="Arial"/>
              </w:rPr>
              <w:t xml:space="preserve"> </w:t>
            </w:r>
            <w:r w:rsidRPr="60564BD9">
              <w:rPr>
                <w:rFonts w:cs="Arial"/>
              </w:rPr>
              <w:t xml:space="preserve">pri čemer lahko </w:t>
            </w:r>
            <w:r w:rsidRPr="40BC4355">
              <w:rPr>
                <w:rFonts w:cs="Arial"/>
                <w:u w:val="single"/>
              </w:rPr>
              <w:t>vsi</w:t>
            </w:r>
            <w:r w:rsidRPr="60564BD9">
              <w:rPr>
                <w:rFonts w:cs="Arial"/>
                <w:u w:val="single"/>
              </w:rPr>
              <w:t xml:space="preserve"> uporabniki poslovnega registra zelo preprosto in brez stroškov dobijo podatke</w:t>
            </w:r>
            <w:r w:rsidRPr="60564BD9">
              <w:rPr>
                <w:rFonts w:cs="Arial"/>
              </w:rPr>
              <w:t xml:space="preserve"> iz letnih oz. poslovnih poročil že z nekaj kliki. Po pregledu spletnih strani poslovnih registrov </w:t>
            </w:r>
            <w:r w:rsidRPr="60564BD9">
              <w:rPr>
                <w:rFonts w:cs="Arial"/>
                <w:u w:val="single"/>
              </w:rPr>
              <w:t>drugih držav članic EU</w:t>
            </w:r>
            <w:r w:rsidRPr="60564BD9">
              <w:rPr>
                <w:rFonts w:cs="Arial"/>
              </w:rPr>
              <w:t xml:space="preserve"> je mogoče ugotoviti, da so </w:t>
            </w:r>
            <w:r w:rsidRPr="60564BD9">
              <w:rPr>
                <w:rFonts w:cs="Arial"/>
                <w:u w:val="single"/>
              </w:rPr>
              <w:t>podatki iz letnih oz. poslovnih poročil dostopni samo na posebno zahtevo zainteresirane osebe, v nekaterih primerih celo proti plačilu oz. po registraciji v sistemu</w:t>
            </w:r>
            <w:r w:rsidRPr="60564BD9">
              <w:rPr>
                <w:rFonts w:cs="Arial"/>
              </w:rPr>
              <w:t xml:space="preserve">. S tem ko so podatki javno dostopni brez dodatnih zahtev, so slovenska podjetja v neprimerljivo težjem in nekonkurenčnem položaju, saj poslovni partnerji (tudi iz tujine) njihove podatke vidijo brez težav, sami pa podatkov teh poslovnih partnerjev ne morejo pridobiti brez dodatnih ovir. </w:t>
            </w:r>
          </w:p>
          <w:p w14:paraId="01741EFD" w14:textId="77777777" w:rsidR="000C08CA" w:rsidRDefault="000C08CA" w:rsidP="00FE328D">
            <w:pPr>
              <w:ind w:left="322"/>
              <w:jc w:val="both"/>
              <w:rPr>
                <w:rFonts w:cs="Arial"/>
                <w:bCs/>
                <w:szCs w:val="20"/>
              </w:rPr>
            </w:pPr>
          </w:p>
          <w:p w14:paraId="5ED56EA1" w14:textId="77777777" w:rsidR="000C08CA" w:rsidRDefault="000C08CA" w:rsidP="00FE328D">
            <w:pPr>
              <w:ind w:left="322"/>
              <w:jc w:val="both"/>
              <w:rPr>
                <w:rFonts w:cs="Arial"/>
                <w:bCs/>
                <w:szCs w:val="20"/>
              </w:rPr>
            </w:pPr>
            <w:r w:rsidRPr="00E57E38">
              <w:rPr>
                <w:rFonts w:cs="Arial"/>
                <w:b/>
                <w:szCs w:val="20"/>
              </w:rPr>
              <w:t>Ministrstvo za gospodarstvo, turizem in šport</w:t>
            </w:r>
            <w:r>
              <w:rPr>
                <w:rFonts w:cs="Arial"/>
                <w:bCs/>
                <w:szCs w:val="20"/>
              </w:rPr>
              <w:t xml:space="preserve"> pojasnjuje, da je </w:t>
            </w:r>
            <w:r w:rsidRPr="00E57E38">
              <w:rPr>
                <w:rFonts w:cs="Arial"/>
                <w:bCs/>
                <w:szCs w:val="20"/>
                <w:u w:val="single"/>
              </w:rPr>
              <w:t>podatek o dobičku oziroma izgubi del členitve izkaza poslovnega izida in bilance stanja</w:t>
            </w:r>
            <w:r>
              <w:rPr>
                <w:rFonts w:cs="Arial"/>
                <w:bCs/>
                <w:szCs w:val="20"/>
              </w:rPr>
              <w:t xml:space="preserve">. Členitev izkaza poslovnega izida in bilance stanja je </w:t>
            </w:r>
            <w:r w:rsidRPr="00E57E38">
              <w:rPr>
                <w:rFonts w:cs="Arial"/>
                <w:bCs/>
                <w:szCs w:val="20"/>
                <w:u w:val="single"/>
              </w:rPr>
              <w:t>harmonizirana z Direktivo 2013/34/EU</w:t>
            </w:r>
            <w:r>
              <w:rPr>
                <w:rFonts w:cs="Arial"/>
                <w:bCs/>
                <w:szCs w:val="20"/>
              </w:rPr>
              <w:t xml:space="preserve"> </w:t>
            </w:r>
            <w:r w:rsidRPr="00AC7642">
              <w:rPr>
                <w:rFonts w:cs="Arial"/>
                <w:bCs/>
                <w:szCs w:val="20"/>
              </w:rPr>
              <w:t>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 (UL L št. 182 z dne 29. 6. 2013, str. 19)</w:t>
            </w:r>
            <w:r>
              <w:rPr>
                <w:rFonts w:cs="Arial"/>
                <w:bCs/>
                <w:szCs w:val="20"/>
              </w:rPr>
              <w:t xml:space="preserve">. </w:t>
            </w:r>
          </w:p>
          <w:p w14:paraId="3D020276" w14:textId="77777777" w:rsidR="000C08CA" w:rsidRDefault="000C08CA" w:rsidP="00FE328D">
            <w:pPr>
              <w:ind w:left="322"/>
              <w:jc w:val="both"/>
              <w:rPr>
                <w:rFonts w:cs="Arial"/>
                <w:bCs/>
                <w:szCs w:val="20"/>
              </w:rPr>
            </w:pPr>
          </w:p>
          <w:p w14:paraId="1125445C" w14:textId="77777777" w:rsidR="000C08CA" w:rsidRDefault="000C08CA" w:rsidP="00FE328D">
            <w:pPr>
              <w:ind w:left="322"/>
              <w:jc w:val="both"/>
              <w:rPr>
                <w:rFonts w:cs="Arial"/>
              </w:rPr>
            </w:pPr>
            <w:r w:rsidRPr="40BC4355">
              <w:rPr>
                <w:rFonts w:cs="Arial"/>
                <w:u w:val="single"/>
              </w:rPr>
              <w:t>Ureditev dostopa do podatkov</w:t>
            </w:r>
            <w:r w:rsidRPr="40BC4355">
              <w:rPr>
                <w:rFonts w:cs="Arial"/>
              </w:rPr>
              <w:t xml:space="preserve"> iz letnih poročil v Sloveniji je po mnenju Ministrstva za gospodarstvo, turizem in šport </w:t>
            </w:r>
            <w:r w:rsidRPr="40BC4355">
              <w:rPr>
                <w:rFonts w:cs="Arial"/>
                <w:u w:val="single"/>
              </w:rPr>
              <w:t>primerljiva ureditvam v drugih državah članicah</w:t>
            </w:r>
            <w:r w:rsidRPr="40BC4355">
              <w:rPr>
                <w:rFonts w:cs="Arial"/>
              </w:rPr>
              <w:t xml:space="preserve">. Direktiva 2013/34/EU določa, da se letna poročila razkrijejo v skladu s pravili, ki veljajo za razkritja podatkov o družb v registru (sodni register). Države članice morajo zagotoviti razkritje dokumentov in informacije tako, da so javno dostopni v registru. Poleg tega lahko države članice zahtevajo tudi objavo nekaterih ali vseh dokumentov in informacij v nacionalnem uradnem listu ali z enako učinkovitim načinom objave. Ministrstvo za gospodarstvo, turizem in šport pojasnjuje, da so tudi v Sloveniji javni podatki iz letnih poročil dostopni </w:t>
            </w:r>
            <w:r w:rsidRPr="40BC4355">
              <w:rPr>
                <w:rFonts w:cs="Arial"/>
                <w:u w:val="single"/>
              </w:rPr>
              <w:t>na zahtevo zainteresirane osebe</w:t>
            </w:r>
            <w:r w:rsidRPr="40BC4355">
              <w:rPr>
                <w:rFonts w:cs="Arial"/>
              </w:rPr>
              <w:t xml:space="preserve"> in pod pogojem, da se oseba r</w:t>
            </w:r>
            <w:r w:rsidRPr="40BC4355">
              <w:rPr>
                <w:rFonts w:cs="Arial"/>
                <w:u w:val="single"/>
              </w:rPr>
              <w:t>egistrira za dostop do vsebin in podatkov javnih evidenc na portalu Ajpesa</w:t>
            </w:r>
            <w:r w:rsidRPr="40BC4355">
              <w:rPr>
                <w:rFonts w:cs="Arial"/>
              </w:rPr>
              <w:t xml:space="preserve">. </w:t>
            </w:r>
            <w:r w:rsidRPr="40BC4355">
              <w:rPr>
                <w:rFonts w:cs="Arial"/>
                <w:u w:val="single"/>
              </w:rPr>
              <w:t>Dostop do javnih podatkov</w:t>
            </w:r>
            <w:r w:rsidRPr="40BC4355">
              <w:rPr>
                <w:rFonts w:cs="Arial"/>
              </w:rPr>
              <w:t xml:space="preserve"> iz letnih poročil je </w:t>
            </w:r>
            <w:r w:rsidRPr="40BC4355">
              <w:rPr>
                <w:rFonts w:cs="Arial"/>
                <w:u w:val="single"/>
              </w:rPr>
              <w:t>brezplačen</w:t>
            </w:r>
            <w:r w:rsidRPr="40BC4355">
              <w:rPr>
                <w:rFonts w:cs="Arial"/>
              </w:rPr>
              <w:t xml:space="preserve">. Podatki o poslovanju poslovnih subjektov so brezplačno na voljo zainteresiranim osebam z namenom </w:t>
            </w:r>
            <w:r w:rsidRPr="40BC4355">
              <w:rPr>
                <w:rFonts w:cs="Arial"/>
                <w:u w:val="single"/>
              </w:rPr>
              <w:t>zagotavljanja varstva pravnega prometa in poslovnih transakcij</w:t>
            </w:r>
            <w:r w:rsidRPr="40BC4355">
              <w:rPr>
                <w:rFonts w:cs="Arial"/>
              </w:rPr>
              <w:t>, v katere vsakodnevno vstopajo poslovni partnerji, pravne in fizične osebe, ter preglednosti poslovanja poslovnih subjektov.</w:t>
            </w:r>
          </w:p>
          <w:p w14:paraId="5DBC2894" w14:textId="77777777" w:rsidR="000C08CA" w:rsidRDefault="000C08CA" w:rsidP="00FE328D">
            <w:pPr>
              <w:ind w:left="322"/>
              <w:jc w:val="both"/>
              <w:rPr>
                <w:rFonts w:cs="Arial"/>
                <w:bCs/>
                <w:szCs w:val="20"/>
              </w:rPr>
            </w:pPr>
          </w:p>
          <w:p w14:paraId="166DA796" w14:textId="77777777" w:rsidR="000C08CA" w:rsidRDefault="000C08CA" w:rsidP="00FE328D">
            <w:pPr>
              <w:ind w:left="322"/>
              <w:jc w:val="both"/>
              <w:rPr>
                <w:rFonts w:cs="Arial"/>
                <w:color w:val="222222"/>
                <w:lang w:eastAsia="en-GB"/>
              </w:rPr>
            </w:pPr>
            <w:r w:rsidRPr="40BC4355">
              <w:rPr>
                <w:rFonts w:cs="Arial"/>
                <w:b/>
              </w:rPr>
              <w:t xml:space="preserve">Tržni inšpektorat </w:t>
            </w:r>
            <w:r w:rsidRPr="40BC4355">
              <w:rPr>
                <w:rFonts w:cs="Arial"/>
                <w:b/>
                <w:bCs/>
              </w:rPr>
              <w:t>RS</w:t>
            </w:r>
            <w:r w:rsidRPr="40BC4355">
              <w:rPr>
                <w:rFonts w:cs="Arial"/>
              </w:rPr>
              <w:t xml:space="preserve"> predlaga, da se uredi </w:t>
            </w:r>
            <w:r w:rsidRPr="40BC4355">
              <w:rPr>
                <w:rFonts w:cs="Arial"/>
                <w:u w:val="single"/>
              </w:rPr>
              <w:t>obvezna določitev varnega ali drugega elektronskega predala – registrirani elektronski naslov</w:t>
            </w:r>
            <w:r w:rsidRPr="40BC4355">
              <w:rPr>
                <w:rFonts w:cs="Arial"/>
              </w:rPr>
              <w:t xml:space="preserve">, ki se vpiše v register, </w:t>
            </w:r>
            <w:r w:rsidRPr="40BC4355">
              <w:rPr>
                <w:rFonts w:cs="Arial"/>
                <w:u w:val="single"/>
              </w:rPr>
              <w:t>za namene vročanja dokumentov v elektronski obliki</w:t>
            </w:r>
            <w:r w:rsidRPr="40BC4355">
              <w:rPr>
                <w:rFonts w:cs="Arial"/>
              </w:rPr>
              <w:t xml:space="preserve"> oziroma v elektronski predal. Takšna vročanja štejejo kot vročanja po določilih 86. in 86.a člena </w:t>
            </w:r>
            <w:r w:rsidRPr="40BC4355">
              <w:rPr>
                <w:rFonts w:cs="Arial"/>
                <w:color w:val="222222"/>
                <w:lang w:eastAsia="en-GB"/>
              </w:rPr>
              <w:t>Zakona o splošnem upravnem postopku</w:t>
            </w:r>
            <w:r w:rsidRPr="40BC4355">
              <w:rPr>
                <w:rFonts w:cs="Arial"/>
              </w:rPr>
              <w:t xml:space="preserve">. Ta obveznost se, ob upoštevanju </w:t>
            </w:r>
            <w:r w:rsidRPr="2F3977BB">
              <w:rPr>
                <w:rFonts w:cs="Arial"/>
              </w:rPr>
              <w:t>prehodnega obdobja</w:t>
            </w:r>
            <w:r w:rsidRPr="40BC4355">
              <w:rPr>
                <w:rFonts w:cs="Arial"/>
              </w:rPr>
              <w:t xml:space="preserve">, določi tudi za </w:t>
            </w:r>
            <w:r w:rsidRPr="2F3977BB">
              <w:rPr>
                <w:rFonts w:cs="Arial"/>
              </w:rPr>
              <w:t>zdajšnje</w:t>
            </w:r>
            <w:r w:rsidRPr="40BC4355">
              <w:rPr>
                <w:rFonts w:cs="Arial"/>
              </w:rPr>
              <w:t xml:space="preserve"> gospodarske subjekte.</w:t>
            </w:r>
            <w:r w:rsidRPr="40BC4355">
              <w:rPr>
                <w:rFonts w:cs="Arial"/>
                <w:color w:val="222222"/>
                <w:lang w:eastAsia="en-GB"/>
              </w:rPr>
              <w:t xml:space="preserve"> Ti predlogi bi tudi v praksi </w:t>
            </w:r>
            <w:r w:rsidRPr="40BC4355">
              <w:rPr>
                <w:rFonts w:cs="Arial"/>
                <w:color w:val="222222"/>
                <w:u w:val="single"/>
                <w:lang w:eastAsia="en-GB"/>
              </w:rPr>
              <w:t>omogočili uporabo e-vročanja po Zakonu o splošnem upravnem postopku</w:t>
            </w:r>
            <w:r w:rsidRPr="40BC4355">
              <w:rPr>
                <w:rFonts w:cs="Arial"/>
                <w:color w:val="222222"/>
                <w:lang w:eastAsia="en-GB"/>
              </w:rPr>
              <w:t xml:space="preserve"> in s tem tudi </w:t>
            </w:r>
            <w:r w:rsidRPr="40BC4355">
              <w:rPr>
                <w:rFonts w:cs="Arial"/>
                <w:color w:val="222222"/>
                <w:u w:val="single"/>
                <w:lang w:eastAsia="en-GB"/>
              </w:rPr>
              <w:t xml:space="preserve">možnost, </w:t>
            </w:r>
            <w:r w:rsidRPr="40BC4355">
              <w:rPr>
                <w:rFonts w:cs="Arial"/>
                <w:color w:val="222222"/>
                <w:u w:val="single"/>
                <w:lang w:eastAsia="en-GB"/>
              </w:rPr>
              <w:lastRenderedPageBreak/>
              <w:t>da nadzorni organi hitreje in učinkoviteje izvajajo postopke</w:t>
            </w:r>
            <w:r w:rsidRPr="40BC4355">
              <w:rPr>
                <w:rFonts w:cs="Arial"/>
                <w:color w:val="222222"/>
                <w:lang w:eastAsia="en-GB"/>
              </w:rPr>
              <w:t xml:space="preserve"> predvsem pri zavezancih, katerih namen je izogibanje zakonitemu poslovanju na trgu.</w:t>
            </w:r>
          </w:p>
          <w:p w14:paraId="07C2D59A" w14:textId="77777777" w:rsidR="000C08CA" w:rsidRDefault="000C08CA" w:rsidP="00FE328D">
            <w:pPr>
              <w:ind w:left="322"/>
              <w:jc w:val="both"/>
              <w:rPr>
                <w:rFonts w:cs="Arial"/>
                <w:color w:val="222222"/>
                <w:szCs w:val="20"/>
                <w:lang w:eastAsia="en-GB"/>
              </w:rPr>
            </w:pPr>
          </w:p>
          <w:p w14:paraId="58891996" w14:textId="77777777" w:rsidR="000C08CA" w:rsidRDefault="000C08CA" w:rsidP="00FE328D">
            <w:pPr>
              <w:ind w:left="322"/>
              <w:jc w:val="both"/>
              <w:rPr>
                <w:rFonts w:cs="Arial"/>
              </w:rPr>
            </w:pPr>
            <w:r w:rsidRPr="2F3977BB">
              <w:rPr>
                <w:rFonts w:cs="Arial"/>
              </w:rPr>
              <w:t xml:space="preserve">Predlog Tržnega inšpektorata, da se določi obveznost pridobitve varnega elektronskega predala za vročanje dokumentov v elektronski obliki, po mnenju </w:t>
            </w:r>
            <w:r w:rsidRPr="2F3977BB">
              <w:rPr>
                <w:rFonts w:cs="Arial"/>
                <w:b/>
              </w:rPr>
              <w:t>Ministrstva za gospodarstvo, turizem in šport</w:t>
            </w:r>
            <w:r w:rsidRPr="2F3977BB">
              <w:rPr>
                <w:rFonts w:cs="Arial"/>
              </w:rPr>
              <w:t xml:space="preserve"> ni primeren. Iz predloga </w:t>
            </w:r>
            <w:r w:rsidRPr="2F3977BB">
              <w:rPr>
                <w:rFonts w:cs="Arial"/>
                <w:u w:val="single"/>
              </w:rPr>
              <w:t>ne izhajajo finančne posledice</w:t>
            </w:r>
            <w:r w:rsidRPr="2F3977BB">
              <w:rPr>
                <w:rFonts w:cs="Arial"/>
              </w:rPr>
              <w:t xml:space="preserve"> pridobitve varnega elektronskega predala za vročanja dokumentov v elektronski obliki za družbe. Na slovenskem trgu</w:t>
            </w:r>
            <w:r w:rsidRPr="2F3977BB" w:rsidDel="00925457">
              <w:rPr>
                <w:rFonts w:cs="Arial"/>
              </w:rPr>
              <w:t xml:space="preserve"> </w:t>
            </w:r>
            <w:r w:rsidRPr="2F3977BB">
              <w:rPr>
                <w:rFonts w:cs="Arial"/>
                <w:u w:val="single"/>
              </w:rPr>
              <w:t>varne elektronske predale za vročanje ponuja malo ponudnikov.</w:t>
            </w:r>
            <w:r w:rsidRPr="2F3977BB">
              <w:rPr>
                <w:rFonts w:cs="Arial"/>
              </w:rPr>
              <w:t xml:space="preserve"> Pridobitev in uporaba varnega elektronskega predala za pošiljanje in vročanje dokumentov se zaračunata glede na sprejeto politiko/tarifo ponudnika oziroma sta odvisni od te politike/tarife. Dokumente je mogoče elektronsko vročati tudi s kombinacijo (navadnega) elektronskega naslova in telefonske številke. Z ZGD-1K je bila leta 2021 določena obveznost vpisa (navadnega) elektronskega naslova v register. Elektronski naslovi se na podlagi prijave vpišejo v poslovni register. </w:t>
            </w:r>
          </w:p>
          <w:p w14:paraId="1EA76284" w14:textId="77777777" w:rsidR="000C08CA" w:rsidRDefault="000C08CA" w:rsidP="00FE328D">
            <w:pPr>
              <w:ind w:left="322"/>
              <w:jc w:val="both"/>
              <w:rPr>
                <w:rFonts w:cs="Arial"/>
                <w:bCs/>
                <w:szCs w:val="20"/>
              </w:rPr>
            </w:pPr>
          </w:p>
          <w:p w14:paraId="167B1F52" w14:textId="77777777" w:rsidR="000C08CA" w:rsidRDefault="000C08CA" w:rsidP="00FE328D">
            <w:pPr>
              <w:ind w:left="322"/>
              <w:jc w:val="both"/>
              <w:rPr>
                <w:rFonts w:cs="Arial"/>
              </w:rPr>
            </w:pPr>
            <w:r w:rsidRPr="2F3977BB">
              <w:rPr>
                <w:rFonts w:cs="Arial"/>
                <w:b/>
              </w:rPr>
              <w:t>Tržni inšpektorat</w:t>
            </w:r>
            <w:r w:rsidRPr="2F3977BB" w:rsidDel="00925457">
              <w:rPr>
                <w:rFonts w:cs="Arial"/>
                <w:b/>
              </w:rPr>
              <w:t xml:space="preserve"> </w:t>
            </w:r>
            <w:r w:rsidRPr="2F3977BB">
              <w:rPr>
                <w:rFonts w:cs="Arial"/>
              </w:rPr>
              <w:t>predlaga, da se določi obveznost gospodarskemu subjektu, da je pogoj za izbris zakonitega zastopnika hkratno imenovanje in predlog vpisa novega zakonitega zastopnika v register.</w:t>
            </w:r>
            <w:r w:rsidRPr="2F3977BB">
              <w:rPr>
                <w:rFonts w:cs="Arial"/>
                <w:color w:val="222222"/>
                <w:lang w:eastAsia="en-GB"/>
              </w:rPr>
              <w:t xml:space="preserve"> </w:t>
            </w:r>
            <w:r w:rsidRPr="2F3977BB">
              <w:rPr>
                <w:rFonts w:cs="Arial"/>
                <w:color w:val="222222"/>
                <w:u w:val="single"/>
                <w:lang w:eastAsia="en-GB"/>
              </w:rPr>
              <w:t>Gospodarska družba brez aktivnega zakonitega zastopnika ne more in ne bi smela obstajati</w:t>
            </w:r>
            <w:r w:rsidRPr="2F3977BB">
              <w:rPr>
                <w:rFonts w:cs="Arial"/>
                <w:color w:val="222222"/>
                <w:lang w:eastAsia="en-GB"/>
              </w:rPr>
              <w:t xml:space="preserve">, saj tako tudi ne more poslovati. Za poslovanje družbe je odgovoren zakoniti zastopnik, ki v imenu družbe, za njen račun, v njeno korist in s sredstvi družbe tudi sprejema odločitve. </w:t>
            </w:r>
            <w:r w:rsidRPr="2F3977BB">
              <w:rPr>
                <w:rFonts w:cs="Arial"/>
                <w:color w:val="222222"/>
                <w:u w:val="single"/>
                <w:lang w:eastAsia="en-GB"/>
              </w:rPr>
              <w:t>Stalna zagotovitev zakonitega zastopnika družbe</w:t>
            </w:r>
            <w:r w:rsidRPr="2F3977BB">
              <w:rPr>
                <w:rFonts w:cs="Arial"/>
                <w:color w:val="222222"/>
                <w:lang w:eastAsia="en-GB"/>
              </w:rPr>
              <w:t xml:space="preserve"> je pomemben element tudi pri preprečevanju kršitev zakonodaje, saj družbi v postopku o prekršku ni mogoče očitati prekrška, če ni določljive odgovorne osebe. Z upoštevanjem navedenih sprememb se vsekakor zagotavlja večja preglednost poslovanja gospodarskih družb in se na trgu preprečuje nelojalna konkurenca družb, katerih namen je izogibanje zakonitemu poslovanju in posledično temu tudi plačilu zakonsko predpisanih dajatev.</w:t>
            </w:r>
          </w:p>
          <w:p w14:paraId="0C6D5D91" w14:textId="77777777" w:rsidR="000C08CA" w:rsidRDefault="000C08CA" w:rsidP="00FE328D">
            <w:pPr>
              <w:ind w:left="322"/>
              <w:jc w:val="both"/>
              <w:rPr>
                <w:rFonts w:cs="Arial"/>
                <w:bCs/>
                <w:szCs w:val="20"/>
              </w:rPr>
            </w:pPr>
          </w:p>
          <w:p w14:paraId="5AAB2FCF" w14:textId="0FF814E1" w:rsidR="000C08CA" w:rsidRPr="00605612" w:rsidRDefault="000C08CA" w:rsidP="00FE328D">
            <w:pPr>
              <w:ind w:left="322"/>
              <w:jc w:val="both"/>
              <w:rPr>
                <w:color w:val="000000" w:themeColor="text1"/>
              </w:rPr>
            </w:pPr>
            <w:r>
              <w:t xml:space="preserve">Predlog, da se določi obveznost hkratnega/sočasnega izbrisa predhodnega in vpisa novega zakonitega zastopnika, po mnenju </w:t>
            </w:r>
            <w:r w:rsidRPr="0F7AC3E2">
              <w:rPr>
                <w:b/>
              </w:rPr>
              <w:t>Ministrstva za gospodarstvo, turizem in šport</w:t>
            </w:r>
            <w:r>
              <w:t xml:space="preserve"> </w:t>
            </w:r>
            <w:r w:rsidRPr="0F7AC3E2">
              <w:rPr>
                <w:u w:val="single"/>
              </w:rPr>
              <w:t>ni primeren</w:t>
            </w:r>
            <w:r>
              <w:t xml:space="preserve"> za dosego cilja predloga, to je, da imajo družbe aktivnega zakonitega zastopnika. Predlogu </w:t>
            </w:r>
            <w:r w:rsidRPr="0F7AC3E2">
              <w:rPr>
                <w:u w:val="single"/>
              </w:rPr>
              <w:t>ni priložena</w:t>
            </w:r>
            <w:r>
              <w:t xml:space="preserve"> mednarodna pravna analiza. Poleg tega v dejanskih okoliščinah </w:t>
            </w:r>
            <w:r w:rsidRPr="0F7AC3E2">
              <w:rPr>
                <w:u w:val="single"/>
              </w:rPr>
              <w:t>v nekaterih primerih ni mogoče doseči hkratnega izbrisa</w:t>
            </w:r>
            <w:r>
              <w:t xml:space="preserve"> predhodnega </w:t>
            </w:r>
            <w:r w:rsidRPr="0F7AC3E2">
              <w:rPr>
                <w:u w:val="single"/>
              </w:rPr>
              <w:t>in vpisa</w:t>
            </w:r>
            <w:r>
              <w:t xml:space="preserve"> novega zakonitega zastopnika. Kot primer bi lahko navedli </w:t>
            </w:r>
            <w:r w:rsidRPr="0F7AC3E2">
              <w:rPr>
                <w:u w:val="single"/>
              </w:rPr>
              <w:t xml:space="preserve">odstop zakonitega </w:t>
            </w:r>
            <w:r w:rsidRPr="0F7AC3E2">
              <w:rPr>
                <w:rFonts w:cs="Arial"/>
                <w:color w:val="222222"/>
                <w:u w:val="single"/>
                <w:lang w:eastAsia="en-GB"/>
              </w:rPr>
              <w:t>zastopnika</w:t>
            </w:r>
            <w:r>
              <w:t xml:space="preserve">. Zakoniti zastopnik lahko poda odstopno izjavo zaradi osebnih okoliščin, kot je trajna ali dolgotrajna nezmožnost za delo, in v drugih primerih. Odstopna izjava kot izraz volje, da oseba ne želi opravljati funkcije, ima konstitutivni učinek. Z njo zakoniti zastopnik doseže prenehanje svoje funkcije. Po mnenju pravne teorije učinkuje, ko je sporočena organu, ki je zakonitega zastopnika imenoval. Vpis izbrisa zakonitega zastopnika iz registra ima tudi publicitetni učinek. </w:t>
            </w:r>
            <w:r w:rsidRPr="0F7AC3E2">
              <w:rPr>
                <w:u w:val="single"/>
              </w:rPr>
              <w:t>V skladu s sodno prakso za vpis izbrisa zakonitega zastopnika zadošča njegova odstopna izjava</w:t>
            </w:r>
            <w:r>
              <w:t>. Običajno je, da v primeru odstopa zakonitega zastopnika vpis izbrisa zakonitega zastopnika iz registra predlaga družba. Ni pa izključena možnost, da vpis izbrisa zakonitega zastopnika iz registra predlaga zakoniti zastopnik, ki je odstopil. Drug primer je</w:t>
            </w:r>
            <w:r w:rsidDel="004C541B">
              <w:t xml:space="preserve"> </w:t>
            </w:r>
            <w:r w:rsidRPr="0F7AC3E2">
              <w:rPr>
                <w:u w:val="single"/>
              </w:rPr>
              <w:t>smrt zakonitega zastopnika</w:t>
            </w:r>
            <w:r>
              <w:t xml:space="preserve">, v primeru katere funkcija preneha že z dnem smrti. Obveznost ne bi bila izvedljiva tudi v primeru </w:t>
            </w:r>
            <w:r w:rsidRPr="0F7AC3E2">
              <w:rPr>
                <w:u w:val="single"/>
              </w:rPr>
              <w:t>spremembe statuta</w:t>
            </w:r>
            <w:r>
              <w:t xml:space="preserve">, s katero se zmanjša število članov organa vodenja, pri </w:t>
            </w:r>
            <w:r w:rsidRPr="0F7AC3E2">
              <w:rPr>
                <w:u w:val="single"/>
              </w:rPr>
              <w:t>pripojitvah, spojitvah, spremembah pravnoorganizacijske oblike in prenehanja</w:t>
            </w:r>
            <w:r>
              <w:t xml:space="preserve"> družbe po končani likvidaciji oziroma zaradi posledic </w:t>
            </w:r>
            <w:r w:rsidRPr="0F7AC3E2">
              <w:rPr>
                <w:u w:val="single"/>
              </w:rPr>
              <w:t>začetka stečajnega postopka</w:t>
            </w:r>
            <w:r>
              <w:t xml:space="preserve">. Nekatere, zlasti večje družbe izbirajo člane organa vodenja po </w:t>
            </w:r>
            <w:r w:rsidRPr="0F7AC3E2">
              <w:rPr>
                <w:u w:val="single"/>
              </w:rPr>
              <w:t>izbirnem javnem postopku</w:t>
            </w:r>
            <w:r>
              <w:t>, ki se začne, ko se</w:t>
            </w:r>
            <w:r w:rsidDel="004C541B">
              <w:t xml:space="preserve"> </w:t>
            </w:r>
            <w:r>
              <w:t xml:space="preserve">dotedanjemu članu organa vodenja izteče mandat. </w:t>
            </w:r>
            <w:r w:rsidRPr="0F7AC3E2">
              <w:rPr>
                <w:u w:val="single"/>
              </w:rPr>
              <w:t>V ZGD-1 so določene pravne možnosti</w:t>
            </w:r>
            <w:r>
              <w:t>, če družba nima zakonitega zastopnika. Po drugem odstavku 50. člena ZGD-1 lahko vsakdo, ki ima pravni interes v nepravdnem postopku, v nujnem primeru predlaga sodno imenovanje poslovodje. Če poslovodstvo ne deluje več kakor šest mesecev, lahko upniki, družbeniki pri sodišču predlagajo izvedbo postopka sodne likvidacije (3. alineja prvega odstavka 402. člena, sedma alineja 521. člena in tretji odstavek 404. člena ZGD-1).</w:t>
            </w:r>
          </w:p>
          <w:p w14:paraId="201F1C36" w14:textId="77777777" w:rsidR="000C08CA" w:rsidRDefault="000C08CA" w:rsidP="00222BEF">
            <w:pPr>
              <w:jc w:val="both"/>
              <w:rPr>
                <w:szCs w:val="20"/>
              </w:rPr>
            </w:pPr>
          </w:p>
          <w:p w14:paraId="648A1390" w14:textId="77777777" w:rsidR="000C08CA" w:rsidRDefault="000C08CA" w:rsidP="00FE328D">
            <w:pPr>
              <w:ind w:left="322"/>
              <w:jc w:val="both"/>
              <w:rPr>
                <w:b/>
                <w:bCs/>
                <w:szCs w:val="20"/>
              </w:rPr>
            </w:pPr>
            <w:r w:rsidRPr="0010046F">
              <w:rPr>
                <w:b/>
                <w:bCs/>
                <w:szCs w:val="20"/>
              </w:rPr>
              <w:lastRenderedPageBreak/>
              <w:t>B</w:t>
            </w:r>
            <w:r>
              <w:rPr>
                <w:b/>
                <w:bCs/>
                <w:szCs w:val="20"/>
              </w:rPr>
              <w:t xml:space="preserve">anka </w:t>
            </w:r>
            <w:r w:rsidRPr="0010046F">
              <w:rPr>
                <w:b/>
                <w:bCs/>
                <w:szCs w:val="20"/>
              </w:rPr>
              <w:t>S</w:t>
            </w:r>
            <w:r>
              <w:rPr>
                <w:b/>
                <w:bCs/>
                <w:szCs w:val="20"/>
              </w:rPr>
              <w:t>lovenije</w:t>
            </w:r>
            <w:r>
              <w:rPr>
                <w:szCs w:val="20"/>
              </w:rPr>
              <w:t xml:space="preserve"> predlaga, da se v ZGD-1</w:t>
            </w:r>
            <w:r w:rsidRPr="00142810">
              <w:rPr>
                <w:szCs w:val="20"/>
              </w:rPr>
              <w:t xml:space="preserve"> opredeli </w:t>
            </w:r>
            <w:r>
              <w:rPr>
                <w:szCs w:val="20"/>
              </w:rPr>
              <w:t xml:space="preserve">izraz </w:t>
            </w:r>
            <w:r w:rsidRPr="00142810">
              <w:rPr>
                <w:szCs w:val="20"/>
              </w:rPr>
              <w:t>čist</w:t>
            </w:r>
            <w:r>
              <w:rPr>
                <w:szCs w:val="20"/>
              </w:rPr>
              <w:t>i</w:t>
            </w:r>
            <w:r w:rsidRPr="00142810">
              <w:rPr>
                <w:szCs w:val="20"/>
              </w:rPr>
              <w:t xml:space="preserve"> prihod</w:t>
            </w:r>
            <w:r>
              <w:rPr>
                <w:szCs w:val="20"/>
              </w:rPr>
              <w:t xml:space="preserve">ki. </w:t>
            </w:r>
            <w:r w:rsidRPr="003B5B6C">
              <w:rPr>
                <w:szCs w:val="20"/>
              </w:rPr>
              <w:t>Ni nedvoumno jasno, katere banke se bodo opredelile kot velike, ma</w:t>
            </w:r>
            <w:r>
              <w:rPr>
                <w:szCs w:val="20"/>
              </w:rPr>
              <w:t>jhn</w:t>
            </w:r>
            <w:r w:rsidRPr="003B5B6C">
              <w:rPr>
                <w:szCs w:val="20"/>
              </w:rPr>
              <w:t xml:space="preserve">e ali srednje družbe, </w:t>
            </w:r>
            <w:r>
              <w:rPr>
                <w:szCs w:val="20"/>
              </w:rPr>
              <w:t>poleg tega</w:t>
            </w:r>
            <w:r w:rsidRPr="003B5B6C">
              <w:rPr>
                <w:szCs w:val="20"/>
              </w:rPr>
              <w:t xml:space="preserve"> ne bo mogoče določiti, kdaj so zavezane k izpolnjevanju obveznosti, ko se po tem zakonu preseže opredeljeni prag čist</w:t>
            </w:r>
            <w:r>
              <w:rPr>
                <w:szCs w:val="20"/>
              </w:rPr>
              <w:t>ih</w:t>
            </w:r>
            <w:r w:rsidRPr="003B5B6C">
              <w:rPr>
                <w:szCs w:val="20"/>
              </w:rPr>
              <w:t xml:space="preserve"> prihodk</w:t>
            </w:r>
            <w:r>
              <w:rPr>
                <w:szCs w:val="20"/>
              </w:rPr>
              <w:t>ov</w:t>
            </w:r>
            <w:r w:rsidRPr="003B5B6C">
              <w:rPr>
                <w:szCs w:val="20"/>
              </w:rPr>
              <w:t>.</w:t>
            </w:r>
            <w:r>
              <w:t xml:space="preserve"> </w:t>
            </w:r>
            <w:r w:rsidRPr="000602B8">
              <w:rPr>
                <w:szCs w:val="20"/>
              </w:rPr>
              <w:t>Ker se izračun čist</w:t>
            </w:r>
            <w:r>
              <w:rPr>
                <w:szCs w:val="20"/>
              </w:rPr>
              <w:t>ih</w:t>
            </w:r>
            <w:r w:rsidRPr="000602B8">
              <w:rPr>
                <w:szCs w:val="20"/>
              </w:rPr>
              <w:t xml:space="preserve"> prihodk</w:t>
            </w:r>
            <w:r>
              <w:rPr>
                <w:szCs w:val="20"/>
              </w:rPr>
              <w:t>ov</w:t>
            </w:r>
            <w:r w:rsidRPr="000602B8">
              <w:rPr>
                <w:szCs w:val="20"/>
              </w:rPr>
              <w:t xml:space="preserve"> bank in hranilnic (ter nekatere druge finančne institucije, npr. zavarovalnice) glede na naravo njihovega poslovanja razlikuje, predlaga, da ZGD-1M v tem delu napoti na Zakon o bančništvu, ki B</w:t>
            </w:r>
            <w:r>
              <w:rPr>
                <w:szCs w:val="20"/>
              </w:rPr>
              <w:t xml:space="preserve">anki </w:t>
            </w:r>
            <w:r w:rsidRPr="000602B8">
              <w:rPr>
                <w:szCs w:val="20"/>
              </w:rPr>
              <w:t>S</w:t>
            </w:r>
            <w:r>
              <w:rPr>
                <w:szCs w:val="20"/>
              </w:rPr>
              <w:t>lovenije</w:t>
            </w:r>
            <w:r w:rsidRPr="000602B8">
              <w:rPr>
                <w:szCs w:val="20"/>
              </w:rPr>
              <w:t xml:space="preserve"> daje pooblastilo za opredelitev čist</w:t>
            </w:r>
            <w:r>
              <w:rPr>
                <w:szCs w:val="20"/>
              </w:rPr>
              <w:t>ih</w:t>
            </w:r>
            <w:r w:rsidRPr="000602B8">
              <w:rPr>
                <w:szCs w:val="20"/>
              </w:rPr>
              <w:t xml:space="preserve"> prihodk</w:t>
            </w:r>
            <w:r>
              <w:rPr>
                <w:szCs w:val="20"/>
              </w:rPr>
              <w:t>ov</w:t>
            </w:r>
            <w:r w:rsidRPr="000602B8">
              <w:rPr>
                <w:szCs w:val="20"/>
              </w:rPr>
              <w:t>.</w:t>
            </w:r>
            <w:r>
              <w:rPr>
                <w:szCs w:val="20"/>
              </w:rPr>
              <w:t xml:space="preserve"> Navaja še, da je </w:t>
            </w:r>
            <w:r w:rsidRPr="00142810">
              <w:rPr>
                <w:szCs w:val="20"/>
              </w:rPr>
              <w:t>neustrezen prevod izraza ključna neopredmetena sredstva</w:t>
            </w:r>
            <w:r>
              <w:t xml:space="preserve">, saj </w:t>
            </w:r>
            <w:r w:rsidRPr="003D424B">
              <w:rPr>
                <w:szCs w:val="20"/>
              </w:rPr>
              <w:t>ne gre samo za sredstva iz bilance (angl. intangible resources)</w:t>
            </w:r>
            <w:r>
              <w:rPr>
                <w:szCs w:val="20"/>
              </w:rPr>
              <w:t xml:space="preserve">, kar je razvidno tudi iz uvodnih izjav Direktive </w:t>
            </w:r>
            <w:r w:rsidRPr="00DE7E93">
              <w:rPr>
                <w:szCs w:val="20"/>
              </w:rPr>
              <w:t>2022/2464/EU</w:t>
            </w:r>
            <w:r>
              <w:rPr>
                <w:szCs w:val="20"/>
              </w:rPr>
              <w:t>.</w:t>
            </w:r>
          </w:p>
          <w:p w14:paraId="201D7440" w14:textId="77777777" w:rsidR="000C08CA" w:rsidRPr="00142810" w:rsidRDefault="000C08CA" w:rsidP="00FE328D">
            <w:pPr>
              <w:ind w:left="322"/>
              <w:jc w:val="both"/>
              <w:rPr>
                <w:szCs w:val="20"/>
              </w:rPr>
            </w:pPr>
          </w:p>
          <w:p w14:paraId="2501752C" w14:textId="77777777" w:rsidR="000C08CA" w:rsidRDefault="000C08CA" w:rsidP="00FE328D">
            <w:pPr>
              <w:ind w:left="322"/>
              <w:jc w:val="both"/>
              <w:rPr>
                <w:szCs w:val="20"/>
              </w:rPr>
            </w:pPr>
            <w:r w:rsidRPr="00897068">
              <w:rPr>
                <w:b/>
                <w:bCs/>
                <w:szCs w:val="20"/>
              </w:rPr>
              <w:t>Ministrstvo za gospodarstvo, turizem in šport</w:t>
            </w:r>
            <w:r>
              <w:rPr>
                <w:b/>
                <w:bCs/>
                <w:szCs w:val="20"/>
              </w:rPr>
              <w:t xml:space="preserve"> </w:t>
            </w:r>
            <w:r>
              <w:rPr>
                <w:szCs w:val="20"/>
              </w:rPr>
              <w:t>pojasnjuje</w:t>
            </w:r>
            <w:r>
              <w:t xml:space="preserve">, da se izraz čisti prihodki uporablja v </w:t>
            </w:r>
            <w:r w:rsidRPr="00605612">
              <w:rPr>
                <w:rFonts w:cs="Arial"/>
                <w:color w:val="000000" w:themeColor="text1"/>
                <w:szCs w:val="20"/>
              </w:rPr>
              <w:t>Direktiv</w:t>
            </w:r>
            <w:r>
              <w:rPr>
                <w:rFonts w:cs="Arial"/>
                <w:color w:val="000000" w:themeColor="text1"/>
                <w:szCs w:val="20"/>
              </w:rPr>
              <w:t>i</w:t>
            </w:r>
            <w:r w:rsidRPr="00605612">
              <w:rPr>
                <w:rFonts w:cs="Arial"/>
                <w:color w:val="000000" w:themeColor="text1"/>
                <w:szCs w:val="20"/>
              </w:rPr>
              <w:t xml:space="preserve"> 2013/34/EU</w:t>
            </w:r>
            <w:r>
              <w:rPr>
                <w:rFonts w:cs="Arial"/>
                <w:color w:val="000000" w:themeColor="text1"/>
                <w:szCs w:val="20"/>
              </w:rPr>
              <w:t>, v ZGD-1 pa se uporablja izraz čisti prihodki od prodaje. Ta izraz ni opredeljen</w:t>
            </w:r>
            <w:r w:rsidRPr="00CF02D3">
              <w:rPr>
                <w:szCs w:val="20"/>
              </w:rPr>
              <w:t xml:space="preserve"> v ZGD-1 in zato tudi ta del </w:t>
            </w:r>
            <w:r w:rsidRPr="00795A1F">
              <w:rPr>
                <w:szCs w:val="20"/>
              </w:rPr>
              <w:t>Direktive 2022/2464/EU</w:t>
            </w:r>
            <w:r w:rsidRPr="00CF02D3">
              <w:rPr>
                <w:szCs w:val="20"/>
              </w:rPr>
              <w:t xml:space="preserve"> ni prenesen, kar je pojasnjeno </w:t>
            </w:r>
            <w:r>
              <w:rPr>
                <w:szCs w:val="20"/>
              </w:rPr>
              <w:t>tudi</w:t>
            </w:r>
            <w:r w:rsidRPr="00CF02D3">
              <w:rPr>
                <w:szCs w:val="20"/>
              </w:rPr>
              <w:t xml:space="preserve"> v komentarjih </w:t>
            </w:r>
            <w:r>
              <w:rPr>
                <w:szCs w:val="20"/>
              </w:rPr>
              <w:t>tega zakona.</w:t>
            </w:r>
            <w:r w:rsidRPr="00CF02D3">
              <w:rPr>
                <w:szCs w:val="20"/>
              </w:rPr>
              <w:t xml:space="preserve"> </w:t>
            </w:r>
            <w:r>
              <w:rPr>
                <w:szCs w:val="20"/>
              </w:rPr>
              <w:t>O</w:t>
            </w:r>
            <w:r w:rsidRPr="00CF02D3">
              <w:rPr>
                <w:szCs w:val="20"/>
              </w:rPr>
              <w:t>predelitev izraza čisti prihodk</w:t>
            </w:r>
            <w:r>
              <w:rPr>
                <w:szCs w:val="20"/>
              </w:rPr>
              <w:t>i</w:t>
            </w:r>
            <w:r w:rsidRPr="00CF02D3">
              <w:rPr>
                <w:szCs w:val="20"/>
              </w:rPr>
              <w:t xml:space="preserve"> </w:t>
            </w:r>
            <w:r>
              <w:rPr>
                <w:szCs w:val="20"/>
              </w:rPr>
              <w:t>od prodaje</w:t>
            </w:r>
            <w:r w:rsidRPr="00CF02D3">
              <w:rPr>
                <w:szCs w:val="20"/>
              </w:rPr>
              <w:t xml:space="preserve"> v ZGD-1 za </w:t>
            </w:r>
            <w:r>
              <w:rPr>
                <w:szCs w:val="20"/>
              </w:rPr>
              <w:t>nekatere</w:t>
            </w:r>
            <w:r w:rsidRPr="00CF02D3">
              <w:rPr>
                <w:szCs w:val="20"/>
              </w:rPr>
              <w:t xml:space="preserve"> primere</w:t>
            </w:r>
            <w:r>
              <w:rPr>
                <w:szCs w:val="20"/>
              </w:rPr>
              <w:t>,</w:t>
            </w:r>
            <w:r w:rsidRPr="00CF02D3">
              <w:rPr>
                <w:szCs w:val="20"/>
              </w:rPr>
              <w:t xml:space="preserve"> kot so kreditne institucije, zavarovalnice in družbe, zavezane </w:t>
            </w:r>
            <w:r>
              <w:rPr>
                <w:szCs w:val="20"/>
              </w:rPr>
              <w:t xml:space="preserve">v </w:t>
            </w:r>
            <w:r w:rsidRPr="00CF02D3">
              <w:rPr>
                <w:szCs w:val="20"/>
              </w:rPr>
              <w:t>sklad</w:t>
            </w:r>
            <w:r>
              <w:rPr>
                <w:szCs w:val="20"/>
              </w:rPr>
              <w:t>u</w:t>
            </w:r>
            <w:r w:rsidRPr="00CF02D3">
              <w:rPr>
                <w:szCs w:val="20"/>
              </w:rPr>
              <w:t xml:space="preserve"> </w:t>
            </w:r>
            <w:r>
              <w:rPr>
                <w:szCs w:val="20"/>
              </w:rPr>
              <w:t>s</w:t>
            </w:r>
            <w:r w:rsidRPr="00CF02D3">
              <w:rPr>
                <w:szCs w:val="20"/>
              </w:rPr>
              <w:t xml:space="preserve"> 70.d členom, </w:t>
            </w:r>
            <w:r>
              <w:rPr>
                <w:szCs w:val="20"/>
              </w:rPr>
              <w:t xml:space="preserve">tako </w:t>
            </w:r>
            <w:r w:rsidRPr="00CF02D3">
              <w:rPr>
                <w:szCs w:val="20"/>
              </w:rPr>
              <w:t xml:space="preserve">ni primerna, da se umesti v ZGD-1, </w:t>
            </w:r>
            <w:r>
              <w:rPr>
                <w:szCs w:val="20"/>
              </w:rPr>
              <w:t xml:space="preserve">ampak je primerneje, da je v sektorski zakonodaji. Glede opredelitve izraza </w:t>
            </w:r>
            <w:r w:rsidRPr="00EF0CFC">
              <w:rPr>
                <w:szCs w:val="20"/>
              </w:rPr>
              <w:t>ključna neopredmetena sredstva</w:t>
            </w:r>
            <w:r>
              <w:rPr>
                <w:szCs w:val="20"/>
              </w:rPr>
              <w:t xml:space="preserve"> pa ugotavlja, da gre v angleščini za dva izraza, vendar se v slovenščini uporablja en izraz. Glede na to, da Banka Slovenije drugega izraza ni predlagala, </w:t>
            </w:r>
            <w:r w:rsidRPr="00CE1BCE">
              <w:rPr>
                <w:szCs w:val="20"/>
              </w:rPr>
              <w:t>izraz pa je bil usklajen z revizijsko stroko</w:t>
            </w:r>
            <w:r>
              <w:rPr>
                <w:szCs w:val="20"/>
              </w:rPr>
              <w:t>,</w:t>
            </w:r>
            <w:r w:rsidRPr="00CE1BCE">
              <w:rPr>
                <w:szCs w:val="20"/>
              </w:rPr>
              <w:t xml:space="preserve"> </w:t>
            </w:r>
            <w:r>
              <w:rPr>
                <w:szCs w:val="20"/>
              </w:rPr>
              <w:t xml:space="preserve">ostane zapis, ki izhaja iz </w:t>
            </w:r>
            <w:r w:rsidRPr="00747061">
              <w:rPr>
                <w:szCs w:val="20"/>
              </w:rPr>
              <w:t>Direktive 2022/2464/EU</w:t>
            </w:r>
            <w:r>
              <w:rPr>
                <w:szCs w:val="20"/>
              </w:rPr>
              <w:t>.</w:t>
            </w:r>
          </w:p>
          <w:p w14:paraId="43F8DC1F" w14:textId="77777777" w:rsidR="000C08CA" w:rsidRDefault="000C08CA" w:rsidP="00FE328D">
            <w:pPr>
              <w:ind w:left="322"/>
              <w:jc w:val="both"/>
              <w:rPr>
                <w:szCs w:val="20"/>
              </w:rPr>
            </w:pPr>
          </w:p>
          <w:p w14:paraId="3D216183" w14:textId="77777777" w:rsidR="000C08CA" w:rsidRDefault="000C08CA" w:rsidP="00FE328D">
            <w:pPr>
              <w:ind w:left="322"/>
              <w:jc w:val="both"/>
              <w:rPr>
                <w:szCs w:val="20"/>
              </w:rPr>
            </w:pPr>
            <w:r w:rsidRPr="00237705">
              <w:rPr>
                <w:b/>
                <w:bCs/>
                <w:szCs w:val="20"/>
              </w:rPr>
              <w:t>Agencija za javni nadzor nad revidiranjem</w:t>
            </w:r>
            <w:r w:rsidRPr="001202E1">
              <w:rPr>
                <w:szCs w:val="20"/>
              </w:rPr>
              <w:t xml:space="preserve"> je predlagala </w:t>
            </w:r>
            <w:r w:rsidRPr="0010046F">
              <w:rPr>
                <w:rFonts w:cs="Arial"/>
                <w:bCs/>
                <w:szCs w:val="20"/>
              </w:rPr>
              <w:t>prenos vsebine osmega odstavka 55. člena ZGD-1 v 60. člen ZGD-1</w:t>
            </w:r>
            <w:r>
              <w:rPr>
                <w:rFonts w:cs="Arial"/>
                <w:bCs/>
                <w:szCs w:val="20"/>
              </w:rPr>
              <w:t xml:space="preserve"> ter</w:t>
            </w:r>
            <w:r w:rsidRPr="000742AA">
              <w:rPr>
                <w:rFonts w:cs="Arial"/>
                <w:bCs/>
                <w:szCs w:val="20"/>
              </w:rPr>
              <w:t xml:space="preserve"> </w:t>
            </w:r>
            <w:r>
              <w:rPr>
                <w:rFonts w:cs="Arial"/>
                <w:bCs/>
                <w:szCs w:val="20"/>
              </w:rPr>
              <w:t>črtanje</w:t>
            </w:r>
            <w:r w:rsidRPr="000742AA">
              <w:rPr>
                <w:rFonts w:cs="Arial"/>
                <w:bCs/>
                <w:szCs w:val="20"/>
              </w:rPr>
              <w:t xml:space="preserve"> osm</w:t>
            </w:r>
            <w:r>
              <w:rPr>
                <w:rFonts w:cs="Arial"/>
                <w:bCs/>
                <w:szCs w:val="20"/>
              </w:rPr>
              <w:t>ega</w:t>
            </w:r>
            <w:r w:rsidRPr="000742AA">
              <w:rPr>
                <w:rFonts w:cs="Arial"/>
                <w:bCs/>
                <w:szCs w:val="20"/>
              </w:rPr>
              <w:t xml:space="preserve"> odstav</w:t>
            </w:r>
            <w:r>
              <w:rPr>
                <w:rFonts w:cs="Arial"/>
                <w:bCs/>
                <w:szCs w:val="20"/>
              </w:rPr>
              <w:t>ka</w:t>
            </w:r>
            <w:r w:rsidRPr="000742AA">
              <w:rPr>
                <w:rFonts w:cs="Arial"/>
                <w:bCs/>
                <w:szCs w:val="20"/>
              </w:rPr>
              <w:t xml:space="preserve"> 55. člena ZGD-1</w:t>
            </w:r>
            <w:r>
              <w:rPr>
                <w:rFonts w:cs="Arial"/>
                <w:bCs/>
                <w:szCs w:val="20"/>
              </w:rPr>
              <w:t>, saj trenutna ureditev prinaša nejasnosti glede določanja velikosti družb.</w:t>
            </w:r>
          </w:p>
          <w:p w14:paraId="44A6A6AC" w14:textId="77777777" w:rsidR="000C08CA" w:rsidRDefault="000C08CA" w:rsidP="00FE328D">
            <w:pPr>
              <w:ind w:left="322"/>
              <w:jc w:val="both"/>
              <w:rPr>
                <w:szCs w:val="20"/>
              </w:rPr>
            </w:pPr>
          </w:p>
          <w:p w14:paraId="4854E448" w14:textId="77777777" w:rsidR="000C08CA" w:rsidRDefault="000C08CA" w:rsidP="00FE328D">
            <w:pPr>
              <w:ind w:left="322"/>
              <w:jc w:val="both"/>
              <w:rPr>
                <w:szCs w:val="20"/>
              </w:rPr>
            </w:pPr>
            <w:r w:rsidRPr="0010046F">
              <w:rPr>
                <w:b/>
                <w:szCs w:val="20"/>
              </w:rPr>
              <w:t>Ministrstvo za gospodarstvo, turizem in šport</w:t>
            </w:r>
            <w:r>
              <w:rPr>
                <w:szCs w:val="20"/>
              </w:rPr>
              <w:t xml:space="preserve"> pojasnjuje, da zaradi doslednosti členov ni spreminjalo, je pa spremenilo vsebino osmega odstavka 55. člena ZGD-1, kar je pojasnjeno v obrazložitvi k temu zakonu.</w:t>
            </w:r>
          </w:p>
          <w:p w14:paraId="7BC68927" w14:textId="77777777" w:rsidR="000C08CA" w:rsidRDefault="000C08CA" w:rsidP="00FE328D">
            <w:pPr>
              <w:ind w:left="322"/>
              <w:jc w:val="both"/>
              <w:rPr>
                <w:szCs w:val="20"/>
              </w:rPr>
            </w:pPr>
          </w:p>
          <w:p w14:paraId="0A8885B2" w14:textId="77777777" w:rsidR="000C08CA" w:rsidRDefault="000C08CA" w:rsidP="00FE328D">
            <w:pPr>
              <w:ind w:left="322"/>
              <w:jc w:val="both"/>
              <w:rPr>
                <w:szCs w:val="20"/>
              </w:rPr>
            </w:pPr>
            <w:r w:rsidRPr="00237705">
              <w:rPr>
                <w:b/>
                <w:bCs/>
                <w:szCs w:val="20"/>
              </w:rPr>
              <w:t xml:space="preserve">Združenje notranjih revizorjev </w:t>
            </w:r>
            <w:r>
              <w:rPr>
                <w:szCs w:val="20"/>
              </w:rPr>
              <w:t xml:space="preserve">predlaga, da se </w:t>
            </w:r>
            <w:r w:rsidRPr="00551E45">
              <w:rPr>
                <w:szCs w:val="20"/>
              </w:rPr>
              <w:t xml:space="preserve">poleg pooblaščenih revizorjev v pregledovanje poročila o </w:t>
            </w:r>
            <w:r>
              <w:rPr>
                <w:szCs w:val="20"/>
              </w:rPr>
              <w:t>trajnostnosti</w:t>
            </w:r>
            <w:r w:rsidRPr="00551E45">
              <w:rPr>
                <w:szCs w:val="20"/>
              </w:rPr>
              <w:t xml:space="preserve"> vključi tudi druge primerljive strokovnjak</w:t>
            </w:r>
            <w:r>
              <w:rPr>
                <w:szCs w:val="20"/>
              </w:rPr>
              <w:t>e</w:t>
            </w:r>
            <w:r w:rsidRPr="00385A59">
              <w:rPr>
                <w:szCs w:val="20"/>
              </w:rPr>
              <w:t xml:space="preserve">, ki imajo ustrezno metodologijo dela in uveljavljene strokovne standarde in certifikate ter se usposabljajo tudi </w:t>
            </w:r>
            <w:r>
              <w:rPr>
                <w:szCs w:val="20"/>
              </w:rPr>
              <w:t>s</w:t>
            </w:r>
            <w:r w:rsidRPr="00385A59">
              <w:rPr>
                <w:szCs w:val="20"/>
              </w:rPr>
              <w:t xml:space="preserve"> področja </w:t>
            </w:r>
            <w:r>
              <w:rPr>
                <w:szCs w:val="20"/>
              </w:rPr>
              <w:t>trajnostnosti</w:t>
            </w:r>
            <w:r w:rsidRPr="00385A59">
              <w:rPr>
                <w:szCs w:val="20"/>
              </w:rPr>
              <w:t>, da se zagotovi večja konkurenca ponudnikov na trgu</w:t>
            </w:r>
            <w:r>
              <w:rPr>
                <w:szCs w:val="20"/>
              </w:rPr>
              <w:t xml:space="preserve">. </w:t>
            </w:r>
          </w:p>
          <w:p w14:paraId="327DC020" w14:textId="77777777" w:rsidR="000C08CA" w:rsidRDefault="000C08CA" w:rsidP="00FE328D">
            <w:pPr>
              <w:ind w:left="322"/>
              <w:jc w:val="both"/>
              <w:rPr>
                <w:szCs w:val="20"/>
              </w:rPr>
            </w:pPr>
          </w:p>
          <w:p w14:paraId="1D4069E3" w14:textId="77777777" w:rsidR="000C08CA" w:rsidRDefault="000C08CA" w:rsidP="00FE328D">
            <w:pPr>
              <w:ind w:left="322"/>
              <w:jc w:val="both"/>
              <w:rPr>
                <w:szCs w:val="20"/>
              </w:rPr>
            </w:pPr>
            <w:r w:rsidRPr="004E0D4D">
              <w:rPr>
                <w:b/>
                <w:bCs/>
                <w:szCs w:val="20"/>
              </w:rPr>
              <w:t>Bureau Veritas</w:t>
            </w:r>
            <w:r>
              <w:rPr>
                <w:szCs w:val="20"/>
              </w:rPr>
              <w:t xml:space="preserve"> predlaga, da se</w:t>
            </w:r>
            <w:r>
              <w:t xml:space="preserve"> </w:t>
            </w:r>
            <w:r w:rsidRPr="0021204B">
              <w:rPr>
                <w:szCs w:val="20"/>
              </w:rPr>
              <w:t xml:space="preserve">poleg pooblaščenih revizorjev v pregledovanje poročila o </w:t>
            </w:r>
            <w:r>
              <w:rPr>
                <w:szCs w:val="20"/>
              </w:rPr>
              <w:t>trajnostnosti</w:t>
            </w:r>
            <w:r w:rsidRPr="0021204B">
              <w:rPr>
                <w:szCs w:val="20"/>
              </w:rPr>
              <w:t xml:space="preserve"> </w:t>
            </w:r>
            <w:r>
              <w:rPr>
                <w:szCs w:val="20"/>
              </w:rPr>
              <w:t xml:space="preserve">vključi </w:t>
            </w:r>
            <w:r w:rsidRPr="0021204B">
              <w:rPr>
                <w:szCs w:val="20"/>
              </w:rPr>
              <w:t xml:space="preserve">tudi </w:t>
            </w:r>
            <w:r w:rsidRPr="00515A74">
              <w:rPr>
                <w:szCs w:val="20"/>
              </w:rPr>
              <w:t>neodvisni ponudnik storitev dajanja zagotovil</w:t>
            </w:r>
            <w:r>
              <w:rPr>
                <w:szCs w:val="20"/>
              </w:rPr>
              <w:t>. D</w:t>
            </w:r>
            <w:r w:rsidRPr="00385A59">
              <w:rPr>
                <w:szCs w:val="20"/>
              </w:rPr>
              <w:t xml:space="preserve">ajanje zagotovil za poročila o </w:t>
            </w:r>
            <w:r>
              <w:rPr>
                <w:szCs w:val="20"/>
              </w:rPr>
              <w:t>trajnostnosti</w:t>
            </w:r>
            <w:r w:rsidRPr="00385A59">
              <w:rPr>
                <w:szCs w:val="20"/>
              </w:rPr>
              <w:t xml:space="preserve"> se </w:t>
            </w:r>
            <w:r>
              <w:rPr>
                <w:szCs w:val="20"/>
              </w:rPr>
              <w:t>namreč pomembno</w:t>
            </w:r>
            <w:r w:rsidRPr="00385A59">
              <w:rPr>
                <w:szCs w:val="20"/>
              </w:rPr>
              <w:t xml:space="preserve"> razlikuje od revizije poslovnih </w:t>
            </w:r>
            <w:r>
              <w:rPr>
                <w:szCs w:val="20"/>
              </w:rPr>
              <w:t>ali</w:t>
            </w:r>
            <w:r w:rsidRPr="00385A59">
              <w:rPr>
                <w:szCs w:val="20"/>
              </w:rPr>
              <w:t xml:space="preserve"> finančnih poročil (različna stroka, različna presoja, različna vsebina, različni uporabniki poročil)</w:t>
            </w:r>
            <w:r>
              <w:rPr>
                <w:szCs w:val="20"/>
              </w:rPr>
              <w:t>. R</w:t>
            </w:r>
            <w:r w:rsidRPr="00385A59">
              <w:rPr>
                <w:szCs w:val="20"/>
              </w:rPr>
              <w:t xml:space="preserve">evizorji nimajo znanj za dajanje zagotovil za poročanje o </w:t>
            </w:r>
            <w:r>
              <w:rPr>
                <w:szCs w:val="20"/>
              </w:rPr>
              <w:t>trajnostnosti</w:t>
            </w:r>
            <w:r w:rsidRPr="00385A59">
              <w:rPr>
                <w:szCs w:val="20"/>
              </w:rPr>
              <w:t xml:space="preserve">, nekatere druge organizacije </w:t>
            </w:r>
            <w:r>
              <w:rPr>
                <w:szCs w:val="20"/>
              </w:rPr>
              <w:t xml:space="preserve">pa se </w:t>
            </w:r>
            <w:r w:rsidRPr="00385A59">
              <w:rPr>
                <w:szCs w:val="20"/>
              </w:rPr>
              <w:t xml:space="preserve">že dlje čase ukvarjajo s presojo vidikov </w:t>
            </w:r>
            <w:r>
              <w:rPr>
                <w:szCs w:val="20"/>
              </w:rPr>
              <w:t xml:space="preserve">trajnostnosti. </w:t>
            </w:r>
          </w:p>
          <w:p w14:paraId="4B2AF046" w14:textId="77777777" w:rsidR="000C08CA" w:rsidRDefault="000C08CA" w:rsidP="00FE328D">
            <w:pPr>
              <w:ind w:left="322"/>
              <w:jc w:val="both"/>
              <w:rPr>
                <w:b/>
                <w:szCs w:val="20"/>
              </w:rPr>
            </w:pPr>
          </w:p>
          <w:p w14:paraId="495079DB" w14:textId="77777777" w:rsidR="000C08CA" w:rsidRDefault="000C08CA" w:rsidP="00FE328D">
            <w:pPr>
              <w:ind w:left="322"/>
              <w:jc w:val="both"/>
              <w:rPr>
                <w:rFonts w:cs="Arial"/>
                <w:szCs w:val="20"/>
              </w:rPr>
            </w:pPr>
            <w:r w:rsidRPr="0010046F">
              <w:rPr>
                <w:b/>
                <w:bCs/>
                <w:szCs w:val="20"/>
              </w:rPr>
              <w:t>G</w:t>
            </w:r>
            <w:r>
              <w:rPr>
                <w:b/>
                <w:bCs/>
                <w:szCs w:val="20"/>
              </w:rPr>
              <w:t xml:space="preserve">ospodarska zbornica </w:t>
            </w:r>
            <w:r w:rsidRPr="0010046F">
              <w:rPr>
                <w:b/>
                <w:bCs/>
                <w:szCs w:val="20"/>
              </w:rPr>
              <w:t>S</w:t>
            </w:r>
            <w:r>
              <w:rPr>
                <w:b/>
                <w:bCs/>
                <w:szCs w:val="20"/>
              </w:rPr>
              <w:t>lovenije</w:t>
            </w:r>
            <w:r>
              <w:rPr>
                <w:szCs w:val="20"/>
              </w:rPr>
              <w:t xml:space="preserve"> predlaga, da se </w:t>
            </w:r>
            <w:r w:rsidRPr="00D76FB3">
              <w:rPr>
                <w:szCs w:val="20"/>
              </w:rPr>
              <w:t xml:space="preserve">poleg pooblaščenih revizorjev v pregledovanje poročila o </w:t>
            </w:r>
            <w:r>
              <w:rPr>
                <w:szCs w:val="20"/>
              </w:rPr>
              <w:t>trajnostnosti vključi</w:t>
            </w:r>
            <w:r w:rsidRPr="00D76FB3">
              <w:rPr>
                <w:szCs w:val="20"/>
              </w:rPr>
              <w:t xml:space="preserve"> tudi neodvisni ponudnik storitev dajanja zagotovil</w:t>
            </w:r>
            <w:r w:rsidRPr="00987365">
              <w:rPr>
                <w:szCs w:val="20"/>
              </w:rPr>
              <w:t xml:space="preserve">, saj </w:t>
            </w:r>
            <w:r w:rsidRPr="00987365">
              <w:rPr>
                <w:rFonts w:cs="Arial"/>
                <w:szCs w:val="20"/>
              </w:rPr>
              <w:t xml:space="preserve">slovenski revizorski trg z vidika potrebnih kompetenc in </w:t>
            </w:r>
            <w:r>
              <w:rPr>
                <w:rFonts w:cs="Arial"/>
                <w:szCs w:val="20"/>
              </w:rPr>
              <w:t>virov</w:t>
            </w:r>
            <w:r w:rsidRPr="00987365">
              <w:rPr>
                <w:rFonts w:cs="Arial"/>
                <w:szCs w:val="20"/>
              </w:rPr>
              <w:t xml:space="preserve"> srednjeročno ne bo zmožen zagotoviti ustrezne konkurence na področju dajanja mnenj o poročilih o </w:t>
            </w:r>
            <w:r>
              <w:rPr>
                <w:rFonts w:cs="Arial"/>
                <w:szCs w:val="20"/>
              </w:rPr>
              <w:t>trajnostnosti.</w:t>
            </w:r>
          </w:p>
          <w:p w14:paraId="2F5FAAE4" w14:textId="77777777" w:rsidR="000C08CA" w:rsidRDefault="000C08CA" w:rsidP="00FE328D">
            <w:pPr>
              <w:ind w:left="322"/>
              <w:jc w:val="both"/>
              <w:rPr>
                <w:szCs w:val="20"/>
              </w:rPr>
            </w:pPr>
          </w:p>
          <w:p w14:paraId="042BA8A0" w14:textId="77777777" w:rsidR="000C08CA" w:rsidRPr="00987365" w:rsidRDefault="000C08CA" w:rsidP="00FE328D">
            <w:pPr>
              <w:ind w:left="322"/>
              <w:jc w:val="both"/>
              <w:rPr>
                <w:szCs w:val="20"/>
              </w:rPr>
            </w:pPr>
            <w:r w:rsidRPr="0010046F">
              <w:rPr>
                <w:b/>
                <w:bCs/>
                <w:szCs w:val="20"/>
              </w:rPr>
              <w:t>B</w:t>
            </w:r>
            <w:r>
              <w:rPr>
                <w:b/>
                <w:bCs/>
                <w:szCs w:val="20"/>
              </w:rPr>
              <w:t xml:space="preserve">anka </w:t>
            </w:r>
            <w:r w:rsidRPr="0010046F">
              <w:rPr>
                <w:b/>
                <w:bCs/>
                <w:szCs w:val="20"/>
              </w:rPr>
              <w:t>S</w:t>
            </w:r>
            <w:r>
              <w:rPr>
                <w:b/>
                <w:bCs/>
                <w:szCs w:val="20"/>
              </w:rPr>
              <w:t>lovenije</w:t>
            </w:r>
            <w:r w:rsidRPr="0010046F">
              <w:rPr>
                <w:b/>
                <w:bCs/>
                <w:szCs w:val="20"/>
              </w:rPr>
              <w:t xml:space="preserve"> </w:t>
            </w:r>
            <w:r>
              <w:rPr>
                <w:szCs w:val="20"/>
              </w:rPr>
              <w:t xml:space="preserve">sprašuje, </w:t>
            </w:r>
            <w:r w:rsidRPr="007C7BF5">
              <w:rPr>
                <w:szCs w:val="20"/>
              </w:rPr>
              <w:t>ali je odločitev</w:t>
            </w:r>
            <w:r>
              <w:rPr>
                <w:szCs w:val="20"/>
              </w:rPr>
              <w:t xml:space="preserve"> glede neuvedbe </w:t>
            </w:r>
            <w:r w:rsidRPr="007C7BF5">
              <w:rPr>
                <w:szCs w:val="20"/>
              </w:rPr>
              <w:t>neodvisni</w:t>
            </w:r>
            <w:r>
              <w:rPr>
                <w:szCs w:val="20"/>
              </w:rPr>
              <w:t>h</w:t>
            </w:r>
            <w:r w:rsidRPr="007C7BF5">
              <w:rPr>
                <w:szCs w:val="20"/>
              </w:rPr>
              <w:t xml:space="preserve"> ponudnik</w:t>
            </w:r>
            <w:r>
              <w:rPr>
                <w:szCs w:val="20"/>
              </w:rPr>
              <w:t>ov</w:t>
            </w:r>
            <w:r w:rsidRPr="007C7BF5">
              <w:rPr>
                <w:szCs w:val="20"/>
              </w:rPr>
              <w:t xml:space="preserve"> storitev dajanja</w:t>
            </w:r>
            <w:r>
              <w:rPr>
                <w:szCs w:val="20"/>
              </w:rPr>
              <w:t xml:space="preserve"> </w:t>
            </w:r>
            <w:r w:rsidRPr="007C7BF5">
              <w:rPr>
                <w:szCs w:val="20"/>
              </w:rPr>
              <w:t xml:space="preserve">za čezmejno delujoče družbe ustrezna. </w:t>
            </w:r>
            <w:r>
              <w:rPr>
                <w:szCs w:val="20"/>
              </w:rPr>
              <w:t>P</w:t>
            </w:r>
            <w:r w:rsidRPr="007C7BF5">
              <w:rPr>
                <w:szCs w:val="20"/>
              </w:rPr>
              <w:t>odružnice ali podrejene</w:t>
            </w:r>
            <w:r>
              <w:rPr>
                <w:szCs w:val="20"/>
              </w:rPr>
              <w:t xml:space="preserve"> </w:t>
            </w:r>
            <w:r w:rsidRPr="007C7BF5">
              <w:rPr>
                <w:szCs w:val="20"/>
              </w:rPr>
              <w:t xml:space="preserve">banke </w:t>
            </w:r>
            <w:r>
              <w:rPr>
                <w:szCs w:val="20"/>
              </w:rPr>
              <w:t>bi namreč</w:t>
            </w:r>
            <w:r w:rsidRPr="007C7BF5">
              <w:rPr>
                <w:szCs w:val="20"/>
              </w:rPr>
              <w:t xml:space="preserve"> lahko samo razkrile poročilo svoje nadrejene družbe,</w:t>
            </w:r>
            <w:r>
              <w:rPr>
                <w:szCs w:val="20"/>
              </w:rPr>
              <w:t xml:space="preserve"> </w:t>
            </w:r>
            <w:r w:rsidRPr="007C7BF5">
              <w:rPr>
                <w:szCs w:val="20"/>
              </w:rPr>
              <w:t>ki bo povsem skladno z računovodsko direktivo (tj. pregleda</w:t>
            </w:r>
            <w:r>
              <w:rPr>
                <w:szCs w:val="20"/>
              </w:rPr>
              <w:t xml:space="preserve"> ga</w:t>
            </w:r>
            <w:r w:rsidRPr="007C7BF5">
              <w:rPr>
                <w:szCs w:val="20"/>
              </w:rPr>
              <w:t xml:space="preserve"> neodvisn</w:t>
            </w:r>
            <w:r>
              <w:rPr>
                <w:szCs w:val="20"/>
              </w:rPr>
              <w:t>i</w:t>
            </w:r>
            <w:r w:rsidRPr="007C7BF5">
              <w:rPr>
                <w:szCs w:val="20"/>
              </w:rPr>
              <w:t xml:space="preserve"> ponudnik storitev dajanja zagotovil).</w:t>
            </w:r>
          </w:p>
          <w:p w14:paraId="19F0B3A8" w14:textId="77777777" w:rsidR="000C08CA" w:rsidRPr="00385A59" w:rsidRDefault="000C08CA" w:rsidP="00FE328D">
            <w:pPr>
              <w:jc w:val="both"/>
              <w:rPr>
                <w:szCs w:val="20"/>
              </w:rPr>
            </w:pPr>
          </w:p>
          <w:p w14:paraId="6AD3A7D4" w14:textId="7D935966" w:rsidR="000C08CA" w:rsidRDefault="000C08CA" w:rsidP="00222BEF">
            <w:pPr>
              <w:ind w:left="322"/>
              <w:jc w:val="both"/>
              <w:rPr>
                <w:szCs w:val="20"/>
              </w:rPr>
            </w:pPr>
            <w:r w:rsidRPr="0010046F">
              <w:rPr>
                <w:b/>
                <w:bCs/>
                <w:szCs w:val="20"/>
              </w:rPr>
              <w:t xml:space="preserve">Ministrstvo za gospodarstvo, turizem in šport </w:t>
            </w:r>
            <w:r w:rsidRPr="008E3421">
              <w:rPr>
                <w:szCs w:val="20"/>
              </w:rPr>
              <w:t>pojasnjuje</w:t>
            </w:r>
            <w:r>
              <w:rPr>
                <w:szCs w:val="20"/>
              </w:rPr>
              <w:t xml:space="preserve">, da </w:t>
            </w:r>
            <w:r w:rsidRPr="00D5253B">
              <w:rPr>
                <w:szCs w:val="20"/>
              </w:rPr>
              <w:t>Direktiv</w:t>
            </w:r>
            <w:r>
              <w:rPr>
                <w:szCs w:val="20"/>
              </w:rPr>
              <w:t>a</w:t>
            </w:r>
            <w:r w:rsidRPr="00D5253B">
              <w:rPr>
                <w:szCs w:val="20"/>
              </w:rPr>
              <w:t xml:space="preserve"> 2022/2464/EU</w:t>
            </w:r>
            <w:r>
              <w:rPr>
                <w:szCs w:val="20"/>
              </w:rPr>
              <w:t xml:space="preserve"> dopušča zgolj možnost, da poročilo o trajnostnosti pregleda bodisi revizijska družba bodisi neodvisni </w:t>
            </w:r>
            <w:r>
              <w:rPr>
                <w:szCs w:val="20"/>
              </w:rPr>
              <w:lastRenderedPageBreak/>
              <w:t>ponudnik storitev dajanja zagotovil.</w:t>
            </w:r>
            <w:r>
              <w:t xml:space="preserve"> Kot je pojasnjeno v obrazložitvi k temu zakonu, </w:t>
            </w:r>
            <w:r w:rsidRPr="005372B9">
              <w:rPr>
                <w:szCs w:val="20"/>
              </w:rPr>
              <w:t>trenutno z zakonodajnimi ukrepi ni mogoče izenačiti položaja neodvisnega ponudnika storitev dajanja zagotovil z zakonitimi revizorji</w:t>
            </w:r>
            <w:r>
              <w:rPr>
                <w:szCs w:val="20"/>
              </w:rPr>
              <w:t xml:space="preserve">, kar je pogoj za uvedbo neodvisnih ponudnikov storitev dajanja zagotovil. </w:t>
            </w:r>
            <w:r w:rsidRPr="005372B9">
              <w:rPr>
                <w:szCs w:val="20"/>
              </w:rPr>
              <w:t>Položaj bi namreč moral biti izenačen tako na regulatorni kot na nadzorni ravni, da bi se zagotovil primerljiv in ustrezen pregled poročil o trajnostnosti.</w:t>
            </w:r>
            <w:r>
              <w:rPr>
                <w:szCs w:val="20"/>
              </w:rPr>
              <w:t xml:space="preserve"> Ostaja možnost, da se poz</w:t>
            </w:r>
            <w:r w:rsidRPr="008728C3">
              <w:rPr>
                <w:szCs w:val="20"/>
              </w:rPr>
              <w:t xml:space="preserve">neje uvedejo tudi </w:t>
            </w:r>
            <w:r>
              <w:rPr>
                <w:szCs w:val="20"/>
              </w:rPr>
              <w:t>neodvisni ponudniki storitev dajanja zagotovil</w:t>
            </w:r>
            <w:r w:rsidRPr="008728C3">
              <w:rPr>
                <w:szCs w:val="20"/>
              </w:rPr>
              <w:t xml:space="preserve">, če bodo primernejše okoliščine (dovolj časa za vzpostavitev ustreznega sistema, </w:t>
            </w:r>
            <w:r>
              <w:rPr>
                <w:szCs w:val="20"/>
              </w:rPr>
              <w:t>pri čemer</w:t>
            </w:r>
            <w:r w:rsidRPr="008728C3">
              <w:rPr>
                <w:szCs w:val="20"/>
              </w:rPr>
              <w:t xml:space="preserve"> bodo pogoji za </w:t>
            </w:r>
            <w:r>
              <w:rPr>
                <w:szCs w:val="20"/>
              </w:rPr>
              <w:t>neodvisnega ponudnika storitev dajanja zagotovil</w:t>
            </w:r>
            <w:r w:rsidRPr="008728C3">
              <w:rPr>
                <w:szCs w:val="20"/>
              </w:rPr>
              <w:t xml:space="preserve"> primerljivi pogojem za revizorje</w:t>
            </w:r>
            <w:r>
              <w:rPr>
                <w:szCs w:val="20"/>
              </w:rPr>
              <w:t xml:space="preserve">, </w:t>
            </w:r>
            <w:r w:rsidRPr="008728C3">
              <w:rPr>
                <w:szCs w:val="20"/>
              </w:rPr>
              <w:t xml:space="preserve">izkušnje </w:t>
            </w:r>
            <w:r>
              <w:rPr>
                <w:szCs w:val="20"/>
              </w:rPr>
              <w:t>takšnega sistema v drugih državah</w:t>
            </w:r>
            <w:r w:rsidRPr="008728C3">
              <w:rPr>
                <w:szCs w:val="20"/>
              </w:rPr>
              <w:t>).</w:t>
            </w:r>
            <w:r>
              <w:rPr>
                <w:szCs w:val="20"/>
              </w:rPr>
              <w:t xml:space="preserve"> Glede komentarja Banke Slovenije pa se dodaja pojasnilo, da</w:t>
            </w:r>
            <w:r>
              <w:t xml:space="preserve"> bodo </w:t>
            </w:r>
            <w:r w:rsidRPr="007802C3">
              <w:rPr>
                <w:szCs w:val="20"/>
              </w:rPr>
              <w:t>čezmejno delujoče družbe</w:t>
            </w:r>
            <w:r>
              <w:rPr>
                <w:szCs w:val="20"/>
              </w:rPr>
              <w:t xml:space="preserve"> v tujini lahko uporabile storitve neodvisnega ponudnika storitev dajanja zagotovil, če bodo izpolnjeni pogoj za izvzem iz osmega odstavka 70.c člena ZGD-1.</w:t>
            </w:r>
          </w:p>
          <w:p w14:paraId="54DA6115"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p w14:paraId="58CB4037" w14:textId="77777777" w:rsidR="000C08CA" w:rsidRPr="00605612" w:rsidRDefault="000C08CA" w:rsidP="00FE328D">
            <w:pPr>
              <w:pStyle w:val="Odsek"/>
              <w:numPr>
                <w:ilvl w:val="0"/>
                <w:numId w:val="0"/>
              </w:numPr>
              <w:spacing w:before="0" w:after="0" w:line="260" w:lineRule="exact"/>
              <w:jc w:val="both"/>
              <w:rPr>
                <w:color w:val="000000" w:themeColor="text1"/>
                <w:sz w:val="20"/>
                <w:szCs w:val="20"/>
              </w:rPr>
            </w:pPr>
            <w:r w:rsidRPr="00605612">
              <w:rPr>
                <w:color w:val="000000" w:themeColor="text1"/>
                <w:sz w:val="20"/>
                <w:szCs w:val="20"/>
              </w:rPr>
              <w:t xml:space="preserve">8. Podatek o zunanjem strokovnjaku oziroma pravni osebi, ki je sodelovala pri pripravi predloga zakona, in znesku plačila za ta namen: </w:t>
            </w:r>
          </w:p>
          <w:p w14:paraId="086B52CE" w14:textId="77777777" w:rsidR="000C08CA" w:rsidRPr="00605612" w:rsidRDefault="000C08CA" w:rsidP="00FE328D">
            <w:pPr>
              <w:pStyle w:val="Odsek"/>
              <w:numPr>
                <w:ilvl w:val="0"/>
                <w:numId w:val="0"/>
              </w:numPr>
              <w:spacing w:before="0" w:after="0" w:line="260" w:lineRule="exact"/>
              <w:jc w:val="both"/>
              <w:rPr>
                <w:b w:val="0"/>
                <w:color w:val="000000" w:themeColor="text1"/>
                <w:sz w:val="20"/>
                <w:szCs w:val="20"/>
              </w:rPr>
            </w:pPr>
            <w:r w:rsidRPr="00605612">
              <w:rPr>
                <w:b w:val="0"/>
                <w:color w:val="000000"/>
                <w:sz w:val="20"/>
                <w:szCs w:val="20"/>
              </w:rPr>
              <w:t>Pri pripravi predloga zakona zunanji strokovnjaki oziroma pravne osebe niso sodelovale.</w:t>
            </w:r>
          </w:p>
          <w:p w14:paraId="18544DA1" w14:textId="77777777" w:rsidR="000C08CA" w:rsidRPr="00605612" w:rsidRDefault="000C08CA" w:rsidP="00FE328D">
            <w:pPr>
              <w:pStyle w:val="Odsek"/>
              <w:numPr>
                <w:ilvl w:val="0"/>
                <w:numId w:val="0"/>
              </w:numPr>
              <w:spacing w:before="0" w:after="0" w:line="260" w:lineRule="exact"/>
              <w:jc w:val="both"/>
              <w:rPr>
                <w:color w:val="000000" w:themeColor="text1"/>
                <w:sz w:val="20"/>
                <w:szCs w:val="20"/>
              </w:rPr>
            </w:pPr>
          </w:p>
          <w:p w14:paraId="7532D414" w14:textId="77777777" w:rsidR="000C08CA" w:rsidRPr="00605612" w:rsidRDefault="000C08CA" w:rsidP="00FE328D">
            <w:pPr>
              <w:pStyle w:val="Odsek"/>
              <w:numPr>
                <w:ilvl w:val="0"/>
                <w:numId w:val="0"/>
              </w:numPr>
              <w:spacing w:before="0" w:after="0" w:line="260" w:lineRule="exact"/>
              <w:jc w:val="both"/>
              <w:rPr>
                <w:color w:val="000000" w:themeColor="text1"/>
                <w:sz w:val="20"/>
                <w:szCs w:val="20"/>
              </w:rPr>
            </w:pPr>
            <w:r w:rsidRPr="00605612">
              <w:rPr>
                <w:color w:val="000000" w:themeColor="text1"/>
                <w:sz w:val="20"/>
                <w:szCs w:val="20"/>
              </w:rPr>
              <w:t>9. Navedba, kateri predstavniki predlagatelja bodo sodelovali pri delu državnega zbora in delovnih teles</w:t>
            </w:r>
          </w:p>
          <w:p w14:paraId="39FF051E" w14:textId="77777777" w:rsidR="000C08CA" w:rsidRPr="00605612" w:rsidRDefault="000C08CA" w:rsidP="00FE328D">
            <w:pPr>
              <w:pStyle w:val="ListParagraph"/>
              <w:numPr>
                <w:ilvl w:val="0"/>
                <w:numId w:val="12"/>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Matjaž Han, minister za gospodarstvo, turizem in šport,</w:t>
            </w:r>
          </w:p>
          <w:p w14:paraId="07742180" w14:textId="77777777" w:rsidR="000C08CA" w:rsidRPr="00605612" w:rsidRDefault="000C08CA" w:rsidP="00FE328D">
            <w:pPr>
              <w:pStyle w:val="ListParagraph"/>
              <w:numPr>
                <w:ilvl w:val="0"/>
                <w:numId w:val="12"/>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mag. Dejan Židan, državni sekretar,</w:t>
            </w:r>
          </w:p>
          <w:p w14:paraId="0D35D790" w14:textId="77777777" w:rsidR="000C08CA" w:rsidRPr="00605612" w:rsidRDefault="000C08CA" w:rsidP="00FE328D">
            <w:pPr>
              <w:pStyle w:val="ListParagraph"/>
              <w:numPr>
                <w:ilvl w:val="0"/>
                <w:numId w:val="12"/>
              </w:numPr>
              <w:pBdr>
                <w:top w:val="nil"/>
                <w:left w:val="nil"/>
                <w:bottom w:val="nil"/>
                <w:right w:val="nil"/>
                <w:between w:val="nil"/>
              </w:pBdr>
              <w:jc w:val="both"/>
              <w:rPr>
                <w:rFonts w:ascii="Arial" w:eastAsia="Arial" w:hAnsi="Arial" w:cs="Arial"/>
                <w:color w:val="000000" w:themeColor="text1"/>
                <w:sz w:val="20"/>
                <w:szCs w:val="20"/>
              </w:rPr>
            </w:pPr>
            <w:r w:rsidRPr="00605612">
              <w:rPr>
                <w:rFonts w:ascii="Arial" w:eastAsia="Arial" w:hAnsi="Arial" w:cs="Arial"/>
                <w:color w:val="000000" w:themeColor="text1"/>
                <w:sz w:val="20"/>
                <w:szCs w:val="20"/>
              </w:rPr>
              <w:t>mag. Karla Pinter, generalna direktorica Direktorata za notranji trg,</w:t>
            </w:r>
          </w:p>
          <w:p w14:paraId="659B5B4B" w14:textId="77777777" w:rsidR="000C08CA" w:rsidRPr="00605612" w:rsidRDefault="000C08CA" w:rsidP="00FE328D">
            <w:pPr>
              <w:pStyle w:val="ListParagraph"/>
              <w:numPr>
                <w:ilvl w:val="0"/>
                <w:numId w:val="12"/>
              </w:numPr>
              <w:pBdr>
                <w:top w:val="nil"/>
                <w:left w:val="nil"/>
                <w:bottom w:val="nil"/>
                <w:right w:val="nil"/>
                <w:between w:val="nil"/>
              </w:pBdr>
              <w:jc w:val="both"/>
              <w:rPr>
                <w:rFonts w:ascii="Arial" w:eastAsia="Arial" w:hAnsi="Arial" w:cs="Arial"/>
                <w:color w:val="000000" w:themeColor="text1"/>
                <w:sz w:val="20"/>
                <w:szCs w:val="20"/>
              </w:rPr>
            </w:pPr>
            <w:r>
              <w:rPr>
                <w:rFonts w:ascii="Arial" w:eastAsia="Arial" w:hAnsi="Arial" w:cs="Arial"/>
                <w:color w:val="000000" w:themeColor="text1"/>
                <w:sz w:val="20"/>
                <w:szCs w:val="20"/>
              </w:rPr>
              <w:t>Martina Gašperlin</w:t>
            </w:r>
            <w:r w:rsidRPr="00605612">
              <w:rPr>
                <w:rFonts w:ascii="Arial" w:eastAsia="Arial" w:hAnsi="Arial" w:cs="Arial"/>
                <w:color w:val="000000" w:themeColor="text1"/>
                <w:sz w:val="20"/>
                <w:szCs w:val="20"/>
              </w:rPr>
              <w:t>, sekretarka, vodja Sektorja za gospodarsko pravo, Direktorat za notranji trg</w:t>
            </w:r>
            <w:r>
              <w:rPr>
                <w:rFonts w:ascii="Arial" w:eastAsia="Arial" w:hAnsi="Arial" w:cs="Arial"/>
                <w:color w:val="000000" w:themeColor="text1"/>
                <w:sz w:val="20"/>
                <w:szCs w:val="20"/>
              </w:rPr>
              <w:t>.</w:t>
            </w:r>
          </w:p>
          <w:p w14:paraId="140A3DFE"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p w14:paraId="67F8E268"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p w14:paraId="5212A545"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p w14:paraId="305B1AB7" w14:textId="77777777" w:rsidR="000C08CA" w:rsidRPr="00605612" w:rsidRDefault="000C08CA" w:rsidP="00FE328D">
            <w:pPr>
              <w:pStyle w:val="Odsek"/>
              <w:numPr>
                <w:ilvl w:val="0"/>
                <w:numId w:val="0"/>
              </w:numPr>
              <w:spacing w:before="0" w:after="0" w:line="260" w:lineRule="exact"/>
              <w:jc w:val="left"/>
              <w:rPr>
                <w:color w:val="000000" w:themeColor="text1"/>
                <w:sz w:val="20"/>
                <w:szCs w:val="20"/>
              </w:rPr>
            </w:pPr>
          </w:p>
        </w:tc>
      </w:tr>
      <w:tr w:rsidR="000C08CA" w:rsidRPr="00605612" w14:paraId="100C11AB" w14:textId="77777777" w:rsidTr="4DB7FD0D">
        <w:tc>
          <w:tcPr>
            <w:tcW w:w="9072" w:type="dxa"/>
          </w:tcPr>
          <w:p w14:paraId="0F1ABE88" w14:textId="77777777" w:rsidR="000C08CA" w:rsidRPr="00605612" w:rsidRDefault="000C08CA" w:rsidP="00FE328D">
            <w:pPr>
              <w:pStyle w:val="Neotevilenodstavek"/>
              <w:spacing w:before="0" w:after="0" w:line="260" w:lineRule="exact"/>
              <w:rPr>
                <w:color w:val="000000" w:themeColor="text1"/>
                <w:sz w:val="20"/>
                <w:szCs w:val="20"/>
              </w:rPr>
            </w:pPr>
          </w:p>
        </w:tc>
      </w:tr>
    </w:tbl>
    <w:p w14:paraId="3A0E91AE" w14:textId="77777777" w:rsidR="00610947" w:rsidRPr="00605612" w:rsidRDefault="00610947" w:rsidP="00610947">
      <w:pPr>
        <w:pStyle w:val="Poglavje"/>
        <w:spacing w:before="0" w:after="0" w:line="276" w:lineRule="auto"/>
        <w:jc w:val="left"/>
        <w:rPr>
          <w:color w:val="000000" w:themeColor="text1"/>
          <w:sz w:val="20"/>
          <w:szCs w:val="20"/>
        </w:rPr>
        <w:sectPr w:rsidR="00610947" w:rsidRPr="00605612" w:rsidSect="005F456B">
          <w:headerReference w:type="default" r:id="rId29"/>
          <w:footerReference w:type="default" r:id="rId30"/>
          <w:headerReference w:type="first" r:id="rId31"/>
          <w:footerReference w:type="first" r:id="rId32"/>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0C08CA" w:rsidRPr="00605612" w14:paraId="1900BC1B" w14:textId="77777777" w:rsidTr="4DB7FD0D">
        <w:tc>
          <w:tcPr>
            <w:tcW w:w="9072" w:type="dxa"/>
          </w:tcPr>
          <w:p w14:paraId="5BF7A1C4" w14:textId="77777777" w:rsidR="000C08CA" w:rsidRPr="003B2A0D" w:rsidRDefault="000C08CA" w:rsidP="00FE328D">
            <w:pPr>
              <w:pStyle w:val="Poglavje"/>
              <w:spacing w:before="0" w:after="0" w:line="276" w:lineRule="auto"/>
              <w:jc w:val="left"/>
              <w:rPr>
                <w:color w:val="000000" w:themeColor="text1"/>
                <w:sz w:val="20"/>
                <w:szCs w:val="20"/>
              </w:rPr>
            </w:pPr>
            <w:r w:rsidRPr="003B2A0D">
              <w:rPr>
                <w:color w:val="000000" w:themeColor="text1"/>
                <w:sz w:val="20"/>
                <w:szCs w:val="20"/>
              </w:rPr>
              <w:lastRenderedPageBreak/>
              <w:t>II. BESEDILO ČLENOV</w:t>
            </w:r>
          </w:p>
          <w:p w14:paraId="4605C913" w14:textId="77777777" w:rsidR="000C08CA" w:rsidRPr="003B2A0D" w:rsidRDefault="000C08CA" w:rsidP="00FE328D">
            <w:pPr>
              <w:pBdr>
                <w:top w:val="nil"/>
                <w:left w:val="nil"/>
                <w:bottom w:val="nil"/>
                <w:right w:val="nil"/>
                <w:between w:val="nil"/>
              </w:pBdr>
              <w:spacing w:line="276" w:lineRule="auto"/>
              <w:ind w:hanging="2"/>
              <w:jc w:val="center"/>
              <w:rPr>
                <w:rFonts w:eastAsia="Arial" w:cs="Arial"/>
                <w:b/>
                <w:color w:val="000000" w:themeColor="text1"/>
                <w:szCs w:val="20"/>
              </w:rPr>
            </w:pPr>
          </w:p>
          <w:p w14:paraId="66FFB4D1" w14:textId="77777777" w:rsidR="000C08CA" w:rsidRPr="003B2A0D" w:rsidRDefault="000C08CA" w:rsidP="00FE328D">
            <w:pPr>
              <w:pBdr>
                <w:top w:val="nil"/>
                <w:left w:val="nil"/>
                <w:bottom w:val="nil"/>
                <w:right w:val="nil"/>
                <w:between w:val="nil"/>
              </w:pBdr>
              <w:spacing w:line="276" w:lineRule="auto"/>
              <w:ind w:hanging="2"/>
              <w:jc w:val="center"/>
              <w:rPr>
                <w:rFonts w:eastAsia="Arial" w:cs="Arial"/>
                <w:b/>
                <w:color w:val="000000" w:themeColor="text1"/>
                <w:szCs w:val="20"/>
              </w:rPr>
            </w:pPr>
          </w:p>
          <w:p w14:paraId="7AC8AABC" w14:textId="77777777" w:rsidR="000C08CA" w:rsidRPr="003B2A0D" w:rsidRDefault="000C08CA" w:rsidP="00FE328D">
            <w:pPr>
              <w:pBdr>
                <w:top w:val="nil"/>
                <w:left w:val="nil"/>
                <w:bottom w:val="nil"/>
                <w:right w:val="nil"/>
                <w:between w:val="nil"/>
              </w:pBdr>
              <w:spacing w:line="276" w:lineRule="auto"/>
              <w:ind w:hanging="2"/>
              <w:jc w:val="center"/>
              <w:rPr>
                <w:rFonts w:eastAsia="Arial" w:cs="Arial"/>
                <w:color w:val="000000" w:themeColor="text1"/>
                <w:szCs w:val="20"/>
              </w:rPr>
            </w:pPr>
            <w:r w:rsidRPr="003B2A0D">
              <w:rPr>
                <w:rFonts w:eastAsia="Arial" w:cs="Arial"/>
                <w:b/>
                <w:color w:val="000000" w:themeColor="text1"/>
                <w:szCs w:val="20"/>
              </w:rPr>
              <w:t>PREDLOG</w:t>
            </w:r>
            <w:r w:rsidRPr="003B2A0D">
              <w:rPr>
                <w:rFonts w:eastAsia="Arial" w:cs="Arial"/>
                <w:b/>
                <w:smallCaps/>
                <w:color w:val="000000" w:themeColor="text1"/>
                <w:szCs w:val="20"/>
              </w:rPr>
              <w:t xml:space="preserve"> ZAKONA O SPREMEMBAH IN DOPOLNITVAH </w:t>
            </w:r>
          </w:p>
          <w:p w14:paraId="7F4AF550" w14:textId="77777777" w:rsidR="000C08CA" w:rsidRPr="003B2A0D" w:rsidRDefault="000C08CA" w:rsidP="00FE328D">
            <w:pPr>
              <w:pBdr>
                <w:top w:val="nil"/>
                <w:left w:val="nil"/>
                <w:bottom w:val="nil"/>
                <w:right w:val="nil"/>
                <w:between w:val="nil"/>
              </w:pBdr>
              <w:spacing w:line="276" w:lineRule="auto"/>
              <w:ind w:hanging="2"/>
              <w:jc w:val="center"/>
              <w:rPr>
                <w:rFonts w:cs="Arial"/>
                <w:szCs w:val="20"/>
              </w:rPr>
            </w:pPr>
            <w:r w:rsidRPr="003B2A0D">
              <w:rPr>
                <w:rFonts w:eastAsia="Arial" w:cs="Arial"/>
                <w:b/>
                <w:smallCaps/>
                <w:color w:val="000000" w:themeColor="text1"/>
                <w:szCs w:val="20"/>
              </w:rPr>
              <w:t>ZAKONA O GOSPODARSKIH DRUŽBAH</w:t>
            </w:r>
          </w:p>
          <w:p w14:paraId="79B20A8D" w14:textId="77777777" w:rsidR="000C08CA" w:rsidRPr="003B2A0D" w:rsidRDefault="000C08CA" w:rsidP="00FE328D">
            <w:pPr>
              <w:pStyle w:val="len"/>
              <w:spacing w:before="0" w:line="276" w:lineRule="auto"/>
              <w:jc w:val="both"/>
              <w:rPr>
                <w:rFonts w:cs="Arial"/>
                <w:b w:val="0"/>
                <w:color w:val="000000" w:themeColor="text1"/>
                <w:sz w:val="20"/>
                <w:szCs w:val="20"/>
              </w:rPr>
            </w:pPr>
          </w:p>
          <w:p w14:paraId="3E4BB33E"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79281A47" w14:textId="77777777" w:rsidR="000C08CA" w:rsidRPr="003B2A0D" w:rsidRDefault="000C08CA" w:rsidP="00FE328D">
            <w:pPr>
              <w:spacing w:line="276" w:lineRule="auto"/>
              <w:rPr>
                <w:rFonts w:cs="Arial"/>
                <w:b/>
                <w:szCs w:val="20"/>
              </w:rPr>
            </w:pPr>
          </w:p>
          <w:p w14:paraId="1284FDF2" w14:textId="77777777" w:rsidR="000C08CA" w:rsidRPr="003B2A0D" w:rsidRDefault="000C08CA" w:rsidP="00FE328D">
            <w:pPr>
              <w:pStyle w:val="len"/>
              <w:spacing w:before="0" w:line="276" w:lineRule="auto"/>
              <w:jc w:val="both"/>
              <w:rPr>
                <w:rFonts w:cs="Arial"/>
                <w:b w:val="0"/>
                <w:bCs/>
                <w:sz w:val="20"/>
                <w:szCs w:val="20"/>
              </w:rPr>
            </w:pPr>
            <w:r w:rsidRPr="003B2A0D">
              <w:rPr>
                <w:rFonts w:cs="Arial"/>
                <w:b w:val="0"/>
                <w:bCs/>
                <w:sz w:val="20"/>
                <w:szCs w:val="20"/>
              </w:rPr>
              <w:t>V Zakonu o gospodarskih družbah (Uradni list RS, št. 65/09 – uradno prečiščeno besedilo, 33/11, 91/11, 32/12, 57/12, 44/13 – odl. US, 82/13, 55/15, 15/17, 22/19 – ZPosS, 158/20 – ZIntPK-C, 18/21, 18/23 – ZDU-1O in 75/23) se v 2. členu v prvem odstavku na koncu druge alineje beseda »in« nadomesti z vejico.</w:t>
            </w:r>
          </w:p>
          <w:p w14:paraId="130EF2FA" w14:textId="77777777" w:rsidR="000C08CA" w:rsidRPr="003B2A0D" w:rsidRDefault="000C08CA" w:rsidP="00FE328D">
            <w:pPr>
              <w:pStyle w:val="len"/>
              <w:spacing w:before="0" w:line="276" w:lineRule="auto"/>
              <w:jc w:val="both"/>
              <w:rPr>
                <w:rFonts w:cs="Arial"/>
                <w:b w:val="0"/>
                <w:bCs/>
                <w:sz w:val="20"/>
                <w:szCs w:val="20"/>
              </w:rPr>
            </w:pPr>
          </w:p>
          <w:p w14:paraId="3F8C0DED" w14:textId="77777777" w:rsidR="000C08CA" w:rsidRPr="003B2A0D" w:rsidRDefault="000C08CA" w:rsidP="00FE328D">
            <w:pPr>
              <w:spacing w:line="276" w:lineRule="auto"/>
              <w:jc w:val="both"/>
              <w:rPr>
                <w:rFonts w:cs="Arial"/>
                <w:szCs w:val="20"/>
              </w:rPr>
            </w:pPr>
            <w:r w:rsidRPr="003B2A0D">
              <w:rPr>
                <w:rFonts w:cs="Arial"/>
                <w:szCs w:val="20"/>
              </w:rPr>
              <w:t>V tretji alineji se na koncu besedila pika nadomesti z besedo »in« ter se doda nova</w:t>
            </w:r>
            <w:r>
              <w:rPr>
                <w:rFonts w:cs="Arial"/>
                <w:szCs w:val="20"/>
              </w:rPr>
              <w:t>,</w:t>
            </w:r>
            <w:r w:rsidRPr="003B2A0D">
              <w:rPr>
                <w:rFonts w:cs="Arial"/>
                <w:szCs w:val="20"/>
              </w:rPr>
              <w:t xml:space="preserve"> četrta alineja, ki se glasi:</w:t>
            </w:r>
          </w:p>
          <w:p w14:paraId="7AFF2445" w14:textId="77777777" w:rsidR="000C08CA" w:rsidRPr="003B2A0D" w:rsidRDefault="000C08CA" w:rsidP="00FE328D">
            <w:pPr>
              <w:spacing w:line="276" w:lineRule="auto"/>
              <w:jc w:val="both"/>
              <w:rPr>
                <w:rFonts w:cs="Arial"/>
                <w:szCs w:val="20"/>
              </w:rPr>
            </w:pPr>
          </w:p>
          <w:p w14:paraId="291F6FD7" w14:textId="77777777" w:rsidR="000C08CA" w:rsidRPr="003B2A0D" w:rsidRDefault="000C08CA" w:rsidP="00FE328D">
            <w:pPr>
              <w:spacing w:line="276" w:lineRule="auto"/>
              <w:jc w:val="both"/>
              <w:rPr>
                <w:rFonts w:cs="Arial"/>
                <w:szCs w:val="20"/>
              </w:rPr>
            </w:pPr>
            <w:r w:rsidRPr="003B2A0D">
              <w:rPr>
                <w:rFonts w:cs="Arial"/>
                <w:b/>
                <w:bCs/>
                <w:szCs w:val="20"/>
              </w:rPr>
              <w:t>»</w:t>
            </w:r>
            <w:r>
              <w:rPr>
                <w:rFonts w:cs="Arial"/>
                <w:szCs w:val="20"/>
              </w:rPr>
              <w:t>‒</w:t>
            </w:r>
            <w:bookmarkStart w:id="2" w:name="_Hlk143240748"/>
            <w:r>
              <w:rPr>
                <w:rFonts w:cs="Arial"/>
                <w:szCs w:val="20"/>
              </w:rPr>
              <w:t xml:space="preserve"> </w:t>
            </w:r>
            <w:r w:rsidRPr="003B2A0D">
              <w:rPr>
                <w:rFonts w:cs="Arial"/>
                <w:szCs w:val="20"/>
              </w:rPr>
              <w:t>Direktiva (EU) 2022/2381 Evropskega parlamenta in Sveta z</w:t>
            </w:r>
            <w:r>
              <w:rPr>
                <w:rFonts w:cs="Arial"/>
                <w:szCs w:val="20"/>
              </w:rPr>
              <w:t xml:space="preserve"> </w:t>
            </w:r>
            <w:r w:rsidRPr="003B2A0D">
              <w:rPr>
                <w:rFonts w:cs="Arial"/>
                <w:szCs w:val="20"/>
              </w:rPr>
              <w:t>dne 23. novembra 2022 o</w:t>
            </w:r>
            <w:r>
              <w:rPr>
                <w:rFonts w:cs="Arial"/>
                <w:szCs w:val="20"/>
              </w:rPr>
              <w:t xml:space="preserve"> </w:t>
            </w:r>
            <w:r w:rsidRPr="003B2A0D">
              <w:rPr>
                <w:rFonts w:cs="Arial"/>
                <w:szCs w:val="20"/>
              </w:rPr>
              <w:t>zagotavljanju uravnotežene zastopanosti spolov med direktorji družb, ki kotirajo na borzi, in s</w:t>
            </w:r>
            <w:r>
              <w:rPr>
                <w:rFonts w:cs="Arial"/>
                <w:szCs w:val="20"/>
              </w:rPr>
              <w:t xml:space="preserve"> </w:t>
            </w:r>
            <w:r w:rsidRPr="003B2A0D">
              <w:rPr>
                <w:rFonts w:cs="Arial"/>
                <w:szCs w:val="20"/>
              </w:rPr>
              <w:t>tem povezanih ukrepih (UL L št. 315 z dne 7. 12. 2022, str. 44</w:t>
            </w:r>
            <w:bookmarkEnd w:id="2"/>
            <w:r w:rsidRPr="003B2A0D">
              <w:rPr>
                <w:rFonts w:cs="Arial"/>
                <w:szCs w:val="20"/>
              </w:rPr>
              <w:t>).«.</w:t>
            </w:r>
          </w:p>
          <w:p w14:paraId="36125FDA" w14:textId="77777777" w:rsidR="000C08CA" w:rsidRPr="003B2A0D" w:rsidRDefault="000C08CA" w:rsidP="00FE328D">
            <w:pPr>
              <w:spacing w:line="276" w:lineRule="auto"/>
              <w:jc w:val="both"/>
              <w:rPr>
                <w:rFonts w:cs="Arial"/>
                <w:szCs w:val="20"/>
              </w:rPr>
            </w:pPr>
          </w:p>
          <w:p w14:paraId="79F3F260" w14:textId="77777777" w:rsidR="000C08CA" w:rsidRPr="005F7D8C" w:rsidRDefault="000C08CA" w:rsidP="00FE328D">
            <w:r w:rsidRPr="003B2A0D">
              <w:rPr>
                <w:rFonts w:cs="Arial"/>
                <w:szCs w:val="20"/>
              </w:rPr>
              <w:t>V drugem odstavku se v prvi alineji besedilo »Direktivo 2014/56/EU Evropskega parlamenta in Sveta z dne 16. aprila 2014 o spremembi Direktive 2006/43/ES o obveznih revizijah za letne in konsolidirane računovodske izkaze (UL L št. 158 z dne 27. 5. 2014, str. 196)« nadomesti z besedilom »</w:t>
            </w:r>
            <w:r w:rsidRPr="00627C71">
              <w:rPr>
                <w:rFonts w:cs="Arial"/>
                <w:szCs w:val="20"/>
              </w:rPr>
              <w:t>Direktiv</w:t>
            </w:r>
            <w:r>
              <w:rPr>
                <w:rFonts w:cs="Arial"/>
                <w:szCs w:val="20"/>
              </w:rPr>
              <w:t>o</w:t>
            </w:r>
            <w:r w:rsidRPr="00627C71">
              <w:rPr>
                <w:rFonts w:cs="Arial"/>
                <w:szCs w:val="20"/>
              </w:rPr>
              <w:t xml:space="preserve"> (EU) 2023/2864 Evropskega parlamenta in Sveta z dne 13. decembra 2023 o spremembi nekaterih direktiv glede vzpostavitve in delovanja evropske enotne točke dostopa</w:t>
            </w:r>
            <w:r w:rsidRPr="003B2A0D">
              <w:rPr>
                <w:rFonts w:cs="Arial"/>
                <w:szCs w:val="20"/>
              </w:rPr>
              <w:t xml:space="preserve"> (UL L št. </w:t>
            </w:r>
            <w:r>
              <w:rPr>
                <w:rFonts w:cs="Arial"/>
                <w:szCs w:val="20"/>
              </w:rPr>
              <w:t>2023/2864</w:t>
            </w:r>
            <w:r w:rsidRPr="003B2A0D">
              <w:rPr>
                <w:rFonts w:cs="Arial"/>
                <w:szCs w:val="20"/>
              </w:rPr>
              <w:t xml:space="preserve"> z dne </w:t>
            </w:r>
            <w:r>
              <w:rPr>
                <w:rFonts w:cs="Arial"/>
                <w:szCs w:val="20"/>
              </w:rPr>
              <w:t>20</w:t>
            </w:r>
            <w:r w:rsidRPr="003B2A0D">
              <w:rPr>
                <w:rFonts w:cs="Arial"/>
                <w:szCs w:val="20"/>
              </w:rPr>
              <w:t>. 12. 202</w:t>
            </w:r>
            <w:r>
              <w:rPr>
                <w:rFonts w:cs="Arial"/>
                <w:szCs w:val="20"/>
              </w:rPr>
              <w:t>3</w:t>
            </w:r>
            <w:r w:rsidRPr="003B2A0D">
              <w:rPr>
                <w:rFonts w:cs="Arial"/>
                <w:szCs w:val="20"/>
              </w:rPr>
              <w:t>)«.</w:t>
            </w:r>
          </w:p>
          <w:p w14:paraId="1EA65852" w14:textId="77777777" w:rsidR="000C08CA" w:rsidRPr="003B2A0D" w:rsidRDefault="000C08CA" w:rsidP="00FE328D">
            <w:pPr>
              <w:spacing w:line="276" w:lineRule="auto"/>
              <w:jc w:val="both"/>
              <w:rPr>
                <w:rFonts w:cs="Arial"/>
                <w:szCs w:val="20"/>
              </w:rPr>
            </w:pPr>
          </w:p>
          <w:p w14:paraId="6E96F69C" w14:textId="77777777" w:rsidR="000C08CA" w:rsidRPr="003B2A0D" w:rsidRDefault="000C08CA" w:rsidP="00FE328D">
            <w:pPr>
              <w:spacing w:line="276" w:lineRule="auto"/>
              <w:jc w:val="both"/>
              <w:rPr>
                <w:rFonts w:cs="Arial"/>
                <w:szCs w:val="20"/>
              </w:rPr>
            </w:pPr>
            <w:r w:rsidRPr="003B2A0D">
              <w:rPr>
                <w:rFonts w:cs="Arial"/>
                <w:szCs w:val="20"/>
              </w:rPr>
              <w:t>V drugi alineji se besedilo »Direktivo (EU) 2022/2464 Evropskega parlamenta in Sveta z dne 14. decembra 2022 o spremembi Uredbe (EU) št. 537/2014, Direktive 2004/109/ES, Direktive 2006/43/ES in Direktive 2013/34/EU glede poročanja podjetij o trajnostnosti (UL L št. 322 z dne 16. 12. 2022, str. 15)« nadomesti z besedilom »</w:t>
            </w:r>
            <w:r w:rsidRPr="00FE0ABF">
              <w:rPr>
                <w:rFonts w:cs="Arial"/>
                <w:szCs w:val="20"/>
              </w:rPr>
              <w:t>Direktivo (EU) 2024/1306 Evropskega parlamenta in Sveta z dne 29. aprila 2024 o spremembi Direktive 2013/34/EU glede rokov za sprejetje standardov poročanja o trajnostnosti za nekatere sektorje in nekatera podjetja iz tretjih držav</w:t>
            </w:r>
            <w:r w:rsidRPr="003B2A0D">
              <w:rPr>
                <w:rFonts w:cs="Arial"/>
                <w:szCs w:val="20"/>
              </w:rPr>
              <w:t xml:space="preserve"> (</w:t>
            </w:r>
            <w:r w:rsidRPr="00B70FB6">
              <w:rPr>
                <w:rFonts w:cs="Arial"/>
                <w:szCs w:val="20"/>
              </w:rPr>
              <w:t>UL L št. 2024/1306 z dne 8. 5. 2024</w:t>
            </w:r>
            <w:r w:rsidRPr="003B2A0D">
              <w:rPr>
                <w:rFonts w:cs="Arial"/>
                <w:szCs w:val="20"/>
              </w:rPr>
              <w:t>)«.</w:t>
            </w:r>
          </w:p>
          <w:p w14:paraId="307FC10C" w14:textId="77777777" w:rsidR="000C08CA" w:rsidRPr="003B2A0D" w:rsidRDefault="000C08CA" w:rsidP="00FE328D">
            <w:pPr>
              <w:spacing w:line="276" w:lineRule="auto"/>
              <w:jc w:val="both"/>
              <w:rPr>
                <w:rFonts w:cs="Arial"/>
                <w:szCs w:val="20"/>
              </w:rPr>
            </w:pPr>
          </w:p>
          <w:p w14:paraId="301DC54C" w14:textId="77777777" w:rsidR="000C08CA" w:rsidRPr="003B2A0D" w:rsidRDefault="000C08CA" w:rsidP="00FE328D">
            <w:pPr>
              <w:pStyle w:val="ListParagraph"/>
              <w:numPr>
                <w:ilvl w:val="0"/>
                <w:numId w:val="20"/>
              </w:numPr>
              <w:spacing w:line="276" w:lineRule="auto"/>
              <w:jc w:val="center"/>
              <w:rPr>
                <w:rFonts w:ascii="Arial" w:hAnsi="Arial" w:cs="Arial"/>
                <w:b/>
                <w:sz w:val="20"/>
                <w:szCs w:val="20"/>
              </w:rPr>
            </w:pPr>
            <w:r w:rsidRPr="003B2A0D">
              <w:rPr>
                <w:rFonts w:ascii="Arial" w:hAnsi="Arial" w:cs="Arial"/>
                <w:b/>
                <w:sz w:val="20"/>
                <w:szCs w:val="20"/>
              </w:rPr>
              <w:t>člen</w:t>
            </w:r>
          </w:p>
          <w:p w14:paraId="0126C995" w14:textId="77777777" w:rsidR="000C08CA" w:rsidRPr="003B2A0D" w:rsidRDefault="000C08CA" w:rsidP="00FE328D">
            <w:pPr>
              <w:spacing w:line="276" w:lineRule="auto"/>
              <w:rPr>
                <w:rFonts w:cs="Arial"/>
                <w:szCs w:val="20"/>
              </w:rPr>
            </w:pPr>
            <w:r w:rsidRPr="003B2A0D">
              <w:rPr>
                <w:rFonts w:cs="Arial"/>
                <w:szCs w:val="20"/>
              </w:rPr>
              <w:t>V 3. členu se v osmem odstavku deseta alineja spremeni tako, da se glasi:</w:t>
            </w:r>
          </w:p>
          <w:p w14:paraId="48100BDB" w14:textId="77777777" w:rsidR="000C08CA" w:rsidRPr="003B2A0D" w:rsidRDefault="000C08CA" w:rsidP="00FE328D">
            <w:pPr>
              <w:spacing w:line="276" w:lineRule="auto"/>
              <w:rPr>
                <w:rFonts w:cs="Arial"/>
                <w:szCs w:val="20"/>
              </w:rPr>
            </w:pPr>
          </w:p>
          <w:p w14:paraId="2AA3A947" w14:textId="77777777" w:rsidR="000C08CA" w:rsidRPr="003B2A0D" w:rsidRDefault="000C08CA" w:rsidP="00FE328D">
            <w:pPr>
              <w:jc w:val="both"/>
              <w:rPr>
                <w:rFonts w:eastAsia="Arial" w:cs="Arial"/>
                <w:szCs w:val="20"/>
              </w:rPr>
            </w:pPr>
            <w:r w:rsidRPr="00932039">
              <w:rPr>
                <w:rFonts w:cs="Arial"/>
                <w:iCs/>
                <w:szCs w:val="20"/>
              </w:rPr>
              <w:t>»</w:t>
            </w:r>
            <w:r w:rsidRPr="003B2A0D">
              <w:rPr>
                <w:rFonts w:cs="Arial"/>
                <w:szCs w:val="20"/>
              </w:rPr>
              <w:t>-</w:t>
            </w:r>
            <w:r>
              <w:rPr>
                <w:rFonts w:cs="Arial"/>
                <w:szCs w:val="20"/>
              </w:rPr>
              <w:t xml:space="preserve"> </w:t>
            </w:r>
            <w:r>
              <w:rPr>
                <w:rFonts w:eastAsia="Arial" w:cs="Arial"/>
                <w:szCs w:val="20"/>
              </w:rPr>
              <w:t>»</w:t>
            </w:r>
            <w:r w:rsidRPr="003B2A0D">
              <w:rPr>
                <w:rFonts w:cs="Arial"/>
                <w:szCs w:val="20"/>
              </w:rPr>
              <w:t>s</w:t>
            </w:r>
            <w:r w:rsidRPr="003B2A0D">
              <w:rPr>
                <w:rFonts w:eastAsia="Arial" w:cs="Arial"/>
                <w:szCs w:val="20"/>
              </w:rPr>
              <w:t>ubjekt javnega interesa</w:t>
            </w:r>
            <w:r w:rsidRPr="003B2A0D" w:rsidDel="00E354C1">
              <w:rPr>
                <w:rFonts w:eastAsia="Arial" w:cs="Arial"/>
                <w:szCs w:val="20"/>
              </w:rPr>
              <w:t>«</w:t>
            </w:r>
            <w:r w:rsidRPr="003B2A0D">
              <w:rPr>
                <w:rFonts w:eastAsia="Arial" w:cs="Arial"/>
                <w:szCs w:val="20"/>
              </w:rPr>
              <w:t xml:space="preserve"> je družba, s katere vrednostnimi papirji se trguje na organiziranem trgu vrednostnih papirjev, kreditna institucija, kot jo opredeljuje zakon, ki ureja bančništvo, zavarovalnica, kot jo opredeljuje zakon, ki ureja zavarovalništvo, pokojninska družba, kot jo opredeljuje zakon, ki ureja pokojninske družbe</w:t>
            </w:r>
            <w:r>
              <w:rPr>
                <w:rFonts w:eastAsia="Arial" w:cs="Arial"/>
                <w:szCs w:val="20"/>
              </w:rPr>
              <w:t>,</w:t>
            </w:r>
            <w:r w:rsidRPr="003B2A0D">
              <w:rPr>
                <w:rFonts w:eastAsia="Arial" w:cs="Arial"/>
                <w:szCs w:val="20"/>
              </w:rPr>
              <w:t xml:space="preserve"> in velika družba, zavezana k obvezni reviziji v skladu s 57. členom tega zakona, v kateri imajo država ali samoupravne lokalne skupnosti skupaj ali samostojno, neposredno ali posredno večinski lastniški delež. Subjekt javnega interesa je lahko tudi </w:t>
            </w:r>
            <w:r w:rsidRPr="003B2A0D">
              <w:rPr>
                <w:rFonts w:cs="Arial"/>
                <w:szCs w:val="20"/>
              </w:rPr>
              <w:t>druga družba, zavezana k obvezni reviziji, če je tako določeno z drugim zakonom;</w:t>
            </w:r>
            <w:r>
              <w:rPr>
                <w:rFonts w:eastAsia="Arial" w:cs="Arial"/>
                <w:szCs w:val="20"/>
              </w:rPr>
              <w:t>«</w:t>
            </w:r>
            <w:r w:rsidRPr="003B2A0D">
              <w:rPr>
                <w:rFonts w:eastAsia="Arial" w:cs="Arial"/>
                <w:szCs w:val="20"/>
              </w:rPr>
              <w:t>.</w:t>
            </w:r>
          </w:p>
          <w:p w14:paraId="63A1CA21" w14:textId="77777777" w:rsidR="000C08CA" w:rsidRPr="003B2A0D" w:rsidRDefault="000C08CA" w:rsidP="00FE328D">
            <w:pPr>
              <w:spacing w:line="276" w:lineRule="auto"/>
              <w:rPr>
                <w:rFonts w:cs="Arial"/>
                <w:szCs w:val="20"/>
              </w:rPr>
            </w:pPr>
          </w:p>
          <w:p w14:paraId="50D43CD0"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792DD5D2" w14:textId="77777777" w:rsidR="000C08CA" w:rsidRPr="003B2A0D" w:rsidRDefault="000C08CA" w:rsidP="00FE328D">
            <w:pPr>
              <w:spacing w:line="276" w:lineRule="auto"/>
              <w:rPr>
                <w:rFonts w:cs="Arial"/>
                <w:szCs w:val="20"/>
              </w:rPr>
            </w:pPr>
          </w:p>
          <w:p w14:paraId="6E70C675" w14:textId="77777777" w:rsidR="000C08CA" w:rsidRDefault="000C08CA" w:rsidP="00FE328D">
            <w:pPr>
              <w:spacing w:line="276" w:lineRule="auto"/>
              <w:rPr>
                <w:rFonts w:cs="Arial"/>
                <w:szCs w:val="20"/>
              </w:rPr>
            </w:pPr>
            <w:r w:rsidRPr="003B2A0D">
              <w:rPr>
                <w:rFonts w:cs="Arial"/>
                <w:szCs w:val="20"/>
              </w:rPr>
              <w:t>V 10.a členu se v prvem odstavku v 6. točki številka »26« nadomesti s številko »27«.</w:t>
            </w:r>
          </w:p>
          <w:p w14:paraId="4D7056FE" w14:textId="77777777" w:rsidR="00153008" w:rsidRDefault="00153008" w:rsidP="00FE328D">
            <w:pPr>
              <w:spacing w:line="276" w:lineRule="auto"/>
              <w:rPr>
                <w:rFonts w:cs="Arial"/>
                <w:szCs w:val="20"/>
              </w:rPr>
            </w:pPr>
          </w:p>
          <w:p w14:paraId="71205C2A" w14:textId="77777777" w:rsidR="00153008" w:rsidRPr="003B2A0D" w:rsidRDefault="00153008" w:rsidP="00FE328D">
            <w:pPr>
              <w:spacing w:line="276" w:lineRule="auto"/>
              <w:rPr>
                <w:rFonts w:cs="Arial"/>
                <w:szCs w:val="20"/>
              </w:rPr>
            </w:pPr>
          </w:p>
          <w:p w14:paraId="777A695E" w14:textId="77777777" w:rsidR="000C08CA" w:rsidRPr="003B2A0D" w:rsidRDefault="000C08CA" w:rsidP="00FE328D">
            <w:pPr>
              <w:spacing w:line="276" w:lineRule="auto"/>
              <w:rPr>
                <w:rFonts w:cs="Arial"/>
                <w:b/>
                <w:bCs/>
                <w:szCs w:val="20"/>
              </w:rPr>
            </w:pPr>
          </w:p>
          <w:p w14:paraId="2E292686"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lastRenderedPageBreak/>
              <w:t>člen</w:t>
            </w:r>
          </w:p>
          <w:p w14:paraId="7BB7A164" w14:textId="77777777" w:rsidR="000C08CA" w:rsidRPr="003B2A0D" w:rsidRDefault="000C08CA" w:rsidP="00FE328D">
            <w:pPr>
              <w:spacing w:line="276" w:lineRule="auto"/>
              <w:jc w:val="both"/>
              <w:rPr>
                <w:rFonts w:cs="Arial"/>
                <w:bCs/>
                <w:szCs w:val="20"/>
              </w:rPr>
            </w:pPr>
          </w:p>
          <w:p w14:paraId="4EB77ACE" w14:textId="77777777" w:rsidR="000C08CA" w:rsidRPr="003B2A0D" w:rsidRDefault="000C08CA" w:rsidP="00FE328D">
            <w:pPr>
              <w:spacing w:line="276" w:lineRule="auto"/>
              <w:rPr>
                <w:rFonts w:cs="Arial"/>
              </w:rPr>
            </w:pPr>
            <w:r w:rsidRPr="56E4EB18">
              <w:rPr>
                <w:rFonts w:cs="Arial"/>
              </w:rPr>
              <w:t>Za 30. členom se doda nov 30.a člen, ki se glasi:</w:t>
            </w:r>
          </w:p>
          <w:p w14:paraId="6FEF05E0" w14:textId="77777777" w:rsidR="000C08CA" w:rsidRPr="003B2A0D" w:rsidRDefault="000C08CA" w:rsidP="00FE328D">
            <w:pPr>
              <w:spacing w:line="276" w:lineRule="auto"/>
              <w:rPr>
                <w:rFonts w:cs="Arial"/>
                <w:szCs w:val="20"/>
              </w:rPr>
            </w:pPr>
          </w:p>
          <w:p w14:paraId="3FC168CC" w14:textId="77777777" w:rsidR="000C08CA" w:rsidRPr="003B2A0D" w:rsidRDefault="000C08CA" w:rsidP="00FE328D">
            <w:pPr>
              <w:spacing w:line="276" w:lineRule="auto"/>
              <w:jc w:val="center"/>
              <w:rPr>
                <w:rFonts w:cs="Arial"/>
                <w:b/>
                <w:szCs w:val="20"/>
              </w:rPr>
            </w:pPr>
            <w:r w:rsidRPr="003B2A0D">
              <w:rPr>
                <w:rFonts w:cs="Arial"/>
                <w:szCs w:val="20"/>
              </w:rPr>
              <w:t>»</w:t>
            </w:r>
            <w:r w:rsidRPr="003B2A0D">
              <w:rPr>
                <w:rFonts w:cs="Arial"/>
                <w:b/>
                <w:bCs/>
                <w:szCs w:val="20"/>
              </w:rPr>
              <w:t>30</w:t>
            </w:r>
            <w:r w:rsidRPr="003B2A0D">
              <w:rPr>
                <w:rFonts w:cs="Arial"/>
                <w:b/>
                <w:szCs w:val="20"/>
              </w:rPr>
              <w:t>.a člen</w:t>
            </w:r>
          </w:p>
          <w:p w14:paraId="79DE2EDA" w14:textId="77777777" w:rsidR="000C08CA" w:rsidRPr="003B2A0D" w:rsidRDefault="000C08CA" w:rsidP="00FE328D">
            <w:pPr>
              <w:spacing w:line="276" w:lineRule="auto"/>
              <w:jc w:val="center"/>
              <w:rPr>
                <w:rFonts w:cs="Arial"/>
                <w:b/>
                <w:bCs/>
                <w:szCs w:val="20"/>
              </w:rPr>
            </w:pPr>
            <w:r w:rsidRPr="003B2A0D">
              <w:rPr>
                <w:rFonts w:cs="Arial"/>
                <w:b/>
                <w:bCs/>
                <w:szCs w:val="20"/>
              </w:rPr>
              <w:t>(označevanje na poslovnem naslovu)</w:t>
            </w:r>
          </w:p>
          <w:p w14:paraId="5BB84BBE" w14:textId="77777777" w:rsidR="000C08CA" w:rsidRPr="003B2A0D" w:rsidRDefault="000C08CA" w:rsidP="00FE328D">
            <w:pPr>
              <w:spacing w:line="276" w:lineRule="auto"/>
              <w:rPr>
                <w:rFonts w:cs="Arial"/>
                <w:szCs w:val="20"/>
              </w:rPr>
            </w:pPr>
          </w:p>
          <w:p w14:paraId="483E9D40" w14:textId="77777777" w:rsidR="000C08CA" w:rsidRPr="003B2A0D" w:rsidRDefault="000C08CA" w:rsidP="00FE328D">
            <w:pPr>
              <w:spacing w:line="276" w:lineRule="auto"/>
              <w:jc w:val="both"/>
              <w:rPr>
                <w:rFonts w:cs="Arial"/>
                <w:szCs w:val="20"/>
              </w:rPr>
            </w:pPr>
            <w:r w:rsidRPr="003B2A0D">
              <w:rPr>
                <w:rFonts w:cs="Arial"/>
                <w:szCs w:val="20"/>
              </w:rPr>
              <w:t>Na poslovnem naslovu mora biti na vidnem mestu napis z navedbo firme in sedeža družbe.«.</w:t>
            </w:r>
          </w:p>
          <w:p w14:paraId="2523894D" w14:textId="77777777" w:rsidR="000C08CA" w:rsidRPr="003B2A0D" w:rsidRDefault="000C08CA" w:rsidP="00FE328D">
            <w:pPr>
              <w:spacing w:line="276" w:lineRule="auto"/>
              <w:jc w:val="both"/>
              <w:rPr>
                <w:rFonts w:cs="Arial"/>
                <w:bCs/>
                <w:szCs w:val="20"/>
              </w:rPr>
            </w:pPr>
          </w:p>
          <w:p w14:paraId="5F571BC6"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2BD15BBD" w14:textId="77777777" w:rsidR="000C08CA" w:rsidRPr="003B2A0D" w:rsidRDefault="000C08CA" w:rsidP="00FE328D">
            <w:pPr>
              <w:spacing w:line="276" w:lineRule="auto"/>
              <w:rPr>
                <w:rFonts w:cs="Arial"/>
                <w:szCs w:val="20"/>
              </w:rPr>
            </w:pPr>
          </w:p>
          <w:p w14:paraId="19B92F37" w14:textId="77777777" w:rsidR="000C08CA" w:rsidRPr="003B2A0D" w:rsidRDefault="000C08CA" w:rsidP="00FE328D">
            <w:pPr>
              <w:spacing w:line="276" w:lineRule="auto"/>
              <w:jc w:val="both"/>
              <w:rPr>
                <w:rFonts w:cs="Arial"/>
                <w:szCs w:val="20"/>
              </w:rPr>
            </w:pPr>
            <w:r w:rsidRPr="003B2A0D">
              <w:rPr>
                <w:rFonts w:cs="Arial"/>
                <w:szCs w:val="20"/>
              </w:rPr>
              <w:t xml:space="preserve">V 53. členu se v četrtem odstavku na koncu pete alineje vejica in beseda »in« nadomestita s podpičjem, v šesti alineji pa se na koncu besedila pika nadomesti s podpičjem ter </w:t>
            </w:r>
            <w:r>
              <w:rPr>
                <w:rFonts w:cs="Arial"/>
                <w:szCs w:val="20"/>
              </w:rPr>
              <w:t xml:space="preserve">se </w:t>
            </w:r>
            <w:r w:rsidRPr="003B2A0D">
              <w:rPr>
                <w:rFonts w:cs="Arial"/>
                <w:szCs w:val="20"/>
              </w:rPr>
              <w:t>dodajo nova sedma do enajsta alineja, ki se glasijo:</w:t>
            </w:r>
          </w:p>
          <w:p w14:paraId="70550461" w14:textId="77777777" w:rsidR="000C08CA" w:rsidRPr="003B2A0D" w:rsidRDefault="000C08CA" w:rsidP="00FE328D">
            <w:pPr>
              <w:spacing w:line="276" w:lineRule="auto"/>
              <w:jc w:val="both"/>
              <w:rPr>
                <w:rFonts w:cs="Arial"/>
                <w:szCs w:val="20"/>
              </w:rPr>
            </w:pPr>
          </w:p>
          <w:p w14:paraId="0895EE4F" w14:textId="77777777" w:rsidR="000C08CA" w:rsidRPr="003B2A0D" w:rsidRDefault="000C08CA" w:rsidP="00FE328D">
            <w:pPr>
              <w:spacing w:line="276" w:lineRule="auto"/>
              <w:jc w:val="both"/>
              <w:rPr>
                <w:rFonts w:cs="Arial"/>
                <w:szCs w:val="20"/>
              </w:rPr>
            </w:pPr>
            <w:r w:rsidRPr="003B2A0D">
              <w:rPr>
                <w:rFonts w:cs="Arial"/>
                <w:szCs w:val="20"/>
              </w:rPr>
              <w:t>»</w:t>
            </w:r>
            <w:r>
              <w:rPr>
                <w:rFonts w:cs="Arial"/>
                <w:szCs w:val="20"/>
              </w:rPr>
              <w:t>‒</w:t>
            </w:r>
            <w:r w:rsidRPr="003B2A0D">
              <w:rPr>
                <w:rFonts w:cs="Arial"/>
                <w:szCs w:val="20"/>
              </w:rPr>
              <w:t xml:space="preserve"> majhna in nekompleksna institucija je majhna in nekompleksna institucija iz 145. točke prvega odstavka 4. člena Uredbe (EU) št. 575/2013 Evropskega parlamenta in Sveta z dne 26. junija 2013 o bonitetnih zahtevah za kreditne institucije in investicijska podjetja ter o spremembi Uredbe (EU) št. 648/2012 (UL L št. 176 z dne 27. 6. 2013, str. 1), zadnjič spremenjene z Uredbo (EU) </w:t>
            </w:r>
            <w:r w:rsidRPr="00360550">
              <w:rPr>
                <w:rFonts w:cs="Arial"/>
                <w:szCs w:val="20"/>
              </w:rPr>
              <w:t>2023/2869 Evropskega parlamenta in Sveta z dne 13. decembra 2023 o spremembi nekaterih uredb glede vzpostavitve in delovanja evropske enotne točke dostopa</w:t>
            </w:r>
            <w:r w:rsidRPr="003B2A0D">
              <w:rPr>
                <w:rFonts w:cs="Arial"/>
                <w:szCs w:val="20"/>
              </w:rPr>
              <w:t xml:space="preserve"> (</w:t>
            </w:r>
            <w:r w:rsidRPr="00E536A3">
              <w:rPr>
                <w:rFonts w:cs="Arial"/>
                <w:szCs w:val="20"/>
              </w:rPr>
              <w:t xml:space="preserve">UL L št. </w:t>
            </w:r>
            <w:r w:rsidRPr="00AD0D06">
              <w:rPr>
                <w:rFonts w:cs="Arial"/>
                <w:szCs w:val="20"/>
              </w:rPr>
              <w:t>2023/</w:t>
            </w:r>
            <w:r w:rsidRPr="00E536A3">
              <w:rPr>
                <w:rFonts w:cs="Arial"/>
                <w:szCs w:val="20"/>
              </w:rPr>
              <w:t xml:space="preserve">2869 z dne </w:t>
            </w:r>
            <w:r>
              <w:rPr>
                <w:rFonts w:cs="Arial"/>
                <w:szCs w:val="20"/>
              </w:rPr>
              <w:t>20</w:t>
            </w:r>
            <w:r w:rsidRPr="00E536A3">
              <w:rPr>
                <w:rFonts w:cs="Arial"/>
                <w:szCs w:val="20"/>
              </w:rPr>
              <w:t>. 12. 2023</w:t>
            </w:r>
            <w:r>
              <w:rPr>
                <w:rFonts w:cs="Arial"/>
                <w:szCs w:val="20"/>
              </w:rPr>
              <w:t xml:space="preserve">; </w:t>
            </w:r>
            <w:r w:rsidRPr="003B2A0D">
              <w:rPr>
                <w:rFonts w:cs="Arial"/>
                <w:szCs w:val="20"/>
              </w:rPr>
              <w:t xml:space="preserve">v nadaljnjem besedilu: Uredba </w:t>
            </w:r>
            <w:r>
              <w:rPr>
                <w:rFonts w:cs="Arial"/>
                <w:szCs w:val="20"/>
              </w:rPr>
              <w:t xml:space="preserve">2023/2869/EU), (v nadaljnjem besedilu: </w:t>
            </w:r>
            <w:r w:rsidRPr="003B2A0D">
              <w:rPr>
                <w:rFonts w:cs="Arial"/>
                <w:szCs w:val="20"/>
              </w:rPr>
              <w:t>Uredba 575/2013/EU);</w:t>
            </w:r>
          </w:p>
          <w:p w14:paraId="7AE403EB"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zadeve v zvezi s trajnostnostjo so okoljski dejavniki, socialni dejavniki, dejavniki v zvezi s spoštovanjem človekovih pravic in upravljavski dejavniki, vključno z dejavniki trajnostnosti, kot so opredeljeni v 24. točki 2. člena Uredbe (EU) 2019/2088 Evropskega parlamenta in Sveta z dne 27. novembra 2019 o razkritjih, povezanih s trajnostnostjo, v sektorju finančnih storitev (UL L št. 317 z dne 9. 12. 2019, str. 1</w:t>
            </w:r>
            <w:r w:rsidRPr="003B2A0D" w:rsidDel="00246302">
              <w:rPr>
                <w:rFonts w:cs="Arial"/>
                <w:szCs w:val="20"/>
              </w:rPr>
              <w:t xml:space="preserve">), </w:t>
            </w:r>
            <w:r w:rsidRPr="00AD14E3">
              <w:rPr>
                <w:rFonts w:cs="Arial"/>
                <w:szCs w:val="20"/>
              </w:rPr>
              <w:t xml:space="preserve">zadnjič spremenjene z Uredbo </w:t>
            </w:r>
            <w:r w:rsidRPr="00F40F12">
              <w:rPr>
                <w:rFonts w:cs="Arial"/>
                <w:szCs w:val="20"/>
              </w:rPr>
              <w:t>2023/2869/EU</w:t>
            </w:r>
            <w:r w:rsidRPr="00AD14E3">
              <w:rPr>
                <w:rFonts w:cs="Arial"/>
                <w:szCs w:val="20"/>
              </w:rPr>
              <w:t>, (v nadaljnjem besedilu: Uredba 2019/2088/EU);</w:t>
            </w:r>
          </w:p>
          <w:p w14:paraId="1877498E" w14:textId="77777777" w:rsidR="000C08CA" w:rsidRPr="003B2A0D" w:rsidRDefault="000C08CA" w:rsidP="00FE328D">
            <w:pPr>
              <w:spacing w:line="276" w:lineRule="auto"/>
              <w:jc w:val="both"/>
              <w:rPr>
                <w:rFonts w:cs="Arial"/>
                <w:szCs w:val="20"/>
              </w:rPr>
            </w:pPr>
            <w:r>
              <w:rPr>
                <w:rFonts w:cs="Arial"/>
                <w:szCs w:val="20"/>
              </w:rPr>
              <w:t xml:space="preserve">‒ </w:t>
            </w:r>
            <w:r w:rsidRPr="003B2A0D">
              <w:rPr>
                <w:rFonts w:cs="Arial"/>
                <w:szCs w:val="20"/>
              </w:rPr>
              <w:t>ključna neopredmetena sredstva so sredstva brez fizičnega obstoja, od katerih je v osnovi odvisen poslovni model družbe in ki so vir ustvarjanja vrednosti v družbi;</w:t>
            </w:r>
          </w:p>
          <w:p w14:paraId="334D97B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evropski standardi poročanja o trajnostnosti so standardi, ki so določeni z delegiranimi akti Evropske komisije, sprejetimi na podlagi 29</w:t>
            </w:r>
            <w:r w:rsidRPr="003B2A0D" w:rsidDel="00E354C1">
              <w:rPr>
                <w:rFonts w:cs="Arial"/>
                <w:szCs w:val="20"/>
              </w:rPr>
              <w:t>.</w:t>
            </w:r>
            <w:r w:rsidRPr="003B2A0D">
              <w:rPr>
                <w:rFonts w:cs="Arial"/>
                <w:szCs w:val="20"/>
              </w:rPr>
              <w:t>b in 29</w:t>
            </w:r>
            <w:r w:rsidRPr="003B2A0D" w:rsidDel="00E354C1">
              <w:rPr>
                <w:rFonts w:cs="Arial"/>
                <w:szCs w:val="20"/>
              </w:rPr>
              <w:t>.</w:t>
            </w:r>
            <w:r w:rsidRPr="003B2A0D">
              <w:rPr>
                <w:rFonts w:cs="Arial"/>
                <w:szCs w:val="20"/>
              </w:rPr>
              <w:t xml:space="preserve">c </w:t>
            </w:r>
            <w:r w:rsidRPr="003B2A0D" w:rsidDel="00E354C1">
              <w:rPr>
                <w:rFonts w:cs="Arial"/>
                <w:szCs w:val="20"/>
              </w:rPr>
              <w:t xml:space="preserve">člena </w:t>
            </w:r>
            <w:r w:rsidRPr="003B2A0D">
              <w:rPr>
                <w:rFonts w:cs="Arial"/>
                <w:szCs w:val="20"/>
              </w:rPr>
              <w:t>Direktive 2013/34/EU;</w:t>
            </w:r>
          </w:p>
          <w:p w14:paraId="42C30E9E"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w:t>
            </w:r>
            <w:bookmarkStart w:id="3" w:name="_Hlk142313475"/>
            <w:r w:rsidRPr="003B2A0D">
              <w:rPr>
                <w:rFonts w:cs="Arial"/>
                <w:szCs w:val="20"/>
              </w:rPr>
              <w:t xml:space="preserve">standardi poročanja o trajnostnosti </w:t>
            </w:r>
            <w:bookmarkStart w:id="4" w:name="_Hlk141963182"/>
            <w:r w:rsidRPr="003B2A0D">
              <w:rPr>
                <w:rFonts w:cs="Arial"/>
                <w:szCs w:val="20"/>
              </w:rPr>
              <w:t xml:space="preserve">za tuja podjetja iz tretjih držav </w:t>
            </w:r>
            <w:bookmarkEnd w:id="4"/>
            <w:r w:rsidRPr="003B2A0D">
              <w:rPr>
                <w:rFonts w:cs="Arial"/>
                <w:szCs w:val="20"/>
              </w:rPr>
              <w:t>so standardi, ki so določeni z delegiranim aktom Evropske komisije, sprejetim na podlagi 40</w:t>
            </w:r>
            <w:r w:rsidRPr="003B2A0D" w:rsidDel="00E354C1">
              <w:rPr>
                <w:rFonts w:cs="Arial"/>
                <w:szCs w:val="20"/>
              </w:rPr>
              <w:t>.</w:t>
            </w:r>
            <w:r w:rsidRPr="003B2A0D">
              <w:rPr>
                <w:rFonts w:cs="Arial"/>
                <w:szCs w:val="20"/>
              </w:rPr>
              <w:t xml:space="preserve">b </w:t>
            </w:r>
            <w:r w:rsidRPr="003B2A0D" w:rsidDel="00E354C1">
              <w:rPr>
                <w:rFonts w:cs="Arial"/>
                <w:szCs w:val="20"/>
              </w:rPr>
              <w:t xml:space="preserve">člena </w:t>
            </w:r>
            <w:r w:rsidRPr="003B2A0D">
              <w:rPr>
                <w:rFonts w:cs="Arial"/>
                <w:szCs w:val="20"/>
              </w:rPr>
              <w:t>Direktive 2013/34/EU</w:t>
            </w:r>
            <w:bookmarkEnd w:id="3"/>
            <w:r w:rsidRPr="003B2A0D">
              <w:rPr>
                <w:rFonts w:cs="Arial"/>
                <w:szCs w:val="20"/>
              </w:rPr>
              <w:t>.«.</w:t>
            </w:r>
          </w:p>
          <w:p w14:paraId="50149EE3" w14:textId="77777777" w:rsidR="000C08CA" w:rsidRPr="003B2A0D" w:rsidRDefault="000C08CA" w:rsidP="00FE328D">
            <w:pPr>
              <w:spacing w:line="276" w:lineRule="auto"/>
              <w:rPr>
                <w:rFonts w:cs="Arial"/>
                <w:szCs w:val="20"/>
              </w:rPr>
            </w:pPr>
          </w:p>
          <w:p w14:paraId="42203BFD"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69AA245C" w14:textId="77777777" w:rsidR="000C08CA" w:rsidRPr="003B2A0D" w:rsidRDefault="000C08CA" w:rsidP="00FE328D">
            <w:pPr>
              <w:spacing w:line="276" w:lineRule="auto"/>
              <w:rPr>
                <w:rFonts w:cs="Arial"/>
                <w:szCs w:val="20"/>
              </w:rPr>
            </w:pPr>
          </w:p>
          <w:p w14:paraId="3F41DA41" w14:textId="77777777" w:rsidR="000C08CA" w:rsidRPr="003B2A0D" w:rsidRDefault="000C08CA" w:rsidP="00FE328D">
            <w:pPr>
              <w:spacing w:line="276" w:lineRule="auto"/>
              <w:jc w:val="both"/>
              <w:rPr>
                <w:rFonts w:cs="Arial"/>
                <w:szCs w:val="20"/>
              </w:rPr>
            </w:pPr>
            <w:r w:rsidRPr="003B2A0D">
              <w:rPr>
                <w:rFonts w:cs="Arial"/>
                <w:szCs w:val="20"/>
              </w:rPr>
              <w:t>V  55. členu se v drugem odstavku v drugi alineji znesek »700.000 eurov« nadomesti z zneskom »900.000 eurov«.</w:t>
            </w:r>
          </w:p>
          <w:p w14:paraId="5C5EBA9D" w14:textId="77777777" w:rsidR="000C08CA" w:rsidRPr="003B2A0D" w:rsidRDefault="000C08CA" w:rsidP="00FE328D">
            <w:pPr>
              <w:spacing w:line="276" w:lineRule="auto"/>
              <w:jc w:val="both"/>
              <w:rPr>
                <w:rFonts w:cs="Arial"/>
                <w:szCs w:val="20"/>
              </w:rPr>
            </w:pPr>
          </w:p>
          <w:p w14:paraId="392A126B" w14:textId="77777777" w:rsidR="000C08CA" w:rsidRPr="003B2A0D" w:rsidRDefault="000C08CA" w:rsidP="00FE328D">
            <w:pPr>
              <w:spacing w:line="276" w:lineRule="auto"/>
              <w:jc w:val="both"/>
              <w:rPr>
                <w:rFonts w:cs="Arial"/>
                <w:szCs w:val="20"/>
              </w:rPr>
            </w:pPr>
            <w:r w:rsidRPr="003B2A0D">
              <w:rPr>
                <w:rFonts w:cs="Arial"/>
                <w:szCs w:val="20"/>
              </w:rPr>
              <w:t>V tretji alineji se znesek »350.000 eurov« nadomesti z zneskom »450.000 eurov«.</w:t>
            </w:r>
          </w:p>
          <w:p w14:paraId="1E11769A" w14:textId="77777777" w:rsidR="000C08CA" w:rsidRPr="003B2A0D" w:rsidRDefault="000C08CA" w:rsidP="00FE328D">
            <w:pPr>
              <w:spacing w:line="276" w:lineRule="auto"/>
              <w:jc w:val="both"/>
              <w:rPr>
                <w:rFonts w:cs="Arial"/>
                <w:szCs w:val="20"/>
              </w:rPr>
            </w:pPr>
          </w:p>
          <w:p w14:paraId="1EFFC2B8" w14:textId="77777777" w:rsidR="000C08CA" w:rsidRPr="003B2A0D" w:rsidRDefault="000C08CA" w:rsidP="00FE328D">
            <w:pPr>
              <w:spacing w:line="276" w:lineRule="auto"/>
              <w:jc w:val="both"/>
              <w:rPr>
                <w:rFonts w:cs="Arial"/>
                <w:szCs w:val="20"/>
              </w:rPr>
            </w:pPr>
            <w:r w:rsidRPr="003B2A0D">
              <w:rPr>
                <w:rFonts w:cs="Arial"/>
                <w:szCs w:val="20"/>
              </w:rPr>
              <w:t xml:space="preserve">V tretjem odstavku se v drugi alineji znesek »8.000.000 eurov« nadomesti z zneskom »10.000.000 eurov«. </w:t>
            </w:r>
          </w:p>
          <w:p w14:paraId="54DDDF57" w14:textId="77777777" w:rsidR="000C08CA" w:rsidRPr="003B2A0D" w:rsidRDefault="000C08CA" w:rsidP="00FE328D">
            <w:pPr>
              <w:spacing w:line="276" w:lineRule="auto"/>
              <w:jc w:val="both"/>
              <w:rPr>
                <w:rFonts w:cs="Arial"/>
                <w:szCs w:val="20"/>
              </w:rPr>
            </w:pPr>
          </w:p>
          <w:p w14:paraId="5ECDE5EB" w14:textId="77777777" w:rsidR="000C08CA" w:rsidRPr="003B2A0D" w:rsidRDefault="000C08CA" w:rsidP="00FE328D">
            <w:pPr>
              <w:spacing w:line="276" w:lineRule="auto"/>
              <w:jc w:val="both"/>
              <w:rPr>
                <w:rFonts w:cs="Arial"/>
                <w:szCs w:val="20"/>
              </w:rPr>
            </w:pPr>
            <w:r w:rsidRPr="003B2A0D">
              <w:rPr>
                <w:rFonts w:cs="Arial"/>
                <w:szCs w:val="20"/>
              </w:rPr>
              <w:t>V tretji alineji se znesek »4.000.000 eurov« nadomesti z zneskom »5.000.000 eurov«.</w:t>
            </w:r>
          </w:p>
          <w:p w14:paraId="1BFA55FE" w14:textId="77777777" w:rsidR="000C08CA" w:rsidRPr="003B2A0D" w:rsidRDefault="000C08CA" w:rsidP="00FE328D">
            <w:pPr>
              <w:spacing w:line="276" w:lineRule="auto"/>
              <w:jc w:val="both"/>
              <w:rPr>
                <w:rFonts w:cs="Arial"/>
                <w:szCs w:val="20"/>
              </w:rPr>
            </w:pPr>
          </w:p>
          <w:p w14:paraId="6DC1C125" w14:textId="77777777" w:rsidR="000C08CA" w:rsidRPr="003B2A0D" w:rsidRDefault="000C08CA" w:rsidP="00FE328D">
            <w:pPr>
              <w:spacing w:line="276" w:lineRule="auto"/>
              <w:jc w:val="both"/>
              <w:rPr>
                <w:rFonts w:cs="Arial"/>
                <w:szCs w:val="20"/>
              </w:rPr>
            </w:pPr>
            <w:r w:rsidRPr="003B2A0D">
              <w:rPr>
                <w:rFonts w:cs="Arial"/>
                <w:szCs w:val="20"/>
              </w:rPr>
              <w:t xml:space="preserve">V četrtem odstavku se v drugi alineji znesek »40.000.000 eurov« nadomesti z zneskom »50.000.000 eurov«. </w:t>
            </w:r>
          </w:p>
          <w:p w14:paraId="3D1B9A68" w14:textId="77777777" w:rsidR="000C08CA" w:rsidRPr="003B2A0D" w:rsidRDefault="000C08CA" w:rsidP="00FE328D">
            <w:pPr>
              <w:spacing w:line="276" w:lineRule="auto"/>
              <w:jc w:val="both"/>
              <w:rPr>
                <w:rFonts w:cs="Arial"/>
                <w:szCs w:val="20"/>
              </w:rPr>
            </w:pPr>
          </w:p>
          <w:p w14:paraId="66FF6C42" w14:textId="77777777" w:rsidR="000C08CA" w:rsidRPr="003B2A0D" w:rsidRDefault="000C08CA" w:rsidP="00FE328D">
            <w:pPr>
              <w:spacing w:line="276" w:lineRule="auto"/>
              <w:jc w:val="both"/>
              <w:rPr>
                <w:rFonts w:cs="Arial"/>
                <w:szCs w:val="20"/>
              </w:rPr>
            </w:pPr>
            <w:r w:rsidRPr="003B2A0D">
              <w:rPr>
                <w:rFonts w:cs="Arial"/>
                <w:szCs w:val="20"/>
              </w:rPr>
              <w:t>V tretji alineji se znesek »20.000.000 eurov« nadomesti z zneskom »25.000.000 eurov«.</w:t>
            </w:r>
          </w:p>
          <w:p w14:paraId="6FE91011" w14:textId="77777777" w:rsidR="000C08CA" w:rsidRPr="003B2A0D" w:rsidRDefault="000C08CA" w:rsidP="00FE328D">
            <w:pPr>
              <w:spacing w:line="276" w:lineRule="auto"/>
              <w:jc w:val="both"/>
              <w:rPr>
                <w:rFonts w:cs="Arial"/>
                <w:szCs w:val="20"/>
              </w:rPr>
            </w:pPr>
          </w:p>
          <w:p w14:paraId="5B1A5230" w14:textId="77777777" w:rsidR="000C08CA" w:rsidRPr="003B2A0D" w:rsidRDefault="000C08CA" w:rsidP="00FE328D">
            <w:pPr>
              <w:spacing w:line="276" w:lineRule="auto"/>
              <w:jc w:val="both"/>
              <w:rPr>
                <w:rFonts w:cs="Arial"/>
                <w:szCs w:val="20"/>
              </w:rPr>
            </w:pPr>
            <w:r w:rsidRPr="003B2A0D">
              <w:rPr>
                <w:rFonts w:cs="Arial"/>
                <w:szCs w:val="20"/>
              </w:rPr>
              <w:lastRenderedPageBreak/>
              <w:t>Osmi odstavek se spremeni tako, da se glasi:</w:t>
            </w:r>
          </w:p>
          <w:p w14:paraId="1BCFD893" w14:textId="77777777" w:rsidR="000C08CA" w:rsidRPr="003B2A0D" w:rsidRDefault="000C08CA" w:rsidP="00FE328D">
            <w:pPr>
              <w:spacing w:line="276" w:lineRule="auto"/>
              <w:jc w:val="both"/>
              <w:rPr>
                <w:rFonts w:cs="Arial"/>
                <w:szCs w:val="20"/>
              </w:rPr>
            </w:pPr>
          </w:p>
          <w:p w14:paraId="0FB450C7" w14:textId="77777777" w:rsidR="000C08CA" w:rsidRPr="003B2A0D" w:rsidRDefault="000C08CA" w:rsidP="00FE328D">
            <w:pPr>
              <w:spacing w:line="276" w:lineRule="auto"/>
              <w:jc w:val="both"/>
              <w:rPr>
                <w:rFonts w:cs="Arial"/>
                <w:szCs w:val="20"/>
              </w:rPr>
            </w:pPr>
            <w:r w:rsidRPr="003B2A0D">
              <w:rPr>
                <w:rFonts w:cs="Arial"/>
                <w:szCs w:val="20"/>
              </w:rPr>
              <w:t>»(8) Določbe tega poglavja, ki veljajo za velike družbe, razen obveznosti iz 70.c do 70.d člena tega zakona, veljajo tudi za:</w:t>
            </w:r>
          </w:p>
          <w:p w14:paraId="138B9FD0"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ab/>
              <w:t xml:space="preserve">subjekt javnega interesa iz prvega stavka desete alineje osmega odstavka 3. člena tega zakona, </w:t>
            </w:r>
          </w:p>
          <w:p w14:paraId="6E7EA6E8"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ab/>
              <w:t>borzo vrednostnih papirjev,</w:t>
            </w:r>
          </w:p>
          <w:p w14:paraId="0BD602E7"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ab/>
              <w:t>družbo, ki mora v skladu s 56. členom tega zakona pripraviti konsolidirano letno poročilo.«.</w:t>
            </w:r>
          </w:p>
          <w:p w14:paraId="49DF72D8" w14:textId="77777777" w:rsidR="000C08CA" w:rsidRPr="003B2A0D" w:rsidRDefault="000C08CA" w:rsidP="00FE328D">
            <w:pPr>
              <w:spacing w:line="276" w:lineRule="auto"/>
              <w:jc w:val="both"/>
              <w:rPr>
                <w:rFonts w:cs="Arial"/>
                <w:strike/>
                <w:szCs w:val="20"/>
                <w:highlight w:val="yellow"/>
              </w:rPr>
            </w:pPr>
          </w:p>
          <w:p w14:paraId="1C45B7BD"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39A69D62" w14:textId="77777777" w:rsidR="000C08CA" w:rsidRPr="003B2A0D" w:rsidRDefault="000C08CA" w:rsidP="00FE328D">
            <w:pPr>
              <w:spacing w:line="276" w:lineRule="auto"/>
              <w:jc w:val="both"/>
              <w:rPr>
                <w:rFonts w:cs="Arial"/>
                <w:szCs w:val="20"/>
              </w:rPr>
            </w:pPr>
          </w:p>
          <w:p w14:paraId="47F09CA1" w14:textId="77777777" w:rsidR="000C08CA" w:rsidRPr="003B2A0D" w:rsidRDefault="000C08CA" w:rsidP="00FE328D">
            <w:pPr>
              <w:spacing w:line="276" w:lineRule="auto"/>
              <w:jc w:val="both"/>
              <w:rPr>
                <w:rFonts w:cs="Arial"/>
                <w:szCs w:val="20"/>
              </w:rPr>
            </w:pPr>
            <w:r w:rsidRPr="003B2A0D">
              <w:rPr>
                <w:rFonts w:cs="Arial"/>
                <w:szCs w:val="20"/>
              </w:rPr>
              <w:t xml:space="preserve">V 56. členu se v petem odstavku za drugim stavkom doda besedilo: </w:t>
            </w:r>
          </w:p>
          <w:p w14:paraId="74B5B922" w14:textId="77777777" w:rsidR="000C08CA" w:rsidRPr="003B2A0D" w:rsidRDefault="000C08CA" w:rsidP="00FE328D">
            <w:pPr>
              <w:spacing w:line="276" w:lineRule="auto"/>
              <w:jc w:val="both"/>
              <w:rPr>
                <w:rFonts w:cs="Arial"/>
                <w:szCs w:val="20"/>
              </w:rPr>
            </w:pPr>
          </w:p>
          <w:p w14:paraId="7A8C35B9" w14:textId="77777777" w:rsidR="000C08CA" w:rsidRPr="003B2A0D" w:rsidRDefault="000C08CA" w:rsidP="00FE328D">
            <w:pPr>
              <w:spacing w:line="276" w:lineRule="auto"/>
              <w:jc w:val="both"/>
              <w:rPr>
                <w:rFonts w:cs="Arial"/>
                <w:szCs w:val="20"/>
              </w:rPr>
            </w:pPr>
            <w:r w:rsidRPr="003B2A0D">
              <w:rPr>
                <w:rFonts w:cs="Arial"/>
                <w:szCs w:val="20"/>
              </w:rPr>
              <w:t>»Obvladujoča družba za ta namen pri ugotavljanju čistih prihodkov od prodaje in vrednosti aktive ne upošteva prilagoditev, potrebnih za pripravo konsolidiranih računovodskih izkazov.«.</w:t>
            </w:r>
          </w:p>
          <w:p w14:paraId="6FF5FB75" w14:textId="77777777" w:rsidR="000C08CA" w:rsidRPr="003B2A0D" w:rsidRDefault="000C08CA" w:rsidP="00FE328D">
            <w:pPr>
              <w:spacing w:line="276" w:lineRule="auto"/>
              <w:jc w:val="both"/>
              <w:rPr>
                <w:rFonts w:cs="Arial"/>
                <w:szCs w:val="20"/>
              </w:rPr>
            </w:pPr>
          </w:p>
          <w:p w14:paraId="4ABC9E15" w14:textId="77777777" w:rsidR="000C08CA" w:rsidRPr="003B2A0D" w:rsidRDefault="000C08CA" w:rsidP="00FE328D">
            <w:pPr>
              <w:spacing w:line="276" w:lineRule="auto"/>
              <w:jc w:val="both"/>
              <w:rPr>
                <w:rFonts w:cs="Arial"/>
                <w:szCs w:val="20"/>
              </w:rPr>
            </w:pPr>
            <w:r w:rsidRPr="003B2A0D">
              <w:rPr>
                <w:rFonts w:cs="Arial"/>
                <w:szCs w:val="20"/>
              </w:rPr>
              <w:t>Dvanajsti odstavek se črta.</w:t>
            </w:r>
          </w:p>
          <w:p w14:paraId="410958BB" w14:textId="77777777" w:rsidR="000C08CA" w:rsidRPr="003B2A0D" w:rsidRDefault="000C08CA" w:rsidP="00FE328D">
            <w:pPr>
              <w:spacing w:line="276" w:lineRule="auto"/>
              <w:jc w:val="both"/>
              <w:rPr>
                <w:rFonts w:cs="Arial"/>
                <w:b/>
                <w:bCs/>
                <w:szCs w:val="20"/>
              </w:rPr>
            </w:pPr>
          </w:p>
          <w:p w14:paraId="1E9DD441"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27E47EAE" w14:textId="77777777" w:rsidR="000C08CA" w:rsidRPr="003B2A0D" w:rsidRDefault="000C08CA" w:rsidP="00FE328D">
            <w:pPr>
              <w:spacing w:line="276" w:lineRule="auto"/>
              <w:jc w:val="both"/>
              <w:rPr>
                <w:rFonts w:cs="Arial"/>
                <w:szCs w:val="20"/>
              </w:rPr>
            </w:pPr>
          </w:p>
          <w:p w14:paraId="03DCB47A" w14:textId="77777777" w:rsidR="000C08CA" w:rsidRPr="003B2A0D" w:rsidRDefault="000C08CA" w:rsidP="00FE328D">
            <w:pPr>
              <w:spacing w:line="276" w:lineRule="auto"/>
              <w:jc w:val="both"/>
              <w:rPr>
                <w:rFonts w:cs="Arial"/>
                <w:szCs w:val="20"/>
              </w:rPr>
            </w:pPr>
            <w:bookmarkStart w:id="5" w:name="_Hlk137628004"/>
            <w:bookmarkStart w:id="6" w:name="_Hlk139443389"/>
            <w:r w:rsidRPr="003B2A0D">
              <w:rPr>
                <w:rFonts w:cs="Arial"/>
                <w:szCs w:val="20"/>
              </w:rPr>
              <w:t xml:space="preserve">V 57. členu se naslov </w:t>
            </w:r>
            <w:r>
              <w:rPr>
                <w:rFonts w:cs="Arial"/>
                <w:szCs w:val="20"/>
              </w:rPr>
              <w:t xml:space="preserve">člena </w:t>
            </w:r>
            <w:r w:rsidRPr="003B2A0D">
              <w:rPr>
                <w:rFonts w:cs="Arial"/>
                <w:szCs w:val="20"/>
              </w:rPr>
              <w:t>spremeni tako, da se glasi:</w:t>
            </w:r>
            <w:r>
              <w:rPr>
                <w:rFonts w:cs="Arial"/>
                <w:szCs w:val="20"/>
              </w:rPr>
              <w:t xml:space="preserve"> </w:t>
            </w:r>
            <w:r w:rsidRPr="003B2A0D">
              <w:rPr>
                <w:rFonts w:cs="Arial"/>
                <w:szCs w:val="20"/>
              </w:rPr>
              <w:t>»(revidiranje in dajanje zagotovil o trajnostnosti)«.</w:t>
            </w:r>
          </w:p>
          <w:p w14:paraId="450468F0" w14:textId="77777777" w:rsidR="000C08CA" w:rsidRPr="003B2A0D" w:rsidRDefault="000C08CA" w:rsidP="00FE328D">
            <w:pPr>
              <w:spacing w:line="276" w:lineRule="auto"/>
              <w:jc w:val="both"/>
              <w:rPr>
                <w:rFonts w:cs="Arial"/>
                <w:szCs w:val="20"/>
              </w:rPr>
            </w:pPr>
          </w:p>
          <w:p w14:paraId="553A9701" w14:textId="77777777" w:rsidR="000C08CA" w:rsidRPr="003B2A0D" w:rsidRDefault="000C08CA" w:rsidP="00FE328D">
            <w:pPr>
              <w:spacing w:line="276" w:lineRule="auto"/>
              <w:jc w:val="both"/>
              <w:rPr>
                <w:rFonts w:cs="Arial"/>
                <w:szCs w:val="20"/>
              </w:rPr>
            </w:pPr>
            <w:r w:rsidRPr="003B2A0D">
              <w:rPr>
                <w:rFonts w:cs="Arial"/>
                <w:szCs w:val="20"/>
              </w:rPr>
              <w:t>Prvi odstavek se spremeni tako, da se glasi:</w:t>
            </w:r>
          </w:p>
          <w:p w14:paraId="43BFD6B5" w14:textId="77777777" w:rsidR="000C08CA" w:rsidRPr="003B2A0D" w:rsidRDefault="000C08CA" w:rsidP="00FE328D">
            <w:pPr>
              <w:spacing w:line="276" w:lineRule="auto"/>
              <w:jc w:val="both"/>
              <w:rPr>
                <w:rFonts w:cs="Arial"/>
                <w:szCs w:val="20"/>
              </w:rPr>
            </w:pPr>
          </w:p>
          <w:p w14:paraId="319CB353" w14:textId="77777777" w:rsidR="000C08CA" w:rsidRPr="003B2A0D" w:rsidRDefault="000C08CA" w:rsidP="00FE328D">
            <w:pPr>
              <w:spacing w:line="276" w:lineRule="auto"/>
              <w:jc w:val="both"/>
              <w:rPr>
                <w:rFonts w:cs="Arial"/>
                <w:szCs w:val="20"/>
              </w:rPr>
            </w:pPr>
            <w:r w:rsidRPr="003B2A0D">
              <w:rPr>
                <w:rFonts w:cs="Arial"/>
                <w:szCs w:val="20"/>
              </w:rPr>
              <w:t xml:space="preserve">»(1) Letna poročila velikih in srednjih kapitalskih družb ter dvojnih družb pregleda revizor na način in pod </w:t>
            </w:r>
            <w:bookmarkStart w:id="7" w:name="_Hlk144391187"/>
            <w:r w:rsidRPr="003B2A0D">
              <w:rPr>
                <w:rFonts w:cs="Arial"/>
                <w:szCs w:val="20"/>
              </w:rPr>
              <w:t>pogoji, določenimi z zakonom, ki ureja revidiranje</w:t>
            </w:r>
            <w:bookmarkEnd w:id="7"/>
            <w:r w:rsidRPr="003B2A0D">
              <w:rPr>
                <w:rFonts w:cs="Arial"/>
                <w:szCs w:val="20"/>
              </w:rPr>
              <w:t>. Revizor:</w:t>
            </w:r>
          </w:p>
          <w:p w14:paraId="63983B43" w14:textId="77777777" w:rsidR="000C08CA" w:rsidRPr="003B2A0D" w:rsidRDefault="000C08CA" w:rsidP="00FE328D">
            <w:pPr>
              <w:pStyle w:val="ListParagraph"/>
              <w:numPr>
                <w:ilvl w:val="0"/>
                <w:numId w:val="27"/>
              </w:numPr>
              <w:spacing w:after="0" w:line="276" w:lineRule="auto"/>
              <w:jc w:val="both"/>
              <w:rPr>
                <w:rFonts w:ascii="Arial" w:hAnsi="Arial" w:cs="Arial"/>
                <w:sz w:val="20"/>
                <w:szCs w:val="20"/>
              </w:rPr>
            </w:pPr>
            <w:r w:rsidRPr="003B2A0D">
              <w:rPr>
                <w:rFonts w:ascii="Arial" w:hAnsi="Arial" w:cs="Arial"/>
                <w:sz w:val="20"/>
                <w:szCs w:val="20"/>
              </w:rPr>
              <w:t>revidira računovodsko poročilo,</w:t>
            </w:r>
          </w:p>
          <w:p w14:paraId="62265773" w14:textId="77777777" w:rsidR="000C08CA" w:rsidRPr="003B2A0D" w:rsidRDefault="000C08CA" w:rsidP="00FE328D">
            <w:pPr>
              <w:pStyle w:val="ListParagraph"/>
              <w:numPr>
                <w:ilvl w:val="0"/>
                <w:numId w:val="27"/>
              </w:numPr>
              <w:spacing w:after="0" w:line="276" w:lineRule="auto"/>
              <w:jc w:val="both"/>
              <w:rPr>
                <w:rFonts w:ascii="Arial" w:hAnsi="Arial" w:cs="Arial"/>
                <w:sz w:val="20"/>
                <w:szCs w:val="20"/>
              </w:rPr>
            </w:pPr>
            <w:r w:rsidRPr="003B2A0D">
              <w:rPr>
                <w:rFonts w:ascii="Arial" w:hAnsi="Arial" w:cs="Arial"/>
                <w:sz w:val="20"/>
                <w:szCs w:val="20"/>
              </w:rPr>
              <w:t>pregleda poslovno poročilo v obsegu, potrebnem</w:t>
            </w:r>
            <w:r>
              <w:rPr>
                <w:rFonts w:ascii="Arial" w:hAnsi="Arial" w:cs="Arial"/>
                <w:sz w:val="20"/>
                <w:szCs w:val="20"/>
              </w:rPr>
              <w:t>,</w:t>
            </w:r>
            <w:r w:rsidRPr="003B2A0D">
              <w:rPr>
                <w:rFonts w:ascii="Arial" w:hAnsi="Arial" w:cs="Arial"/>
                <w:sz w:val="20"/>
                <w:szCs w:val="20"/>
              </w:rPr>
              <w:t xml:space="preserve"> da preveri, ali je njegova vsebina v skladu z drugimi sestavinami letnega poročila,</w:t>
            </w:r>
          </w:p>
          <w:p w14:paraId="73F5B602" w14:textId="77777777" w:rsidR="000C08CA" w:rsidRPr="003B2A0D" w:rsidRDefault="000C08CA" w:rsidP="00FE328D">
            <w:pPr>
              <w:pStyle w:val="ListParagraph"/>
              <w:numPr>
                <w:ilvl w:val="0"/>
                <w:numId w:val="27"/>
              </w:numPr>
              <w:spacing w:after="0" w:line="276" w:lineRule="auto"/>
              <w:jc w:val="both"/>
              <w:rPr>
                <w:rFonts w:ascii="Arial" w:hAnsi="Arial" w:cs="Arial"/>
                <w:sz w:val="20"/>
                <w:szCs w:val="20"/>
              </w:rPr>
            </w:pPr>
            <w:r w:rsidRPr="003B2A0D">
              <w:rPr>
                <w:rFonts w:ascii="Arial" w:hAnsi="Arial" w:cs="Arial"/>
                <w:sz w:val="20"/>
                <w:szCs w:val="20"/>
              </w:rPr>
              <w:t xml:space="preserve">pregleda poročilo o trajnostnosti, kadar ga je družba dolžna pripraviti </w:t>
            </w:r>
            <w:r>
              <w:rPr>
                <w:rFonts w:ascii="Arial" w:hAnsi="Arial" w:cs="Arial"/>
                <w:sz w:val="20"/>
                <w:szCs w:val="20"/>
              </w:rPr>
              <w:t xml:space="preserve">v </w:t>
            </w:r>
            <w:r w:rsidRPr="003B2A0D">
              <w:rPr>
                <w:rFonts w:ascii="Arial" w:hAnsi="Arial" w:cs="Arial"/>
                <w:sz w:val="20"/>
                <w:szCs w:val="20"/>
              </w:rPr>
              <w:t>sklad</w:t>
            </w:r>
            <w:r>
              <w:rPr>
                <w:rFonts w:ascii="Arial" w:hAnsi="Arial" w:cs="Arial"/>
                <w:sz w:val="20"/>
                <w:szCs w:val="20"/>
              </w:rPr>
              <w:t>u</w:t>
            </w:r>
            <w:r w:rsidRPr="003B2A0D">
              <w:rPr>
                <w:rFonts w:ascii="Arial" w:hAnsi="Arial" w:cs="Arial"/>
                <w:sz w:val="20"/>
                <w:szCs w:val="20"/>
              </w:rPr>
              <w:t xml:space="preserve"> s 70.c ali 70.č členom tega zakona, pri čemer lahko to poročilo pregleda tudi revizor, ki ni isti kot tisti, ki opravlja pregled preostalih delov letnega poročila,</w:t>
            </w:r>
          </w:p>
          <w:p w14:paraId="345465C3" w14:textId="77777777" w:rsidR="000C08CA" w:rsidRPr="003B2A0D" w:rsidRDefault="000C08CA" w:rsidP="00FE328D">
            <w:pPr>
              <w:pStyle w:val="ListParagraph"/>
              <w:numPr>
                <w:ilvl w:val="0"/>
                <w:numId w:val="27"/>
              </w:numPr>
              <w:spacing w:after="0" w:line="276" w:lineRule="auto"/>
              <w:jc w:val="both"/>
              <w:rPr>
                <w:rFonts w:ascii="Arial" w:hAnsi="Arial" w:cs="Arial"/>
                <w:sz w:val="20"/>
                <w:szCs w:val="20"/>
              </w:rPr>
            </w:pPr>
            <w:r w:rsidRPr="003B2A0D">
              <w:rPr>
                <w:rFonts w:ascii="Arial" w:hAnsi="Arial" w:cs="Arial"/>
                <w:sz w:val="20"/>
                <w:szCs w:val="20"/>
              </w:rPr>
              <w:t>preveri, ali poslovno poročilo vsebuje izjavo o upravljanju družbe</w:t>
            </w:r>
            <w:r>
              <w:rPr>
                <w:rFonts w:ascii="Arial" w:hAnsi="Arial" w:cs="Arial"/>
                <w:sz w:val="20"/>
                <w:szCs w:val="20"/>
              </w:rPr>
              <w:t>,</w:t>
            </w:r>
            <w:r w:rsidRPr="003B2A0D">
              <w:rPr>
                <w:rFonts w:ascii="Arial" w:hAnsi="Arial" w:cs="Arial"/>
                <w:sz w:val="20"/>
                <w:szCs w:val="20"/>
              </w:rPr>
              <w:t xml:space="preserve"> </w:t>
            </w:r>
            <w:r>
              <w:rPr>
                <w:rFonts w:ascii="Arial" w:hAnsi="Arial" w:cs="Arial"/>
                <w:sz w:val="20"/>
                <w:szCs w:val="20"/>
              </w:rPr>
              <w:t>in</w:t>
            </w:r>
            <w:r w:rsidRPr="003B2A0D">
              <w:rPr>
                <w:rFonts w:ascii="Arial" w:hAnsi="Arial" w:cs="Arial"/>
                <w:sz w:val="20"/>
                <w:szCs w:val="20"/>
              </w:rPr>
              <w:t xml:space="preserve"> pregleda njeno formalno popolnost, vsebinsko pa se v mnenju omeji na pregled podatkov iz 3. in 4. točke šestega odstavka 70. člena tega zakona,</w:t>
            </w:r>
          </w:p>
          <w:p w14:paraId="24D0A735" w14:textId="77777777" w:rsidR="000C08CA" w:rsidRPr="003B2A0D" w:rsidRDefault="000C08CA" w:rsidP="00FE328D">
            <w:pPr>
              <w:pStyle w:val="ListParagraph"/>
              <w:keepNext/>
              <w:keepLines/>
              <w:numPr>
                <w:ilvl w:val="0"/>
                <w:numId w:val="27"/>
              </w:numPr>
              <w:spacing w:before="40" w:after="0" w:line="276" w:lineRule="auto"/>
              <w:jc w:val="both"/>
              <w:outlineLvl w:val="1"/>
              <w:rPr>
                <w:rFonts w:ascii="Arial" w:hAnsi="Arial" w:cs="Arial"/>
                <w:sz w:val="20"/>
                <w:szCs w:val="20"/>
              </w:rPr>
            </w:pPr>
            <w:r w:rsidRPr="003B2A0D">
              <w:rPr>
                <w:rFonts w:ascii="Arial" w:hAnsi="Arial" w:cs="Arial"/>
                <w:sz w:val="20"/>
                <w:szCs w:val="20"/>
              </w:rPr>
              <w:t>preveri</w:t>
            </w:r>
            <w:r w:rsidRPr="003B2A0D">
              <w:rPr>
                <w:rFonts w:ascii="Arial" w:hAnsi="Arial" w:cs="Arial"/>
                <w:i/>
                <w:sz w:val="20"/>
                <w:szCs w:val="20"/>
              </w:rPr>
              <w:t>,</w:t>
            </w:r>
            <w:r w:rsidRPr="003B2A0D">
              <w:rPr>
                <w:rFonts w:ascii="Arial" w:hAnsi="Arial" w:cs="Arial"/>
                <w:sz w:val="20"/>
                <w:szCs w:val="20"/>
              </w:rPr>
              <w:t xml:space="preserve"> ali je bila družba za poslovno leto pred poslovnim letom, za katero so bili pripravljeni računovodski izkazi, ki se revidirajo, dolžna objaviti poročilo o davčnih informacijah v zvezi z dohodki in če ugotovi, da bi ga morala objaviti, preveri tudi, ali je bilo poročilo objavljeno v skladu z določbami tega zakona, ki urejajo javno objavo in objavo poročila o davčnih informacijah v zvezi z dohodki na spletni strani družbe.</w:t>
            </w:r>
          </w:p>
          <w:p w14:paraId="73AB6D06" w14:textId="77777777" w:rsidR="000C08CA" w:rsidRPr="003B2A0D" w:rsidRDefault="000C08CA" w:rsidP="00FE328D">
            <w:pPr>
              <w:spacing w:line="276" w:lineRule="auto"/>
              <w:jc w:val="both"/>
              <w:rPr>
                <w:rFonts w:cs="Arial"/>
                <w:szCs w:val="20"/>
              </w:rPr>
            </w:pPr>
            <w:bookmarkStart w:id="8" w:name="_Hlk142577159"/>
            <w:r w:rsidRPr="003B2A0D">
              <w:rPr>
                <w:rFonts w:cs="Arial"/>
                <w:szCs w:val="20"/>
              </w:rPr>
              <w:t>Vse to velja tudi za konsolidirana letna poročila.«.</w:t>
            </w:r>
          </w:p>
          <w:bookmarkEnd w:id="5"/>
          <w:bookmarkEnd w:id="8"/>
          <w:p w14:paraId="1282780B" w14:textId="77777777" w:rsidR="000C08CA" w:rsidRPr="003B2A0D" w:rsidRDefault="000C08CA" w:rsidP="00FE328D">
            <w:pPr>
              <w:spacing w:line="276" w:lineRule="auto"/>
              <w:jc w:val="both"/>
              <w:rPr>
                <w:rFonts w:cs="Arial"/>
                <w:szCs w:val="20"/>
              </w:rPr>
            </w:pPr>
          </w:p>
          <w:p w14:paraId="3243F106" w14:textId="77777777" w:rsidR="000C08CA" w:rsidRPr="003B2A0D" w:rsidRDefault="000C08CA" w:rsidP="00FE328D">
            <w:pPr>
              <w:spacing w:line="276" w:lineRule="auto"/>
              <w:jc w:val="both"/>
              <w:rPr>
                <w:rFonts w:cs="Arial"/>
                <w:szCs w:val="20"/>
              </w:rPr>
            </w:pPr>
            <w:r w:rsidRPr="003B2A0D">
              <w:rPr>
                <w:rFonts w:cs="Arial"/>
                <w:szCs w:val="20"/>
              </w:rPr>
              <w:t xml:space="preserve">V drugem odstavku se v napovednem stavku za besedilom »Revizorjevo poročilo« doda besedilo »o računovodskih izkazih«. </w:t>
            </w:r>
          </w:p>
          <w:p w14:paraId="73824167" w14:textId="77777777" w:rsidR="000C08CA" w:rsidRPr="003B2A0D" w:rsidRDefault="000C08CA" w:rsidP="00FE328D">
            <w:pPr>
              <w:spacing w:line="276" w:lineRule="auto"/>
              <w:jc w:val="both"/>
              <w:rPr>
                <w:rFonts w:cs="Arial"/>
                <w:szCs w:val="20"/>
              </w:rPr>
            </w:pPr>
          </w:p>
          <w:p w14:paraId="6713FE88" w14:textId="77777777" w:rsidR="000C08CA" w:rsidRPr="003B2A0D" w:rsidRDefault="000C08CA" w:rsidP="00FE328D">
            <w:pPr>
              <w:spacing w:line="276" w:lineRule="auto"/>
              <w:jc w:val="both"/>
              <w:rPr>
                <w:rFonts w:cs="Arial"/>
                <w:szCs w:val="20"/>
              </w:rPr>
            </w:pPr>
            <w:r w:rsidRPr="003B2A0D">
              <w:rPr>
                <w:rFonts w:cs="Arial"/>
                <w:szCs w:val="20"/>
              </w:rPr>
              <w:t>Za 5. točko se doda nova 6. točka, ki se glasi:</w:t>
            </w:r>
          </w:p>
          <w:p w14:paraId="051899D3" w14:textId="77777777" w:rsidR="000C08CA" w:rsidRPr="003B2A0D" w:rsidRDefault="000C08CA" w:rsidP="00FE328D">
            <w:pPr>
              <w:spacing w:line="276" w:lineRule="auto"/>
              <w:jc w:val="both"/>
              <w:rPr>
                <w:rFonts w:cs="Arial"/>
                <w:szCs w:val="20"/>
              </w:rPr>
            </w:pPr>
          </w:p>
          <w:p w14:paraId="1BD1F524" w14:textId="77777777" w:rsidR="000C08CA" w:rsidRPr="003B2A0D" w:rsidRDefault="000C08CA" w:rsidP="00FE328D">
            <w:pPr>
              <w:spacing w:line="276" w:lineRule="auto"/>
              <w:jc w:val="both"/>
              <w:rPr>
                <w:rFonts w:cs="Arial"/>
                <w:szCs w:val="20"/>
              </w:rPr>
            </w:pPr>
            <w:r w:rsidRPr="003B2A0D">
              <w:rPr>
                <w:rFonts w:cs="Arial"/>
                <w:szCs w:val="20"/>
              </w:rPr>
              <w:t>»6. navedbo, ali je bila družba dolžna objaviti poročilo o davčnih informacijah v zvezi z dohodki in če ugotovi, da bi ga morala objaviti, tudi navedbo, ali je bilo poročilo objavljeno v skladu z določbami tega zakona, ki urejajo javno objavo in objavo poročila o davčnih informacijah v zvezi z dohodki na spletni strani družbe;«.</w:t>
            </w:r>
          </w:p>
          <w:p w14:paraId="60B63679" w14:textId="77777777" w:rsidR="000C08CA" w:rsidRPr="003B2A0D" w:rsidRDefault="000C08CA" w:rsidP="00FE328D">
            <w:pPr>
              <w:spacing w:line="276" w:lineRule="auto"/>
              <w:jc w:val="both"/>
              <w:rPr>
                <w:rFonts w:cs="Arial"/>
                <w:szCs w:val="20"/>
              </w:rPr>
            </w:pPr>
          </w:p>
          <w:p w14:paraId="4954BC56" w14:textId="77777777" w:rsidR="000C08CA" w:rsidRPr="003B2A0D" w:rsidRDefault="000C08CA" w:rsidP="00FE328D">
            <w:pPr>
              <w:spacing w:line="276" w:lineRule="auto"/>
              <w:jc w:val="both"/>
              <w:rPr>
                <w:rFonts w:cs="Arial"/>
                <w:szCs w:val="20"/>
              </w:rPr>
            </w:pPr>
            <w:r w:rsidRPr="003B2A0D">
              <w:rPr>
                <w:rFonts w:cs="Arial"/>
                <w:szCs w:val="20"/>
              </w:rPr>
              <w:t xml:space="preserve">Dosedanje 6. do 9. točka postanejo 7. do 10. točka. </w:t>
            </w:r>
          </w:p>
          <w:p w14:paraId="52CA1D29" w14:textId="77777777" w:rsidR="000C08CA" w:rsidRPr="003B2A0D" w:rsidRDefault="000C08CA" w:rsidP="00FE328D">
            <w:pPr>
              <w:spacing w:line="276" w:lineRule="auto"/>
              <w:jc w:val="both"/>
              <w:rPr>
                <w:rFonts w:cs="Arial"/>
                <w:szCs w:val="20"/>
              </w:rPr>
            </w:pPr>
          </w:p>
          <w:p w14:paraId="2ECD99A5" w14:textId="77777777" w:rsidR="000C08CA" w:rsidRPr="003B2A0D" w:rsidRDefault="000C08CA" w:rsidP="00FE328D">
            <w:pPr>
              <w:spacing w:line="276" w:lineRule="auto"/>
              <w:jc w:val="both"/>
              <w:rPr>
                <w:rFonts w:cs="Arial"/>
                <w:szCs w:val="20"/>
              </w:rPr>
            </w:pPr>
            <w:r w:rsidRPr="003B2A0D">
              <w:rPr>
                <w:rFonts w:cs="Arial"/>
                <w:szCs w:val="20"/>
              </w:rPr>
              <w:t>Za drugim odstavkom se doda nov tretji odstavek, ki se glasi:</w:t>
            </w:r>
          </w:p>
          <w:p w14:paraId="208C0A10" w14:textId="77777777" w:rsidR="000C08CA" w:rsidRPr="003B2A0D" w:rsidRDefault="000C08CA" w:rsidP="00FE328D">
            <w:pPr>
              <w:spacing w:line="276" w:lineRule="auto"/>
              <w:jc w:val="both"/>
              <w:rPr>
                <w:rFonts w:cs="Arial"/>
                <w:szCs w:val="20"/>
              </w:rPr>
            </w:pPr>
            <w:r w:rsidRPr="003B2A0D">
              <w:rPr>
                <w:rFonts w:cs="Arial"/>
                <w:szCs w:val="20"/>
              </w:rPr>
              <w:t xml:space="preserve">»(3) </w:t>
            </w:r>
            <w:bookmarkStart w:id="9" w:name="_Hlk142636426"/>
            <w:r w:rsidRPr="003B2A0D">
              <w:rPr>
                <w:rFonts w:cs="Arial"/>
                <w:szCs w:val="20"/>
              </w:rPr>
              <w:t>Revizorjevo poročilo o dajanju zagotovil o trajnostnosti</w:t>
            </w:r>
            <w:bookmarkEnd w:id="9"/>
            <w:r w:rsidRPr="003B2A0D">
              <w:rPr>
                <w:rFonts w:cs="Arial"/>
                <w:szCs w:val="20"/>
              </w:rPr>
              <w:t xml:space="preserve"> je v pisni obliki in mora vsebovati najmanj:</w:t>
            </w:r>
          </w:p>
          <w:p w14:paraId="376AC75A" w14:textId="77777777" w:rsidR="000C08CA" w:rsidRPr="003B2A0D" w:rsidRDefault="000C08CA" w:rsidP="00FE328D">
            <w:pPr>
              <w:pStyle w:val="ListParagraph"/>
              <w:numPr>
                <w:ilvl w:val="0"/>
                <w:numId w:val="28"/>
              </w:numPr>
              <w:spacing w:after="0" w:line="276" w:lineRule="auto"/>
              <w:jc w:val="both"/>
              <w:rPr>
                <w:rFonts w:ascii="Arial" w:hAnsi="Arial" w:cs="Arial"/>
                <w:sz w:val="20"/>
                <w:szCs w:val="20"/>
              </w:rPr>
            </w:pPr>
            <w:bookmarkStart w:id="10" w:name="_Hlk143092426"/>
            <w:r w:rsidRPr="003B2A0D">
              <w:rPr>
                <w:rFonts w:ascii="Arial" w:hAnsi="Arial" w:cs="Arial"/>
                <w:sz w:val="20"/>
                <w:szCs w:val="20"/>
              </w:rPr>
              <w:t>opredelitev družbe, katere poročilo o trajnostnosti ali konsolidirano poročilo o trajnostnosti je predmet pregleda, navedbo poročila o trajnostnosti</w:t>
            </w:r>
            <w:r w:rsidRPr="003B2A0D" w:rsidDel="00E00922">
              <w:rPr>
                <w:rFonts w:ascii="Arial" w:hAnsi="Arial" w:cs="Arial"/>
                <w:sz w:val="20"/>
                <w:szCs w:val="20"/>
              </w:rPr>
              <w:t xml:space="preserve"> </w:t>
            </w:r>
            <w:r w:rsidRPr="003B2A0D">
              <w:rPr>
                <w:rFonts w:ascii="Arial" w:hAnsi="Arial" w:cs="Arial"/>
                <w:sz w:val="20"/>
                <w:szCs w:val="20"/>
              </w:rPr>
              <w:t>ali konsolidiranega poročila o trajnostnosti, datuma in obdobja, ki ga zajema, ter opredelitev okvira poročanja o trajnostnosti, uporabljenega pri njegovi pripravi;</w:t>
            </w:r>
          </w:p>
          <w:p w14:paraId="166EA2BC" w14:textId="77777777" w:rsidR="000C08CA" w:rsidRPr="003B2A0D" w:rsidRDefault="000C08CA" w:rsidP="00FE328D">
            <w:pPr>
              <w:pStyle w:val="ListParagraph"/>
              <w:numPr>
                <w:ilvl w:val="0"/>
                <w:numId w:val="28"/>
              </w:numPr>
              <w:spacing w:after="0" w:line="276" w:lineRule="auto"/>
              <w:jc w:val="both"/>
              <w:rPr>
                <w:rFonts w:ascii="Arial" w:hAnsi="Arial" w:cs="Arial"/>
                <w:sz w:val="20"/>
                <w:szCs w:val="20"/>
              </w:rPr>
            </w:pPr>
            <w:r>
              <w:rPr>
                <w:rFonts w:ascii="Arial" w:hAnsi="Arial" w:cs="Arial"/>
                <w:sz w:val="20"/>
                <w:szCs w:val="20"/>
              </w:rPr>
              <w:t xml:space="preserve">opis </w:t>
            </w:r>
            <w:r w:rsidRPr="003B2A0D">
              <w:rPr>
                <w:rFonts w:ascii="Arial" w:hAnsi="Arial" w:cs="Arial"/>
                <w:sz w:val="20"/>
                <w:szCs w:val="20"/>
              </w:rPr>
              <w:t>obseg</w:t>
            </w:r>
            <w:r>
              <w:rPr>
                <w:rFonts w:ascii="Arial" w:hAnsi="Arial" w:cs="Arial"/>
                <w:sz w:val="20"/>
                <w:szCs w:val="20"/>
              </w:rPr>
              <w:t>a</w:t>
            </w:r>
            <w:r w:rsidRPr="003B2A0D">
              <w:rPr>
                <w:rFonts w:ascii="Arial" w:hAnsi="Arial" w:cs="Arial"/>
                <w:sz w:val="20"/>
                <w:szCs w:val="20"/>
              </w:rPr>
              <w:t xml:space="preserve"> dajanja zagotovil o trajnostnosti, v katerem se opredelijo vsaj standardi dajanja zagotovil, v skladu s katerimi je bil izveden pregled;</w:t>
            </w:r>
          </w:p>
          <w:p w14:paraId="2D65D460" w14:textId="77777777" w:rsidR="000C08CA" w:rsidRPr="003B2A0D" w:rsidRDefault="000C08CA" w:rsidP="00FE328D">
            <w:pPr>
              <w:pStyle w:val="ListParagraph"/>
              <w:numPr>
                <w:ilvl w:val="0"/>
                <w:numId w:val="28"/>
              </w:numPr>
              <w:spacing w:after="0" w:line="276" w:lineRule="auto"/>
              <w:jc w:val="both"/>
              <w:rPr>
                <w:rFonts w:ascii="Arial" w:hAnsi="Arial" w:cs="Arial"/>
                <w:sz w:val="20"/>
                <w:szCs w:val="20"/>
              </w:rPr>
            </w:pPr>
            <w:r w:rsidRPr="003B2A0D">
              <w:rPr>
                <w:rFonts w:ascii="Arial" w:hAnsi="Arial" w:cs="Arial"/>
                <w:sz w:val="20"/>
                <w:szCs w:val="20"/>
              </w:rPr>
              <w:t>revizorjev sklep ali mnenje o tem</w:t>
            </w:r>
            <w:r>
              <w:rPr>
                <w:rFonts w:ascii="Arial" w:hAnsi="Arial" w:cs="Arial"/>
                <w:sz w:val="20"/>
                <w:szCs w:val="20"/>
              </w:rPr>
              <w:t>,</w:t>
            </w:r>
            <w:r w:rsidRPr="003B2A0D">
              <w:rPr>
                <w:rFonts w:ascii="Arial" w:hAnsi="Arial" w:cs="Arial"/>
                <w:sz w:val="20"/>
                <w:szCs w:val="20"/>
              </w:rPr>
              <w:t xml:space="preserve"> ali je poročilo o trajnostnosti ali konsolidirano poročilo o trajnostnosti skladno z zahtevami tega zakona ter 8. člena </w:t>
            </w:r>
            <w:r w:rsidRPr="00CC5429">
              <w:rPr>
                <w:rFonts w:ascii="Arial" w:hAnsi="Arial" w:cs="Arial"/>
                <w:sz w:val="20"/>
                <w:szCs w:val="20"/>
              </w:rPr>
              <w:t>Uredb</w:t>
            </w:r>
            <w:r>
              <w:rPr>
                <w:rFonts w:ascii="Arial" w:hAnsi="Arial" w:cs="Arial"/>
                <w:sz w:val="20"/>
                <w:szCs w:val="20"/>
              </w:rPr>
              <w:t>e</w:t>
            </w:r>
            <w:r w:rsidRPr="00CC5429">
              <w:rPr>
                <w:rFonts w:ascii="Arial" w:hAnsi="Arial" w:cs="Arial"/>
                <w:sz w:val="20"/>
                <w:szCs w:val="20"/>
              </w:rPr>
              <w:t xml:space="preserve"> (EU) 2020/852 z dne 18. junija 2020 o vzpostavitvi okvira za spodbujanje trajnostnih naložb ter spremembi Uredbe (EU) 2019/2088 (UL L št. 198 z dne 22. 6. 2020, str. 13; v nadaljnjem besedilu: Uredba 2020/852/EU</w:t>
            </w:r>
            <w:r>
              <w:rPr>
                <w:rFonts w:ascii="Arial" w:hAnsi="Arial" w:cs="Arial"/>
                <w:sz w:val="20"/>
                <w:szCs w:val="20"/>
              </w:rPr>
              <w:t>)</w:t>
            </w:r>
            <w:r w:rsidRPr="003B2A0D">
              <w:rPr>
                <w:rFonts w:ascii="Arial" w:hAnsi="Arial" w:cs="Arial"/>
                <w:sz w:val="20"/>
                <w:szCs w:val="20"/>
              </w:rPr>
              <w:t>;</w:t>
            </w:r>
          </w:p>
          <w:p w14:paraId="369124B1" w14:textId="77777777" w:rsidR="000C08CA" w:rsidRPr="003B2A0D" w:rsidRDefault="000C08CA" w:rsidP="00FE328D">
            <w:pPr>
              <w:pStyle w:val="ListParagraph"/>
              <w:numPr>
                <w:ilvl w:val="0"/>
                <w:numId w:val="28"/>
              </w:numPr>
              <w:spacing w:after="0" w:line="276" w:lineRule="auto"/>
              <w:jc w:val="both"/>
              <w:rPr>
                <w:rFonts w:ascii="Arial" w:hAnsi="Arial" w:cs="Arial"/>
                <w:sz w:val="20"/>
                <w:szCs w:val="20"/>
              </w:rPr>
            </w:pPr>
            <w:bookmarkStart w:id="11" w:name="_Hlk143092484"/>
            <w:r w:rsidRPr="003B2A0D">
              <w:rPr>
                <w:rFonts w:ascii="Arial" w:hAnsi="Arial" w:cs="Arial"/>
                <w:sz w:val="20"/>
                <w:szCs w:val="20"/>
              </w:rPr>
              <w:t>navedbo sedeža revizorja ali revizijske družbe;</w:t>
            </w:r>
          </w:p>
          <w:p w14:paraId="79396E84" w14:textId="77777777" w:rsidR="000C08CA" w:rsidRPr="003B2A0D" w:rsidRDefault="000C08CA" w:rsidP="00FE328D">
            <w:pPr>
              <w:pStyle w:val="ListParagraph"/>
              <w:numPr>
                <w:ilvl w:val="0"/>
                <w:numId w:val="28"/>
              </w:numPr>
              <w:spacing w:after="0" w:line="276" w:lineRule="auto"/>
              <w:jc w:val="both"/>
              <w:rPr>
                <w:rFonts w:ascii="Arial" w:hAnsi="Arial" w:cs="Arial"/>
                <w:sz w:val="20"/>
                <w:szCs w:val="20"/>
              </w:rPr>
            </w:pPr>
            <w:r w:rsidRPr="003B2A0D">
              <w:rPr>
                <w:rFonts w:ascii="Arial" w:hAnsi="Arial" w:cs="Arial"/>
                <w:sz w:val="20"/>
                <w:szCs w:val="20"/>
              </w:rPr>
              <w:t>datum in revizorjev podpis</w:t>
            </w:r>
            <w:bookmarkEnd w:id="10"/>
            <w:r w:rsidRPr="003B2A0D">
              <w:rPr>
                <w:rFonts w:ascii="Arial" w:hAnsi="Arial" w:cs="Arial"/>
                <w:sz w:val="20"/>
                <w:szCs w:val="20"/>
              </w:rPr>
              <w:t>.«.</w:t>
            </w:r>
          </w:p>
          <w:p w14:paraId="2B51C473" w14:textId="77777777" w:rsidR="000C08CA" w:rsidRPr="003B2A0D" w:rsidRDefault="000C08CA" w:rsidP="00FE328D">
            <w:pPr>
              <w:pStyle w:val="ListParagraph"/>
              <w:spacing w:after="0" w:line="276" w:lineRule="auto"/>
              <w:ind w:left="360"/>
              <w:jc w:val="both"/>
              <w:rPr>
                <w:rFonts w:ascii="Arial" w:hAnsi="Arial" w:cs="Arial"/>
                <w:sz w:val="20"/>
                <w:szCs w:val="20"/>
              </w:rPr>
            </w:pPr>
          </w:p>
          <w:bookmarkEnd w:id="11"/>
          <w:p w14:paraId="7AEA4B69" w14:textId="77777777" w:rsidR="000C08CA" w:rsidRPr="003B2A0D" w:rsidRDefault="000C08CA" w:rsidP="00FE328D">
            <w:pPr>
              <w:spacing w:line="276" w:lineRule="auto"/>
              <w:jc w:val="both"/>
              <w:rPr>
                <w:rFonts w:cs="Arial"/>
                <w:szCs w:val="20"/>
              </w:rPr>
            </w:pPr>
            <w:r w:rsidRPr="003B2A0D">
              <w:rPr>
                <w:rFonts w:cs="Arial"/>
                <w:szCs w:val="20"/>
              </w:rPr>
              <w:t xml:space="preserve">Dosedanji tretji do sedmi odstavek postanejo četrti do osmi odstavek. </w:t>
            </w:r>
          </w:p>
          <w:bookmarkEnd w:id="6"/>
          <w:p w14:paraId="095C00F8" w14:textId="77777777" w:rsidR="000C08CA" w:rsidRPr="003B2A0D" w:rsidRDefault="000C08CA" w:rsidP="00FE328D">
            <w:pPr>
              <w:spacing w:line="276" w:lineRule="auto"/>
              <w:jc w:val="center"/>
              <w:rPr>
                <w:rFonts w:cs="Arial"/>
                <w:szCs w:val="20"/>
              </w:rPr>
            </w:pPr>
          </w:p>
          <w:p w14:paraId="299DED75"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0B99FF55" w14:textId="77777777" w:rsidR="000C08CA" w:rsidRPr="0098472E" w:rsidRDefault="000C08CA" w:rsidP="00FE328D">
            <w:pPr>
              <w:spacing w:line="276" w:lineRule="auto"/>
              <w:rPr>
                <w:rFonts w:cs="Arial"/>
                <w:b/>
                <w:szCs w:val="20"/>
              </w:rPr>
            </w:pPr>
          </w:p>
          <w:p w14:paraId="2DE50A71" w14:textId="77777777" w:rsidR="000C08CA" w:rsidRPr="003B2A0D" w:rsidRDefault="000C08CA" w:rsidP="00FE328D">
            <w:pPr>
              <w:spacing w:line="276" w:lineRule="auto"/>
              <w:jc w:val="both"/>
              <w:rPr>
                <w:rFonts w:cs="Arial"/>
                <w:szCs w:val="20"/>
              </w:rPr>
            </w:pPr>
            <w:r>
              <w:rPr>
                <w:rFonts w:cs="Arial"/>
                <w:szCs w:val="20"/>
              </w:rPr>
              <w:t xml:space="preserve">Besedilo </w:t>
            </w:r>
            <w:r w:rsidRPr="003B2A0D">
              <w:rPr>
                <w:rFonts w:cs="Arial"/>
                <w:szCs w:val="20"/>
              </w:rPr>
              <w:t>58. člen</w:t>
            </w:r>
            <w:r>
              <w:rPr>
                <w:rFonts w:cs="Arial"/>
                <w:szCs w:val="20"/>
              </w:rPr>
              <w:t>a</w:t>
            </w:r>
            <w:r w:rsidRPr="003B2A0D">
              <w:rPr>
                <w:rFonts w:cs="Arial"/>
                <w:szCs w:val="20"/>
              </w:rPr>
              <w:t xml:space="preserve"> se spremeni tako, da se glasi:</w:t>
            </w:r>
          </w:p>
          <w:p w14:paraId="46CE4B1F" w14:textId="77777777" w:rsidR="000C08CA" w:rsidRPr="003B2A0D" w:rsidRDefault="000C08CA" w:rsidP="00FE328D">
            <w:pPr>
              <w:spacing w:line="276" w:lineRule="auto"/>
              <w:jc w:val="center"/>
              <w:rPr>
                <w:rFonts w:cs="Arial"/>
                <w:szCs w:val="20"/>
              </w:rPr>
            </w:pPr>
          </w:p>
          <w:p w14:paraId="7324B555" w14:textId="77777777" w:rsidR="000C08CA" w:rsidRPr="00680E68" w:rsidRDefault="000C08CA" w:rsidP="00FE328D">
            <w:pPr>
              <w:spacing w:line="276" w:lineRule="auto"/>
              <w:jc w:val="both"/>
              <w:rPr>
                <w:rFonts w:cs="Arial"/>
                <w:szCs w:val="20"/>
              </w:rPr>
            </w:pPr>
            <w:r w:rsidRPr="00680E68">
              <w:rPr>
                <w:rFonts w:cs="Arial"/>
                <w:szCs w:val="20"/>
              </w:rPr>
              <w:t>»(1) Letna poročila iz prvega in osmega odstavka prejšnjega člena ter konsolidirana letna poročila je treba zaradi javne objave skupaj z revizorjevim poročilom v elektronski obliki predložiti AJPES v osmih mesecih po koncu poslovnega leta. Družbe morajo v skladu s prejšnjim stavkom predložiti tudi popravljeno letno poročilo ali konsolidirano letno poročilo oziroma spremembe revizorjevega poročila. Družbe iz prvega odstavka 53. člena tega zakona morajo v skladu s prvim stavkom predložiti tudi predlog razporeditve dobička ali obravnavanja izgube ter razporeditev dobička ali obravnavanje izgube, če to ni razvidno iz letnega poročila.</w:t>
            </w:r>
          </w:p>
          <w:p w14:paraId="624D6C3F" w14:textId="77777777" w:rsidR="000C08CA" w:rsidRPr="003B2A0D" w:rsidRDefault="000C08CA" w:rsidP="00FE328D">
            <w:pPr>
              <w:spacing w:line="276" w:lineRule="auto"/>
              <w:jc w:val="both"/>
              <w:rPr>
                <w:rFonts w:cs="Arial"/>
                <w:szCs w:val="20"/>
              </w:rPr>
            </w:pPr>
          </w:p>
          <w:p w14:paraId="4F3E9C28" w14:textId="77777777" w:rsidR="000C08CA" w:rsidRPr="003B2A0D" w:rsidRDefault="000C08CA" w:rsidP="00FE328D">
            <w:pPr>
              <w:spacing w:line="276" w:lineRule="auto"/>
              <w:jc w:val="both"/>
              <w:rPr>
                <w:rFonts w:cs="Arial"/>
                <w:strike/>
                <w:szCs w:val="20"/>
              </w:rPr>
            </w:pPr>
            <w:r w:rsidRPr="003B2A0D">
              <w:rPr>
                <w:rFonts w:cs="Arial"/>
                <w:szCs w:val="20"/>
              </w:rPr>
              <w:t xml:space="preserve">(2) Družba, za katero velja 70.c ali 70.č člen tega zakona, </w:t>
            </w:r>
            <w:r>
              <w:rPr>
                <w:rFonts w:cs="Arial"/>
                <w:szCs w:val="20"/>
              </w:rPr>
              <w:t xml:space="preserve">v </w:t>
            </w:r>
            <w:r w:rsidRPr="003B2A0D">
              <w:rPr>
                <w:rFonts w:cs="Arial"/>
                <w:szCs w:val="20"/>
              </w:rPr>
              <w:t>sklad</w:t>
            </w:r>
            <w:r>
              <w:rPr>
                <w:rFonts w:cs="Arial"/>
                <w:szCs w:val="20"/>
              </w:rPr>
              <w:t>u</w:t>
            </w:r>
            <w:r w:rsidRPr="003B2A0D">
              <w:rPr>
                <w:rFonts w:cs="Arial"/>
                <w:szCs w:val="20"/>
              </w:rPr>
              <w:t xml:space="preserve"> s prejšnjim odstavkom predloži AJPES letno poročilo oziroma konsolidirano letno poročilo v enotni elektronski obliki, ki jo določa 3. člen Delegirane uredbe Komisije (EU) </w:t>
            </w:r>
            <w:bookmarkStart w:id="12" w:name="_Hlk141262283"/>
            <w:r w:rsidRPr="003B2A0D">
              <w:rPr>
                <w:rFonts w:cs="Arial"/>
                <w:szCs w:val="20"/>
              </w:rPr>
              <w:t xml:space="preserve">2019/815 </w:t>
            </w:r>
            <w:bookmarkEnd w:id="12"/>
            <w:r w:rsidRPr="003B2A0D">
              <w:rPr>
                <w:rFonts w:cs="Arial"/>
                <w:szCs w:val="20"/>
              </w:rPr>
              <w:t>z dne 17. decembra 2018 o dopolnitvi Direktive 2004/109/ES Evropskega parlamenta in Sveta v zvezi z regulativnimi tehničnimi standardi za določitev enotne elektronske oblike poročanja (UL L št. 143 z dne 29. 5. 2019, str. 1</w:t>
            </w:r>
            <w:r w:rsidRPr="003B2A0D" w:rsidDel="006A691C">
              <w:rPr>
                <w:rFonts w:cs="Arial"/>
                <w:szCs w:val="20"/>
              </w:rPr>
              <w:t>)</w:t>
            </w:r>
            <w:r>
              <w:rPr>
                <w:rFonts w:cs="Arial"/>
                <w:szCs w:val="20"/>
              </w:rPr>
              <w:t>,</w:t>
            </w:r>
            <w:r w:rsidRPr="003B2A0D" w:rsidDel="006A691C">
              <w:rPr>
                <w:rFonts w:cs="Arial"/>
                <w:szCs w:val="20"/>
              </w:rPr>
              <w:t xml:space="preserve"> </w:t>
            </w:r>
            <w:r w:rsidRPr="003B2A0D">
              <w:rPr>
                <w:rFonts w:cs="Arial"/>
                <w:szCs w:val="20"/>
              </w:rPr>
              <w:t>ter poročilo o trajnostnosti, vključno z informacijami, ki jih je treba razkriti v skladu z 8. členom Uredbe 2020/852/EU,</w:t>
            </w:r>
            <w:r w:rsidRPr="003B2A0D" w:rsidDel="001D47F1">
              <w:rPr>
                <w:rFonts w:cs="Arial"/>
                <w:szCs w:val="20"/>
              </w:rPr>
              <w:t xml:space="preserve"> </w:t>
            </w:r>
            <w:r w:rsidRPr="003B2A0D">
              <w:rPr>
                <w:rFonts w:cs="Arial"/>
                <w:szCs w:val="20"/>
              </w:rPr>
              <w:t>opremi z oznakami v skladu z elektronsko obliko poročanja, določeno v navedeni delegirani uredbi.</w:t>
            </w:r>
          </w:p>
          <w:p w14:paraId="2FF97A42" w14:textId="77777777" w:rsidR="000C08CA" w:rsidRPr="003B2A0D" w:rsidRDefault="000C08CA" w:rsidP="00FE328D">
            <w:pPr>
              <w:spacing w:line="276" w:lineRule="auto"/>
              <w:jc w:val="both"/>
              <w:rPr>
                <w:rFonts w:cs="Arial"/>
                <w:szCs w:val="20"/>
              </w:rPr>
            </w:pPr>
            <w:bookmarkStart w:id="13" w:name="_Hlk141359144"/>
          </w:p>
          <w:p w14:paraId="10D3F3A5" w14:textId="77777777" w:rsidR="000C08CA" w:rsidRPr="00680E68" w:rsidRDefault="000C08CA" w:rsidP="00FE328D">
            <w:pPr>
              <w:spacing w:line="276" w:lineRule="auto"/>
              <w:jc w:val="both"/>
              <w:rPr>
                <w:rFonts w:cs="Arial"/>
                <w:szCs w:val="20"/>
                <w:shd w:val="clear" w:color="auto" w:fill="FFFFFF"/>
              </w:rPr>
            </w:pPr>
            <w:r w:rsidRPr="00680E68">
              <w:rPr>
                <w:rFonts w:cs="Arial"/>
                <w:szCs w:val="20"/>
                <w:shd w:val="clear" w:color="auto" w:fill="FFFFFF"/>
              </w:rPr>
              <w:t>(3) Letno poročilo majhnih družb, z vrednostnimi papirji katerih se ne trguje na organiziranem trgu, in letno poročilo podjetnikov je treba zaradi javne objave v elektronski obliki predložiti AJPES v treh mesecih po koncu poslovnega leta. Družbe iz prvega odstavka 53. člena tega zakona morajo v skladu s prejšnjim stavkom predložiti tudi predlog razporeditve dobička ali obravnavanja izgube ter razporeditev dobička ali obravnavanje izgube, če to ni razvidno iz letnega poročila. Podjetniki, ki so po določbah o obdavčitvi dohodkov iz dejavnosti zakona, ki ureja dohodnino, obdavčeni na podlagi ugotovljenega dobička z upoštevanjem normiranih odhodkov, niso dolžni predložiti letnih poročil zaradi javne objave. Finančna uprava Republike Slovenije pošlje seznam podjetnikov iz prejšnjega stavka</w:t>
            </w:r>
            <w:r w:rsidRPr="00680E68" w:rsidDel="00000FAD">
              <w:rPr>
                <w:rFonts w:cs="Arial"/>
                <w:szCs w:val="20"/>
                <w:shd w:val="clear" w:color="auto" w:fill="FFFFFF"/>
              </w:rPr>
              <w:t xml:space="preserve"> AJPES</w:t>
            </w:r>
            <w:r w:rsidRPr="00680E68">
              <w:rPr>
                <w:rFonts w:cs="Arial"/>
                <w:szCs w:val="20"/>
                <w:shd w:val="clear" w:color="auto" w:fill="FFFFFF"/>
              </w:rPr>
              <w:t>.</w:t>
            </w:r>
          </w:p>
          <w:p w14:paraId="2E36C73A" w14:textId="77777777" w:rsidR="000C08CA" w:rsidRPr="003B2A0D" w:rsidRDefault="000C08CA" w:rsidP="00FE328D">
            <w:pPr>
              <w:spacing w:line="276" w:lineRule="auto"/>
              <w:jc w:val="both"/>
              <w:rPr>
                <w:rFonts w:cs="Arial"/>
                <w:color w:val="292B2C"/>
                <w:szCs w:val="20"/>
                <w:shd w:val="clear" w:color="auto" w:fill="FFFFFF"/>
              </w:rPr>
            </w:pPr>
          </w:p>
          <w:p w14:paraId="0685BE16" w14:textId="77777777" w:rsidR="000C08CA" w:rsidRPr="00680E68" w:rsidRDefault="000C08CA" w:rsidP="00FE328D">
            <w:pPr>
              <w:spacing w:line="276" w:lineRule="auto"/>
              <w:jc w:val="both"/>
              <w:rPr>
                <w:rFonts w:cs="Arial"/>
                <w:szCs w:val="20"/>
              </w:rPr>
            </w:pPr>
            <w:r w:rsidRPr="00680E68">
              <w:rPr>
                <w:rFonts w:cs="Arial"/>
                <w:szCs w:val="20"/>
                <w:shd w:val="clear" w:color="auto" w:fill="FFFFFF"/>
              </w:rPr>
              <w:t xml:space="preserve">(4) AJPES mora javno objaviti letna poročila in konsolidirana letna poročila skupaj z revizorjevim poročilom, predložena po prvem in drugem odstavku tega člena, ali letna poročila, predložena po </w:t>
            </w:r>
            <w:r w:rsidRPr="00680E68">
              <w:rPr>
                <w:rFonts w:cs="Arial"/>
                <w:szCs w:val="20"/>
                <w:shd w:val="clear" w:color="auto" w:fill="FFFFFF"/>
              </w:rPr>
              <w:lastRenderedPageBreak/>
              <w:t>prejšnjem odstavku, tako da jih zajame v informatizirani obliki in objavi na spletnih straneh, namenjenih javni objavi letnih poročil. V skladu s prejšnjim stavkom je treba za družbe iz prvega odstavka 53. člena tega zakona hkrati objaviti tudi predlog razporeditve dobička ali obravnavanja izgube ter razporeditev dobička ali obravnavanje izgube, če to ni razvidno iz letnega poročila. Spletne strani iz prvega stavka tega odstavka morajo biti zasnovane tako, da je vsakomur omogočen brezplačen vpogled v podatke, objavljene na spletnih straneh.</w:t>
            </w:r>
          </w:p>
          <w:p w14:paraId="53DA0671" w14:textId="77777777" w:rsidR="000C08CA" w:rsidRPr="003B2A0D" w:rsidRDefault="000C08CA" w:rsidP="00FE328D">
            <w:pPr>
              <w:spacing w:line="276" w:lineRule="auto"/>
              <w:jc w:val="both"/>
              <w:rPr>
                <w:rFonts w:cs="Arial"/>
                <w:szCs w:val="20"/>
              </w:rPr>
            </w:pPr>
          </w:p>
          <w:p w14:paraId="6E35FC95" w14:textId="77777777" w:rsidR="000C08CA" w:rsidRPr="00680E68" w:rsidRDefault="000C08CA" w:rsidP="00FE328D">
            <w:pPr>
              <w:spacing w:line="276" w:lineRule="auto"/>
              <w:jc w:val="both"/>
              <w:rPr>
                <w:rFonts w:cs="Arial"/>
                <w:szCs w:val="20"/>
              </w:rPr>
            </w:pPr>
            <w:r w:rsidRPr="00680E68">
              <w:rPr>
                <w:rFonts w:cs="Arial"/>
                <w:szCs w:val="20"/>
                <w:shd w:val="clear" w:color="auto" w:fill="FFFFFF"/>
              </w:rPr>
              <w:t>(5) AJPES prek sistema povezovanja poslovnih registrov po uradni dolžnosti nemudoma obvesti pristojni organ države članice podružnice, ki jo je ustanovila kapitalska družba s sedežem v Republiki Sloveniji, o javni objavi letnega poročila te družbe.</w:t>
            </w:r>
          </w:p>
          <w:p w14:paraId="2827D0AC" w14:textId="77777777" w:rsidR="000C08CA" w:rsidRPr="00680E68" w:rsidRDefault="000C08CA" w:rsidP="00FE328D">
            <w:pPr>
              <w:spacing w:line="276" w:lineRule="auto"/>
              <w:jc w:val="both"/>
              <w:rPr>
                <w:rFonts w:cs="Arial"/>
                <w:szCs w:val="20"/>
              </w:rPr>
            </w:pPr>
          </w:p>
          <w:p w14:paraId="1A7D29BB" w14:textId="77777777" w:rsidR="000C08CA" w:rsidRPr="00680E68" w:rsidRDefault="000C08CA" w:rsidP="00FE328D">
            <w:pPr>
              <w:spacing w:line="276" w:lineRule="auto"/>
              <w:jc w:val="both"/>
              <w:rPr>
                <w:rFonts w:cs="Arial"/>
                <w:szCs w:val="20"/>
                <w:lang w:eastAsia="sl-SI"/>
              </w:rPr>
            </w:pPr>
            <w:r w:rsidRPr="00680E68">
              <w:rPr>
                <w:rFonts w:cs="Arial"/>
                <w:szCs w:val="20"/>
                <w:lang w:eastAsia="sl-SI"/>
              </w:rPr>
              <w:t>(6) AJPES mora vsakomur na njegovo zahtevo izročiti kopijo letnega ali konsolidiranega letnega poročila skupaj z revizorjevim poročilom, ki je bilo predloženo po prvem odstavku tega člena, ali kopijo letnega poročila, predloženega po tretjem odstavku tega člena, za plačilo nadomestila, ki ga določa tarifa AJPES. Kopije iz prejšnjega stavka mora AJPES izročiti v obsegu (v celoti ali delih) in v obliki (elektronski ali pisni), kot je to navedeno v zahtevi. Kopija v pisni obliki mora biti označena kot »točen prepis«, za elektronsko obliko pa se uporablja zakon, ki ureja elektronsko poslovanje in elektronski podpis.</w:t>
            </w:r>
          </w:p>
          <w:p w14:paraId="4EB6BD34" w14:textId="77777777" w:rsidR="000C08CA" w:rsidRPr="00680E68" w:rsidRDefault="000C08CA" w:rsidP="00FE328D">
            <w:pPr>
              <w:spacing w:line="276" w:lineRule="auto"/>
              <w:jc w:val="both"/>
              <w:rPr>
                <w:rFonts w:cs="Arial"/>
                <w:szCs w:val="20"/>
              </w:rPr>
            </w:pPr>
          </w:p>
          <w:p w14:paraId="53855EAA" w14:textId="77777777" w:rsidR="000C08CA" w:rsidRPr="00680E68" w:rsidRDefault="000C08CA" w:rsidP="00FE328D">
            <w:pPr>
              <w:spacing w:line="276" w:lineRule="auto"/>
              <w:jc w:val="both"/>
              <w:rPr>
                <w:rFonts w:cs="Arial"/>
                <w:szCs w:val="20"/>
              </w:rPr>
            </w:pPr>
            <w:r w:rsidRPr="00680E68">
              <w:rPr>
                <w:rFonts w:cs="Arial"/>
                <w:szCs w:val="20"/>
                <w:shd w:val="clear" w:color="auto" w:fill="FFFFFF"/>
              </w:rPr>
              <w:t>(7) V vsaki javni objavi celotnega letnega poročila ali konsolidiranega letnega poročila morajo biti ta poročila objavljena v obliki in besedilu, na podlagi katerega so bila revidirana. Hkrati mora biti objavljeno revizorjevo poročilo v celotnem besedilu, vključno z utemeljitvijo morebitnega mnenja s pridržkom ali odklonilnega mnenja. Če izkazov ali poročila ni pregledal revizor, je treba v objavi opozoriti na to</w:t>
            </w:r>
            <w:r w:rsidRPr="00680E68" w:rsidDel="00000FAD">
              <w:rPr>
                <w:rFonts w:cs="Arial"/>
                <w:szCs w:val="20"/>
                <w:shd w:val="clear" w:color="auto" w:fill="FFFFFF"/>
              </w:rPr>
              <w:t xml:space="preserve"> okoliščino</w:t>
            </w:r>
            <w:r w:rsidRPr="00680E68">
              <w:rPr>
                <w:rFonts w:cs="Arial"/>
                <w:szCs w:val="20"/>
                <w:shd w:val="clear" w:color="auto" w:fill="FFFFFF"/>
              </w:rPr>
              <w:t>.</w:t>
            </w:r>
          </w:p>
          <w:p w14:paraId="3E8D7361" w14:textId="77777777" w:rsidR="000C08CA" w:rsidRPr="00680E68" w:rsidRDefault="000C08CA" w:rsidP="00FE328D">
            <w:pPr>
              <w:spacing w:line="276" w:lineRule="auto"/>
              <w:jc w:val="both"/>
              <w:rPr>
                <w:rFonts w:cs="Arial"/>
                <w:szCs w:val="20"/>
              </w:rPr>
            </w:pPr>
          </w:p>
          <w:p w14:paraId="53901EFD" w14:textId="77777777" w:rsidR="000C08CA" w:rsidRPr="00680E68" w:rsidRDefault="000C08CA" w:rsidP="00FE328D">
            <w:pPr>
              <w:spacing w:line="276" w:lineRule="auto"/>
              <w:jc w:val="both"/>
              <w:rPr>
                <w:rFonts w:cs="Arial"/>
                <w:szCs w:val="20"/>
              </w:rPr>
            </w:pPr>
            <w:r w:rsidRPr="00680E68">
              <w:rPr>
                <w:rFonts w:cs="Arial"/>
                <w:szCs w:val="20"/>
              </w:rPr>
              <w:t xml:space="preserve">(8) V vsaki objavi povzetka letnega poročila ali konsolidiranega letnega poročila je treba opozoriti, da gre za povzetek. V objavi povzetka mora biti naveden datum predložitve letnega poročila ali konsolidiranega letnega poročila po prvem ali drugem ali tretjem odstavku tega člena ter datum in način javne objave po četrtem odstavku tega člena. Če ta poročila še niso bila predložena po prvem ali drugem ali tretjem odstavku tega člena, je treba na to </w:t>
            </w:r>
            <w:r w:rsidRPr="00680E68" w:rsidDel="00BA7875">
              <w:rPr>
                <w:rFonts w:cs="Arial"/>
                <w:szCs w:val="20"/>
              </w:rPr>
              <w:t xml:space="preserve">okoliščino </w:t>
            </w:r>
            <w:r w:rsidRPr="00680E68">
              <w:rPr>
                <w:rFonts w:cs="Arial"/>
                <w:szCs w:val="20"/>
              </w:rPr>
              <w:t>v objavi opozoriti. Objavi povzetka ne sme biti priloženo celotno revizorjevo poročilo, ampak se razkrije samo revizijsko mnenje in sklic na vse morebitne druge zadeve, na katere revizor posebej opozarja, ne da bi se revizijsko mnenje zato spremenilo. Lahko pa se objavi povzetka priloži revizorjevo poročilo o povzetku.</w:t>
            </w:r>
          </w:p>
          <w:p w14:paraId="5B01A614" w14:textId="77777777" w:rsidR="000C08CA" w:rsidRPr="00680E68" w:rsidRDefault="000C08CA" w:rsidP="00FE328D">
            <w:pPr>
              <w:spacing w:line="276" w:lineRule="auto"/>
              <w:jc w:val="both"/>
              <w:rPr>
                <w:rFonts w:cs="Arial"/>
                <w:szCs w:val="20"/>
              </w:rPr>
            </w:pPr>
          </w:p>
          <w:p w14:paraId="694D22C2" w14:textId="77777777" w:rsidR="000C08CA" w:rsidRPr="00680E68" w:rsidRDefault="000C08CA" w:rsidP="00FE328D">
            <w:pPr>
              <w:spacing w:line="276" w:lineRule="auto"/>
              <w:jc w:val="both"/>
              <w:rPr>
                <w:rFonts w:cs="Arial"/>
                <w:szCs w:val="20"/>
              </w:rPr>
            </w:pPr>
            <w:r w:rsidRPr="00680E68">
              <w:rPr>
                <w:rFonts w:cs="Arial"/>
                <w:szCs w:val="20"/>
              </w:rPr>
              <w:t xml:space="preserve">(9) Če je revizor v skladu z zakonom, ki ureja revidiranje, zavrnil pripravo mnenja, je treba na to </w:t>
            </w:r>
            <w:r w:rsidRPr="00680E68" w:rsidDel="00BA7875">
              <w:rPr>
                <w:rFonts w:cs="Arial"/>
                <w:szCs w:val="20"/>
              </w:rPr>
              <w:t xml:space="preserve">okoliščino </w:t>
            </w:r>
            <w:r w:rsidRPr="00680E68">
              <w:rPr>
                <w:rFonts w:cs="Arial"/>
                <w:szCs w:val="20"/>
              </w:rPr>
              <w:t>pri objavi po šestem in sedmem odstavku tega člena izrecno opozoriti.</w:t>
            </w:r>
          </w:p>
          <w:p w14:paraId="4F3B4FFB" w14:textId="77777777" w:rsidR="000C08CA" w:rsidRPr="00680E68" w:rsidRDefault="000C08CA" w:rsidP="00FE328D">
            <w:pPr>
              <w:spacing w:line="276" w:lineRule="auto"/>
              <w:jc w:val="both"/>
              <w:rPr>
                <w:rFonts w:cs="Arial"/>
                <w:szCs w:val="20"/>
              </w:rPr>
            </w:pPr>
          </w:p>
          <w:p w14:paraId="3178326A" w14:textId="77777777" w:rsidR="000C08CA" w:rsidRPr="00680E68" w:rsidRDefault="000C08CA" w:rsidP="00FE328D">
            <w:pPr>
              <w:spacing w:line="276" w:lineRule="auto"/>
              <w:jc w:val="both"/>
              <w:rPr>
                <w:rFonts w:cs="Arial"/>
                <w:szCs w:val="20"/>
              </w:rPr>
            </w:pPr>
            <w:r w:rsidRPr="00680E68">
              <w:rPr>
                <w:rFonts w:cs="Arial"/>
                <w:szCs w:val="20"/>
              </w:rPr>
              <w:t>(10) Družbe in podjetniki morajo AJPES za javno objavo po četrtem odstavku tega člena plačati nadomestilo, ki ga določa tarifa AJPES. Ne glede na prejšnji stavek morajo družbe in podjetniki, ki nameravajo prenehati z opravljanjem dejavnost</w:t>
            </w:r>
            <w:r w:rsidRPr="00680E68" w:rsidDel="00BA7875">
              <w:rPr>
                <w:rFonts w:cs="Arial"/>
                <w:szCs w:val="20"/>
              </w:rPr>
              <w:t>i</w:t>
            </w:r>
            <w:r w:rsidRPr="00680E68">
              <w:rPr>
                <w:rFonts w:cs="Arial"/>
                <w:szCs w:val="20"/>
              </w:rPr>
              <w:t xml:space="preserve"> pred iztekom treh mesecev po koncu poslovnega leta, za javno objavo po četrtem odstavku tega člena hkrati s predložitvijo poročil plačati nadomestilo, ki ga določa tarifa AJPES.</w:t>
            </w:r>
          </w:p>
          <w:p w14:paraId="6B32EB5D" w14:textId="77777777" w:rsidR="000C08CA" w:rsidRPr="00680E68" w:rsidRDefault="000C08CA" w:rsidP="00FE328D">
            <w:pPr>
              <w:spacing w:line="276" w:lineRule="auto"/>
              <w:jc w:val="both"/>
              <w:rPr>
                <w:rFonts w:cs="Arial"/>
                <w:szCs w:val="20"/>
              </w:rPr>
            </w:pPr>
          </w:p>
          <w:p w14:paraId="1B7C4D57" w14:textId="77777777" w:rsidR="000C08CA" w:rsidRPr="00680E68" w:rsidRDefault="000C08CA" w:rsidP="00FE328D">
            <w:pPr>
              <w:spacing w:line="276" w:lineRule="auto"/>
              <w:jc w:val="both"/>
              <w:rPr>
                <w:rFonts w:cs="Arial"/>
                <w:szCs w:val="20"/>
              </w:rPr>
            </w:pPr>
            <w:r w:rsidRPr="00680E68">
              <w:rPr>
                <w:rFonts w:cs="Arial"/>
                <w:szCs w:val="20"/>
                <w:shd w:val="clear" w:color="auto" w:fill="FFFFFF"/>
              </w:rPr>
              <w:t>(11) Tarifo, s katero določi nadomestila iz šestega in desetega odstavka tega člena, sprejme AJPES, v soglasju z ministroma, pristojnima za gospodarstvo in za pravosodje. Nadomestila ne smejo biti višja od dejanskih stroškov, povezanih z zajemanjem poročil v informatizirani obliki in vzdrževanjem spletnih strani, namenjenih javni objavi letnih poročil ali stroškov, povezanih z izdelavo kopij poročil.</w:t>
            </w:r>
          </w:p>
          <w:p w14:paraId="0AAFD481" w14:textId="77777777" w:rsidR="000C08CA" w:rsidRPr="00680E68" w:rsidRDefault="000C08CA" w:rsidP="00FE328D">
            <w:pPr>
              <w:shd w:val="clear" w:color="auto" w:fill="FFFFFF" w:themeFill="background1"/>
              <w:spacing w:before="240" w:line="276" w:lineRule="auto"/>
              <w:jc w:val="both"/>
              <w:rPr>
                <w:rFonts w:eastAsia="Arial" w:cs="Arial"/>
                <w:szCs w:val="20"/>
              </w:rPr>
            </w:pPr>
            <w:r w:rsidRPr="00680E68">
              <w:rPr>
                <w:rFonts w:eastAsia="Arial" w:cs="Arial"/>
                <w:szCs w:val="20"/>
              </w:rPr>
              <w:t>(12) Ministra, pristojna za gospodarstvo in za pravosodje, po predhodnem mnenju AJPES predpišeta podrobnejša pravila o:</w:t>
            </w:r>
          </w:p>
          <w:p w14:paraId="167820CC" w14:textId="77777777" w:rsidR="000C08CA" w:rsidRPr="00680E68" w:rsidRDefault="000C08CA" w:rsidP="00FE328D">
            <w:pPr>
              <w:shd w:val="clear" w:color="auto" w:fill="FFFFFF" w:themeFill="background1"/>
              <w:spacing w:line="276" w:lineRule="auto"/>
              <w:ind w:left="425" w:hanging="425"/>
              <w:jc w:val="both"/>
              <w:rPr>
                <w:rFonts w:eastAsia="Arial" w:cs="Arial"/>
                <w:szCs w:val="20"/>
              </w:rPr>
            </w:pPr>
            <w:r w:rsidRPr="00680E68">
              <w:rPr>
                <w:rFonts w:eastAsia="Arial" w:cs="Arial"/>
                <w:szCs w:val="20"/>
              </w:rPr>
              <w:lastRenderedPageBreak/>
              <w:t>1.   načinu predložitve poročil po prvem, drugem ali tretjem odstavku tega člena in poročila o davčnih informacijah v zvezi z dohodki in ob izpolnjevanju pogojev izjave iz 70.j in 683.c člena tega zakona;</w:t>
            </w:r>
          </w:p>
          <w:p w14:paraId="198EF3F9" w14:textId="77777777" w:rsidR="000C08CA" w:rsidRPr="00680E68" w:rsidRDefault="000C08CA" w:rsidP="00FE328D">
            <w:pPr>
              <w:shd w:val="clear" w:color="auto" w:fill="FFFFFF" w:themeFill="background1"/>
              <w:spacing w:line="276" w:lineRule="auto"/>
              <w:ind w:left="425" w:hanging="425"/>
              <w:jc w:val="both"/>
              <w:rPr>
                <w:rFonts w:eastAsia="Arial" w:cs="Arial"/>
                <w:szCs w:val="20"/>
              </w:rPr>
            </w:pPr>
            <w:r w:rsidRPr="00680E68">
              <w:rPr>
                <w:rFonts w:eastAsia="Arial" w:cs="Arial"/>
                <w:szCs w:val="20"/>
              </w:rPr>
              <w:t>2.   načinu javne objave po četrtem odstavku tega člena ter o zasnovi spletnih strani iz četrtega odstavka tega člena.</w:t>
            </w:r>
          </w:p>
          <w:p w14:paraId="1C326456" w14:textId="77777777" w:rsidR="000C08CA" w:rsidRPr="00680E68" w:rsidRDefault="000C08CA" w:rsidP="00FE328D">
            <w:pPr>
              <w:spacing w:line="276" w:lineRule="auto"/>
              <w:jc w:val="both"/>
              <w:rPr>
                <w:rFonts w:eastAsia="Arial" w:cs="Arial"/>
                <w:szCs w:val="20"/>
              </w:rPr>
            </w:pPr>
          </w:p>
          <w:bookmarkEnd w:id="13"/>
          <w:p w14:paraId="35330E76" w14:textId="534158F2" w:rsidR="000C08CA" w:rsidRPr="0098472E" w:rsidRDefault="000C08CA" w:rsidP="00FE328D">
            <w:pPr>
              <w:spacing w:line="276" w:lineRule="auto"/>
              <w:jc w:val="both"/>
              <w:rPr>
                <w:rFonts w:eastAsia="Arial" w:cs="Arial"/>
                <w:szCs w:val="20"/>
              </w:rPr>
            </w:pPr>
            <w:r w:rsidRPr="00680E68">
              <w:rPr>
                <w:rFonts w:eastAsia="Arial" w:cs="Arial"/>
                <w:szCs w:val="20"/>
              </w:rPr>
              <w:t xml:space="preserve">(13) Bilanco stanja in izkaz poslovnega izida iz petega odstavka 54. člena tega zakona ter zaključno poročilo iz 68. člena tega zakona je treba </w:t>
            </w:r>
            <w:r w:rsidRPr="00680E68" w:rsidDel="00BA7875">
              <w:rPr>
                <w:rFonts w:eastAsia="Arial" w:cs="Arial"/>
                <w:szCs w:val="20"/>
              </w:rPr>
              <w:t xml:space="preserve">predložiti </w:t>
            </w:r>
            <w:r w:rsidRPr="00680E68">
              <w:rPr>
                <w:rFonts w:eastAsia="Arial" w:cs="Arial"/>
                <w:szCs w:val="20"/>
              </w:rPr>
              <w:t>AJPES v rokih, ki jih za njihovo predložitev določa zakon, ki ureja davčni postopek. AJPES prejete dokumente informatizira in brezplačno javno objavi na svojih spletnih straneh tako, da navede tudi razlog njihove sestave.«</w:t>
            </w:r>
            <w:r w:rsidR="00641A78">
              <w:rPr>
                <w:rFonts w:eastAsia="Arial" w:cs="Arial"/>
                <w:szCs w:val="20"/>
              </w:rPr>
              <w:t>.</w:t>
            </w:r>
          </w:p>
          <w:p w14:paraId="02BE9F03" w14:textId="77777777" w:rsidR="000C08CA" w:rsidRPr="003B2A0D" w:rsidRDefault="000C08CA" w:rsidP="00FE328D">
            <w:pPr>
              <w:spacing w:line="276" w:lineRule="auto"/>
              <w:jc w:val="both"/>
              <w:rPr>
                <w:rFonts w:cs="Arial"/>
                <w:b/>
                <w:szCs w:val="20"/>
              </w:rPr>
            </w:pPr>
          </w:p>
          <w:p w14:paraId="65E6D6E8"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bookmarkStart w:id="14" w:name="_Hlk141359154"/>
            <w:r w:rsidRPr="003B2A0D">
              <w:rPr>
                <w:rFonts w:ascii="Arial" w:hAnsi="Arial" w:cs="Arial"/>
                <w:b/>
                <w:sz w:val="20"/>
                <w:szCs w:val="20"/>
              </w:rPr>
              <w:t>člen</w:t>
            </w:r>
          </w:p>
          <w:p w14:paraId="63CF718D" w14:textId="77777777" w:rsidR="000C08CA" w:rsidRPr="003B2A0D" w:rsidRDefault="000C08CA" w:rsidP="00FE328D">
            <w:pPr>
              <w:pStyle w:val="ListParagraph"/>
              <w:spacing w:after="0" w:line="276" w:lineRule="auto"/>
              <w:rPr>
                <w:rFonts w:ascii="Arial" w:hAnsi="Arial" w:cs="Arial"/>
                <w:b/>
                <w:sz w:val="20"/>
                <w:szCs w:val="20"/>
              </w:rPr>
            </w:pPr>
          </w:p>
          <w:p w14:paraId="284414F3" w14:textId="77777777" w:rsidR="000C08CA" w:rsidRPr="003B2A0D" w:rsidRDefault="000C08CA" w:rsidP="00FE328D">
            <w:pPr>
              <w:spacing w:line="276" w:lineRule="auto"/>
              <w:jc w:val="both"/>
              <w:rPr>
                <w:rFonts w:cs="Arial"/>
                <w:bCs/>
                <w:szCs w:val="20"/>
              </w:rPr>
            </w:pPr>
            <w:bookmarkStart w:id="15" w:name="_Hlk144455314"/>
            <w:bookmarkStart w:id="16" w:name="_Hlk141961902"/>
            <w:r w:rsidRPr="003B2A0D">
              <w:rPr>
                <w:rFonts w:cs="Arial"/>
                <w:bCs/>
                <w:szCs w:val="20"/>
              </w:rPr>
              <w:t>V 59. členu se v drugem odstavku beseda »drugega« na obeh mestih nadomesti z besedo »tretjega«.</w:t>
            </w:r>
            <w:bookmarkEnd w:id="15"/>
          </w:p>
          <w:p w14:paraId="56E4893D" w14:textId="77777777" w:rsidR="000C08CA" w:rsidRPr="003B2A0D" w:rsidRDefault="000C08CA" w:rsidP="00FE328D">
            <w:pPr>
              <w:spacing w:line="276" w:lineRule="auto"/>
              <w:jc w:val="both"/>
              <w:rPr>
                <w:rFonts w:cs="Arial"/>
                <w:bCs/>
                <w:szCs w:val="20"/>
              </w:rPr>
            </w:pPr>
          </w:p>
          <w:p w14:paraId="1871D6A2" w14:textId="77777777" w:rsidR="000C08CA" w:rsidRPr="003B2A0D" w:rsidRDefault="000C08CA" w:rsidP="00FE328D">
            <w:pPr>
              <w:spacing w:line="276" w:lineRule="auto"/>
              <w:jc w:val="both"/>
              <w:rPr>
                <w:rFonts w:cs="Arial"/>
                <w:bCs/>
                <w:szCs w:val="20"/>
              </w:rPr>
            </w:pPr>
            <w:r w:rsidRPr="003B2A0D">
              <w:rPr>
                <w:rFonts w:cs="Arial"/>
                <w:bCs/>
                <w:szCs w:val="20"/>
              </w:rPr>
              <w:t>V tretjem odstavku se beseda »štirinajstega« nadomesti z besedo »trinajstega«.</w:t>
            </w:r>
          </w:p>
          <w:bookmarkEnd w:id="14"/>
          <w:bookmarkEnd w:id="16"/>
          <w:p w14:paraId="6243C6C9" w14:textId="77777777" w:rsidR="000C08CA" w:rsidRPr="003B2A0D" w:rsidRDefault="000C08CA" w:rsidP="00FE328D">
            <w:pPr>
              <w:spacing w:line="276" w:lineRule="auto"/>
              <w:jc w:val="both"/>
              <w:rPr>
                <w:rFonts w:cs="Arial"/>
                <w:bCs/>
                <w:szCs w:val="20"/>
              </w:rPr>
            </w:pPr>
          </w:p>
          <w:p w14:paraId="49D81FBA" w14:textId="2B8CCE5A" w:rsidR="000C08CA" w:rsidRPr="003B2A0D" w:rsidRDefault="000C08CA" w:rsidP="00FE328D">
            <w:pPr>
              <w:spacing w:line="276" w:lineRule="auto"/>
              <w:jc w:val="both"/>
              <w:rPr>
                <w:rFonts w:cs="Arial"/>
                <w:bCs/>
                <w:szCs w:val="20"/>
              </w:rPr>
            </w:pPr>
            <w:r w:rsidRPr="003B2A0D">
              <w:rPr>
                <w:rFonts w:cs="Arial"/>
                <w:bCs/>
                <w:szCs w:val="20"/>
              </w:rPr>
              <w:t>V sedmem odstavku se beseda »sedmega« nadomesti z besedo »osmega«.</w:t>
            </w:r>
          </w:p>
          <w:p w14:paraId="0345EC61" w14:textId="77777777" w:rsidR="000C08CA" w:rsidRPr="003B2A0D" w:rsidRDefault="000C08CA" w:rsidP="00FE328D">
            <w:pPr>
              <w:spacing w:line="276" w:lineRule="auto"/>
              <w:jc w:val="both"/>
              <w:rPr>
                <w:rFonts w:cs="Arial"/>
                <w:szCs w:val="20"/>
              </w:rPr>
            </w:pPr>
          </w:p>
          <w:p w14:paraId="2C89F57E"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439BBBB7" w14:textId="77777777" w:rsidR="000C08CA" w:rsidRPr="003B2A0D" w:rsidRDefault="000C08CA" w:rsidP="00FE328D">
            <w:pPr>
              <w:spacing w:line="276" w:lineRule="auto"/>
              <w:jc w:val="both"/>
              <w:rPr>
                <w:rFonts w:cs="Arial"/>
                <w:szCs w:val="20"/>
              </w:rPr>
            </w:pPr>
            <w:bookmarkStart w:id="17" w:name="_Hlk141962503"/>
          </w:p>
          <w:p w14:paraId="487D3D43" w14:textId="77777777" w:rsidR="000C08CA" w:rsidRPr="003B2A0D" w:rsidRDefault="000C08CA" w:rsidP="00FE328D">
            <w:pPr>
              <w:spacing w:line="276" w:lineRule="auto"/>
              <w:jc w:val="both"/>
              <w:rPr>
                <w:rFonts w:cs="Arial"/>
                <w:szCs w:val="20"/>
                <w:highlight w:val="yellow"/>
              </w:rPr>
            </w:pPr>
            <w:r w:rsidRPr="003B2A0D">
              <w:rPr>
                <w:rFonts w:cs="Arial"/>
                <w:szCs w:val="20"/>
              </w:rPr>
              <w:t xml:space="preserve">V 60.a členu se v prvem odstavku besedilo »izjavo o nefinančnem poslovanju« nadomesti z besedilom »poročilom o </w:t>
            </w:r>
            <w:r w:rsidRPr="003B2A0D">
              <w:rPr>
                <w:rFonts w:eastAsia="Arial Nova" w:cs="Arial"/>
                <w:szCs w:val="20"/>
              </w:rPr>
              <w:t>trajnostnosti</w:t>
            </w:r>
            <w:r w:rsidRPr="003B2A0D">
              <w:rPr>
                <w:rFonts w:cs="Arial"/>
                <w:szCs w:val="20"/>
              </w:rPr>
              <w:t>, ter poročila o davčnih informacijah v zvezi z dohodki«, za besedilom »računovodskega poročanja« pa se doda besedilo »in standardi poročanja o trajnostnosti«.</w:t>
            </w:r>
          </w:p>
          <w:p w14:paraId="07A40EC2" w14:textId="77777777" w:rsidR="000C08CA" w:rsidRPr="003B2A0D" w:rsidRDefault="000C08CA" w:rsidP="00FE328D">
            <w:pPr>
              <w:spacing w:line="276" w:lineRule="auto"/>
              <w:jc w:val="both"/>
              <w:rPr>
                <w:rFonts w:cs="Arial"/>
                <w:szCs w:val="20"/>
              </w:rPr>
            </w:pPr>
          </w:p>
          <w:p w14:paraId="3BD6CCAB" w14:textId="77777777" w:rsidR="000C08CA" w:rsidRPr="003B2A0D" w:rsidRDefault="000C08CA" w:rsidP="00FE328D">
            <w:pPr>
              <w:spacing w:line="276" w:lineRule="auto"/>
              <w:jc w:val="both"/>
              <w:rPr>
                <w:rFonts w:cs="Arial"/>
                <w:szCs w:val="20"/>
              </w:rPr>
            </w:pPr>
            <w:r w:rsidRPr="003B2A0D">
              <w:rPr>
                <w:rFonts w:cs="Arial"/>
                <w:szCs w:val="20"/>
              </w:rPr>
              <w:t>Za prvim odstavkom se doda nov drugi odstavek, ki se glasi:</w:t>
            </w:r>
          </w:p>
          <w:p w14:paraId="3A768BB2" w14:textId="77777777" w:rsidR="000C08CA" w:rsidRPr="003B2A0D" w:rsidRDefault="000C08CA" w:rsidP="00FE328D">
            <w:pPr>
              <w:spacing w:line="276" w:lineRule="auto"/>
              <w:jc w:val="both"/>
              <w:rPr>
                <w:rFonts w:cs="Arial"/>
                <w:szCs w:val="20"/>
              </w:rPr>
            </w:pPr>
          </w:p>
          <w:p w14:paraId="70DA01C1" w14:textId="77777777" w:rsidR="000C08CA" w:rsidRPr="003B2A0D" w:rsidRDefault="000C08CA" w:rsidP="00FE328D">
            <w:pPr>
              <w:spacing w:line="276" w:lineRule="auto"/>
              <w:jc w:val="both"/>
              <w:rPr>
                <w:rFonts w:cs="Arial"/>
                <w:szCs w:val="20"/>
              </w:rPr>
            </w:pPr>
            <w:bookmarkStart w:id="18" w:name="_Hlk138077272"/>
            <w:r w:rsidRPr="003B2A0D">
              <w:rPr>
                <w:rFonts w:cs="Arial"/>
                <w:szCs w:val="20"/>
              </w:rPr>
              <w:t xml:space="preserve">»(2) Obveznost iz prejšnjega odstavka se smiselno uporablja tudi za člane organov vodenja ali nadzora odvisnih družb, ustanovljenih s strani družb, ki so tuja podjetja iz tretjih držav, ter zastopnike tujega podjetja iz tretje države </w:t>
            </w:r>
            <w:bookmarkStart w:id="19" w:name="_Hlk141966308"/>
            <w:r w:rsidRPr="003B2A0D">
              <w:rPr>
                <w:rFonts w:cs="Arial"/>
                <w:szCs w:val="20"/>
              </w:rPr>
              <w:t xml:space="preserve">glede: </w:t>
            </w:r>
          </w:p>
          <w:p w14:paraId="76823E00"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priprave</w:t>
            </w:r>
            <w:r w:rsidRPr="003B2A0D" w:rsidDel="00FF63BA">
              <w:rPr>
                <w:rFonts w:cs="Arial"/>
                <w:szCs w:val="20"/>
              </w:rPr>
              <w:t xml:space="preserve"> </w:t>
            </w:r>
            <w:r w:rsidRPr="003B2A0D">
              <w:rPr>
                <w:rFonts w:cs="Arial"/>
                <w:szCs w:val="20"/>
              </w:rPr>
              <w:t>poročila o davčnih informacijah v zvezi z dohodki, ki se nanaša na tuje podjetje iz tretje države</w:t>
            </w:r>
            <w:r>
              <w:rPr>
                <w:rFonts w:cs="Arial"/>
                <w:szCs w:val="20"/>
              </w:rPr>
              <w:t>,</w:t>
            </w:r>
            <w:r w:rsidDel="00AF7682">
              <w:rPr>
                <w:rFonts w:cs="Arial"/>
                <w:szCs w:val="20"/>
              </w:rPr>
              <w:t xml:space="preserve"> </w:t>
            </w:r>
            <w:r>
              <w:rPr>
                <w:rFonts w:cs="Arial"/>
                <w:szCs w:val="20"/>
              </w:rPr>
              <w:t>njegove predložitve</w:t>
            </w:r>
            <w:r w:rsidRPr="003B2A0D">
              <w:rPr>
                <w:rFonts w:cs="Arial"/>
                <w:szCs w:val="20"/>
              </w:rPr>
              <w:t xml:space="preserve"> </w:t>
            </w:r>
            <w:r>
              <w:rPr>
                <w:rFonts w:cs="Arial"/>
                <w:szCs w:val="20"/>
              </w:rPr>
              <w:t>in</w:t>
            </w:r>
            <w:r w:rsidRPr="003B2A0D">
              <w:rPr>
                <w:rFonts w:cs="Arial"/>
                <w:szCs w:val="20"/>
              </w:rPr>
              <w:t xml:space="preserve"> </w:t>
            </w:r>
            <w:r w:rsidRPr="00774A2C">
              <w:rPr>
                <w:rFonts w:cs="Arial"/>
                <w:color w:val="000000" w:themeColor="text1"/>
                <w:szCs w:val="20"/>
              </w:rPr>
              <w:t>objav</w:t>
            </w:r>
            <w:r>
              <w:rPr>
                <w:rFonts w:cs="Arial"/>
                <w:color w:val="000000" w:themeColor="text1"/>
                <w:szCs w:val="20"/>
              </w:rPr>
              <w:t>e</w:t>
            </w:r>
            <w:r w:rsidRPr="00774A2C">
              <w:rPr>
                <w:rFonts w:cs="Arial"/>
                <w:color w:val="000000" w:themeColor="text1"/>
                <w:szCs w:val="20"/>
              </w:rPr>
              <w:t xml:space="preserve"> na spletni strani</w:t>
            </w:r>
            <w:r w:rsidRPr="003B2A0D">
              <w:rPr>
                <w:rFonts w:cs="Arial"/>
                <w:szCs w:val="20"/>
              </w:rPr>
              <w:t>,</w:t>
            </w:r>
            <w:bookmarkEnd w:id="18"/>
          </w:p>
          <w:p w14:paraId="7D916D9F" w14:textId="77777777" w:rsidR="000C08CA" w:rsidRPr="003B2A0D" w:rsidRDefault="000C08CA" w:rsidP="00FE328D">
            <w:pPr>
              <w:spacing w:line="276" w:lineRule="auto"/>
              <w:jc w:val="both"/>
              <w:rPr>
                <w:rFonts w:cs="Arial"/>
                <w:szCs w:val="20"/>
              </w:rPr>
            </w:pPr>
            <w:bookmarkStart w:id="20" w:name="_Hlk141966196"/>
            <w:r>
              <w:rPr>
                <w:rFonts w:cs="Arial"/>
                <w:szCs w:val="20"/>
              </w:rPr>
              <w:t>‒</w:t>
            </w:r>
            <w:r w:rsidRPr="003B2A0D">
              <w:rPr>
                <w:rFonts w:cs="Arial"/>
                <w:szCs w:val="20"/>
              </w:rPr>
              <w:t xml:space="preserve"> predložitve poročila o trajnostnosti v skladu s 70.d členom tega zakona in poročila o trajnostnosti </w:t>
            </w:r>
            <w:r>
              <w:rPr>
                <w:rFonts w:cs="Arial"/>
                <w:szCs w:val="20"/>
              </w:rPr>
              <w:t>v skladu</w:t>
            </w:r>
            <w:r w:rsidRPr="003B2A0D">
              <w:rPr>
                <w:rFonts w:cs="Arial"/>
                <w:szCs w:val="20"/>
              </w:rPr>
              <w:t xml:space="preserve"> s prvim in drugim odstavkom 58. člena tega zakona.«.</w:t>
            </w:r>
          </w:p>
          <w:p w14:paraId="4F27750E" w14:textId="77777777" w:rsidR="000C08CA" w:rsidRPr="003B2A0D" w:rsidRDefault="000C08CA" w:rsidP="00FE328D">
            <w:pPr>
              <w:spacing w:line="276" w:lineRule="auto"/>
              <w:jc w:val="both"/>
              <w:rPr>
                <w:rFonts w:cs="Arial"/>
                <w:szCs w:val="20"/>
              </w:rPr>
            </w:pPr>
          </w:p>
          <w:bookmarkEnd w:id="19"/>
          <w:bookmarkEnd w:id="20"/>
          <w:p w14:paraId="37C28383" w14:textId="77777777" w:rsidR="000C08CA" w:rsidRPr="003B2A0D" w:rsidRDefault="000C08CA" w:rsidP="00FE328D">
            <w:pPr>
              <w:spacing w:line="276" w:lineRule="auto"/>
              <w:jc w:val="both"/>
              <w:rPr>
                <w:rFonts w:cs="Arial"/>
                <w:szCs w:val="20"/>
              </w:rPr>
            </w:pPr>
            <w:r w:rsidRPr="003B2A0D">
              <w:rPr>
                <w:rFonts w:cs="Arial"/>
                <w:szCs w:val="20"/>
              </w:rPr>
              <w:t>Dosedanji drugi odstavek postane tretji odstavek.</w:t>
            </w:r>
            <w:bookmarkEnd w:id="17"/>
          </w:p>
          <w:p w14:paraId="3C3C01DF" w14:textId="77777777" w:rsidR="000C08CA" w:rsidRPr="003B2A0D" w:rsidRDefault="000C08CA" w:rsidP="00FE328D">
            <w:pPr>
              <w:spacing w:line="276" w:lineRule="auto"/>
              <w:jc w:val="both"/>
              <w:rPr>
                <w:rFonts w:cs="Arial"/>
                <w:szCs w:val="20"/>
              </w:rPr>
            </w:pPr>
          </w:p>
          <w:p w14:paraId="65209436"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2DE2D168" w14:textId="77777777" w:rsidR="000C08CA" w:rsidRPr="003B2A0D" w:rsidRDefault="000C08CA" w:rsidP="00FE328D">
            <w:pPr>
              <w:spacing w:line="276" w:lineRule="auto"/>
              <w:jc w:val="both"/>
              <w:rPr>
                <w:rFonts w:cs="Arial"/>
                <w:bCs/>
                <w:szCs w:val="20"/>
              </w:rPr>
            </w:pPr>
          </w:p>
          <w:p w14:paraId="71884AEF" w14:textId="77777777" w:rsidR="000C08CA" w:rsidRPr="003B2A0D" w:rsidRDefault="000C08CA" w:rsidP="00FE328D">
            <w:pPr>
              <w:spacing w:line="276" w:lineRule="auto"/>
              <w:jc w:val="both"/>
              <w:rPr>
                <w:rFonts w:cs="Arial"/>
                <w:szCs w:val="20"/>
              </w:rPr>
            </w:pPr>
            <w:r w:rsidRPr="003B2A0D">
              <w:rPr>
                <w:rFonts w:cs="Arial"/>
                <w:szCs w:val="20"/>
              </w:rPr>
              <w:t>V 61. členu se v prvem odstavku za besedo »poročilo« doda besedilo »in poročilo o davčnih informacijah v zvezi z dohodki«.</w:t>
            </w:r>
          </w:p>
          <w:p w14:paraId="14AFAFF5" w14:textId="77777777" w:rsidR="000C08CA" w:rsidRPr="003B2A0D" w:rsidRDefault="000C08CA" w:rsidP="00FE328D">
            <w:pPr>
              <w:spacing w:line="276" w:lineRule="auto"/>
              <w:jc w:val="both"/>
              <w:rPr>
                <w:rFonts w:cs="Arial"/>
                <w:szCs w:val="20"/>
              </w:rPr>
            </w:pPr>
          </w:p>
          <w:p w14:paraId="32FE0AAB"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56EC1298" w14:textId="77777777" w:rsidR="000C08CA" w:rsidRPr="003B2A0D" w:rsidRDefault="000C08CA" w:rsidP="00FE328D">
            <w:pPr>
              <w:spacing w:line="276" w:lineRule="auto"/>
              <w:rPr>
                <w:rFonts w:cs="Arial"/>
                <w:b/>
                <w:szCs w:val="20"/>
              </w:rPr>
            </w:pPr>
          </w:p>
          <w:p w14:paraId="39922E35" w14:textId="77777777" w:rsidR="000C08CA" w:rsidRPr="003B2A0D" w:rsidRDefault="000C08CA" w:rsidP="00FE328D">
            <w:pPr>
              <w:pStyle w:val="ListParagraph"/>
              <w:spacing w:after="0" w:line="276" w:lineRule="auto"/>
              <w:ind w:left="0"/>
              <w:jc w:val="both"/>
              <w:rPr>
                <w:rFonts w:ascii="Arial" w:hAnsi="Arial" w:cs="Arial"/>
                <w:sz w:val="20"/>
                <w:szCs w:val="20"/>
              </w:rPr>
            </w:pPr>
            <w:bookmarkStart w:id="21" w:name="_Hlk142638298"/>
            <w:bookmarkStart w:id="22" w:name="_Hlk141107428"/>
            <w:r w:rsidRPr="003B2A0D">
              <w:rPr>
                <w:rFonts w:ascii="Arial" w:hAnsi="Arial" w:cs="Arial"/>
                <w:sz w:val="20"/>
                <w:szCs w:val="20"/>
              </w:rPr>
              <w:t>V 70. členu se za drugim odstavkom doda nov tretji odstavek, ki se glasi:</w:t>
            </w:r>
          </w:p>
          <w:p w14:paraId="38036AB1" w14:textId="77777777" w:rsidR="000C08CA" w:rsidRPr="003B2A0D" w:rsidRDefault="000C08CA" w:rsidP="00FE328D">
            <w:pPr>
              <w:pStyle w:val="ListParagraph"/>
              <w:spacing w:after="0" w:line="276" w:lineRule="auto"/>
              <w:ind w:left="0"/>
              <w:jc w:val="both"/>
              <w:rPr>
                <w:rFonts w:ascii="Arial" w:eastAsia="Calibri" w:hAnsi="Arial" w:cs="Arial"/>
                <w:sz w:val="20"/>
                <w:szCs w:val="20"/>
              </w:rPr>
            </w:pPr>
            <w:r w:rsidRPr="003B2A0D">
              <w:rPr>
                <w:rFonts w:ascii="Arial" w:hAnsi="Arial" w:cs="Arial"/>
                <w:sz w:val="20"/>
                <w:szCs w:val="20"/>
              </w:rPr>
              <w:t>»</w:t>
            </w:r>
            <w:r w:rsidRPr="003B2A0D">
              <w:rPr>
                <w:rFonts w:ascii="Arial" w:eastAsia="Calibri" w:hAnsi="Arial" w:cs="Arial"/>
                <w:sz w:val="20"/>
                <w:szCs w:val="20"/>
              </w:rPr>
              <w:t xml:space="preserve">(3) Poslovno poročilo družb iz prvega odstavka 70.c člena tega zakona vsebuje </w:t>
            </w:r>
            <w:bookmarkStart w:id="23" w:name="_Hlk142638895"/>
            <w:r w:rsidRPr="003B2A0D">
              <w:rPr>
                <w:rFonts w:ascii="Arial" w:eastAsia="Calibri" w:hAnsi="Arial" w:cs="Arial"/>
                <w:sz w:val="20"/>
                <w:szCs w:val="20"/>
              </w:rPr>
              <w:t>tudi:</w:t>
            </w:r>
          </w:p>
          <w:p w14:paraId="7620CE0E" w14:textId="77777777" w:rsidR="000C08CA" w:rsidRPr="003B2A0D" w:rsidRDefault="000C08CA" w:rsidP="00FE328D">
            <w:pPr>
              <w:spacing w:line="276" w:lineRule="auto"/>
              <w:contextualSpacing/>
              <w:jc w:val="both"/>
              <w:rPr>
                <w:rFonts w:eastAsia="Calibri" w:cs="Arial"/>
                <w:szCs w:val="20"/>
              </w:rPr>
            </w:pPr>
            <w:r>
              <w:rPr>
                <w:rFonts w:eastAsia="Calibri" w:cs="Arial"/>
                <w:szCs w:val="20"/>
              </w:rPr>
              <w:t>‒</w:t>
            </w:r>
            <w:r w:rsidRPr="003B2A0D">
              <w:rPr>
                <w:rFonts w:eastAsia="Calibri" w:cs="Arial"/>
                <w:szCs w:val="20"/>
              </w:rPr>
              <w:t xml:space="preserve"> poročilo o trajnostnosti, pripravljeno v skladu s 70.c členom tega zakona, in</w:t>
            </w:r>
          </w:p>
          <w:p w14:paraId="638DF368" w14:textId="77777777" w:rsidR="000C08CA" w:rsidRPr="003B2A0D" w:rsidRDefault="000C08CA" w:rsidP="00FE328D">
            <w:pPr>
              <w:spacing w:line="276" w:lineRule="auto"/>
              <w:contextualSpacing/>
              <w:jc w:val="both"/>
              <w:rPr>
                <w:rFonts w:eastAsia="Calibri" w:cs="Arial"/>
                <w:szCs w:val="20"/>
              </w:rPr>
            </w:pPr>
            <w:r>
              <w:rPr>
                <w:rFonts w:eastAsia="Calibri" w:cs="Arial"/>
                <w:szCs w:val="20"/>
              </w:rPr>
              <w:t>‒</w:t>
            </w:r>
            <w:r w:rsidRPr="003B2A0D">
              <w:rPr>
                <w:rFonts w:eastAsia="Calibri" w:cs="Arial"/>
                <w:szCs w:val="20"/>
              </w:rPr>
              <w:t xml:space="preserve"> informacije o ključnih neopredmetenih sredstvih ter pojasnilo, kako je poslovni model družbe v osnovi odvisen od teh sredstev </w:t>
            </w:r>
            <w:r>
              <w:rPr>
                <w:rFonts w:eastAsia="Calibri" w:cs="Arial"/>
                <w:szCs w:val="20"/>
              </w:rPr>
              <w:t>in</w:t>
            </w:r>
            <w:r w:rsidRPr="003B2A0D">
              <w:rPr>
                <w:rFonts w:eastAsia="Calibri" w:cs="Arial"/>
                <w:szCs w:val="20"/>
              </w:rPr>
              <w:t xml:space="preserve"> kako ta sredstva pripomorejo k ustvarjanju vrednosti v družbi</w:t>
            </w:r>
            <w:bookmarkEnd w:id="23"/>
            <w:r w:rsidRPr="003B2A0D">
              <w:rPr>
                <w:rFonts w:eastAsia="Calibri" w:cs="Arial"/>
                <w:szCs w:val="20"/>
              </w:rPr>
              <w:t>.«.</w:t>
            </w:r>
          </w:p>
          <w:bookmarkEnd w:id="21"/>
          <w:p w14:paraId="57BFD497" w14:textId="77777777" w:rsidR="000C08CA" w:rsidRPr="003B2A0D" w:rsidRDefault="000C08CA" w:rsidP="00FE328D">
            <w:pPr>
              <w:pStyle w:val="ListParagraph"/>
              <w:spacing w:after="0" w:line="276" w:lineRule="auto"/>
              <w:ind w:left="0"/>
              <w:jc w:val="both"/>
              <w:rPr>
                <w:rFonts w:ascii="Arial" w:hAnsi="Arial" w:cs="Arial"/>
                <w:sz w:val="20"/>
                <w:szCs w:val="20"/>
              </w:rPr>
            </w:pPr>
          </w:p>
          <w:p w14:paraId="754B8FB3" w14:textId="77777777" w:rsidR="000C08CA" w:rsidRPr="003B2A0D" w:rsidRDefault="000C08CA" w:rsidP="00FE328D">
            <w:pPr>
              <w:pStyle w:val="ListParagraph"/>
              <w:spacing w:after="0" w:line="276" w:lineRule="auto"/>
              <w:ind w:left="0"/>
              <w:jc w:val="both"/>
              <w:rPr>
                <w:rFonts w:ascii="Arial" w:hAnsi="Arial" w:cs="Arial"/>
                <w:sz w:val="20"/>
                <w:szCs w:val="20"/>
              </w:rPr>
            </w:pPr>
            <w:r w:rsidRPr="003B2A0D">
              <w:rPr>
                <w:rFonts w:ascii="Arial" w:hAnsi="Arial" w:cs="Arial"/>
                <w:sz w:val="20"/>
                <w:szCs w:val="20"/>
              </w:rPr>
              <w:t xml:space="preserve">Dosedanja tretji in četrti odstavek postaneta četrti </w:t>
            </w:r>
            <w:r w:rsidRPr="003B2A0D" w:rsidDel="00A20FC7">
              <w:rPr>
                <w:rFonts w:ascii="Arial" w:hAnsi="Arial" w:cs="Arial"/>
                <w:sz w:val="20"/>
                <w:szCs w:val="20"/>
              </w:rPr>
              <w:t xml:space="preserve">in </w:t>
            </w:r>
            <w:r w:rsidRPr="003B2A0D">
              <w:rPr>
                <w:rFonts w:ascii="Arial" w:hAnsi="Arial" w:cs="Arial"/>
                <w:sz w:val="20"/>
                <w:szCs w:val="20"/>
              </w:rPr>
              <w:t>peti odstavek.</w:t>
            </w:r>
          </w:p>
          <w:p w14:paraId="6ED4C6FA" w14:textId="77777777" w:rsidR="000C08CA" w:rsidRPr="003B2A0D" w:rsidRDefault="000C08CA" w:rsidP="00FE328D">
            <w:pPr>
              <w:pStyle w:val="ListParagraph"/>
              <w:spacing w:after="0" w:line="276" w:lineRule="auto"/>
              <w:ind w:left="0"/>
              <w:jc w:val="both"/>
              <w:rPr>
                <w:rFonts w:ascii="Arial" w:hAnsi="Arial" w:cs="Arial"/>
                <w:sz w:val="20"/>
                <w:szCs w:val="20"/>
              </w:rPr>
            </w:pPr>
          </w:p>
          <w:bookmarkEnd w:id="22"/>
          <w:p w14:paraId="73E255E2" w14:textId="77777777" w:rsidR="000C08CA" w:rsidRPr="003B2A0D" w:rsidRDefault="000C08CA" w:rsidP="00FE328D">
            <w:pPr>
              <w:pStyle w:val="ListParagraph"/>
              <w:spacing w:after="0" w:line="276" w:lineRule="auto"/>
              <w:ind w:left="0"/>
              <w:jc w:val="both"/>
              <w:rPr>
                <w:rFonts w:ascii="Arial" w:hAnsi="Arial" w:cs="Arial"/>
                <w:sz w:val="20"/>
                <w:szCs w:val="20"/>
              </w:rPr>
            </w:pPr>
            <w:r w:rsidRPr="003B2A0D">
              <w:rPr>
                <w:rStyle w:val="cf01"/>
                <w:rFonts w:ascii="Arial" w:hAnsi="Arial" w:cs="Arial"/>
                <w:sz w:val="20"/>
                <w:szCs w:val="20"/>
              </w:rPr>
              <w:t xml:space="preserve">V dosedanjem petem odstavku, ki postane šesti odstavek, se v 4. točki beseda »šestega« nadomesti z besedo »sedmega«, črta pa se besedilo: </w:t>
            </w:r>
            <w:r>
              <w:rPr>
                <w:rStyle w:val="cf01"/>
                <w:rFonts w:ascii="Arial" w:hAnsi="Arial" w:cs="Arial"/>
                <w:sz w:val="20"/>
                <w:szCs w:val="20"/>
              </w:rPr>
              <w:t>»</w:t>
            </w:r>
            <w:r w:rsidRPr="003B2A0D">
              <w:rPr>
                <w:rStyle w:val="cf01"/>
                <w:rFonts w:ascii="Arial" w:hAnsi="Arial" w:cs="Arial"/>
                <w:sz w:val="20"/>
                <w:szCs w:val="20"/>
              </w:rPr>
              <w:t>Izjavo o upravljanju lahko družba objavi kot ločeno poročilo, skupaj z letnim poročilom. V tem primeru mora biti v poslovnem poročilu navedeno, kje v elektronskem mediju družbe je dostopno besedilo izjave o upravljanju. Če se pripravi ločeno poročilo, lahko izjava o upravljanju vsebuje sklicevanje na poslovno poročilo, v katerem so na voljo zahtevani podatki iz 4. točke tega odstavka. Majhnim in srednjim družbam v izjavo o upravljanju ni potrebno vključiti podatkov iz 7. točke tega odstavka.</w:t>
            </w:r>
            <w:r>
              <w:rPr>
                <w:rStyle w:val="cf01"/>
                <w:rFonts w:ascii="Arial" w:hAnsi="Arial" w:cs="Arial"/>
                <w:sz w:val="20"/>
                <w:szCs w:val="20"/>
              </w:rPr>
              <w:t>«.</w:t>
            </w:r>
          </w:p>
          <w:p w14:paraId="4D05C30D" w14:textId="77777777" w:rsidR="000C08CA" w:rsidRPr="003B2A0D" w:rsidRDefault="000C08CA" w:rsidP="00FE328D">
            <w:pPr>
              <w:pStyle w:val="pf0"/>
              <w:spacing w:line="276" w:lineRule="auto"/>
              <w:jc w:val="both"/>
              <w:rPr>
                <w:rFonts w:ascii="Arial" w:hAnsi="Arial" w:cs="Arial"/>
                <w:sz w:val="20"/>
                <w:szCs w:val="20"/>
              </w:rPr>
            </w:pPr>
            <w:r w:rsidRPr="003B2A0D">
              <w:rPr>
                <w:rStyle w:val="cf01"/>
                <w:rFonts w:ascii="Arial" w:hAnsi="Arial" w:cs="Arial"/>
                <w:sz w:val="20"/>
                <w:szCs w:val="20"/>
              </w:rPr>
              <w:t>Za šestim odstavkom se doda nov sedmi odstavek, ki se glasi:</w:t>
            </w:r>
          </w:p>
          <w:p w14:paraId="71189E9D" w14:textId="77777777" w:rsidR="000C08CA" w:rsidRPr="003B2A0D" w:rsidRDefault="000C08CA" w:rsidP="00FE328D">
            <w:pPr>
              <w:pStyle w:val="pf0"/>
              <w:spacing w:line="276" w:lineRule="auto"/>
              <w:jc w:val="both"/>
              <w:rPr>
                <w:rFonts w:ascii="Arial" w:hAnsi="Arial" w:cs="Arial"/>
                <w:sz w:val="20"/>
                <w:szCs w:val="20"/>
              </w:rPr>
            </w:pPr>
            <w:r>
              <w:rPr>
                <w:rStyle w:val="cf01"/>
                <w:rFonts w:ascii="Arial" w:hAnsi="Arial" w:cs="Arial"/>
                <w:sz w:val="20"/>
                <w:szCs w:val="20"/>
              </w:rPr>
              <w:t>»</w:t>
            </w:r>
            <w:r w:rsidRPr="003B2A0D">
              <w:rPr>
                <w:rStyle w:val="cf01"/>
                <w:rFonts w:ascii="Arial" w:hAnsi="Arial" w:cs="Arial"/>
                <w:sz w:val="20"/>
                <w:szCs w:val="20"/>
              </w:rPr>
              <w:t xml:space="preserve">(7) Izjavo o upravljanju </w:t>
            </w:r>
            <w:r w:rsidRPr="003B2A0D">
              <w:rPr>
                <w:rStyle w:val="cf21"/>
                <w:rFonts w:ascii="Arial" w:hAnsi="Arial" w:cs="Arial"/>
                <w:sz w:val="20"/>
                <w:szCs w:val="20"/>
                <w:u w:val="none"/>
              </w:rPr>
              <w:t>iz prejšnjega odstavka</w:t>
            </w:r>
            <w:r w:rsidRPr="003B2A0D">
              <w:rPr>
                <w:rStyle w:val="cf01"/>
                <w:rFonts w:ascii="Arial" w:hAnsi="Arial" w:cs="Arial"/>
                <w:sz w:val="20"/>
                <w:szCs w:val="20"/>
              </w:rPr>
              <w:t xml:space="preserve"> lahko družba objavi kot ločeno poročilo, skupaj z letnim poročilom. V tem primeru mora biti v poslovnem poročilu navedeno, kje v elektronskem mediju družbe je dostopno besedilo izjave o upravljanju. Če se pripravi ločeno poročilo, lahko izjava o upravljanju vsebuje sklicevanje na poslovno poročilo, v katerem so na voljo zahtevani podatki iz 4. točke </w:t>
            </w:r>
            <w:r w:rsidRPr="003B2A0D">
              <w:rPr>
                <w:rStyle w:val="cf21"/>
                <w:rFonts w:ascii="Arial" w:hAnsi="Arial" w:cs="Arial"/>
                <w:sz w:val="20"/>
                <w:szCs w:val="20"/>
                <w:u w:val="none"/>
              </w:rPr>
              <w:t xml:space="preserve">prejšnjega </w:t>
            </w:r>
            <w:r w:rsidRPr="003B2A0D">
              <w:rPr>
                <w:rStyle w:val="cf01"/>
                <w:rFonts w:ascii="Arial" w:hAnsi="Arial" w:cs="Arial"/>
                <w:sz w:val="20"/>
                <w:szCs w:val="20"/>
              </w:rPr>
              <w:t xml:space="preserve">odstavka. Majhnim in srednjim družbam v izjavo o upravljanju ni </w:t>
            </w:r>
            <w:r>
              <w:rPr>
                <w:rStyle w:val="cf01"/>
                <w:rFonts w:ascii="Arial" w:hAnsi="Arial" w:cs="Arial"/>
                <w:sz w:val="20"/>
                <w:szCs w:val="20"/>
              </w:rPr>
              <w:t>treba</w:t>
            </w:r>
            <w:r w:rsidRPr="003B2A0D">
              <w:rPr>
                <w:rStyle w:val="cf01"/>
                <w:rFonts w:ascii="Arial" w:hAnsi="Arial" w:cs="Arial"/>
                <w:sz w:val="20"/>
                <w:szCs w:val="20"/>
              </w:rPr>
              <w:t xml:space="preserve"> vključiti podatkov iz 7. točke </w:t>
            </w:r>
            <w:r w:rsidRPr="003B2A0D">
              <w:rPr>
                <w:rStyle w:val="cf21"/>
                <w:rFonts w:ascii="Arial" w:hAnsi="Arial" w:cs="Arial"/>
                <w:sz w:val="20"/>
                <w:szCs w:val="20"/>
                <w:u w:val="none"/>
              </w:rPr>
              <w:t xml:space="preserve">prejšnjega </w:t>
            </w:r>
            <w:r w:rsidRPr="003B2A0D">
              <w:rPr>
                <w:rStyle w:val="cf01"/>
                <w:rFonts w:ascii="Arial" w:hAnsi="Arial" w:cs="Arial"/>
                <w:sz w:val="20"/>
                <w:szCs w:val="20"/>
              </w:rPr>
              <w:t xml:space="preserve">odstavka. Za družbe, za katere velja 70.c člen tega zakona, se šteje, da so izpolnile obveznost iz 7. točke </w:t>
            </w:r>
            <w:r w:rsidRPr="003B2A0D">
              <w:rPr>
                <w:rStyle w:val="cf21"/>
                <w:rFonts w:ascii="Arial" w:hAnsi="Arial" w:cs="Arial"/>
                <w:sz w:val="20"/>
                <w:szCs w:val="20"/>
                <w:u w:val="none"/>
              </w:rPr>
              <w:t xml:space="preserve">prejšnjega </w:t>
            </w:r>
            <w:r w:rsidRPr="003B2A0D">
              <w:rPr>
                <w:rStyle w:val="cf01"/>
                <w:rFonts w:ascii="Arial" w:hAnsi="Arial" w:cs="Arial"/>
                <w:sz w:val="20"/>
                <w:szCs w:val="20"/>
              </w:rPr>
              <w:t xml:space="preserve">odstavka, če v svoje poročilo o trajnostnosti vključijo informacije, zahtevane v navedeni točki, in če v izjavo o upravljanju </w:t>
            </w:r>
            <w:r w:rsidRPr="003B2A0D">
              <w:rPr>
                <w:rStyle w:val="cf21"/>
                <w:rFonts w:ascii="Arial" w:hAnsi="Arial" w:cs="Arial"/>
                <w:sz w:val="20"/>
                <w:szCs w:val="20"/>
                <w:u w:val="none"/>
              </w:rPr>
              <w:t xml:space="preserve">iz prejšnjega odstavka </w:t>
            </w:r>
            <w:r w:rsidRPr="003B2A0D">
              <w:rPr>
                <w:rStyle w:val="cf01"/>
                <w:rFonts w:ascii="Arial" w:hAnsi="Arial" w:cs="Arial"/>
                <w:sz w:val="20"/>
                <w:szCs w:val="20"/>
              </w:rPr>
              <w:t>vključijo sklic nanje.</w:t>
            </w:r>
            <w:r>
              <w:rPr>
                <w:rStyle w:val="cf01"/>
                <w:rFonts w:ascii="Arial" w:hAnsi="Arial" w:cs="Arial"/>
                <w:sz w:val="20"/>
                <w:szCs w:val="20"/>
              </w:rPr>
              <w:t>«</w:t>
            </w:r>
            <w:r w:rsidRPr="003B2A0D">
              <w:rPr>
                <w:rStyle w:val="cf01"/>
                <w:rFonts w:ascii="Arial" w:hAnsi="Arial" w:cs="Arial"/>
                <w:sz w:val="20"/>
                <w:szCs w:val="20"/>
              </w:rPr>
              <w:t>.</w:t>
            </w:r>
          </w:p>
          <w:p w14:paraId="3D36FC27" w14:textId="28FBE15E" w:rsidR="000C08CA" w:rsidRPr="0098472E" w:rsidRDefault="000C08CA" w:rsidP="0098472E">
            <w:pPr>
              <w:pStyle w:val="pf0"/>
              <w:spacing w:line="276" w:lineRule="auto"/>
              <w:jc w:val="both"/>
              <w:rPr>
                <w:rFonts w:ascii="Arial" w:hAnsi="Arial" w:cs="Arial"/>
                <w:sz w:val="20"/>
                <w:szCs w:val="20"/>
              </w:rPr>
            </w:pPr>
            <w:r w:rsidRPr="003B2A0D">
              <w:rPr>
                <w:rStyle w:val="cf01"/>
                <w:rFonts w:ascii="Arial" w:hAnsi="Arial" w:cs="Arial"/>
                <w:sz w:val="20"/>
                <w:szCs w:val="20"/>
              </w:rPr>
              <w:t xml:space="preserve">Dosedanji šesti odstavek postane osmi odstavek. </w:t>
            </w:r>
          </w:p>
          <w:p w14:paraId="01744009"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bookmarkStart w:id="24" w:name="_Hlk141359773"/>
            <w:r w:rsidRPr="003B2A0D">
              <w:rPr>
                <w:rFonts w:ascii="Arial" w:hAnsi="Arial" w:cs="Arial"/>
                <w:b/>
                <w:sz w:val="20"/>
                <w:szCs w:val="20"/>
              </w:rPr>
              <w:t xml:space="preserve">člen </w:t>
            </w:r>
          </w:p>
          <w:p w14:paraId="63C940E8" w14:textId="77777777" w:rsidR="000C08CA" w:rsidRPr="003B2A0D" w:rsidRDefault="000C08CA" w:rsidP="00FE328D">
            <w:pPr>
              <w:pStyle w:val="ListParagraph"/>
              <w:spacing w:after="0" w:line="276" w:lineRule="auto"/>
              <w:rPr>
                <w:rFonts w:ascii="Arial" w:hAnsi="Arial" w:cs="Arial"/>
                <w:b/>
                <w:sz w:val="20"/>
                <w:szCs w:val="20"/>
              </w:rPr>
            </w:pPr>
          </w:p>
          <w:p w14:paraId="3ACBE17E" w14:textId="77777777" w:rsidR="000C08CA" w:rsidRPr="003B2A0D" w:rsidRDefault="000C08CA" w:rsidP="00FE328D">
            <w:pPr>
              <w:spacing w:line="276" w:lineRule="auto"/>
              <w:jc w:val="both"/>
              <w:rPr>
                <w:rFonts w:cs="Arial"/>
                <w:szCs w:val="20"/>
              </w:rPr>
            </w:pPr>
            <w:bookmarkStart w:id="25" w:name="_Hlk142034442"/>
            <w:r w:rsidRPr="003B2A0D">
              <w:rPr>
                <w:rFonts w:cs="Arial"/>
                <w:szCs w:val="20"/>
              </w:rPr>
              <w:t xml:space="preserve">70.c člen se spremeni tako, da se glasi: </w:t>
            </w:r>
            <w:bookmarkEnd w:id="25"/>
          </w:p>
          <w:p w14:paraId="3A968294" w14:textId="77777777" w:rsidR="000C08CA" w:rsidRPr="003B2A0D" w:rsidRDefault="000C08CA" w:rsidP="00FE328D">
            <w:pPr>
              <w:spacing w:line="276" w:lineRule="auto"/>
              <w:jc w:val="both"/>
              <w:rPr>
                <w:rFonts w:cs="Arial"/>
                <w:szCs w:val="20"/>
              </w:rPr>
            </w:pPr>
          </w:p>
          <w:p w14:paraId="3B1C3F82" w14:textId="77777777" w:rsidR="000C08CA" w:rsidRPr="003B2A0D" w:rsidRDefault="000C08CA" w:rsidP="00FE328D">
            <w:pPr>
              <w:spacing w:line="276" w:lineRule="auto"/>
              <w:jc w:val="center"/>
              <w:rPr>
                <w:rFonts w:cs="Arial"/>
                <w:b/>
                <w:szCs w:val="20"/>
              </w:rPr>
            </w:pPr>
            <w:r w:rsidRPr="003B2A0D">
              <w:rPr>
                <w:rFonts w:cs="Arial"/>
                <w:b/>
                <w:szCs w:val="20"/>
              </w:rPr>
              <w:t>»70.c člen</w:t>
            </w:r>
          </w:p>
          <w:p w14:paraId="45BD2C9A" w14:textId="77777777" w:rsidR="000C08CA" w:rsidRPr="003B2A0D" w:rsidRDefault="000C08CA" w:rsidP="00FE328D">
            <w:pPr>
              <w:spacing w:line="276" w:lineRule="auto"/>
              <w:jc w:val="center"/>
              <w:rPr>
                <w:rFonts w:cs="Arial"/>
                <w:b/>
                <w:szCs w:val="20"/>
              </w:rPr>
            </w:pPr>
            <w:r w:rsidRPr="003B2A0D">
              <w:rPr>
                <w:rFonts w:cs="Arial"/>
                <w:b/>
                <w:szCs w:val="20"/>
              </w:rPr>
              <w:t>(poročilo o trajnostnosti)</w:t>
            </w:r>
          </w:p>
          <w:p w14:paraId="0564E9A3" w14:textId="77777777" w:rsidR="000C08CA" w:rsidRPr="003B2A0D" w:rsidRDefault="000C08CA" w:rsidP="00FE328D">
            <w:pPr>
              <w:spacing w:line="276" w:lineRule="auto"/>
              <w:rPr>
                <w:rFonts w:cs="Arial"/>
                <w:szCs w:val="20"/>
              </w:rPr>
            </w:pPr>
          </w:p>
          <w:p w14:paraId="0B63D5F4" w14:textId="77777777" w:rsidR="000C08CA" w:rsidRPr="003B2A0D" w:rsidRDefault="000C08CA" w:rsidP="00FE328D">
            <w:pPr>
              <w:spacing w:line="276" w:lineRule="auto"/>
              <w:jc w:val="both"/>
              <w:rPr>
                <w:rFonts w:cs="Arial"/>
                <w:szCs w:val="20"/>
              </w:rPr>
            </w:pPr>
            <w:bookmarkStart w:id="26" w:name="_Hlk142037520"/>
            <w:r w:rsidRPr="003B2A0D">
              <w:rPr>
                <w:rFonts w:cs="Arial"/>
                <w:szCs w:val="20"/>
              </w:rPr>
              <w:t xml:space="preserve">(1) Velika družba ter majhna in srednja družba, </w:t>
            </w:r>
            <w:r w:rsidRPr="00D361C3">
              <w:rPr>
                <w:rFonts w:cs="Arial"/>
                <w:szCs w:val="20"/>
              </w:rPr>
              <w:t>s katere vrednostnimi papirji se trguje na organiziranem trgu</w:t>
            </w:r>
            <w:r w:rsidRPr="003B2A0D">
              <w:rPr>
                <w:rFonts w:cs="Arial"/>
                <w:szCs w:val="20"/>
              </w:rPr>
              <w:t>, vključi v svoje poslovno poročilo tudi poročilo o trajnostnosti, ki vsebuje vse informacije, potrebne za razumevanje vplivov družbe na zadeve v zvezi s trajnostnostjo, in informacije, potrebne za razumevanje, kako zadeve v zvezi s trajnostnostjo vplivajo na razvoj, uspešnost in položaj družbe. Poročilo o trajnostnosti se vključi kot poseben oddelek poslovnega poročila</w:t>
            </w:r>
            <w:r>
              <w:rPr>
                <w:rFonts w:cs="Arial"/>
                <w:szCs w:val="20"/>
              </w:rPr>
              <w:t xml:space="preserve"> in</w:t>
            </w:r>
            <w:r w:rsidRPr="003B2A0D">
              <w:rPr>
                <w:rFonts w:cs="Arial"/>
                <w:szCs w:val="20"/>
              </w:rPr>
              <w:t xml:space="preserve"> vsebuje tudi informacije, ki jih mora družba razkriti v skladu z 8. členom Uredbe 2020/852/EU.</w:t>
            </w:r>
          </w:p>
          <w:bookmarkEnd w:id="26"/>
          <w:p w14:paraId="1013ACEA" w14:textId="77777777" w:rsidR="000C08CA" w:rsidRPr="003B2A0D" w:rsidRDefault="000C08CA" w:rsidP="00FE328D">
            <w:pPr>
              <w:spacing w:line="276" w:lineRule="auto"/>
              <w:jc w:val="both"/>
              <w:rPr>
                <w:rFonts w:cs="Arial"/>
                <w:szCs w:val="20"/>
              </w:rPr>
            </w:pPr>
          </w:p>
          <w:p w14:paraId="5DDD341E" w14:textId="77777777" w:rsidR="000C08CA" w:rsidRPr="003B2A0D" w:rsidRDefault="000C08CA" w:rsidP="00FE328D">
            <w:pPr>
              <w:spacing w:line="276" w:lineRule="auto"/>
              <w:jc w:val="both"/>
              <w:rPr>
                <w:rFonts w:cs="Arial"/>
                <w:szCs w:val="20"/>
              </w:rPr>
            </w:pPr>
            <w:r w:rsidRPr="003B2A0D">
              <w:rPr>
                <w:rFonts w:cs="Arial"/>
                <w:szCs w:val="20"/>
              </w:rPr>
              <w:t xml:space="preserve">(2) Poročilo o trajnostnosti vsebuje vsaj: </w:t>
            </w:r>
          </w:p>
          <w:p w14:paraId="0A255C10" w14:textId="77777777" w:rsidR="000C08CA" w:rsidRPr="003B2A0D" w:rsidRDefault="000C08CA" w:rsidP="00FE328D">
            <w:pPr>
              <w:spacing w:line="276" w:lineRule="auto"/>
              <w:jc w:val="both"/>
              <w:rPr>
                <w:rFonts w:cs="Arial"/>
                <w:szCs w:val="20"/>
              </w:rPr>
            </w:pPr>
            <w:r w:rsidRPr="003B2A0D">
              <w:rPr>
                <w:rFonts w:cs="Arial"/>
                <w:szCs w:val="20"/>
              </w:rPr>
              <w:t>1. kratek opis poslovnega modela in strategije družbe, vključno z:</w:t>
            </w:r>
          </w:p>
          <w:p w14:paraId="56497A46" w14:textId="77777777" w:rsidR="000C08CA" w:rsidRPr="003B2A0D" w:rsidRDefault="000C08CA" w:rsidP="00FE328D">
            <w:pPr>
              <w:pStyle w:val="ListParagraph"/>
              <w:keepNext/>
              <w:keepLines/>
              <w:numPr>
                <w:ilvl w:val="0"/>
                <w:numId w:val="102"/>
              </w:numPr>
              <w:spacing w:before="40" w:line="276" w:lineRule="auto"/>
              <w:jc w:val="both"/>
              <w:outlineLvl w:val="1"/>
              <w:rPr>
                <w:rFonts w:ascii="Arial" w:hAnsi="Arial" w:cs="Arial"/>
                <w:sz w:val="20"/>
                <w:szCs w:val="20"/>
              </w:rPr>
            </w:pPr>
            <w:r w:rsidRPr="003B2A0D">
              <w:rPr>
                <w:rFonts w:ascii="Arial" w:hAnsi="Arial" w:cs="Arial"/>
                <w:sz w:val="20"/>
                <w:szCs w:val="20"/>
              </w:rPr>
              <w:t xml:space="preserve">odpornostjo poslovnega modela in strategije družbe </w:t>
            </w:r>
            <w:r w:rsidRPr="003B2A0D" w:rsidDel="00A20FC7">
              <w:rPr>
                <w:rFonts w:ascii="Arial" w:hAnsi="Arial" w:cs="Arial"/>
                <w:sz w:val="20"/>
                <w:szCs w:val="20"/>
              </w:rPr>
              <w:t xml:space="preserve">na </w:t>
            </w:r>
            <w:r w:rsidRPr="003B2A0D">
              <w:rPr>
                <w:rFonts w:ascii="Arial" w:hAnsi="Arial" w:cs="Arial"/>
                <w:sz w:val="20"/>
                <w:szCs w:val="20"/>
              </w:rPr>
              <w:t>tveganja glede zadev v zvezi s trajnostnostjo</w:t>
            </w:r>
            <w:r>
              <w:rPr>
                <w:rFonts w:ascii="Arial" w:hAnsi="Arial" w:cs="Arial"/>
                <w:sz w:val="20"/>
                <w:szCs w:val="20"/>
              </w:rPr>
              <w:t>,</w:t>
            </w:r>
          </w:p>
          <w:p w14:paraId="5BE4AC90" w14:textId="77777777" w:rsidR="000C08CA" w:rsidRPr="003B2A0D" w:rsidRDefault="000C08CA" w:rsidP="00FE328D">
            <w:pPr>
              <w:pStyle w:val="ListParagraph"/>
              <w:numPr>
                <w:ilvl w:val="0"/>
                <w:numId w:val="102"/>
              </w:numPr>
              <w:spacing w:line="276" w:lineRule="auto"/>
              <w:jc w:val="both"/>
              <w:rPr>
                <w:rFonts w:ascii="Arial" w:hAnsi="Arial" w:cs="Arial"/>
                <w:sz w:val="20"/>
                <w:szCs w:val="20"/>
              </w:rPr>
            </w:pPr>
            <w:r w:rsidRPr="003B2A0D">
              <w:rPr>
                <w:rFonts w:ascii="Arial" w:hAnsi="Arial" w:cs="Arial"/>
                <w:sz w:val="20"/>
                <w:szCs w:val="20"/>
              </w:rPr>
              <w:t>priložnostmi za družbe glede zadev v zvezi s trajnostnostjo</w:t>
            </w:r>
            <w:r>
              <w:rPr>
                <w:rFonts w:ascii="Arial" w:hAnsi="Arial" w:cs="Arial"/>
                <w:sz w:val="20"/>
                <w:szCs w:val="20"/>
              </w:rPr>
              <w:t>,</w:t>
            </w:r>
          </w:p>
          <w:p w14:paraId="6EBD080C" w14:textId="77777777" w:rsidR="000C08CA" w:rsidRPr="003B2A0D" w:rsidRDefault="000C08CA" w:rsidP="00FE328D">
            <w:pPr>
              <w:pStyle w:val="ListParagraph"/>
              <w:numPr>
                <w:ilvl w:val="0"/>
                <w:numId w:val="102"/>
              </w:numPr>
              <w:spacing w:after="0" w:line="276" w:lineRule="auto"/>
              <w:ind w:left="714" w:hanging="357"/>
              <w:jc w:val="both"/>
              <w:rPr>
                <w:rFonts w:ascii="Arial" w:hAnsi="Arial" w:cs="Arial"/>
                <w:sz w:val="20"/>
                <w:szCs w:val="20"/>
              </w:rPr>
            </w:pPr>
            <w:r w:rsidRPr="003B2A0D">
              <w:rPr>
                <w:rFonts w:ascii="Arial" w:hAnsi="Arial" w:cs="Arial"/>
                <w:sz w:val="20"/>
                <w:szCs w:val="20"/>
              </w:rPr>
              <w:t xml:space="preserve">načrti, vključno z izvedbenimi ukrepi ter z njimi povezanimi finančnimi in naložbenimi načrti, kako namerava družba zagotoviti, da bosta njen poslovni model in strategija združljiva s prehodom na trajnostno gospodarstvo in omejitvijo globalnega segrevanja na 1,5 °C v skladu s Pariškim sporazumom v okviru Okvirne konvencije Združenih narodov o podnebnih spremembah, sprejetim 12. decembra 2015, in ciljem, da se do leta 2050 doseže podnebna nevtralnost, kot je določeno v Uredbi (EU) 2021/1119 Evropskega parlamenta in Sveta z dne 30. junija 2021 o vzpostavitvi okvira za doseganje podnebne nevtralnosti in spremembi uredb (ES) št. 401/2009 in (EU) 2018/1999 (evropska podnebna pravila) (UL L št. 243 z dne 9. 7. </w:t>
            </w:r>
            <w:r w:rsidRPr="003B2A0D">
              <w:rPr>
                <w:rFonts w:ascii="Arial" w:hAnsi="Arial" w:cs="Arial"/>
                <w:sz w:val="20"/>
                <w:szCs w:val="20"/>
              </w:rPr>
              <w:lastRenderedPageBreak/>
              <w:t xml:space="preserve">2021, str. 1), ter </w:t>
            </w:r>
            <w:r w:rsidRPr="003B2A0D" w:rsidDel="00A20FC7">
              <w:rPr>
                <w:rFonts w:ascii="Arial" w:hAnsi="Arial" w:cs="Arial"/>
                <w:sz w:val="20"/>
                <w:szCs w:val="20"/>
              </w:rPr>
              <w:t>kadar je to potrebno</w:t>
            </w:r>
            <w:r w:rsidRPr="003B2A0D">
              <w:rPr>
                <w:rFonts w:ascii="Arial" w:hAnsi="Arial" w:cs="Arial"/>
                <w:sz w:val="20"/>
                <w:szCs w:val="20"/>
              </w:rPr>
              <w:t xml:space="preserve"> tudi informacijami o izpostavljenosti družbe dejavnostim, povezanim s premogom, nafto in plinom</w:t>
            </w:r>
            <w:r>
              <w:rPr>
                <w:rFonts w:ascii="Arial" w:hAnsi="Arial" w:cs="Arial"/>
                <w:sz w:val="20"/>
                <w:szCs w:val="20"/>
              </w:rPr>
              <w:t>,</w:t>
            </w:r>
          </w:p>
          <w:p w14:paraId="64EA983D" w14:textId="77777777" w:rsidR="000C08CA" w:rsidRPr="003B2A0D" w:rsidRDefault="000C08CA" w:rsidP="00FE328D">
            <w:pPr>
              <w:spacing w:line="276" w:lineRule="auto"/>
              <w:ind w:left="720" w:hanging="360"/>
              <w:jc w:val="both"/>
              <w:rPr>
                <w:rFonts w:cs="Arial"/>
                <w:szCs w:val="20"/>
              </w:rPr>
            </w:pPr>
            <w:r w:rsidRPr="003B2A0D">
              <w:rPr>
                <w:rFonts w:cs="Arial"/>
                <w:szCs w:val="20"/>
              </w:rPr>
              <w:t>č)</w:t>
            </w:r>
            <w:r w:rsidRPr="003B2A0D">
              <w:rPr>
                <w:rFonts w:cs="Arial"/>
                <w:szCs w:val="20"/>
              </w:rPr>
              <w:tab/>
              <w:t>načinom, kako poslovni model in strategija družbe upoštevata interese deležnikov družbe in vplive družbe na zadeve v zvezi s trajnostnostjo</w:t>
            </w:r>
            <w:r>
              <w:rPr>
                <w:rFonts w:cs="Arial"/>
                <w:szCs w:val="20"/>
              </w:rPr>
              <w:t>,</w:t>
            </w:r>
          </w:p>
          <w:p w14:paraId="16DF3AF3" w14:textId="77777777" w:rsidR="000C08CA" w:rsidRPr="003B2A0D" w:rsidRDefault="000C08CA" w:rsidP="00FE328D">
            <w:pPr>
              <w:pStyle w:val="ListParagraph"/>
              <w:numPr>
                <w:ilvl w:val="0"/>
                <w:numId w:val="102"/>
              </w:numPr>
              <w:spacing w:after="0" w:line="276" w:lineRule="auto"/>
              <w:ind w:left="714" w:hanging="357"/>
              <w:jc w:val="both"/>
              <w:rPr>
                <w:rFonts w:ascii="Arial" w:hAnsi="Arial" w:cs="Arial"/>
                <w:sz w:val="20"/>
                <w:szCs w:val="20"/>
              </w:rPr>
            </w:pPr>
            <w:r w:rsidRPr="003B2A0D">
              <w:rPr>
                <w:rFonts w:ascii="Arial" w:hAnsi="Arial" w:cs="Arial"/>
                <w:sz w:val="20"/>
                <w:szCs w:val="20"/>
              </w:rPr>
              <w:t>načinom, kako se je izvedla strategija družbe glede zadev v zvezi s trajnostnostjo;</w:t>
            </w:r>
          </w:p>
          <w:p w14:paraId="0CE52724" w14:textId="77777777" w:rsidR="000C08CA" w:rsidRPr="003B2A0D" w:rsidRDefault="000C08CA" w:rsidP="00FE328D">
            <w:pPr>
              <w:spacing w:line="276" w:lineRule="auto"/>
              <w:jc w:val="both"/>
              <w:rPr>
                <w:rFonts w:cs="Arial"/>
                <w:szCs w:val="20"/>
              </w:rPr>
            </w:pPr>
          </w:p>
          <w:p w14:paraId="4E1B3FA8" w14:textId="77777777" w:rsidR="000C08CA" w:rsidRPr="003B2A0D" w:rsidRDefault="000C08CA" w:rsidP="00FE328D">
            <w:pPr>
              <w:spacing w:line="276" w:lineRule="auto"/>
              <w:jc w:val="both"/>
              <w:rPr>
                <w:rFonts w:cs="Arial"/>
                <w:szCs w:val="20"/>
              </w:rPr>
            </w:pPr>
            <w:r w:rsidRPr="003B2A0D">
              <w:rPr>
                <w:rFonts w:cs="Arial"/>
                <w:szCs w:val="20"/>
              </w:rPr>
              <w:t xml:space="preserve">2. </w:t>
            </w:r>
            <w:r w:rsidRPr="003B2A0D" w:rsidDel="00F878A1">
              <w:rPr>
                <w:rFonts w:cs="Arial"/>
                <w:szCs w:val="20"/>
              </w:rPr>
              <w:t>opis</w:t>
            </w:r>
            <w:r w:rsidRPr="003B2A0D">
              <w:rPr>
                <w:rFonts w:cs="Arial"/>
                <w:szCs w:val="20"/>
              </w:rPr>
              <w:t xml:space="preserve"> časovno vezanih ciljev glede zadev v zvezi s trajnostnostjo, ki jih določi družba, kadar je to glede na evropske standarde poročanja o trajnostnosti potrebno vključno s cilji glede absolutnega zmanjšanja emisij toplogrednih plinov vsaj za leti 2030 in 2050, opis napredka družbe pri doseganju teh ciljev in izjavo, ali cilji družbe v zvezi z okoljskimi dejavniki temeljijo na prepričljivih znanstvenih dokazih;</w:t>
            </w:r>
          </w:p>
          <w:p w14:paraId="0665F6FD" w14:textId="77777777" w:rsidR="000C08CA" w:rsidRPr="003B2A0D" w:rsidRDefault="000C08CA" w:rsidP="00FE328D">
            <w:pPr>
              <w:spacing w:line="276" w:lineRule="auto"/>
              <w:jc w:val="both"/>
              <w:rPr>
                <w:rFonts w:cs="Arial"/>
                <w:szCs w:val="20"/>
              </w:rPr>
            </w:pPr>
            <w:r w:rsidRPr="003B2A0D">
              <w:rPr>
                <w:rFonts w:cs="Arial"/>
                <w:szCs w:val="20"/>
              </w:rPr>
              <w:t>3. opis vloge organov vodenja ali nadzora glede zadev v zvezi s trajnostnostjo</w:t>
            </w:r>
            <w:r w:rsidRPr="003B2A0D" w:rsidDel="00A20FC7">
              <w:rPr>
                <w:rFonts w:cs="Arial"/>
                <w:szCs w:val="20"/>
              </w:rPr>
              <w:t>, pa tudi</w:t>
            </w:r>
            <w:r w:rsidRPr="003B2A0D">
              <w:rPr>
                <w:rFonts w:cs="Arial"/>
                <w:szCs w:val="20"/>
              </w:rPr>
              <w:t xml:space="preserve"> strokovnega znanja </w:t>
            </w:r>
            <w:r w:rsidRPr="003B2A0D" w:rsidDel="00A20FC7">
              <w:rPr>
                <w:rFonts w:cs="Arial"/>
                <w:szCs w:val="20"/>
              </w:rPr>
              <w:t xml:space="preserve">ter </w:t>
            </w:r>
            <w:r w:rsidRPr="003B2A0D">
              <w:rPr>
                <w:rFonts w:cs="Arial"/>
                <w:szCs w:val="20"/>
              </w:rPr>
              <w:t xml:space="preserve">spretnosti, ki jih imajo taki organi za opravljanje te vloge, ali dostopa do tega strokovnega znanja </w:t>
            </w:r>
            <w:r w:rsidRPr="003B2A0D" w:rsidDel="00A20FC7">
              <w:rPr>
                <w:rFonts w:cs="Arial"/>
                <w:szCs w:val="20"/>
              </w:rPr>
              <w:t xml:space="preserve">ter </w:t>
            </w:r>
            <w:r w:rsidRPr="003B2A0D">
              <w:rPr>
                <w:rFonts w:cs="Arial"/>
                <w:szCs w:val="20"/>
              </w:rPr>
              <w:t>spretnosti;</w:t>
            </w:r>
          </w:p>
          <w:p w14:paraId="10C0EB0E" w14:textId="77777777" w:rsidR="000C08CA" w:rsidRPr="003B2A0D" w:rsidRDefault="000C08CA" w:rsidP="00FE328D">
            <w:pPr>
              <w:spacing w:line="276" w:lineRule="auto"/>
              <w:jc w:val="both"/>
              <w:rPr>
                <w:rFonts w:cs="Arial"/>
                <w:szCs w:val="20"/>
              </w:rPr>
            </w:pPr>
            <w:r w:rsidRPr="003B2A0D">
              <w:rPr>
                <w:rFonts w:cs="Arial"/>
                <w:szCs w:val="20"/>
              </w:rPr>
              <w:t>4. opis politik družbe glede zadev v zvezi s trajnostnostjo;</w:t>
            </w:r>
          </w:p>
          <w:p w14:paraId="540632D4" w14:textId="77777777" w:rsidR="000C08CA" w:rsidRPr="003B2A0D" w:rsidRDefault="000C08CA" w:rsidP="00FE328D">
            <w:pPr>
              <w:spacing w:line="276" w:lineRule="auto"/>
              <w:jc w:val="both"/>
              <w:rPr>
                <w:rFonts w:cs="Arial"/>
                <w:szCs w:val="20"/>
              </w:rPr>
            </w:pPr>
            <w:r w:rsidRPr="003B2A0D">
              <w:rPr>
                <w:rFonts w:cs="Arial"/>
                <w:szCs w:val="20"/>
              </w:rPr>
              <w:t xml:space="preserve">5. informacije o tem, ali </w:t>
            </w:r>
            <w:r w:rsidRPr="003B2A0D" w:rsidDel="00A20FC7">
              <w:rPr>
                <w:rFonts w:cs="Arial"/>
                <w:szCs w:val="20"/>
              </w:rPr>
              <w:t xml:space="preserve">obstajajo </w:t>
            </w:r>
            <w:r w:rsidRPr="003B2A0D">
              <w:rPr>
                <w:rFonts w:cs="Arial"/>
                <w:szCs w:val="20"/>
              </w:rPr>
              <w:t>sistemi spodbud, povezani s trajnostnostjo, ki so na voljo članom organov vodenja ali nadzora;</w:t>
            </w:r>
          </w:p>
          <w:p w14:paraId="0CD8D871" w14:textId="77777777" w:rsidR="000C08CA" w:rsidRPr="003B2A0D" w:rsidRDefault="000C08CA" w:rsidP="00FE328D">
            <w:pPr>
              <w:spacing w:line="276" w:lineRule="auto"/>
              <w:jc w:val="both"/>
              <w:rPr>
                <w:rFonts w:cs="Arial"/>
                <w:szCs w:val="20"/>
              </w:rPr>
            </w:pPr>
            <w:r w:rsidRPr="003B2A0D">
              <w:rPr>
                <w:rFonts w:cs="Arial"/>
                <w:szCs w:val="20"/>
              </w:rPr>
              <w:t>6. opis:</w:t>
            </w:r>
          </w:p>
          <w:p w14:paraId="75F43054" w14:textId="77777777" w:rsidR="000C08CA" w:rsidRPr="003B2A0D" w:rsidRDefault="000C08CA" w:rsidP="00FE328D">
            <w:pPr>
              <w:pStyle w:val="ListParagraph"/>
              <w:numPr>
                <w:ilvl w:val="0"/>
                <w:numId w:val="103"/>
              </w:numPr>
              <w:spacing w:line="276" w:lineRule="auto"/>
              <w:jc w:val="both"/>
              <w:rPr>
                <w:rFonts w:ascii="Arial" w:hAnsi="Arial" w:cs="Arial"/>
                <w:strike/>
                <w:sz w:val="20"/>
                <w:szCs w:val="20"/>
              </w:rPr>
            </w:pPr>
            <w:r w:rsidRPr="003B2A0D">
              <w:rPr>
                <w:rFonts w:ascii="Arial" w:hAnsi="Arial" w:cs="Arial"/>
                <w:sz w:val="20"/>
                <w:szCs w:val="20"/>
              </w:rPr>
              <w:t>postopka skrbnega pregleda, ki ga družba izvaja glede zadev v zvezi s trajnostnostjo</w:t>
            </w:r>
            <w:r>
              <w:rPr>
                <w:rFonts w:ascii="Arial" w:hAnsi="Arial" w:cs="Arial"/>
                <w:sz w:val="20"/>
                <w:szCs w:val="20"/>
              </w:rPr>
              <w:t>,</w:t>
            </w:r>
          </w:p>
          <w:p w14:paraId="33EEF915" w14:textId="77777777" w:rsidR="000C08CA" w:rsidRPr="003B2A0D" w:rsidRDefault="000C08CA" w:rsidP="00FE328D">
            <w:pPr>
              <w:pStyle w:val="ListParagraph"/>
              <w:numPr>
                <w:ilvl w:val="0"/>
                <w:numId w:val="103"/>
              </w:numPr>
              <w:spacing w:line="276" w:lineRule="auto"/>
              <w:jc w:val="both"/>
              <w:rPr>
                <w:rFonts w:ascii="Arial" w:hAnsi="Arial" w:cs="Arial"/>
                <w:sz w:val="20"/>
                <w:szCs w:val="20"/>
              </w:rPr>
            </w:pPr>
            <w:r w:rsidRPr="003B2A0D">
              <w:rPr>
                <w:rFonts w:ascii="Arial" w:hAnsi="Arial" w:cs="Arial"/>
                <w:sz w:val="20"/>
                <w:szCs w:val="20"/>
              </w:rPr>
              <w:t xml:space="preserve">glavnih dejanskih ali morebitnih škodljivih vplivov, povezanih z lastnimi dejavnostmi in vrednostno verigo družbe, vključno z njenimi proizvodi in storitvami, poslovnimi odnosi in dobavno verigo, ukrepov za odkrivanje in spremljanje teh vplivov ter drugih škodljivih vplivov, ki jih mora družba </w:t>
            </w:r>
            <w:r>
              <w:rPr>
                <w:rFonts w:ascii="Arial" w:hAnsi="Arial" w:cs="Arial"/>
                <w:sz w:val="20"/>
                <w:szCs w:val="20"/>
              </w:rPr>
              <w:t>opredeliti</w:t>
            </w:r>
            <w:r w:rsidRPr="003B2A0D">
              <w:rPr>
                <w:rFonts w:ascii="Arial" w:hAnsi="Arial" w:cs="Arial"/>
                <w:sz w:val="20"/>
                <w:szCs w:val="20"/>
              </w:rPr>
              <w:t xml:space="preserve"> za izvajanje postopka skrbnega pregleda</w:t>
            </w:r>
            <w:r>
              <w:rPr>
                <w:rFonts w:ascii="Arial" w:hAnsi="Arial" w:cs="Arial"/>
                <w:sz w:val="20"/>
                <w:szCs w:val="20"/>
              </w:rPr>
              <w:t>,</w:t>
            </w:r>
          </w:p>
          <w:p w14:paraId="71D66A20" w14:textId="77777777" w:rsidR="000C08CA" w:rsidRPr="003B2A0D" w:rsidRDefault="000C08CA" w:rsidP="00FE328D">
            <w:pPr>
              <w:pStyle w:val="ListParagraph"/>
              <w:numPr>
                <w:ilvl w:val="0"/>
                <w:numId w:val="103"/>
              </w:numPr>
              <w:spacing w:after="0" w:line="276" w:lineRule="auto"/>
              <w:ind w:left="714" w:hanging="357"/>
              <w:jc w:val="both"/>
              <w:rPr>
                <w:rFonts w:ascii="Arial" w:hAnsi="Arial" w:cs="Arial"/>
                <w:sz w:val="20"/>
                <w:szCs w:val="20"/>
              </w:rPr>
            </w:pPr>
            <w:r w:rsidRPr="003B2A0D">
              <w:rPr>
                <w:rFonts w:ascii="Arial" w:hAnsi="Arial" w:cs="Arial"/>
                <w:sz w:val="20"/>
                <w:szCs w:val="20"/>
              </w:rPr>
              <w:t>vseh ukrepov, ki jih je družba sprejela za preprečevanje, blažitev, sanacijo ali odpravo dejanskih ali morebitnih škodljivih vplivov, in rezultatov teh ukrepov;</w:t>
            </w:r>
          </w:p>
          <w:p w14:paraId="49B2431D" w14:textId="77777777" w:rsidR="000C08CA" w:rsidRPr="003B2A0D" w:rsidRDefault="000C08CA" w:rsidP="00FE328D">
            <w:pPr>
              <w:spacing w:line="276" w:lineRule="auto"/>
              <w:jc w:val="both"/>
              <w:rPr>
                <w:rFonts w:cs="Arial"/>
                <w:szCs w:val="20"/>
              </w:rPr>
            </w:pPr>
            <w:r w:rsidRPr="003B2A0D">
              <w:rPr>
                <w:rFonts w:cs="Arial"/>
                <w:szCs w:val="20"/>
              </w:rPr>
              <w:t>7. opis glavnih tveganj za družbo glede zadev v zvezi s trajnostnostjo, vključno z opisom glavnih odvisnosti družbe od teh zadev, in način, kako družba upravlja ta tveganja;</w:t>
            </w:r>
          </w:p>
          <w:p w14:paraId="56C5822E" w14:textId="77777777" w:rsidR="000C08CA" w:rsidRPr="003B2A0D" w:rsidRDefault="000C08CA" w:rsidP="00FE328D">
            <w:pPr>
              <w:spacing w:line="276" w:lineRule="auto"/>
              <w:jc w:val="both"/>
              <w:rPr>
                <w:rFonts w:cs="Arial"/>
                <w:szCs w:val="20"/>
              </w:rPr>
            </w:pPr>
            <w:r w:rsidRPr="003B2A0D">
              <w:rPr>
                <w:rFonts w:cs="Arial"/>
                <w:szCs w:val="20"/>
              </w:rPr>
              <w:t>8. kazalnike, relevantne za razkritja iz 1. do 7. točke tega odstavka</w:t>
            </w:r>
            <w:r>
              <w:rPr>
                <w:rFonts w:cs="Arial"/>
                <w:szCs w:val="20"/>
              </w:rPr>
              <w:t>;</w:t>
            </w:r>
          </w:p>
          <w:p w14:paraId="722005F6" w14:textId="77777777" w:rsidR="000C08CA" w:rsidRPr="003B2A0D" w:rsidRDefault="000C08CA" w:rsidP="00FE328D">
            <w:pPr>
              <w:spacing w:line="276" w:lineRule="auto"/>
              <w:jc w:val="both"/>
              <w:rPr>
                <w:rFonts w:cs="Arial"/>
                <w:szCs w:val="20"/>
              </w:rPr>
            </w:pPr>
            <w:r w:rsidRPr="003B2A0D">
              <w:rPr>
                <w:rFonts w:cs="Arial"/>
                <w:szCs w:val="20"/>
              </w:rPr>
              <w:t xml:space="preserve">9. postopek, po katerem je družba določila informacije, ki jih je vključila v poročilo o trajnostnosti. </w:t>
            </w:r>
          </w:p>
          <w:p w14:paraId="519193BF" w14:textId="77777777" w:rsidR="000C08CA" w:rsidRPr="003B2A0D" w:rsidRDefault="000C08CA" w:rsidP="00FE328D">
            <w:pPr>
              <w:spacing w:line="276" w:lineRule="auto"/>
              <w:jc w:val="both"/>
              <w:rPr>
                <w:rFonts w:cs="Arial"/>
                <w:szCs w:val="20"/>
              </w:rPr>
            </w:pPr>
          </w:p>
          <w:p w14:paraId="58DDD715" w14:textId="77777777" w:rsidR="000C08CA" w:rsidRPr="003B2A0D" w:rsidRDefault="000C08CA" w:rsidP="00FE328D">
            <w:pPr>
              <w:spacing w:line="276" w:lineRule="auto"/>
              <w:jc w:val="both"/>
              <w:rPr>
                <w:rFonts w:cs="Arial"/>
                <w:szCs w:val="20"/>
              </w:rPr>
            </w:pPr>
            <w:r w:rsidRPr="003B2A0D">
              <w:rPr>
                <w:rFonts w:cs="Arial"/>
                <w:szCs w:val="20"/>
              </w:rPr>
              <w:t xml:space="preserve">(3) Ne glede na prejšnji odstavek lahko </w:t>
            </w:r>
            <w:r w:rsidRPr="00D361C3">
              <w:rPr>
                <w:rFonts w:cs="Arial"/>
                <w:szCs w:val="20"/>
              </w:rPr>
              <w:t xml:space="preserve">poročilo o trajnostnosti majhne in srednje družbe, </w:t>
            </w:r>
            <w:r w:rsidRPr="00D361C3" w:rsidDel="00A20FC7">
              <w:rPr>
                <w:rFonts w:cs="Arial"/>
                <w:szCs w:val="20"/>
              </w:rPr>
              <w:t>s katere</w:t>
            </w:r>
            <w:r w:rsidRPr="00D361C3">
              <w:rPr>
                <w:rFonts w:cs="Arial"/>
                <w:szCs w:val="20"/>
              </w:rPr>
              <w:t xml:space="preserve"> vrednostnimi papirji se trguje na organiziranem trgu, majhne</w:t>
            </w:r>
            <w:r w:rsidRPr="003B2A0D">
              <w:rPr>
                <w:rFonts w:cs="Arial"/>
                <w:szCs w:val="20"/>
              </w:rPr>
              <w:t xml:space="preserve"> in nekompleksne institucije</w:t>
            </w:r>
            <w:r w:rsidRPr="003B2A0D" w:rsidDel="00A34699">
              <w:rPr>
                <w:rFonts w:cs="Arial"/>
                <w:szCs w:val="20"/>
              </w:rPr>
              <w:t xml:space="preserve"> </w:t>
            </w:r>
            <w:r w:rsidRPr="003B2A0D">
              <w:rPr>
                <w:rFonts w:cs="Arial"/>
                <w:szCs w:val="20"/>
              </w:rPr>
              <w:t xml:space="preserve">ter </w:t>
            </w:r>
            <w:bookmarkStart w:id="27" w:name="_Hlk142402934"/>
            <w:r w:rsidRPr="003B2A0D">
              <w:rPr>
                <w:rFonts w:cs="Arial"/>
                <w:szCs w:val="20"/>
              </w:rPr>
              <w:t>lastne zavarovalnice in pozavarovalnice po zakonu, ki ureja zavarovalništvo</w:t>
            </w:r>
            <w:bookmarkEnd w:id="27"/>
            <w:r w:rsidRPr="003B2A0D">
              <w:rPr>
                <w:rFonts w:cs="Arial"/>
                <w:szCs w:val="20"/>
              </w:rPr>
              <w:t>, vsebuje zgolj:</w:t>
            </w:r>
          </w:p>
          <w:p w14:paraId="51913285" w14:textId="77777777" w:rsidR="000C08CA" w:rsidRPr="003B2A0D" w:rsidRDefault="000C08CA" w:rsidP="00FE328D">
            <w:pPr>
              <w:pStyle w:val="ListParagraph"/>
              <w:numPr>
                <w:ilvl w:val="0"/>
                <w:numId w:val="104"/>
              </w:numPr>
              <w:spacing w:line="276" w:lineRule="auto"/>
              <w:jc w:val="both"/>
              <w:rPr>
                <w:rFonts w:ascii="Arial" w:eastAsiaTheme="majorEastAsia" w:hAnsi="Arial" w:cs="Arial"/>
                <w:color w:val="2E74B5" w:themeColor="accent1" w:themeShade="BF"/>
                <w:sz w:val="20"/>
                <w:szCs w:val="20"/>
              </w:rPr>
            </w:pPr>
            <w:r w:rsidRPr="003B2A0D">
              <w:rPr>
                <w:rFonts w:ascii="Arial" w:hAnsi="Arial" w:cs="Arial"/>
                <w:sz w:val="20"/>
                <w:szCs w:val="20"/>
              </w:rPr>
              <w:t>kratek opis poslovnega modela in strategije družbe;</w:t>
            </w:r>
          </w:p>
          <w:p w14:paraId="4A4BF5C0" w14:textId="77777777" w:rsidR="000C08CA" w:rsidRPr="003B2A0D" w:rsidRDefault="000C08CA" w:rsidP="00FE328D">
            <w:pPr>
              <w:pStyle w:val="ListParagraph"/>
              <w:numPr>
                <w:ilvl w:val="0"/>
                <w:numId w:val="104"/>
              </w:numPr>
              <w:spacing w:line="276" w:lineRule="auto"/>
              <w:jc w:val="both"/>
              <w:rPr>
                <w:rFonts w:ascii="Arial" w:hAnsi="Arial" w:cs="Arial"/>
                <w:sz w:val="20"/>
                <w:szCs w:val="20"/>
              </w:rPr>
            </w:pPr>
            <w:r w:rsidRPr="003B2A0D">
              <w:rPr>
                <w:rFonts w:ascii="Arial" w:hAnsi="Arial" w:cs="Arial"/>
                <w:sz w:val="20"/>
                <w:szCs w:val="20"/>
              </w:rPr>
              <w:t>opis politik družbe glede zadev v zvezi s trajnostnostjo;</w:t>
            </w:r>
          </w:p>
          <w:p w14:paraId="5F1FB3FE" w14:textId="77777777" w:rsidR="000C08CA" w:rsidRPr="003B2A0D" w:rsidRDefault="000C08CA" w:rsidP="00FE328D">
            <w:pPr>
              <w:pStyle w:val="ListParagraph"/>
              <w:numPr>
                <w:ilvl w:val="0"/>
                <w:numId w:val="104"/>
              </w:numPr>
              <w:spacing w:line="276" w:lineRule="auto"/>
              <w:jc w:val="both"/>
              <w:rPr>
                <w:rFonts w:ascii="Arial" w:hAnsi="Arial" w:cs="Arial"/>
                <w:sz w:val="20"/>
                <w:szCs w:val="20"/>
              </w:rPr>
            </w:pPr>
            <w:r w:rsidRPr="003B2A0D">
              <w:rPr>
                <w:rFonts w:ascii="Arial" w:hAnsi="Arial" w:cs="Arial"/>
                <w:sz w:val="20"/>
                <w:szCs w:val="20"/>
              </w:rPr>
              <w:t>glavne dejanske ali morebitne škodljive vplive družbe na zadeve v zvezi s trajnostnostjo in vse ukrepe, sprejete za njihovo odkrivanje, spremljanje, preprečevanje, blažitev ali odpravo;</w:t>
            </w:r>
          </w:p>
          <w:p w14:paraId="5E491108" w14:textId="77777777" w:rsidR="000C08CA" w:rsidRPr="003B2A0D" w:rsidRDefault="000C08CA" w:rsidP="00FE328D">
            <w:pPr>
              <w:pStyle w:val="ListParagraph"/>
              <w:numPr>
                <w:ilvl w:val="0"/>
                <w:numId w:val="104"/>
              </w:numPr>
              <w:spacing w:line="276" w:lineRule="auto"/>
              <w:jc w:val="both"/>
              <w:rPr>
                <w:rFonts w:ascii="Arial" w:hAnsi="Arial" w:cs="Arial"/>
                <w:sz w:val="20"/>
                <w:szCs w:val="20"/>
              </w:rPr>
            </w:pPr>
            <w:r w:rsidRPr="003B2A0D">
              <w:rPr>
                <w:rFonts w:ascii="Arial" w:hAnsi="Arial" w:cs="Arial"/>
                <w:sz w:val="20"/>
                <w:szCs w:val="20"/>
              </w:rPr>
              <w:t>glavna tveganja za družbo, povezana z zadevami v zvezi s trajnostnostjo, in način, kako družba ta tveganja upravlja;</w:t>
            </w:r>
          </w:p>
          <w:p w14:paraId="341F401D" w14:textId="77777777" w:rsidR="000C08CA" w:rsidRPr="003B2A0D" w:rsidRDefault="000C08CA" w:rsidP="00FE328D">
            <w:pPr>
              <w:pStyle w:val="ListParagraph"/>
              <w:numPr>
                <w:ilvl w:val="0"/>
                <w:numId w:val="104"/>
              </w:numPr>
              <w:spacing w:line="276" w:lineRule="auto"/>
              <w:jc w:val="both"/>
              <w:rPr>
                <w:rFonts w:ascii="Arial" w:hAnsi="Arial" w:cs="Arial"/>
                <w:sz w:val="20"/>
                <w:szCs w:val="20"/>
              </w:rPr>
            </w:pPr>
            <w:r w:rsidRPr="003B2A0D">
              <w:rPr>
                <w:rFonts w:ascii="Arial" w:hAnsi="Arial" w:cs="Arial"/>
                <w:sz w:val="20"/>
                <w:szCs w:val="20"/>
              </w:rPr>
              <w:t xml:space="preserve">ključne kazalnike, potrebne za razkritja iz 1. do 4. točke tega odstavka. </w:t>
            </w:r>
          </w:p>
          <w:p w14:paraId="2DEB7B11" w14:textId="77777777" w:rsidR="000C08CA" w:rsidRPr="003B2A0D" w:rsidRDefault="000C08CA" w:rsidP="00FE328D">
            <w:pPr>
              <w:spacing w:line="276" w:lineRule="auto"/>
              <w:jc w:val="both"/>
              <w:rPr>
                <w:rFonts w:cs="Arial"/>
                <w:szCs w:val="20"/>
              </w:rPr>
            </w:pPr>
            <w:r w:rsidRPr="003B2A0D">
              <w:rPr>
                <w:rFonts w:cs="Arial"/>
                <w:szCs w:val="20"/>
              </w:rPr>
              <w:t xml:space="preserve">(4) </w:t>
            </w:r>
            <w:bookmarkStart w:id="28" w:name="_Hlk142043511"/>
            <w:r w:rsidRPr="003B2A0D">
              <w:rPr>
                <w:rFonts w:cs="Arial"/>
                <w:szCs w:val="20"/>
              </w:rPr>
              <w:t>Družba</w:t>
            </w:r>
            <w:r w:rsidRPr="003B2A0D" w:rsidDel="00A20FC7">
              <w:rPr>
                <w:rFonts w:cs="Arial"/>
                <w:szCs w:val="20"/>
              </w:rPr>
              <w:t xml:space="preserve"> </w:t>
            </w:r>
            <w:r w:rsidRPr="003B2A0D">
              <w:rPr>
                <w:rFonts w:cs="Arial"/>
                <w:szCs w:val="20"/>
              </w:rPr>
              <w:t>pripravi poročilo o trajnostnosti v skladu z evropskimi standardi poročanja o trajnostnosti, ki podrobneje določajo obveznosti družbe, in sicer tudi glede informacij, ki se nanašajo na kratko-, srednje- in dolgoročna obdobja; informacij o lastnih dejavnostih in o vrednostni verigi družbe, vključno z njenimi proizvodi in storitvami, poslovnimi odnosi in dobavno verigo; sklicev</w:t>
            </w:r>
            <w:r>
              <w:rPr>
                <w:rFonts w:cs="Arial"/>
                <w:szCs w:val="20"/>
              </w:rPr>
              <w:t>anja</w:t>
            </w:r>
            <w:r w:rsidRPr="003B2A0D">
              <w:rPr>
                <w:rFonts w:cs="Arial"/>
                <w:szCs w:val="20"/>
              </w:rPr>
              <w:t xml:space="preserve"> </w:t>
            </w:r>
            <w:r>
              <w:rPr>
                <w:rFonts w:cs="Arial"/>
                <w:szCs w:val="20"/>
              </w:rPr>
              <w:t xml:space="preserve">na </w:t>
            </w:r>
            <w:r w:rsidRPr="003B2A0D">
              <w:rPr>
                <w:rFonts w:cs="Arial"/>
                <w:szCs w:val="20"/>
              </w:rPr>
              <w:t xml:space="preserve">in dodatnih pojasnil v zvezi z drugimi informacijami, vključenimi v poslovno poročilo, ter </w:t>
            </w:r>
            <w:r w:rsidRPr="00FE4253">
              <w:rPr>
                <w:rFonts w:cs="Arial"/>
                <w:szCs w:val="20"/>
              </w:rPr>
              <w:t>zneski, sporočenimi v letnih računovodskih izkazih</w:t>
            </w:r>
            <w:r w:rsidRPr="00EE0DDD">
              <w:rPr>
                <w:rFonts w:cs="Arial"/>
                <w:szCs w:val="20"/>
              </w:rPr>
              <w:t>. Družba, ki pripravi poročilo o trajnostnosti</w:t>
            </w:r>
            <w:r w:rsidRPr="003B2A0D">
              <w:rPr>
                <w:rFonts w:cs="Arial"/>
                <w:szCs w:val="20"/>
              </w:rPr>
              <w:t xml:space="preserve"> na podlagi prejšnjega odstavka, poroča v skladu z evropskimi standardi poročanja o trajnostnosti za majhne in srednje družbe, določenimi z delegiranim aktom Evropske komisije, sprejetim na podlagi 29</w:t>
            </w:r>
            <w:r w:rsidRPr="003B2A0D" w:rsidDel="00A20FC7">
              <w:rPr>
                <w:rFonts w:cs="Arial"/>
                <w:szCs w:val="20"/>
              </w:rPr>
              <w:t>.</w:t>
            </w:r>
            <w:r w:rsidRPr="003B2A0D">
              <w:rPr>
                <w:rFonts w:cs="Arial"/>
                <w:szCs w:val="20"/>
              </w:rPr>
              <w:t xml:space="preserve">c </w:t>
            </w:r>
            <w:r w:rsidRPr="003B2A0D" w:rsidDel="00A20FC7">
              <w:rPr>
                <w:rFonts w:cs="Arial"/>
                <w:szCs w:val="20"/>
              </w:rPr>
              <w:t xml:space="preserve">člena </w:t>
            </w:r>
            <w:r w:rsidRPr="003B2A0D">
              <w:rPr>
                <w:rFonts w:cs="Arial"/>
                <w:szCs w:val="20"/>
              </w:rPr>
              <w:t>Direktive 2013/34/EU.</w:t>
            </w:r>
          </w:p>
          <w:bookmarkEnd w:id="28"/>
          <w:p w14:paraId="3DDD0F8C" w14:textId="77777777" w:rsidR="000C08CA" w:rsidRPr="003B2A0D" w:rsidRDefault="000C08CA" w:rsidP="00FE328D">
            <w:pPr>
              <w:spacing w:line="276" w:lineRule="auto"/>
              <w:jc w:val="both"/>
              <w:rPr>
                <w:rFonts w:cs="Arial"/>
                <w:szCs w:val="20"/>
              </w:rPr>
            </w:pPr>
          </w:p>
          <w:p w14:paraId="64AA3590" w14:textId="77777777" w:rsidR="000C08CA" w:rsidRPr="003B2A0D" w:rsidRDefault="000C08CA" w:rsidP="00FE328D">
            <w:pPr>
              <w:spacing w:line="276" w:lineRule="auto"/>
              <w:jc w:val="both"/>
              <w:rPr>
                <w:rFonts w:cs="Arial"/>
                <w:szCs w:val="20"/>
              </w:rPr>
            </w:pPr>
            <w:r w:rsidRPr="003B2A0D">
              <w:rPr>
                <w:rFonts w:cs="Arial"/>
                <w:szCs w:val="20"/>
              </w:rPr>
              <w:t xml:space="preserve">(5) </w:t>
            </w:r>
            <w:bookmarkStart w:id="29" w:name="_Hlk142043703"/>
            <w:r w:rsidRPr="003B2A0D">
              <w:rPr>
                <w:rFonts w:cs="Arial"/>
                <w:szCs w:val="20"/>
              </w:rPr>
              <w:t xml:space="preserve">Družbi ni treba </w:t>
            </w:r>
            <w:r w:rsidRPr="003B2A0D" w:rsidDel="00F878A1">
              <w:rPr>
                <w:rFonts w:cs="Arial"/>
                <w:szCs w:val="20"/>
              </w:rPr>
              <w:t xml:space="preserve">izkazati </w:t>
            </w:r>
            <w:r w:rsidRPr="003B2A0D">
              <w:rPr>
                <w:rFonts w:cs="Arial"/>
                <w:szCs w:val="20"/>
              </w:rPr>
              <w:t xml:space="preserve">informacij iz tega člena v izjemnih primerih, na podlagi ustrezno utemeljenega mnenja članov organa vodenja ali nadzora družbe, če gre za razkritje informacij o </w:t>
            </w:r>
            <w:r w:rsidRPr="003B2A0D">
              <w:rPr>
                <w:rFonts w:cs="Arial"/>
                <w:szCs w:val="20"/>
              </w:rPr>
              <w:lastRenderedPageBreak/>
              <w:t>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bookmarkEnd w:id="29"/>
          <w:p w14:paraId="70D5CEFE" w14:textId="77777777" w:rsidR="000C08CA" w:rsidRPr="003B2A0D" w:rsidRDefault="000C08CA" w:rsidP="00FE328D">
            <w:pPr>
              <w:spacing w:line="276" w:lineRule="auto"/>
              <w:jc w:val="both"/>
              <w:rPr>
                <w:rFonts w:cs="Arial"/>
                <w:szCs w:val="20"/>
              </w:rPr>
            </w:pPr>
          </w:p>
          <w:p w14:paraId="5572E5E0" w14:textId="77777777" w:rsidR="000C08CA" w:rsidRPr="003B2A0D" w:rsidRDefault="000C08CA" w:rsidP="00FE328D">
            <w:pPr>
              <w:spacing w:line="276" w:lineRule="auto"/>
              <w:jc w:val="both"/>
              <w:rPr>
                <w:rFonts w:cs="Arial"/>
                <w:szCs w:val="20"/>
              </w:rPr>
            </w:pPr>
            <w:r w:rsidRPr="003B2A0D">
              <w:rPr>
                <w:rFonts w:cs="Arial"/>
                <w:szCs w:val="20"/>
              </w:rPr>
              <w:t xml:space="preserve">(6) </w:t>
            </w:r>
            <w:bookmarkStart w:id="30" w:name="_Hlk142043769"/>
            <w:r w:rsidRPr="003B2A0D">
              <w:rPr>
                <w:rFonts w:cs="Arial"/>
                <w:szCs w:val="20"/>
              </w:rPr>
              <w:t xml:space="preserve">Poslovodstvo ali organ vodenja družbe v skladu z zakonom, ki ureja sodelovanje delavcev pri upravljanju, predstavnike delavcev obvešča in z njimi razpravlja o relevantnih informacijah ter načinih za pridobivanje in preverjanje informacij o trajnostnosti. Mnenje predstavnikov delavcev ali, če predstavnika delavcev ni, mnenje </w:t>
            </w:r>
            <w:r w:rsidRPr="00F36D16">
              <w:rPr>
                <w:rFonts w:cs="Arial"/>
                <w:szCs w:val="20"/>
              </w:rPr>
              <w:t>delavcev se</w:t>
            </w:r>
            <w:r w:rsidRPr="003B2A0D">
              <w:rPr>
                <w:rFonts w:cs="Arial"/>
                <w:szCs w:val="20"/>
              </w:rPr>
              <w:t xml:space="preserve"> po potrebi posreduje ustreznim organom vodenja ali nadzora</w:t>
            </w:r>
            <w:bookmarkEnd w:id="30"/>
            <w:r w:rsidRPr="003B2A0D">
              <w:rPr>
                <w:rFonts w:cs="Arial"/>
                <w:szCs w:val="20"/>
              </w:rPr>
              <w:t>.</w:t>
            </w:r>
          </w:p>
          <w:p w14:paraId="33E9A91A" w14:textId="77777777" w:rsidR="000C08CA" w:rsidRPr="003B2A0D" w:rsidRDefault="000C08CA" w:rsidP="00FE328D">
            <w:pPr>
              <w:spacing w:line="276" w:lineRule="auto"/>
              <w:jc w:val="both"/>
              <w:rPr>
                <w:rFonts w:cs="Arial"/>
                <w:szCs w:val="20"/>
              </w:rPr>
            </w:pPr>
          </w:p>
          <w:p w14:paraId="26092569" w14:textId="77777777" w:rsidR="000C08CA" w:rsidRPr="003B2A0D" w:rsidRDefault="000C08CA" w:rsidP="00FE328D">
            <w:pPr>
              <w:spacing w:line="276" w:lineRule="auto"/>
              <w:jc w:val="both"/>
              <w:rPr>
                <w:rFonts w:cs="Arial"/>
                <w:szCs w:val="20"/>
              </w:rPr>
            </w:pPr>
            <w:r w:rsidRPr="003B2A0D">
              <w:rPr>
                <w:rFonts w:cs="Arial"/>
                <w:szCs w:val="20"/>
              </w:rPr>
              <w:t>(</w:t>
            </w:r>
            <w:bookmarkStart w:id="31" w:name="_Hlk142043854"/>
            <w:r w:rsidRPr="003B2A0D">
              <w:rPr>
                <w:rFonts w:cs="Arial"/>
                <w:szCs w:val="20"/>
              </w:rPr>
              <w:t>7) Če družba pripravi poročilo o trajnostnosti v skladu s prvim do četrtim odstavkom tega člena, se šteje, da je izpolnila tudi obveznost iz drugega stavka drugega odstavka 70. člena tega zakona.</w:t>
            </w:r>
          </w:p>
          <w:bookmarkEnd w:id="31"/>
          <w:p w14:paraId="47ECF440" w14:textId="77777777" w:rsidR="000C08CA" w:rsidRPr="003B2A0D" w:rsidRDefault="000C08CA" w:rsidP="00FE328D">
            <w:pPr>
              <w:spacing w:line="276" w:lineRule="auto"/>
              <w:jc w:val="both"/>
              <w:rPr>
                <w:rFonts w:cs="Arial"/>
                <w:szCs w:val="20"/>
              </w:rPr>
            </w:pPr>
          </w:p>
          <w:p w14:paraId="6863238C" w14:textId="77777777" w:rsidR="000C08CA" w:rsidRPr="003B2A0D" w:rsidRDefault="000C08CA" w:rsidP="00FE328D">
            <w:pPr>
              <w:spacing w:line="276" w:lineRule="auto"/>
              <w:jc w:val="both"/>
              <w:rPr>
                <w:rFonts w:cs="Arial"/>
                <w:szCs w:val="20"/>
              </w:rPr>
            </w:pPr>
            <w:bookmarkStart w:id="32" w:name="_Hlk142575838"/>
            <w:r w:rsidRPr="003B2A0D">
              <w:rPr>
                <w:rFonts w:cs="Arial"/>
                <w:szCs w:val="20"/>
              </w:rPr>
              <w:t xml:space="preserve">(8) </w:t>
            </w:r>
            <w:bookmarkStart w:id="33" w:name="_Hlk142053002"/>
            <w:r w:rsidRPr="003B2A0D">
              <w:rPr>
                <w:rFonts w:cs="Arial"/>
                <w:szCs w:val="20"/>
              </w:rPr>
              <w:t>Ne glede na prvi odstavek tega člena se lahko odvisna družba izvzame iz obveznosti iz prvega do četrtega odstavka tega člena (izvzeta odvisna družba), če izpolnjuje naslednje pogoje:</w:t>
            </w:r>
          </w:p>
          <w:p w14:paraId="3E57AC11" w14:textId="77777777" w:rsidR="000C08CA" w:rsidRPr="003B2A0D" w:rsidRDefault="000C08CA" w:rsidP="00FE328D">
            <w:pPr>
              <w:pStyle w:val="ListParagraph"/>
              <w:numPr>
                <w:ilvl w:val="0"/>
                <w:numId w:val="24"/>
              </w:numPr>
              <w:spacing w:after="0" w:line="276" w:lineRule="auto"/>
              <w:jc w:val="both"/>
              <w:rPr>
                <w:rFonts w:ascii="Arial" w:hAnsi="Arial" w:cs="Arial"/>
                <w:sz w:val="20"/>
                <w:szCs w:val="20"/>
              </w:rPr>
            </w:pPr>
            <w:r w:rsidRPr="003B2A0D">
              <w:rPr>
                <w:rFonts w:ascii="Arial" w:hAnsi="Arial" w:cs="Arial"/>
                <w:sz w:val="20"/>
                <w:szCs w:val="20"/>
              </w:rPr>
              <w:t>kadar ima obvladujoča družba sedež v državi članici:</w:t>
            </w:r>
          </w:p>
          <w:p w14:paraId="4470EBD5" w14:textId="77777777" w:rsidR="000C08CA" w:rsidRPr="003B2A0D" w:rsidRDefault="000C08CA" w:rsidP="00FE328D">
            <w:pPr>
              <w:pStyle w:val="ListParagraph"/>
              <w:numPr>
                <w:ilvl w:val="0"/>
                <w:numId w:val="21"/>
              </w:numPr>
              <w:spacing w:after="0" w:line="276" w:lineRule="auto"/>
              <w:jc w:val="both"/>
              <w:rPr>
                <w:rFonts w:ascii="Arial" w:hAnsi="Arial" w:cs="Arial"/>
                <w:sz w:val="20"/>
                <w:szCs w:val="20"/>
              </w:rPr>
            </w:pPr>
            <w:r w:rsidRPr="003B2A0D">
              <w:rPr>
                <w:rFonts w:ascii="Arial" w:hAnsi="Arial" w:cs="Arial"/>
                <w:sz w:val="20"/>
                <w:szCs w:val="20"/>
              </w:rPr>
              <w:t xml:space="preserve">izvzeta odvisna družba in njene odvisne družbe so vključene v konsolidirano poslovno poročilo obvladujoče družbe, pripravljeno v skladu </w:t>
            </w:r>
            <w:r w:rsidRPr="003B2A0D" w:rsidDel="00A20FC7">
              <w:rPr>
                <w:rFonts w:ascii="Arial" w:hAnsi="Arial" w:cs="Arial"/>
                <w:sz w:val="20"/>
                <w:szCs w:val="20"/>
              </w:rPr>
              <w:t>z</w:t>
            </w:r>
            <w:r w:rsidRPr="003B2A0D">
              <w:rPr>
                <w:rFonts w:ascii="Arial" w:hAnsi="Arial" w:cs="Arial"/>
                <w:sz w:val="20"/>
                <w:szCs w:val="20"/>
              </w:rPr>
              <w:t xml:space="preserve"> 29</w:t>
            </w:r>
            <w:r w:rsidRPr="003B2A0D" w:rsidDel="00A20FC7">
              <w:rPr>
                <w:rFonts w:ascii="Arial" w:hAnsi="Arial" w:cs="Arial"/>
                <w:sz w:val="20"/>
                <w:szCs w:val="20"/>
              </w:rPr>
              <w:t>.</w:t>
            </w:r>
            <w:r w:rsidRPr="003B2A0D">
              <w:rPr>
                <w:rFonts w:ascii="Arial" w:hAnsi="Arial" w:cs="Arial"/>
                <w:sz w:val="20"/>
                <w:szCs w:val="20"/>
              </w:rPr>
              <w:t xml:space="preserve"> in 29</w:t>
            </w:r>
            <w:r w:rsidRPr="003B2A0D" w:rsidDel="00A20FC7">
              <w:rPr>
                <w:rFonts w:ascii="Arial" w:hAnsi="Arial" w:cs="Arial"/>
                <w:sz w:val="20"/>
                <w:szCs w:val="20"/>
              </w:rPr>
              <w:t>.</w:t>
            </w:r>
            <w:r w:rsidRPr="003B2A0D">
              <w:rPr>
                <w:rFonts w:ascii="Arial" w:hAnsi="Arial" w:cs="Arial"/>
                <w:sz w:val="20"/>
                <w:szCs w:val="20"/>
              </w:rPr>
              <w:t>a ter objavljeno v skladu s 30.</w:t>
            </w:r>
            <w:r w:rsidRPr="003B2A0D" w:rsidDel="00201A30">
              <w:rPr>
                <w:rFonts w:ascii="Arial" w:hAnsi="Arial" w:cs="Arial"/>
                <w:sz w:val="20"/>
                <w:szCs w:val="20"/>
              </w:rPr>
              <w:t xml:space="preserve"> </w:t>
            </w:r>
            <w:r w:rsidRPr="003B2A0D">
              <w:rPr>
                <w:rFonts w:ascii="Arial" w:hAnsi="Arial" w:cs="Arial"/>
                <w:sz w:val="20"/>
                <w:szCs w:val="20"/>
              </w:rPr>
              <w:t>členom</w:t>
            </w:r>
            <w:r w:rsidRPr="003B2A0D" w:rsidDel="008935A4">
              <w:rPr>
                <w:rFonts w:ascii="Arial" w:hAnsi="Arial" w:cs="Arial"/>
                <w:sz w:val="20"/>
                <w:szCs w:val="20"/>
              </w:rPr>
              <w:t xml:space="preserve"> </w:t>
            </w:r>
            <w:r w:rsidRPr="003B2A0D">
              <w:rPr>
                <w:rFonts w:ascii="Arial" w:hAnsi="Arial" w:cs="Arial"/>
                <w:sz w:val="20"/>
                <w:szCs w:val="20"/>
              </w:rPr>
              <w:t>Direktive 2013/34/EU;</w:t>
            </w:r>
          </w:p>
          <w:p w14:paraId="3B14142F" w14:textId="77777777" w:rsidR="000C08CA" w:rsidRPr="003B2A0D" w:rsidRDefault="000C08CA" w:rsidP="00FE328D">
            <w:pPr>
              <w:pStyle w:val="ListParagraph"/>
              <w:numPr>
                <w:ilvl w:val="0"/>
                <w:numId w:val="21"/>
              </w:numPr>
              <w:spacing w:after="0" w:line="276" w:lineRule="auto"/>
              <w:jc w:val="both"/>
              <w:rPr>
                <w:rFonts w:ascii="Arial" w:hAnsi="Arial" w:cs="Arial"/>
                <w:sz w:val="20"/>
                <w:szCs w:val="20"/>
              </w:rPr>
            </w:pPr>
            <w:bookmarkStart w:id="34" w:name="_Hlk142559774"/>
            <w:r w:rsidRPr="003B2A0D">
              <w:rPr>
                <w:rFonts w:ascii="Arial" w:hAnsi="Arial" w:cs="Arial"/>
                <w:sz w:val="20"/>
                <w:szCs w:val="20"/>
              </w:rPr>
              <w:t>poslovno poročilo izvzete odvisne družbe vsebuje vse naslednje informacije:</w:t>
            </w:r>
          </w:p>
          <w:p w14:paraId="0C5725B2" w14:textId="77777777" w:rsidR="000C08CA" w:rsidRPr="003B2A0D" w:rsidRDefault="000C08CA" w:rsidP="00FE328D">
            <w:pPr>
              <w:pStyle w:val="ListParagraph"/>
              <w:numPr>
                <w:ilvl w:val="0"/>
                <w:numId w:val="26"/>
              </w:numPr>
              <w:spacing w:after="0" w:line="276" w:lineRule="auto"/>
              <w:jc w:val="both"/>
              <w:rPr>
                <w:rFonts w:ascii="Arial" w:hAnsi="Arial" w:cs="Arial"/>
                <w:sz w:val="20"/>
                <w:szCs w:val="20"/>
              </w:rPr>
            </w:pPr>
            <w:r w:rsidRPr="003B2A0D">
              <w:rPr>
                <w:rFonts w:ascii="Arial" w:hAnsi="Arial" w:cs="Arial"/>
                <w:sz w:val="20"/>
                <w:szCs w:val="20"/>
              </w:rPr>
              <w:t>firmo in sedež obvladujoče družbe, ki poroča o informacijah na ravni skupine,</w:t>
            </w:r>
          </w:p>
          <w:p w14:paraId="064DD03F" w14:textId="77777777" w:rsidR="000C08CA" w:rsidRPr="003B2A0D" w:rsidRDefault="000C08CA" w:rsidP="00FE328D">
            <w:pPr>
              <w:pStyle w:val="ListParagraph"/>
              <w:numPr>
                <w:ilvl w:val="0"/>
                <w:numId w:val="26"/>
              </w:numPr>
              <w:spacing w:after="0" w:line="276" w:lineRule="auto"/>
              <w:jc w:val="both"/>
              <w:rPr>
                <w:rFonts w:ascii="Arial" w:hAnsi="Arial" w:cs="Arial"/>
                <w:sz w:val="20"/>
                <w:szCs w:val="20"/>
              </w:rPr>
            </w:pPr>
            <w:r w:rsidRPr="003B2A0D">
              <w:rPr>
                <w:rFonts w:ascii="Arial" w:hAnsi="Arial" w:cs="Arial"/>
                <w:sz w:val="20"/>
                <w:szCs w:val="20"/>
              </w:rPr>
              <w:t xml:space="preserve">spletno povezavo do konsolidiranega poslovnega poročila obvladujoče družbe in </w:t>
            </w:r>
            <w:bookmarkStart w:id="35" w:name="_Hlk143162434"/>
            <w:r w:rsidRPr="003B2A0D">
              <w:rPr>
                <w:rFonts w:ascii="Arial" w:hAnsi="Arial" w:cs="Arial"/>
                <w:sz w:val="20"/>
                <w:szCs w:val="20"/>
              </w:rPr>
              <w:t>do mnenja o skladnosti poročila o trajnostnosti s pravili trajnostnega poročanja,</w:t>
            </w:r>
            <w:bookmarkEnd w:id="35"/>
          </w:p>
          <w:p w14:paraId="723AA54D" w14:textId="77777777" w:rsidR="000C08CA" w:rsidRPr="003B2A0D" w:rsidRDefault="000C08CA" w:rsidP="00FE328D">
            <w:pPr>
              <w:pStyle w:val="ListParagraph"/>
              <w:numPr>
                <w:ilvl w:val="0"/>
                <w:numId w:val="26"/>
              </w:numPr>
              <w:spacing w:after="0" w:line="276" w:lineRule="auto"/>
              <w:jc w:val="both"/>
              <w:rPr>
                <w:rFonts w:ascii="Arial" w:hAnsi="Arial" w:cs="Arial"/>
                <w:sz w:val="20"/>
                <w:szCs w:val="20"/>
              </w:rPr>
            </w:pPr>
            <w:r w:rsidRPr="003B2A0D">
              <w:rPr>
                <w:rFonts w:ascii="Arial" w:hAnsi="Arial" w:cs="Arial"/>
                <w:sz w:val="20"/>
                <w:szCs w:val="20"/>
              </w:rPr>
              <w:t>informacijo, da je družba izvzeta iz obveznosti iz prvega odstavka tega člena;</w:t>
            </w:r>
          </w:p>
          <w:p w14:paraId="4EE45F73" w14:textId="77777777" w:rsidR="000C08CA" w:rsidRPr="003B2A0D" w:rsidRDefault="000C08CA" w:rsidP="00FE328D">
            <w:pPr>
              <w:spacing w:line="276" w:lineRule="auto"/>
              <w:ind w:left="360"/>
              <w:jc w:val="both"/>
              <w:rPr>
                <w:rFonts w:cs="Arial"/>
                <w:szCs w:val="20"/>
              </w:rPr>
            </w:pPr>
            <w:r w:rsidRPr="003B2A0D">
              <w:rPr>
                <w:rFonts w:cs="Arial"/>
                <w:szCs w:val="20"/>
              </w:rPr>
              <w:t>c)</w:t>
            </w:r>
            <w:r w:rsidRPr="003B2A0D">
              <w:rPr>
                <w:rFonts w:cs="Arial"/>
                <w:szCs w:val="20"/>
              </w:rPr>
              <w:tab/>
              <w:t xml:space="preserve">izvzeta odvisna družba v </w:t>
            </w:r>
            <w:r w:rsidRPr="003B2A0D" w:rsidDel="00A20FC7">
              <w:rPr>
                <w:rFonts w:cs="Arial"/>
                <w:szCs w:val="20"/>
              </w:rPr>
              <w:t xml:space="preserve">roku </w:t>
            </w:r>
            <w:r w:rsidRPr="003B2A0D">
              <w:rPr>
                <w:rFonts w:cs="Arial"/>
                <w:szCs w:val="20"/>
              </w:rPr>
              <w:t>enega meseca od objave konsolidiranega poslovnega poročila zaradi javne objave predloži AJPES prevedeno konsolidirano poslovno poročilo in</w:t>
            </w:r>
            <w:bookmarkStart w:id="36" w:name="_Hlk143161773"/>
            <w:r w:rsidRPr="003B2A0D">
              <w:rPr>
                <w:rFonts w:cs="Arial"/>
                <w:szCs w:val="20"/>
              </w:rPr>
              <w:t xml:space="preserve"> mnenje o skladnosti poročila o trajnostnosti s pravili trajnostnega </w:t>
            </w:r>
            <w:bookmarkEnd w:id="36"/>
            <w:r w:rsidRPr="003B2A0D">
              <w:rPr>
                <w:rFonts w:cs="Arial"/>
                <w:szCs w:val="20"/>
              </w:rPr>
              <w:t>poročanja. Vsak prevod, ki ni overjen, mora vključevati izjavo o tem;</w:t>
            </w:r>
          </w:p>
          <w:bookmarkEnd w:id="34"/>
          <w:p w14:paraId="2A2EAEF2" w14:textId="77777777" w:rsidR="000C08CA" w:rsidRPr="003B2A0D" w:rsidRDefault="000C08CA" w:rsidP="00FE328D">
            <w:pPr>
              <w:pStyle w:val="ListParagraph"/>
              <w:spacing w:after="0" w:line="276" w:lineRule="auto"/>
              <w:rPr>
                <w:rFonts w:ascii="Arial" w:hAnsi="Arial" w:cs="Arial"/>
                <w:sz w:val="20"/>
                <w:szCs w:val="20"/>
              </w:rPr>
            </w:pPr>
          </w:p>
          <w:p w14:paraId="5BFA5088" w14:textId="77777777" w:rsidR="000C08CA" w:rsidRPr="003B2A0D" w:rsidRDefault="000C08CA" w:rsidP="00FE328D">
            <w:pPr>
              <w:pStyle w:val="ListParagraph"/>
              <w:numPr>
                <w:ilvl w:val="0"/>
                <w:numId w:val="24"/>
              </w:numPr>
              <w:spacing w:after="0" w:line="276" w:lineRule="auto"/>
              <w:rPr>
                <w:rFonts w:ascii="Arial" w:hAnsi="Arial" w:cs="Arial"/>
                <w:sz w:val="20"/>
                <w:szCs w:val="20"/>
              </w:rPr>
            </w:pPr>
            <w:r w:rsidRPr="003B2A0D">
              <w:rPr>
                <w:rFonts w:ascii="Arial" w:hAnsi="Arial" w:cs="Arial"/>
                <w:sz w:val="20"/>
                <w:szCs w:val="20"/>
              </w:rPr>
              <w:t>kadar ima obvladujoča družba sedež</w:t>
            </w:r>
            <w:r w:rsidRPr="003B2A0D" w:rsidDel="00185EAE">
              <w:rPr>
                <w:rFonts w:ascii="Arial" w:hAnsi="Arial" w:cs="Arial"/>
                <w:sz w:val="20"/>
                <w:szCs w:val="20"/>
              </w:rPr>
              <w:t xml:space="preserve"> </w:t>
            </w:r>
            <w:r w:rsidRPr="003B2A0D">
              <w:rPr>
                <w:rFonts w:ascii="Arial" w:hAnsi="Arial" w:cs="Arial"/>
                <w:sz w:val="20"/>
                <w:szCs w:val="20"/>
              </w:rPr>
              <w:t>v tretji državi:</w:t>
            </w:r>
          </w:p>
          <w:p w14:paraId="2CF04A59" w14:textId="77777777" w:rsidR="000C08CA" w:rsidRPr="003E2BA0" w:rsidRDefault="000C08CA" w:rsidP="00FE328D">
            <w:pPr>
              <w:pStyle w:val="ListParagraph"/>
              <w:numPr>
                <w:ilvl w:val="0"/>
                <w:numId w:val="25"/>
              </w:numPr>
              <w:spacing w:line="276" w:lineRule="auto"/>
              <w:jc w:val="both"/>
              <w:rPr>
                <w:rFonts w:ascii="Arial" w:hAnsi="Arial" w:cs="Arial"/>
                <w:sz w:val="20"/>
                <w:szCs w:val="20"/>
              </w:rPr>
            </w:pPr>
            <w:r w:rsidRPr="003B2A0D">
              <w:rPr>
                <w:rFonts w:ascii="Arial" w:hAnsi="Arial" w:cs="Arial"/>
                <w:sz w:val="20"/>
                <w:szCs w:val="20"/>
              </w:rPr>
              <w:t>izvzeta odvisna družba in njene odvisne družbe so vključene v konsolidirano poročilo o trajnostnosti te obvladujoče družbe, pripravljeno v skladu z evropskimi standardi poročanja o trajnostnosti ali na način, ki je enakovreden tem standardom poročanja o trajnostnosti, kot je določeno v skladu z izvedbenim aktom o enakovrednosti standardov poročanja o trajnostnosti, sprejetim na podlagi tretjega pododstavka četrtega odstavka 23. člena Direktive 2004/109/ES Evropskega parlamenta in Sveta z dne 15. decembra 2004 o uskladitvi zahtev v zvezi s preglednostjo informacij o izdajateljih, katerih vrednostni papirji so sprejeti v trgovanje na reguliranem trgu, in o spremembah Direktive 2001/34/ES (UL L št. 390 z dne 31. 12. 2004, str. 38), zadnjič spremenjen</w:t>
            </w:r>
            <w:r>
              <w:rPr>
                <w:rFonts w:ascii="Arial" w:hAnsi="Arial" w:cs="Arial"/>
                <w:sz w:val="20"/>
                <w:szCs w:val="20"/>
              </w:rPr>
              <w:t>e</w:t>
            </w:r>
            <w:r w:rsidRPr="003B2A0D">
              <w:rPr>
                <w:rFonts w:ascii="Arial" w:hAnsi="Arial" w:cs="Arial"/>
                <w:sz w:val="20"/>
                <w:szCs w:val="20"/>
              </w:rPr>
              <w:t xml:space="preserve"> </w:t>
            </w:r>
            <w:r w:rsidRPr="00A40B9D">
              <w:rPr>
                <w:rFonts w:ascii="Arial" w:hAnsi="Arial" w:cs="Arial"/>
                <w:sz w:val="20"/>
                <w:szCs w:val="20"/>
              </w:rPr>
              <w:t xml:space="preserve">z </w:t>
            </w:r>
            <w:r>
              <w:rPr>
                <w:rFonts w:ascii="Arial" w:hAnsi="Arial" w:cs="Arial"/>
                <w:sz w:val="20"/>
                <w:szCs w:val="20"/>
              </w:rPr>
              <w:t>Direktivo</w:t>
            </w:r>
            <w:r w:rsidRPr="00A40B9D">
              <w:rPr>
                <w:rFonts w:ascii="Arial" w:hAnsi="Arial" w:cs="Arial"/>
                <w:sz w:val="20"/>
                <w:szCs w:val="20"/>
              </w:rPr>
              <w:t xml:space="preserve"> </w:t>
            </w:r>
            <w:r w:rsidRPr="00167888">
              <w:rPr>
                <w:rFonts w:ascii="Arial" w:hAnsi="Arial" w:cs="Arial"/>
                <w:sz w:val="20"/>
                <w:szCs w:val="20"/>
              </w:rPr>
              <w:t xml:space="preserve">(EU) </w:t>
            </w:r>
            <w:r w:rsidRPr="00A40B9D">
              <w:rPr>
                <w:rFonts w:ascii="Arial" w:hAnsi="Arial" w:cs="Arial"/>
                <w:sz w:val="20"/>
                <w:szCs w:val="20"/>
              </w:rPr>
              <w:t>2023/2869/EU</w:t>
            </w:r>
            <w:r>
              <w:t xml:space="preserve"> </w:t>
            </w:r>
            <w:r w:rsidRPr="00167888">
              <w:rPr>
                <w:rFonts w:ascii="Arial" w:hAnsi="Arial" w:cs="Arial"/>
                <w:sz w:val="20"/>
                <w:szCs w:val="20"/>
              </w:rPr>
              <w:t xml:space="preserve">Evropskega parlamenta in Sveta </w:t>
            </w:r>
            <w:r w:rsidRPr="00F53D50">
              <w:rPr>
                <w:rFonts w:ascii="Arial" w:hAnsi="Arial" w:cs="Arial"/>
                <w:sz w:val="20"/>
                <w:szCs w:val="20"/>
              </w:rPr>
              <w:t>z dne 13. decembra 2023</w:t>
            </w:r>
            <w:r w:rsidRPr="00167888">
              <w:rPr>
                <w:rFonts w:ascii="Arial" w:hAnsi="Arial" w:cs="Arial"/>
                <w:sz w:val="20"/>
                <w:szCs w:val="20"/>
              </w:rPr>
              <w:t xml:space="preserve"> </w:t>
            </w:r>
            <w:r w:rsidRPr="003E2BA0">
              <w:rPr>
                <w:rFonts w:ascii="Arial" w:hAnsi="Arial" w:cs="Arial"/>
                <w:sz w:val="20"/>
                <w:szCs w:val="20"/>
              </w:rPr>
              <w:t xml:space="preserve">o spremembi nekaterih direktiv glede vzpostavitve in delovanja evropske enotne točke </w:t>
            </w:r>
            <w:r w:rsidRPr="00C637D2">
              <w:rPr>
                <w:rFonts w:ascii="Arial" w:hAnsi="Arial" w:cs="Arial"/>
                <w:sz w:val="20"/>
                <w:szCs w:val="20"/>
              </w:rPr>
              <w:t>dostopa</w:t>
            </w:r>
            <w:r w:rsidRPr="003E2BA0">
              <w:rPr>
                <w:rFonts w:ascii="Arial" w:hAnsi="Arial" w:cs="Arial"/>
                <w:sz w:val="20"/>
                <w:szCs w:val="20"/>
              </w:rPr>
              <w:t xml:space="preserve"> (</w:t>
            </w:r>
            <w:r w:rsidRPr="006874FF">
              <w:rPr>
                <w:rFonts w:ascii="Arial" w:hAnsi="Arial" w:cs="Arial"/>
                <w:sz w:val="20"/>
                <w:szCs w:val="20"/>
              </w:rPr>
              <w:t xml:space="preserve">UL L št. </w:t>
            </w:r>
            <w:r w:rsidRPr="00C637D2">
              <w:rPr>
                <w:rFonts w:ascii="Arial" w:hAnsi="Arial" w:cs="Arial"/>
                <w:sz w:val="20"/>
                <w:szCs w:val="20"/>
              </w:rPr>
              <w:t>2023/</w:t>
            </w:r>
            <w:r w:rsidRPr="006874FF">
              <w:rPr>
                <w:rFonts w:ascii="Arial" w:hAnsi="Arial" w:cs="Arial"/>
                <w:sz w:val="20"/>
                <w:szCs w:val="20"/>
              </w:rPr>
              <w:t xml:space="preserve">2869 z dne </w:t>
            </w:r>
            <w:r w:rsidRPr="00C637D2">
              <w:rPr>
                <w:rFonts w:ascii="Arial" w:hAnsi="Arial" w:cs="Arial"/>
                <w:sz w:val="20"/>
                <w:szCs w:val="20"/>
              </w:rPr>
              <w:t>20</w:t>
            </w:r>
            <w:r w:rsidRPr="006874FF">
              <w:rPr>
                <w:rFonts w:ascii="Arial" w:hAnsi="Arial" w:cs="Arial"/>
                <w:sz w:val="20"/>
                <w:szCs w:val="20"/>
              </w:rPr>
              <w:t>. 12. 2023</w:t>
            </w:r>
            <w:r>
              <w:rPr>
                <w:rFonts w:ascii="Arial" w:hAnsi="Arial" w:cs="Arial"/>
                <w:sz w:val="20"/>
                <w:szCs w:val="20"/>
              </w:rPr>
              <w:t>), (</w:t>
            </w:r>
            <w:r w:rsidRPr="003E2BA0">
              <w:rPr>
                <w:rFonts w:ascii="Arial" w:hAnsi="Arial" w:cs="Arial"/>
                <w:sz w:val="20"/>
                <w:szCs w:val="20"/>
              </w:rPr>
              <w:t>v nadaljnjem besedilu: Direktiva 2004/109/ES). Konsolidirano poročilo o trajnostnosti mora biti objavljeno v skladu s 30. členom Direktive 2013/34/EU;</w:t>
            </w:r>
          </w:p>
          <w:p w14:paraId="1961031D" w14:textId="77777777" w:rsidR="000C08CA" w:rsidRPr="003B2A0D" w:rsidRDefault="000C08CA" w:rsidP="00FE328D">
            <w:pPr>
              <w:pStyle w:val="ListParagraph"/>
              <w:numPr>
                <w:ilvl w:val="0"/>
                <w:numId w:val="25"/>
              </w:numPr>
              <w:spacing w:after="0" w:line="276" w:lineRule="auto"/>
              <w:jc w:val="both"/>
              <w:rPr>
                <w:rFonts w:ascii="Arial" w:hAnsi="Arial" w:cs="Arial"/>
                <w:sz w:val="20"/>
                <w:szCs w:val="20"/>
              </w:rPr>
            </w:pPr>
            <w:r w:rsidRPr="003B2A0D">
              <w:rPr>
                <w:rFonts w:ascii="Arial" w:hAnsi="Arial" w:cs="Arial"/>
                <w:sz w:val="20"/>
                <w:szCs w:val="20"/>
              </w:rPr>
              <w:t>poslovno poročilo izvzete odvisne družbe vsebuje vse naslednje informacije:</w:t>
            </w:r>
          </w:p>
          <w:p w14:paraId="39C12DA7" w14:textId="77777777" w:rsidR="000C08CA" w:rsidRPr="003B2A0D" w:rsidRDefault="000C08CA" w:rsidP="00FE328D">
            <w:pPr>
              <w:pStyle w:val="ListParagraph"/>
              <w:numPr>
                <w:ilvl w:val="0"/>
                <w:numId w:val="30"/>
              </w:numPr>
              <w:spacing w:after="0" w:line="276" w:lineRule="auto"/>
              <w:rPr>
                <w:rFonts w:ascii="Arial" w:hAnsi="Arial" w:cs="Arial"/>
                <w:sz w:val="20"/>
                <w:szCs w:val="20"/>
              </w:rPr>
            </w:pPr>
            <w:r w:rsidRPr="003B2A0D">
              <w:rPr>
                <w:rFonts w:ascii="Arial" w:hAnsi="Arial" w:cs="Arial"/>
                <w:sz w:val="20"/>
                <w:szCs w:val="20"/>
              </w:rPr>
              <w:t>firmo in sedež obvladujoče družbe, ki poroča o informacijah na ravni skupine,</w:t>
            </w:r>
          </w:p>
          <w:p w14:paraId="43012966" w14:textId="77777777" w:rsidR="000C08CA" w:rsidRPr="003B2A0D" w:rsidRDefault="000C08CA" w:rsidP="00FE328D">
            <w:pPr>
              <w:pStyle w:val="ListParagraph"/>
              <w:numPr>
                <w:ilvl w:val="0"/>
                <w:numId w:val="30"/>
              </w:numPr>
              <w:spacing w:after="0" w:line="276" w:lineRule="auto"/>
              <w:jc w:val="both"/>
              <w:rPr>
                <w:rFonts w:ascii="Arial" w:hAnsi="Arial" w:cs="Arial"/>
                <w:sz w:val="20"/>
                <w:szCs w:val="20"/>
              </w:rPr>
            </w:pPr>
            <w:r w:rsidRPr="003B2A0D">
              <w:rPr>
                <w:rFonts w:ascii="Arial" w:hAnsi="Arial" w:cs="Arial"/>
                <w:sz w:val="20"/>
                <w:szCs w:val="20"/>
              </w:rPr>
              <w:t>spletno povezavo do konsolidiranega poslovnega poročila, konsolidiranega poročila o trajnostnosti in do mnenja o skladnosti poročila o trajnostnosti s pravili trajnostnega poročanja</w:t>
            </w:r>
            <w:r w:rsidRPr="003B2A0D" w:rsidDel="00E306DC">
              <w:rPr>
                <w:rFonts w:ascii="Arial" w:hAnsi="Arial" w:cs="Arial"/>
                <w:sz w:val="20"/>
                <w:szCs w:val="20"/>
              </w:rPr>
              <w:t xml:space="preserve"> </w:t>
            </w:r>
            <w:r w:rsidRPr="003B2A0D">
              <w:rPr>
                <w:rFonts w:ascii="Arial" w:hAnsi="Arial" w:cs="Arial"/>
                <w:sz w:val="20"/>
                <w:szCs w:val="20"/>
              </w:rPr>
              <w:t>iz točke c) 2. točke tega odstavka,</w:t>
            </w:r>
          </w:p>
          <w:p w14:paraId="1E9DFDB5" w14:textId="77777777" w:rsidR="000C08CA" w:rsidRPr="003B2A0D" w:rsidRDefault="000C08CA" w:rsidP="00FE328D">
            <w:pPr>
              <w:pStyle w:val="ListParagraph"/>
              <w:numPr>
                <w:ilvl w:val="0"/>
                <w:numId w:val="30"/>
              </w:numPr>
              <w:spacing w:after="0" w:line="276" w:lineRule="auto"/>
              <w:rPr>
                <w:rFonts w:ascii="Arial" w:hAnsi="Arial" w:cs="Arial"/>
                <w:sz w:val="20"/>
                <w:szCs w:val="20"/>
              </w:rPr>
            </w:pPr>
            <w:r w:rsidRPr="003B2A0D">
              <w:rPr>
                <w:rFonts w:ascii="Arial" w:hAnsi="Arial" w:cs="Arial"/>
                <w:sz w:val="20"/>
                <w:szCs w:val="20"/>
              </w:rPr>
              <w:t>informacijo, da je družba izvzeta iz obveznosti iz prvega odstavka tega člena;</w:t>
            </w:r>
          </w:p>
          <w:p w14:paraId="2E1ABF74" w14:textId="77777777" w:rsidR="000C08CA" w:rsidRPr="003B2A0D" w:rsidRDefault="000C08CA" w:rsidP="00FE328D">
            <w:pPr>
              <w:pStyle w:val="ListParagraph"/>
              <w:numPr>
                <w:ilvl w:val="0"/>
                <w:numId w:val="25"/>
              </w:numPr>
              <w:spacing w:after="0" w:line="276" w:lineRule="auto"/>
              <w:jc w:val="both"/>
              <w:rPr>
                <w:rFonts w:ascii="Arial" w:hAnsi="Arial" w:cs="Arial"/>
                <w:sz w:val="20"/>
                <w:szCs w:val="20"/>
              </w:rPr>
            </w:pPr>
            <w:r w:rsidRPr="003B2A0D">
              <w:rPr>
                <w:rFonts w:ascii="Arial" w:hAnsi="Arial" w:cs="Arial"/>
                <w:sz w:val="20"/>
                <w:szCs w:val="20"/>
              </w:rPr>
              <w:t xml:space="preserve">izvzeta odvisna družba v </w:t>
            </w:r>
            <w:r w:rsidRPr="003B2A0D" w:rsidDel="00C90CCC">
              <w:rPr>
                <w:rFonts w:ascii="Arial" w:hAnsi="Arial" w:cs="Arial"/>
                <w:sz w:val="20"/>
                <w:szCs w:val="20"/>
              </w:rPr>
              <w:t xml:space="preserve">roku </w:t>
            </w:r>
            <w:r w:rsidRPr="003B2A0D">
              <w:rPr>
                <w:rFonts w:ascii="Arial" w:hAnsi="Arial" w:cs="Arial"/>
                <w:sz w:val="20"/>
                <w:szCs w:val="20"/>
              </w:rPr>
              <w:t xml:space="preserve">enega meseca od objave konsolidiranega poročila o trajnostnosti zaradi javne objave predloži AJPES prevedeno konsolidirano poslovno poročilo, konsolidirano poročilo o trajnostnosti in mnenje o skladnosti poročila o trajnostnosti s pravili </w:t>
            </w:r>
            <w:r w:rsidRPr="003B2A0D">
              <w:rPr>
                <w:rFonts w:ascii="Arial" w:hAnsi="Arial" w:cs="Arial"/>
                <w:sz w:val="20"/>
                <w:szCs w:val="20"/>
              </w:rPr>
              <w:lastRenderedPageBreak/>
              <w:t>trajnostnega poročanja, izdano v skladu z nacionalnim pravom države obvladujoče družbe. Vsak prevod, ki ni overjen, mora vključevati izjavo o tem;</w:t>
            </w:r>
          </w:p>
          <w:p w14:paraId="532F8F8B" w14:textId="77777777" w:rsidR="000C08CA" w:rsidRPr="003B2A0D" w:rsidRDefault="000C08CA" w:rsidP="00FE328D">
            <w:pPr>
              <w:ind w:left="705" w:hanging="345"/>
              <w:jc w:val="both"/>
              <w:rPr>
                <w:rFonts w:cs="Arial"/>
                <w:szCs w:val="20"/>
              </w:rPr>
            </w:pPr>
            <w:r w:rsidRPr="003B2A0D">
              <w:rPr>
                <w:rFonts w:cs="Arial"/>
                <w:szCs w:val="20"/>
              </w:rPr>
              <w:t>č)</w:t>
            </w:r>
            <w:r w:rsidRPr="003B2A0D">
              <w:rPr>
                <w:rFonts w:cs="Arial"/>
                <w:szCs w:val="20"/>
              </w:rPr>
              <w:tab/>
              <w:t>poslovno poročilo izvzete odvisne družbe ali konsolidirano poročilo o trajnostnosti obvladujoče družbe s sedežem v tretji državi vključuje informacije, ki jih je treba razkriti v skladu z 8. členom Uredbe 2020/852/EU in se nanašajo na dejavnosti izvzete odvisne družbe in njenih odvisnih družb</w:t>
            </w:r>
            <w:r>
              <w:rPr>
                <w:rFonts w:cs="Arial"/>
                <w:szCs w:val="20"/>
              </w:rPr>
              <w:t>;</w:t>
            </w:r>
          </w:p>
          <w:p w14:paraId="62A2AF7F" w14:textId="77777777" w:rsidR="000C08CA" w:rsidRPr="003B2A0D" w:rsidRDefault="000C08CA" w:rsidP="00FE328D">
            <w:pPr>
              <w:spacing w:line="276" w:lineRule="auto"/>
              <w:jc w:val="both"/>
              <w:rPr>
                <w:rFonts w:cs="Arial"/>
                <w:szCs w:val="20"/>
              </w:rPr>
            </w:pPr>
          </w:p>
          <w:p w14:paraId="16337979" w14:textId="77777777" w:rsidR="000C08CA" w:rsidRPr="003B2A0D" w:rsidRDefault="000C08CA" w:rsidP="00FE328D">
            <w:pPr>
              <w:pStyle w:val="ListParagraph"/>
              <w:numPr>
                <w:ilvl w:val="0"/>
                <w:numId w:val="24"/>
              </w:numPr>
              <w:spacing w:after="0" w:line="276" w:lineRule="auto"/>
              <w:jc w:val="both"/>
              <w:rPr>
                <w:rFonts w:ascii="Arial" w:hAnsi="Arial" w:cs="Arial"/>
                <w:sz w:val="20"/>
                <w:szCs w:val="20"/>
              </w:rPr>
            </w:pPr>
            <w:r w:rsidRPr="003B2A0D">
              <w:rPr>
                <w:rFonts w:ascii="Arial" w:hAnsi="Arial" w:cs="Arial"/>
                <w:sz w:val="20"/>
                <w:szCs w:val="20"/>
              </w:rPr>
              <w:t>kadar ima obvladujoča družba sedež v tretji državi</w:t>
            </w:r>
            <w:r>
              <w:rPr>
                <w:rFonts w:ascii="Arial" w:hAnsi="Arial" w:cs="Arial"/>
                <w:sz w:val="20"/>
                <w:szCs w:val="20"/>
              </w:rPr>
              <w:t>,</w:t>
            </w:r>
            <w:r w:rsidRPr="003B2A0D">
              <w:rPr>
                <w:rFonts w:ascii="Arial" w:hAnsi="Arial" w:cs="Arial"/>
                <w:sz w:val="20"/>
                <w:szCs w:val="20"/>
              </w:rPr>
              <w:t xml:space="preserve"> se lahko poleg primerov iz prejšnje točke izvzame tudi, če izpolnjuje pogoje, navedene </w:t>
            </w:r>
            <w:r w:rsidRPr="003B2A0D" w:rsidDel="00C90CCC">
              <w:rPr>
                <w:rFonts w:ascii="Arial" w:hAnsi="Arial" w:cs="Arial"/>
                <w:sz w:val="20"/>
                <w:szCs w:val="20"/>
              </w:rPr>
              <w:t xml:space="preserve">pod </w:t>
            </w:r>
            <w:r w:rsidRPr="003B2A0D">
              <w:rPr>
                <w:rFonts w:ascii="Arial" w:hAnsi="Arial" w:cs="Arial"/>
                <w:sz w:val="20"/>
                <w:szCs w:val="20"/>
              </w:rPr>
              <w:t xml:space="preserve">a), b) in c) 1. točke tega odstavka in </w:t>
            </w:r>
            <w:r w:rsidRPr="003B2A0D" w:rsidDel="00C90CCC">
              <w:rPr>
                <w:rFonts w:ascii="Arial" w:hAnsi="Arial" w:cs="Arial"/>
                <w:sz w:val="20"/>
                <w:szCs w:val="20"/>
              </w:rPr>
              <w:t xml:space="preserve">pod </w:t>
            </w:r>
            <w:r w:rsidRPr="003B2A0D">
              <w:rPr>
                <w:rFonts w:ascii="Arial" w:hAnsi="Arial" w:cs="Arial"/>
                <w:sz w:val="20"/>
                <w:szCs w:val="20"/>
              </w:rPr>
              <w:t>č) 2. točke tega odstavka.</w:t>
            </w:r>
          </w:p>
          <w:bookmarkEnd w:id="33"/>
          <w:p w14:paraId="4FC7E4BB" w14:textId="77777777" w:rsidR="000C08CA" w:rsidRPr="003B2A0D" w:rsidRDefault="000C08CA" w:rsidP="00FE328D">
            <w:pPr>
              <w:spacing w:line="276" w:lineRule="auto"/>
              <w:jc w:val="both"/>
              <w:rPr>
                <w:rFonts w:cs="Arial"/>
                <w:strike/>
                <w:szCs w:val="20"/>
                <w:highlight w:val="yellow"/>
              </w:rPr>
            </w:pPr>
          </w:p>
          <w:p w14:paraId="429EC89A" w14:textId="77777777" w:rsidR="000C08CA" w:rsidRPr="003B2A0D" w:rsidRDefault="000C08CA" w:rsidP="00FE328D">
            <w:pPr>
              <w:spacing w:line="276" w:lineRule="auto"/>
              <w:jc w:val="both"/>
              <w:rPr>
                <w:rFonts w:cs="Arial"/>
                <w:szCs w:val="20"/>
              </w:rPr>
            </w:pPr>
            <w:bookmarkStart w:id="37" w:name="_Hlk142644471"/>
            <w:bookmarkStart w:id="38" w:name="_Hlk142573405"/>
            <w:r w:rsidRPr="003B2A0D">
              <w:rPr>
                <w:rFonts w:cs="Arial"/>
                <w:szCs w:val="20"/>
              </w:rPr>
              <w:t>(9) Za namene</w:t>
            </w:r>
            <w:r w:rsidRPr="003B2A0D" w:rsidDel="008A2187">
              <w:rPr>
                <w:rFonts w:cs="Arial"/>
                <w:szCs w:val="20"/>
              </w:rPr>
              <w:t xml:space="preserve"> </w:t>
            </w:r>
            <w:r w:rsidRPr="003B2A0D">
              <w:rPr>
                <w:rFonts w:cs="Arial"/>
                <w:szCs w:val="20"/>
              </w:rPr>
              <w:t>prejšnjega odstavka se zavarovalnice (vključno z družbami za vzajemno zavarovanje in pozavarovalnicami), ki so na podlagi finančnih povezav del skupine, kot je opredeljena v prvem in drugem odstavku 354. člena Zakona o zavarovalništvu (Uradni list RS, št. 93/15, 9/19, 102/20, 48/23 in 78/23 – ZZVZZ-T; v nadaljnjem besedilu: ZZavar-1), ali del skupine z obvladujočo družbo s sedežem v Republiki Sloveniji, kot je opredeljena v 355. členu ZZavar-1, in se nad njimi izvaja nadzor skupine, kot je opredeljen v 359. členu ZZavar-1, obravnavajo kot odvisne družbe obvladujoče družbe te skupine</w:t>
            </w:r>
            <w:bookmarkEnd w:id="37"/>
            <w:r w:rsidRPr="003B2A0D">
              <w:rPr>
                <w:rFonts w:cs="Arial"/>
                <w:szCs w:val="20"/>
              </w:rPr>
              <w:t>.</w:t>
            </w:r>
          </w:p>
          <w:bookmarkEnd w:id="38"/>
          <w:p w14:paraId="6082A0A6" w14:textId="77777777" w:rsidR="000C08CA" w:rsidRPr="003B2A0D" w:rsidRDefault="000C08CA" w:rsidP="00FE328D">
            <w:pPr>
              <w:spacing w:line="276" w:lineRule="auto"/>
              <w:jc w:val="both"/>
              <w:rPr>
                <w:rFonts w:cs="Arial"/>
                <w:szCs w:val="20"/>
              </w:rPr>
            </w:pPr>
          </w:p>
          <w:p w14:paraId="0E59DEF1" w14:textId="77777777" w:rsidR="000C08CA" w:rsidRPr="003B2A0D" w:rsidRDefault="000C08CA" w:rsidP="00FE328D">
            <w:pPr>
              <w:spacing w:line="276" w:lineRule="auto"/>
              <w:jc w:val="both"/>
              <w:rPr>
                <w:rFonts w:cs="Arial"/>
                <w:strike/>
                <w:szCs w:val="20"/>
              </w:rPr>
            </w:pPr>
            <w:r w:rsidRPr="003B2A0D">
              <w:rPr>
                <w:rFonts w:cs="Arial"/>
                <w:szCs w:val="20"/>
              </w:rPr>
              <w:t xml:space="preserve">(10) Velika družba, s katere vrednostnimi papirji se trguje na organiziranem trgu, ne more biti izvzeta iz obveznosti priprave poročila o trajnostnosti po osmem odstavku tega člena. </w:t>
            </w:r>
          </w:p>
          <w:bookmarkEnd w:id="32"/>
          <w:p w14:paraId="28CA86D7" w14:textId="77777777" w:rsidR="000C08CA" w:rsidRPr="003B2A0D" w:rsidRDefault="000C08CA" w:rsidP="00FE328D">
            <w:pPr>
              <w:spacing w:line="276" w:lineRule="auto"/>
              <w:jc w:val="both"/>
              <w:rPr>
                <w:rFonts w:cs="Arial"/>
                <w:szCs w:val="20"/>
              </w:rPr>
            </w:pPr>
          </w:p>
          <w:p w14:paraId="7CA39DEC" w14:textId="77777777" w:rsidR="000C08CA" w:rsidRPr="003B2A0D" w:rsidRDefault="000C08CA" w:rsidP="00FE328D">
            <w:pPr>
              <w:spacing w:line="276" w:lineRule="auto"/>
              <w:jc w:val="both"/>
              <w:rPr>
                <w:rFonts w:cs="Arial"/>
                <w:szCs w:val="20"/>
              </w:rPr>
            </w:pPr>
            <w:bookmarkStart w:id="39" w:name="_Hlk142054767"/>
            <w:r w:rsidRPr="003B2A0D">
              <w:rPr>
                <w:rFonts w:cs="Arial"/>
                <w:szCs w:val="20"/>
              </w:rPr>
              <w:t>(11) Določbe 70.c, 70.č in 70.d člena tega zakona se ne uporabljajo za:</w:t>
            </w:r>
          </w:p>
          <w:p w14:paraId="2BEE734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mikro družbe, </w:t>
            </w:r>
            <w:r>
              <w:rPr>
                <w:rFonts w:cs="Arial"/>
                <w:szCs w:val="20"/>
              </w:rPr>
              <w:t>z</w:t>
            </w:r>
            <w:r w:rsidRPr="003B2A0D" w:rsidDel="00843C57">
              <w:rPr>
                <w:rFonts w:cs="Arial"/>
                <w:szCs w:val="20"/>
              </w:rPr>
              <w:t xml:space="preserve"> </w:t>
            </w:r>
            <w:r w:rsidRPr="003B2A0D">
              <w:rPr>
                <w:rFonts w:cs="Arial"/>
                <w:szCs w:val="20"/>
              </w:rPr>
              <w:t>vrednostnimi papirji katerih se trguje na organiziranem trgu,</w:t>
            </w:r>
          </w:p>
          <w:p w14:paraId="75CA2185" w14:textId="77777777" w:rsidR="000C08CA" w:rsidRPr="003B2A0D" w:rsidRDefault="000C08CA" w:rsidP="00FE328D">
            <w:pPr>
              <w:spacing w:line="276" w:lineRule="auto"/>
              <w:jc w:val="both"/>
              <w:rPr>
                <w:rFonts w:cs="Arial"/>
                <w:szCs w:val="20"/>
              </w:rPr>
            </w:pPr>
            <w:bookmarkStart w:id="40" w:name="_Hlk142055149"/>
            <w:r>
              <w:rPr>
                <w:rFonts w:cs="Arial"/>
                <w:szCs w:val="20"/>
              </w:rPr>
              <w:t>‒</w:t>
            </w:r>
            <w:r w:rsidRPr="003B2A0D">
              <w:rPr>
                <w:rFonts w:cs="Arial"/>
                <w:szCs w:val="20"/>
              </w:rPr>
              <w:t xml:space="preserve"> finančne </w:t>
            </w:r>
            <w:r w:rsidRPr="005E110D">
              <w:rPr>
                <w:rFonts w:cs="Arial"/>
                <w:szCs w:val="20"/>
              </w:rPr>
              <w:t>produkte</w:t>
            </w:r>
            <w:r w:rsidRPr="00C92679">
              <w:rPr>
                <w:rFonts w:cs="Arial"/>
                <w:szCs w:val="20"/>
              </w:rPr>
              <w:t xml:space="preserve">, navedene pod (b) in (f) 12. </w:t>
            </w:r>
            <w:r w:rsidRPr="00C92679" w:rsidDel="00843C57">
              <w:rPr>
                <w:rFonts w:cs="Arial"/>
                <w:szCs w:val="20"/>
              </w:rPr>
              <w:t>točke</w:t>
            </w:r>
            <w:r w:rsidRPr="003B2A0D" w:rsidDel="00843C57">
              <w:rPr>
                <w:rFonts w:cs="Arial"/>
                <w:szCs w:val="20"/>
              </w:rPr>
              <w:t xml:space="preserve"> </w:t>
            </w:r>
            <w:r w:rsidRPr="003B2A0D">
              <w:rPr>
                <w:rFonts w:cs="Arial"/>
                <w:szCs w:val="20"/>
              </w:rPr>
              <w:t>2. člena Uredbe 2019/2088/EU</w:t>
            </w:r>
            <w:bookmarkEnd w:id="40"/>
            <w:r w:rsidRPr="003B2A0D">
              <w:rPr>
                <w:rFonts w:cs="Arial"/>
                <w:szCs w:val="20"/>
              </w:rPr>
              <w:t>.«.</w:t>
            </w:r>
          </w:p>
          <w:bookmarkEnd w:id="39"/>
          <w:p w14:paraId="6674CF45" w14:textId="77777777" w:rsidR="000C08CA" w:rsidRPr="003B2A0D" w:rsidRDefault="000C08CA" w:rsidP="00FE328D">
            <w:pPr>
              <w:spacing w:line="276" w:lineRule="auto"/>
              <w:jc w:val="both"/>
              <w:rPr>
                <w:rFonts w:cs="Arial"/>
                <w:bCs/>
                <w:szCs w:val="20"/>
              </w:rPr>
            </w:pPr>
          </w:p>
          <w:p w14:paraId="2A406FE5"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bookmarkEnd w:id="24"/>
          <w:p w14:paraId="05117844" w14:textId="77777777" w:rsidR="000C08CA" w:rsidRPr="003B2A0D" w:rsidRDefault="000C08CA" w:rsidP="00FE328D">
            <w:pPr>
              <w:spacing w:line="276" w:lineRule="auto"/>
              <w:jc w:val="center"/>
              <w:rPr>
                <w:rFonts w:cs="Arial"/>
                <w:b/>
                <w:szCs w:val="20"/>
              </w:rPr>
            </w:pPr>
          </w:p>
          <w:p w14:paraId="0A3F748A" w14:textId="77777777" w:rsidR="000C08CA" w:rsidRPr="003B2A0D" w:rsidRDefault="000C08CA" w:rsidP="00FE328D">
            <w:pPr>
              <w:spacing w:line="276" w:lineRule="auto"/>
              <w:jc w:val="both"/>
              <w:rPr>
                <w:rFonts w:cs="Arial"/>
                <w:szCs w:val="20"/>
              </w:rPr>
            </w:pPr>
            <w:r w:rsidRPr="003B2A0D">
              <w:rPr>
                <w:rFonts w:cs="Arial"/>
                <w:szCs w:val="20"/>
              </w:rPr>
              <w:t>Za 70.c členom se dodata nova 70.č in 70.d člen, ki se glasita:</w:t>
            </w:r>
          </w:p>
          <w:p w14:paraId="3F668F93" w14:textId="77777777" w:rsidR="000C08CA" w:rsidRPr="003B2A0D" w:rsidRDefault="000C08CA" w:rsidP="00FE328D">
            <w:pPr>
              <w:spacing w:line="276" w:lineRule="auto"/>
              <w:jc w:val="both"/>
              <w:rPr>
                <w:rFonts w:cs="Arial"/>
                <w:szCs w:val="20"/>
              </w:rPr>
            </w:pPr>
          </w:p>
          <w:p w14:paraId="5C9ED224" w14:textId="77777777" w:rsidR="000C08CA" w:rsidRPr="003B2A0D" w:rsidRDefault="000C08CA" w:rsidP="00FE328D">
            <w:pPr>
              <w:spacing w:line="276" w:lineRule="auto"/>
              <w:jc w:val="center"/>
              <w:rPr>
                <w:rFonts w:cs="Arial"/>
                <w:b/>
                <w:bCs/>
                <w:szCs w:val="20"/>
              </w:rPr>
            </w:pPr>
            <w:r w:rsidRPr="003B2A0D">
              <w:rPr>
                <w:rFonts w:cs="Arial"/>
                <w:szCs w:val="20"/>
              </w:rPr>
              <w:t>»</w:t>
            </w:r>
            <w:r w:rsidRPr="003B2A0D">
              <w:rPr>
                <w:rFonts w:cs="Arial"/>
                <w:b/>
                <w:bCs/>
                <w:szCs w:val="20"/>
              </w:rPr>
              <w:t xml:space="preserve">70.č </w:t>
            </w:r>
          </w:p>
          <w:p w14:paraId="53F0A3D1" w14:textId="77777777" w:rsidR="000C08CA" w:rsidRPr="003B2A0D" w:rsidRDefault="000C08CA" w:rsidP="00FE328D">
            <w:pPr>
              <w:spacing w:line="276" w:lineRule="auto"/>
              <w:jc w:val="center"/>
              <w:rPr>
                <w:rFonts w:cs="Arial"/>
                <w:b/>
                <w:bCs/>
                <w:szCs w:val="20"/>
              </w:rPr>
            </w:pPr>
            <w:r w:rsidRPr="003B2A0D">
              <w:rPr>
                <w:rFonts w:cs="Arial"/>
                <w:b/>
                <w:bCs/>
                <w:szCs w:val="20"/>
              </w:rPr>
              <w:t>(konsolidirano poročilo o trajnostnosti)</w:t>
            </w:r>
          </w:p>
          <w:p w14:paraId="51C9629D" w14:textId="77777777" w:rsidR="000C08CA" w:rsidRPr="003B2A0D" w:rsidRDefault="000C08CA" w:rsidP="00FE328D">
            <w:pPr>
              <w:spacing w:line="276" w:lineRule="auto"/>
              <w:jc w:val="both"/>
              <w:rPr>
                <w:rFonts w:cs="Arial"/>
                <w:szCs w:val="20"/>
              </w:rPr>
            </w:pPr>
          </w:p>
          <w:p w14:paraId="35D90B22" w14:textId="77777777" w:rsidR="000C08CA" w:rsidRPr="003B2A0D" w:rsidRDefault="000C08CA" w:rsidP="00FE328D">
            <w:pPr>
              <w:spacing w:line="276" w:lineRule="auto"/>
              <w:jc w:val="both"/>
              <w:rPr>
                <w:rFonts w:cs="Arial"/>
                <w:strike/>
                <w:szCs w:val="20"/>
              </w:rPr>
            </w:pPr>
            <w:bookmarkStart w:id="41" w:name="_Hlk142299086"/>
            <w:r w:rsidRPr="003B2A0D">
              <w:rPr>
                <w:rFonts w:cs="Arial"/>
                <w:szCs w:val="20"/>
              </w:rPr>
              <w:t>(1) Obvladujoča družba, ki skupaj z odvisnimi družbami dosega pogoje za velike družbe iz petega odstavka 55. člena tega zakona, pri čemer se merili čistih prihodkov od prodaje in vrednosti aktive povečata za 20 %, vključi v svoje konsolidirano poslovno poročilo tudi konsolidirano poročilo o trajnostnosti. Obvladujoča družba za ta namen pri ugotavljanju čistih prihodkov od prodaje in vrednosti aktive ne upošteva prilagoditev, potrebnih za pripravo konsolidiranih računovodskih izkazov.</w:t>
            </w:r>
          </w:p>
          <w:p w14:paraId="628CF8FB" w14:textId="77777777" w:rsidR="000C08CA" w:rsidRPr="003B2A0D" w:rsidRDefault="000C08CA" w:rsidP="00FE328D">
            <w:pPr>
              <w:spacing w:line="276" w:lineRule="auto"/>
              <w:jc w:val="both"/>
              <w:rPr>
                <w:rFonts w:cs="Arial"/>
                <w:szCs w:val="20"/>
              </w:rPr>
            </w:pPr>
          </w:p>
          <w:p w14:paraId="5538A906" w14:textId="77777777" w:rsidR="000C08CA" w:rsidRPr="003B2A0D" w:rsidRDefault="000C08CA" w:rsidP="00FE328D">
            <w:pPr>
              <w:spacing w:line="276" w:lineRule="auto"/>
              <w:jc w:val="both"/>
              <w:rPr>
                <w:rFonts w:cs="Arial"/>
                <w:szCs w:val="20"/>
              </w:rPr>
            </w:pPr>
            <w:r w:rsidRPr="003B2A0D">
              <w:rPr>
                <w:rFonts w:cs="Arial"/>
                <w:szCs w:val="20"/>
              </w:rPr>
              <w:t>(2) Za konsolidirano poročilo o trajnostnosti se smiselno uporabljajo določbe prejšnjega člena. Velika družba, s katere vrednostnimi papirji se trguje na organiziranem trgu</w:t>
            </w:r>
            <w:r w:rsidRPr="003B2A0D" w:rsidDel="004017E4">
              <w:rPr>
                <w:rFonts w:cs="Arial"/>
                <w:szCs w:val="20"/>
              </w:rPr>
              <w:t xml:space="preserve">, </w:t>
            </w:r>
            <w:r w:rsidRPr="003B2A0D">
              <w:rPr>
                <w:rFonts w:cs="Arial"/>
                <w:szCs w:val="20"/>
              </w:rPr>
              <w:t>ne more biti izvzeta iz obveznosti priprave konsolidiranega poročila o trajnostnosti po osmem odstavku prejšnjega člena.</w:t>
            </w:r>
          </w:p>
          <w:p w14:paraId="79B91DF9" w14:textId="77777777" w:rsidR="000C08CA" w:rsidRPr="003B2A0D" w:rsidRDefault="000C08CA" w:rsidP="00FE328D">
            <w:pPr>
              <w:spacing w:line="276" w:lineRule="auto"/>
              <w:jc w:val="both"/>
              <w:rPr>
                <w:rFonts w:cs="Arial"/>
                <w:szCs w:val="20"/>
              </w:rPr>
            </w:pPr>
          </w:p>
          <w:p w14:paraId="4DBFCEA5" w14:textId="77777777" w:rsidR="000C08CA" w:rsidRPr="003B2A0D" w:rsidRDefault="000C08CA" w:rsidP="00FE328D">
            <w:pPr>
              <w:spacing w:line="276" w:lineRule="auto"/>
              <w:jc w:val="both"/>
              <w:rPr>
                <w:rFonts w:cs="Arial"/>
                <w:szCs w:val="20"/>
              </w:rPr>
            </w:pPr>
            <w:r w:rsidRPr="003B2A0D">
              <w:rPr>
                <w:rFonts w:cs="Arial"/>
                <w:szCs w:val="20"/>
              </w:rPr>
              <w:t xml:space="preserve">(3) Kadar družba, ki poroča, ugotovi, da se tveganja za skupino ali vplivi skupine </w:t>
            </w:r>
            <w:r w:rsidRPr="003B2A0D" w:rsidDel="00187F95">
              <w:rPr>
                <w:rFonts w:cs="Arial"/>
                <w:szCs w:val="20"/>
              </w:rPr>
              <w:t xml:space="preserve">bistveno </w:t>
            </w:r>
            <w:r w:rsidRPr="003B2A0D">
              <w:rPr>
                <w:rFonts w:cs="Arial"/>
                <w:szCs w:val="20"/>
              </w:rPr>
              <w:t xml:space="preserve">razlikujejo od tveganj, s katerimi se </w:t>
            </w:r>
            <w:r w:rsidRPr="003B2A0D" w:rsidDel="00187F95">
              <w:rPr>
                <w:rFonts w:cs="Arial"/>
                <w:szCs w:val="20"/>
              </w:rPr>
              <w:t xml:space="preserve">sooča </w:t>
            </w:r>
            <w:r w:rsidRPr="003B2A0D">
              <w:rPr>
                <w:rFonts w:cs="Arial"/>
                <w:szCs w:val="20"/>
              </w:rPr>
              <w:t>ena ali več njenih odvisnih družb, ali vplivov ene ali več njenih odvisnih družb, poda ustrezno razlago tveganj, ki jim</w:t>
            </w:r>
            <w:r>
              <w:rPr>
                <w:rFonts w:cs="Arial"/>
                <w:szCs w:val="20"/>
              </w:rPr>
              <w:t xml:space="preserve"> </w:t>
            </w:r>
            <w:r w:rsidRPr="003B2A0D">
              <w:rPr>
                <w:rFonts w:cs="Arial"/>
                <w:szCs w:val="20"/>
              </w:rPr>
              <w:t>je</w:t>
            </w:r>
            <w:r>
              <w:rPr>
                <w:rFonts w:cs="Arial"/>
                <w:szCs w:val="20"/>
              </w:rPr>
              <w:t xml:space="preserve"> </w:t>
            </w:r>
            <w:r w:rsidRPr="003B2A0D">
              <w:rPr>
                <w:rFonts w:cs="Arial"/>
                <w:szCs w:val="20"/>
              </w:rPr>
              <w:t>izpostavljena ta odvisna družba</w:t>
            </w:r>
            <w:r w:rsidRPr="003B2A0D" w:rsidDel="00187F95">
              <w:rPr>
                <w:rFonts w:cs="Arial"/>
                <w:szCs w:val="20"/>
              </w:rPr>
              <w:t xml:space="preserve"> ali odvisne </w:t>
            </w:r>
            <w:r w:rsidRPr="003B2A0D">
              <w:rPr>
                <w:rFonts w:cs="Arial"/>
                <w:szCs w:val="20"/>
              </w:rPr>
              <w:t xml:space="preserve">družbe, in vplivov te odvisne družbe </w:t>
            </w:r>
            <w:r w:rsidRPr="003B2A0D" w:rsidDel="00187F95">
              <w:rPr>
                <w:rFonts w:cs="Arial"/>
                <w:szCs w:val="20"/>
              </w:rPr>
              <w:t xml:space="preserve">ali odvisnih </w:t>
            </w:r>
            <w:r w:rsidRPr="003B2A0D">
              <w:rPr>
                <w:rFonts w:cs="Arial"/>
                <w:szCs w:val="20"/>
              </w:rPr>
              <w:t xml:space="preserve">družb. Družba navede, katere odvisne družbe, ki se bodo konsolidirale, so izvzete iz poročanja o trajnostnosti oziroma iz konsolidiranega poročanja o trajnostnosti v skladu z osmim odstavkom prejšnjega člena.  </w:t>
            </w:r>
          </w:p>
          <w:bookmarkEnd w:id="41"/>
          <w:p w14:paraId="52676D14" w14:textId="77777777" w:rsidR="000C08CA" w:rsidRPr="003B2A0D" w:rsidRDefault="000C08CA" w:rsidP="00FE328D">
            <w:pPr>
              <w:spacing w:line="276" w:lineRule="auto"/>
              <w:jc w:val="both"/>
              <w:rPr>
                <w:rFonts w:cs="Arial"/>
                <w:szCs w:val="20"/>
              </w:rPr>
            </w:pPr>
          </w:p>
          <w:p w14:paraId="64D069A3" w14:textId="77777777" w:rsidR="000C08CA" w:rsidRPr="003B2A0D" w:rsidRDefault="000C08CA" w:rsidP="00FE328D">
            <w:pPr>
              <w:spacing w:line="276" w:lineRule="auto"/>
              <w:jc w:val="both"/>
              <w:rPr>
                <w:rFonts w:cs="Arial"/>
                <w:szCs w:val="20"/>
              </w:rPr>
            </w:pPr>
            <w:r w:rsidRPr="003B2A0D">
              <w:rPr>
                <w:rFonts w:cs="Arial"/>
                <w:szCs w:val="20"/>
              </w:rPr>
              <w:lastRenderedPageBreak/>
              <w:t>(4) Če družba pripravi konsolidirano poročilo o trajnostnosti v skladu s tem zakonom, se šteje, da je izpolnila tudi obveznost iz drugega stavka drugega odstavka 70. člena tega zakona in obveznost priprave poročila o trajnostnosti iz prvega do petega odstavka prejšnjega člena.</w:t>
            </w:r>
          </w:p>
          <w:p w14:paraId="2A717619" w14:textId="77777777" w:rsidR="000C08CA" w:rsidRPr="003B2A0D" w:rsidRDefault="000C08CA" w:rsidP="00FE328D">
            <w:pPr>
              <w:spacing w:line="276" w:lineRule="auto"/>
              <w:jc w:val="both"/>
              <w:rPr>
                <w:rFonts w:cs="Arial"/>
                <w:b/>
                <w:bCs/>
                <w:szCs w:val="20"/>
              </w:rPr>
            </w:pPr>
          </w:p>
          <w:p w14:paraId="5DCC556D" w14:textId="77777777" w:rsidR="000C08CA" w:rsidRPr="003B2A0D" w:rsidRDefault="000C08CA" w:rsidP="00FE328D">
            <w:pPr>
              <w:spacing w:line="276" w:lineRule="auto"/>
              <w:jc w:val="center"/>
              <w:rPr>
                <w:rFonts w:cs="Arial"/>
                <w:b/>
                <w:bCs/>
                <w:szCs w:val="20"/>
              </w:rPr>
            </w:pPr>
            <w:r w:rsidRPr="003B2A0D">
              <w:rPr>
                <w:rFonts w:cs="Arial"/>
                <w:b/>
                <w:bCs/>
                <w:szCs w:val="20"/>
              </w:rPr>
              <w:t>70.d</w:t>
            </w:r>
          </w:p>
          <w:p w14:paraId="02F62738" w14:textId="77777777" w:rsidR="000C08CA" w:rsidRPr="003B2A0D" w:rsidRDefault="000C08CA" w:rsidP="00FE328D">
            <w:pPr>
              <w:spacing w:line="276" w:lineRule="auto"/>
              <w:jc w:val="center"/>
              <w:rPr>
                <w:rFonts w:cs="Arial"/>
                <w:b/>
                <w:bCs/>
                <w:szCs w:val="20"/>
              </w:rPr>
            </w:pPr>
            <w:bookmarkStart w:id="42" w:name="_Hlk141192001"/>
            <w:r w:rsidRPr="003B2A0D">
              <w:rPr>
                <w:rFonts w:cs="Arial"/>
                <w:b/>
                <w:bCs/>
                <w:szCs w:val="20"/>
              </w:rPr>
              <w:t xml:space="preserve">(poročilo o trajnostnosti v zvezi s </w:t>
            </w:r>
            <w:bookmarkStart w:id="43" w:name="_Hlk141967631"/>
            <w:r w:rsidRPr="003B2A0D">
              <w:rPr>
                <w:rFonts w:cs="Arial"/>
                <w:b/>
                <w:szCs w:val="20"/>
              </w:rPr>
              <w:t>tujim podjetjem iz tretje države</w:t>
            </w:r>
            <w:bookmarkEnd w:id="43"/>
            <w:r w:rsidRPr="003B2A0D">
              <w:rPr>
                <w:rFonts w:cs="Arial"/>
                <w:b/>
                <w:bCs/>
                <w:szCs w:val="20"/>
              </w:rPr>
              <w:t>)</w:t>
            </w:r>
            <w:bookmarkEnd w:id="42"/>
          </w:p>
          <w:p w14:paraId="384B430C" w14:textId="77777777" w:rsidR="000C08CA" w:rsidRPr="003B2A0D" w:rsidRDefault="000C08CA" w:rsidP="00FE328D">
            <w:pPr>
              <w:spacing w:line="276" w:lineRule="auto"/>
              <w:jc w:val="both"/>
              <w:rPr>
                <w:rFonts w:cs="Arial"/>
                <w:szCs w:val="20"/>
              </w:rPr>
            </w:pPr>
          </w:p>
          <w:p w14:paraId="3A57E393" w14:textId="77777777" w:rsidR="000C08CA" w:rsidRPr="003B2A0D" w:rsidRDefault="000C08CA" w:rsidP="00FE328D">
            <w:pPr>
              <w:spacing w:line="276" w:lineRule="auto"/>
              <w:jc w:val="both"/>
              <w:rPr>
                <w:rFonts w:cs="Arial"/>
                <w:szCs w:val="20"/>
              </w:rPr>
            </w:pPr>
            <w:r w:rsidRPr="003B2A0D">
              <w:rPr>
                <w:rFonts w:cs="Arial"/>
                <w:szCs w:val="20"/>
              </w:rPr>
              <w:t xml:space="preserve">(1) </w:t>
            </w:r>
            <w:bookmarkStart w:id="44" w:name="_Hlk141967889"/>
            <w:r w:rsidRPr="003B2A0D">
              <w:rPr>
                <w:rFonts w:cs="Arial"/>
                <w:szCs w:val="20"/>
              </w:rPr>
              <w:t xml:space="preserve">Odvisna družba, ki je zavezana pripraviti poročilo o trajnostnosti v skladu s 70.c členom tega zakona in je v skupini, v kateri je zavezano pripraviti konsolidirano letno poročilo za najširši krog družb v skupini tuje podjetje iz tretje države, zaradi javne objave predloži AJPES tudi poročilo o trajnostnosti v zvezi s tujim podjetjem iz tretje države. </w:t>
            </w:r>
            <w:bookmarkStart w:id="45" w:name="_Hlk142315997"/>
            <w:bookmarkStart w:id="46" w:name="_Hlk142319192"/>
            <w:bookmarkEnd w:id="44"/>
            <w:r w:rsidRPr="003B2A0D">
              <w:rPr>
                <w:rFonts w:cs="Arial"/>
                <w:szCs w:val="20"/>
              </w:rPr>
              <w:t xml:space="preserve">To poročilo predloži, če čisti prihodki od prodaje na ravni skupine v Evropski uniji na podlagi podatkov zadnjih dveh zaporednih poslovnih let na bilančni presečni dan bilance stanja obakrat presežejo 150.000.000 eurov. </w:t>
            </w:r>
            <w:bookmarkEnd w:id="45"/>
            <w:bookmarkEnd w:id="46"/>
            <w:r w:rsidRPr="003B2A0D">
              <w:rPr>
                <w:rFonts w:cs="Arial"/>
                <w:szCs w:val="20"/>
              </w:rPr>
              <w:t>To poročilo vsebuje naslednje informacije, pripravljene na ravni skupine obvladujoče družbe:</w:t>
            </w:r>
          </w:p>
          <w:p w14:paraId="58C2626E" w14:textId="77777777" w:rsidR="000C08CA" w:rsidRPr="000F6661" w:rsidRDefault="000C08CA" w:rsidP="00FE328D">
            <w:pPr>
              <w:spacing w:line="276" w:lineRule="auto"/>
              <w:jc w:val="both"/>
              <w:rPr>
                <w:rFonts w:cs="Arial"/>
                <w:szCs w:val="20"/>
              </w:rPr>
            </w:pPr>
            <w:r w:rsidRPr="000F6661">
              <w:rPr>
                <w:rFonts w:cs="Arial"/>
                <w:szCs w:val="20"/>
              </w:rPr>
              <w:t xml:space="preserve">‒ iz c) do d) 1. točke drugega odstavka 70.c člena tega zakona, </w:t>
            </w:r>
          </w:p>
          <w:p w14:paraId="3447029C" w14:textId="77777777" w:rsidR="000C08CA" w:rsidRPr="003B2A0D" w:rsidRDefault="000C08CA" w:rsidP="00FE328D">
            <w:pPr>
              <w:spacing w:line="276" w:lineRule="auto"/>
              <w:jc w:val="both"/>
              <w:rPr>
                <w:rFonts w:cs="Arial"/>
                <w:szCs w:val="20"/>
              </w:rPr>
            </w:pPr>
            <w:r w:rsidRPr="000F6661">
              <w:rPr>
                <w:rFonts w:cs="Arial"/>
                <w:szCs w:val="20"/>
              </w:rPr>
              <w:t>‒ iz 2. do 6. točke in po potrebi 8. točke</w:t>
            </w:r>
            <w:r w:rsidRPr="003B2A0D">
              <w:rPr>
                <w:rFonts w:cs="Arial"/>
                <w:szCs w:val="20"/>
              </w:rPr>
              <w:t xml:space="preserve"> drugega odstavka 70.c tega zakona.</w:t>
            </w:r>
          </w:p>
          <w:p w14:paraId="233BDCB0" w14:textId="77777777" w:rsidR="000C08CA" w:rsidRPr="003B2A0D" w:rsidRDefault="000C08CA" w:rsidP="00FE328D">
            <w:pPr>
              <w:spacing w:line="276" w:lineRule="auto"/>
              <w:jc w:val="both"/>
              <w:rPr>
                <w:rFonts w:cs="Arial"/>
                <w:szCs w:val="20"/>
              </w:rPr>
            </w:pPr>
          </w:p>
          <w:p w14:paraId="4A8E0063" w14:textId="77777777" w:rsidR="000C08CA" w:rsidRPr="003B2A0D" w:rsidRDefault="000C08CA" w:rsidP="00FE328D">
            <w:pPr>
              <w:spacing w:line="276" w:lineRule="auto"/>
              <w:jc w:val="both"/>
              <w:rPr>
                <w:rFonts w:cs="Arial"/>
                <w:szCs w:val="20"/>
              </w:rPr>
            </w:pPr>
            <w:r w:rsidRPr="003B2A0D">
              <w:rPr>
                <w:rFonts w:cs="Arial"/>
                <w:szCs w:val="20"/>
              </w:rPr>
              <w:t>(2) Poročilo v zvezi s tujim podjetjem iz tretje države</w:t>
            </w:r>
            <w:r w:rsidRPr="003B2A0D" w:rsidDel="00FF38A4">
              <w:rPr>
                <w:rFonts w:cs="Arial"/>
                <w:szCs w:val="20"/>
              </w:rPr>
              <w:t xml:space="preserve"> </w:t>
            </w:r>
            <w:r w:rsidRPr="003B2A0D">
              <w:rPr>
                <w:rFonts w:cs="Arial"/>
                <w:szCs w:val="20"/>
              </w:rPr>
              <w:t xml:space="preserve">se pripravi skladno s standardi poročanja o trajnostnosti za tuja podjetja iz tretjih držav oziroma z evropskimi standardi poročanja o trajnostnosti oziroma na način, ki je enakovreden tem standardom poročanja o trajnostnosti, kot je določeno v skladu z izvedbenim aktom o enakovrednosti standardov poročanja o trajnostnosti, sprejetim na podlagi tretjega pododstavka četrtega odstavka 23. člena Direktive 2004/109/ES. </w:t>
            </w:r>
          </w:p>
          <w:p w14:paraId="44B1B580" w14:textId="77777777" w:rsidR="000C08CA" w:rsidRPr="003B2A0D" w:rsidRDefault="000C08CA" w:rsidP="00FE328D">
            <w:pPr>
              <w:spacing w:line="276" w:lineRule="auto"/>
              <w:rPr>
                <w:rFonts w:cs="Arial"/>
                <w:szCs w:val="20"/>
              </w:rPr>
            </w:pPr>
          </w:p>
          <w:p w14:paraId="708CB9AD" w14:textId="77777777" w:rsidR="000C08CA" w:rsidRPr="003B2A0D" w:rsidRDefault="000C08CA" w:rsidP="00FE328D">
            <w:pPr>
              <w:spacing w:line="276" w:lineRule="auto"/>
              <w:jc w:val="both"/>
              <w:rPr>
                <w:rFonts w:cs="Arial"/>
                <w:szCs w:val="20"/>
              </w:rPr>
            </w:pPr>
            <w:r w:rsidRPr="003B2A0D">
              <w:rPr>
                <w:rFonts w:cs="Arial"/>
                <w:szCs w:val="20"/>
              </w:rPr>
              <w:t>(3) Če odvisna družba ne pridobi poročila o trajnostnosti v zvezi s tujim podjetjem iz tretje države od svoje obvladujoče družbe</w:t>
            </w:r>
            <w:bookmarkStart w:id="47" w:name="_Hlk142315573"/>
            <w:r w:rsidRPr="003B2A0D">
              <w:rPr>
                <w:rFonts w:cs="Arial"/>
                <w:szCs w:val="20"/>
              </w:rPr>
              <w:t>, od nje zahteva, da ji zagotovi vse podatke, potrebne za pripravo poročila</w:t>
            </w:r>
            <w:bookmarkEnd w:id="47"/>
            <w:r w:rsidRPr="003B2A0D">
              <w:rPr>
                <w:rFonts w:cs="Arial"/>
                <w:szCs w:val="20"/>
              </w:rPr>
              <w:t>. Če obvladujoča družba zahtevanih podatkov ne predloži, odvisna družba predloži AJPES poročilo o trajnostnosti v zvezi s tujim podjetjem iz tretje države</w:t>
            </w:r>
            <w:bookmarkStart w:id="48" w:name="_Hlk142315653"/>
            <w:r w:rsidRPr="003B2A0D">
              <w:rPr>
                <w:rFonts w:cs="Arial"/>
                <w:szCs w:val="20"/>
              </w:rPr>
              <w:t>, ki vključuje vse informacije, ki jih ima na voljo, in izjavo, da poročilo ne vsebuje vseh zahtevanih informacij, ker ji jih njena obvladujoča družba ni predložila</w:t>
            </w:r>
            <w:bookmarkEnd w:id="48"/>
            <w:r w:rsidRPr="003B2A0D">
              <w:rPr>
                <w:rFonts w:cs="Arial"/>
                <w:szCs w:val="20"/>
              </w:rPr>
              <w:t xml:space="preserve">. </w:t>
            </w:r>
          </w:p>
          <w:p w14:paraId="61BC1B4E" w14:textId="77777777" w:rsidR="000C08CA" w:rsidRPr="003B2A0D" w:rsidRDefault="000C08CA" w:rsidP="00FE328D">
            <w:pPr>
              <w:spacing w:line="276" w:lineRule="auto"/>
              <w:jc w:val="both"/>
              <w:rPr>
                <w:rFonts w:cs="Arial"/>
                <w:szCs w:val="20"/>
              </w:rPr>
            </w:pPr>
          </w:p>
          <w:p w14:paraId="08706A1D" w14:textId="77777777" w:rsidR="000C08CA" w:rsidRPr="003B2A0D" w:rsidRDefault="000C08CA" w:rsidP="00FE328D">
            <w:pPr>
              <w:spacing w:line="276" w:lineRule="auto"/>
              <w:jc w:val="both"/>
              <w:rPr>
                <w:rFonts w:cs="Arial"/>
                <w:szCs w:val="20"/>
              </w:rPr>
            </w:pPr>
            <w:bookmarkStart w:id="49" w:name="_Hlk138078306"/>
            <w:r w:rsidRPr="003B2A0D">
              <w:rPr>
                <w:rFonts w:cs="Arial"/>
                <w:szCs w:val="20"/>
              </w:rPr>
              <w:t>(4) Odvisna družba predloži AJPES prevedeno poročilo o trajnostnosti v zvezi s tujim podjetjem iz tretje države in mnenje o skladnosti poročila o trajnostnosti s pravili trajnostnega poročanja</w:t>
            </w:r>
            <w:bookmarkStart w:id="50" w:name="_Hlk143174651"/>
            <w:r w:rsidRPr="003B2A0D">
              <w:rPr>
                <w:rFonts w:cs="Arial"/>
                <w:szCs w:val="20"/>
              </w:rPr>
              <w:t>, izdanim v skladu s tem zakonom ali nacionalnim pravom države obvladujoče družbe</w:t>
            </w:r>
            <w:bookmarkEnd w:id="50"/>
            <w:r w:rsidRPr="003B2A0D">
              <w:rPr>
                <w:rFonts w:cs="Arial"/>
                <w:szCs w:val="20"/>
              </w:rPr>
              <w:t xml:space="preserve">, </w:t>
            </w:r>
            <w:bookmarkStart w:id="51" w:name="_Hlk143174550"/>
            <w:r w:rsidRPr="003B2A0D">
              <w:rPr>
                <w:rFonts w:cs="Arial"/>
                <w:szCs w:val="20"/>
              </w:rPr>
              <w:t>v dvanajstih mesecih po koncu poslovnega leta</w:t>
            </w:r>
            <w:bookmarkEnd w:id="51"/>
            <w:r w:rsidRPr="003B2A0D">
              <w:rPr>
                <w:rFonts w:cs="Arial"/>
                <w:szCs w:val="20"/>
              </w:rPr>
              <w:t>. Vsak prevod, ki ni overjen, mora vključevati izjavo o tem. Če obvladujoča družba mnenja o skladnosti poročila o trajnostnosti s pravili trajnostnega poročanja</w:t>
            </w:r>
            <w:r w:rsidRPr="003B2A0D" w:rsidDel="00C15B62">
              <w:rPr>
                <w:rFonts w:cs="Arial"/>
                <w:szCs w:val="20"/>
              </w:rPr>
              <w:t xml:space="preserve"> </w:t>
            </w:r>
            <w:r w:rsidRPr="003B2A0D">
              <w:rPr>
                <w:rFonts w:cs="Arial"/>
                <w:szCs w:val="20"/>
              </w:rPr>
              <w:t>ne predloži, odvisna družba predloži AJPES tudi izjavo, da ji obvladujoča družba tega ni predložila.</w:t>
            </w:r>
          </w:p>
          <w:p w14:paraId="5BA387CA" w14:textId="77777777" w:rsidR="000C08CA" w:rsidRPr="003B2A0D" w:rsidRDefault="000C08CA" w:rsidP="00FE328D">
            <w:pPr>
              <w:spacing w:line="276" w:lineRule="auto"/>
              <w:jc w:val="both"/>
              <w:rPr>
                <w:rFonts w:cs="Arial"/>
                <w:szCs w:val="20"/>
              </w:rPr>
            </w:pPr>
          </w:p>
          <w:p w14:paraId="2B9D457F" w14:textId="77777777" w:rsidR="000C08CA" w:rsidRPr="003B2A0D" w:rsidRDefault="000C08CA" w:rsidP="00FE328D">
            <w:pPr>
              <w:spacing w:line="276" w:lineRule="auto"/>
              <w:jc w:val="both"/>
              <w:rPr>
                <w:rFonts w:cs="Arial"/>
                <w:szCs w:val="20"/>
              </w:rPr>
            </w:pPr>
            <w:r w:rsidRPr="003B2A0D">
              <w:rPr>
                <w:rFonts w:cs="Arial"/>
                <w:szCs w:val="20"/>
              </w:rPr>
              <w:t xml:space="preserve">(5) Čisti prihodki od prodaje iz prvega odstavka tega člena so </w:t>
            </w:r>
            <w:r w:rsidRPr="003B2A0D">
              <w:rPr>
                <w:rFonts w:cs="Arial"/>
                <w:bCs/>
                <w:szCs w:val="20"/>
              </w:rPr>
              <w:t xml:space="preserve">prihodki, kot so opredeljeni v skladu s standardi računovodskega poročanja, na podlagi katerih </w:t>
            </w:r>
            <w:r w:rsidRPr="003B2A0D">
              <w:rPr>
                <w:rFonts w:cs="Arial"/>
                <w:szCs w:val="20"/>
              </w:rPr>
              <w:t>tuje podjetje iz tretje države sestavlja računovodske izkaze, ali z njihovo smiselno uporabo.</w:t>
            </w:r>
            <w:r w:rsidRPr="003B2A0D" w:rsidDel="006B7AC8">
              <w:rPr>
                <w:rStyle w:val="CommentReference"/>
                <w:rFonts w:cs="Arial"/>
                <w:sz w:val="20"/>
                <w:szCs w:val="20"/>
              </w:rPr>
              <w:t xml:space="preserve"> </w:t>
            </w:r>
          </w:p>
          <w:p w14:paraId="4B7FEF4E" w14:textId="77777777" w:rsidR="000C08CA" w:rsidRPr="003B2A0D" w:rsidRDefault="000C08CA" w:rsidP="00FE328D">
            <w:pPr>
              <w:spacing w:line="276" w:lineRule="auto"/>
              <w:jc w:val="both"/>
              <w:rPr>
                <w:rFonts w:cs="Arial"/>
                <w:szCs w:val="20"/>
              </w:rPr>
            </w:pPr>
          </w:p>
          <w:p w14:paraId="1FF2F08D" w14:textId="1ACF9DEB" w:rsidR="000C08CA" w:rsidRDefault="000C08CA" w:rsidP="00FE328D">
            <w:pPr>
              <w:spacing w:line="276" w:lineRule="auto"/>
              <w:jc w:val="both"/>
              <w:rPr>
                <w:rFonts w:cs="Arial"/>
                <w:szCs w:val="20"/>
              </w:rPr>
            </w:pPr>
            <w:r w:rsidRPr="003B2A0D">
              <w:rPr>
                <w:rFonts w:cs="Arial"/>
                <w:szCs w:val="20"/>
              </w:rPr>
              <w:t>(6) Odvisna družba, ki je zavezana pripraviti poročilo o trajnostnosti v skladu s 70.c členom in ki jo obvladuje tuje podjetje iz tretje države, ob predložitvi letnega poročila predloži AJPES tudi podatke o čistih prihodkih od prodaje, ki jih je obvladujoča družba na ravni skupine ustvarila v Republiki Sloveniji in Evropski uniji v vsakem od zadnjih dveh zaporednih poslovnih let.«.</w:t>
            </w:r>
            <w:bookmarkEnd w:id="49"/>
          </w:p>
          <w:p w14:paraId="24558C8E" w14:textId="77777777" w:rsidR="00153008" w:rsidRPr="003B2A0D" w:rsidRDefault="00153008" w:rsidP="00FE328D">
            <w:pPr>
              <w:spacing w:line="276" w:lineRule="auto"/>
              <w:jc w:val="both"/>
              <w:rPr>
                <w:rFonts w:cs="Arial"/>
                <w:szCs w:val="20"/>
              </w:rPr>
            </w:pPr>
          </w:p>
          <w:p w14:paraId="460309B8" w14:textId="77777777" w:rsidR="000C08CA" w:rsidRPr="003B2A0D" w:rsidRDefault="000C08CA" w:rsidP="00FE328D">
            <w:pPr>
              <w:tabs>
                <w:tab w:val="left" w:pos="5650"/>
              </w:tabs>
              <w:spacing w:line="276" w:lineRule="auto"/>
              <w:jc w:val="both"/>
              <w:rPr>
                <w:rFonts w:eastAsiaTheme="majorEastAsia" w:cs="Arial"/>
                <w:color w:val="2E74B5" w:themeColor="accent1" w:themeShade="BF"/>
                <w:szCs w:val="20"/>
              </w:rPr>
            </w:pPr>
            <w:r w:rsidRPr="003B2A0D">
              <w:rPr>
                <w:rFonts w:cs="Arial"/>
                <w:szCs w:val="20"/>
              </w:rPr>
              <w:tab/>
            </w:r>
          </w:p>
          <w:p w14:paraId="7D98B008"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65A61B17" w14:textId="77777777" w:rsidR="000C08CA" w:rsidRPr="003B2A0D" w:rsidRDefault="000C08CA" w:rsidP="00FE328D">
            <w:pPr>
              <w:spacing w:line="276" w:lineRule="auto"/>
              <w:jc w:val="center"/>
              <w:rPr>
                <w:rFonts w:cs="Arial"/>
                <w:b/>
                <w:szCs w:val="20"/>
              </w:rPr>
            </w:pPr>
          </w:p>
          <w:p w14:paraId="306A28AF" w14:textId="77777777" w:rsidR="000C08CA" w:rsidRPr="003B2A0D" w:rsidRDefault="000C08CA" w:rsidP="00FE328D">
            <w:pPr>
              <w:spacing w:line="276" w:lineRule="auto"/>
              <w:jc w:val="both"/>
              <w:rPr>
                <w:rFonts w:cs="Arial"/>
                <w:szCs w:val="20"/>
              </w:rPr>
            </w:pPr>
            <w:r w:rsidRPr="003B2A0D">
              <w:rPr>
                <w:rFonts w:cs="Arial"/>
                <w:szCs w:val="20"/>
              </w:rPr>
              <w:t>Za novim 70.d členom se dodajo oddelek z naslovom »9. oddelek Posebne določbe za nekatere družbe glede priprave poročila o davčnih informacijah v zvezi z dohodki« in novi 70.e do 70.l členi, ki se glasijo:</w:t>
            </w:r>
          </w:p>
          <w:p w14:paraId="73A7878E" w14:textId="77777777" w:rsidR="000C08CA" w:rsidRPr="003B2A0D" w:rsidRDefault="000C08CA" w:rsidP="00FE328D">
            <w:pPr>
              <w:spacing w:line="276" w:lineRule="auto"/>
              <w:jc w:val="center"/>
              <w:rPr>
                <w:rFonts w:cs="Arial"/>
                <w:b/>
                <w:szCs w:val="20"/>
              </w:rPr>
            </w:pPr>
            <w:r w:rsidRPr="003B2A0D">
              <w:rPr>
                <w:rFonts w:cs="Arial"/>
                <w:b/>
                <w:szCs w:val="20"/>
              </w:rPr>
              <w:lastRenderedPageBreak/>
              <w:t>»70.e člen</w:t>
            </w:r>
          </w:p>
          <w:p w14:paraId="7D084573" w14:textId="77777777" w:rsidR="000C08CA" w:rsidRPr="003B2A0D" w:rsidRDefault="000C08CA" w:rsidP="00FE328D">
            <w:pPr>
              <w:spacing w:line="276" w:lineRule="auto"/>
              <w:jc w:val="center"/>
              <w:rPr>
                <w:rFonts w:cs="Arial"/>
                <w:b/>
                <w:szCs w:val="20"/>
              </w:rPr>
            </w:pPr>
            <w:r w:rsidRPr="003B2A0D">
              <w:rPr>
                <w:rFonts w:cs="Arial"/>
                <w:b/>
                <w:szCs w:val="20"/>
              </w:rPr>
              <w:t>(</w:t>
            </w:r>
            <w:bookmarkStart w:id="52" w:name="_Hlk143685621"/>
            <w:r w:rsidRPr="003B2A0D">
              <w:rPr>
                <w:rFonts w:cs="Arial"/>
                <w:b/>
                <w:szCs w:val="20"/>
              </w:rPr>
              <w:t>poroč</w:t>
            </w:r>
            <w:bookmarkEnd w:id="52"/>
            <w:r w:rsidRPr="003B2A0D">
              <w:rPr>
                <w:rFonts w:cs="Arial"/>
                <w:b/>
                <w:szCs w:val="20"/>
              </w:rPr>
              <w:t>evalci)</w:t>
            </w:r>
          </w:p>
          <w:p w14:paraId="415D3826" w14:textId="77777777" w:rsidR="000C08CA" w:rsidRPr="003B2A0D" w:rsidRDefault="000C08CA" w:rsidP="00FE328D">
            <w:pPr>
              <w:spacing w:line="276" w:lineRule="auto"/>
              <w:jc w:val="center"/>
              <w:rPr>
                <w:rFonts w:cs="Arial"/>
                <w:b/>
                <w:szCs w:val="20"/>
              </w:rPr>
            </w:pPr>
          </w:p>
          <w:p w14:paraId="303FEEE2" w14:textId="77777777" w:rsidR="000C08CA" w:rsidRPr="003B2A0D" w:rsidRDefault="000C08CA" w:rsidP="00FE328D">
            <w:pPr>
              <w:spacing w:line="276" w:lineRule="auto"/>
              <w:jc w:val="both"/>
              <w:rPr>
                <w:rFonts w:cs="Arial"/>
                <w:bCs/>
                <w:szCs w:val="20"/>
              </w:rPr>
            </w:pPr>
            <w:r w:rsidRPr="003B2A0D">
              <w:rPr>
                <w:rFonts w:cs="Arial"/>
                <w:bCs/>
                <w:szCs w:val="20"/>
              </w:rPr>
              <w:t>(1</w:t>
            </w:r>
            <w:bookmarkStart w:id="53" w:name="_Hlk143686687"/>
            <w:r w:rsidRPr="003B2A0D">
              <w:rPr>
                <w:rFonts w:cs="Arial"/>
                <w:bCs/>
                <w:szCs w:val="20"/>
              </w:rPr>
              <w:t xml:space="preserve">) </w:t>
            </w:r>
            <w:bookmarkStart w:id="54" w:name="_Hlk143685698"/>
            <w:r w:rsidRPr="003B2A0D">
              <w:rPr>
                <w:rFonts w:cs="Arial"/>
                <w:bCs/>
                <w:szCs w:val="20"/>
              </w:rPr>
              <w:t>Družba, ki je zavezana pripraviti konsolidirano letno</w:t>
            </w:r>
            <w:r w:rsidRPr="003B2A0D" w:rsidDel="00D5050D">
              <w:rPr>
                <w:rFonts w:cs="Arial"/>
                <w:bCs/>
                <w:szCs w:val="20"/>
              </w:rPr>
              <w:t xml:space="preserve"> </w:t>
            </w:r>
            <w:r w:rsidRPr="003B2A0D">
              <w:rPr>
                <w:rFonts w:cs="Arial"/>
                <w:bCs/>
                <w:szCs w:val="20"/>
              </w:rPr>
              <w:t xml:space="preserve">poročilo za najširši krog družb v skupini v skladu s 56. </w:t>
            </w:r>
            <w:r w:rsidRPr="008030F2">
              <w:rPr>
                <w:rFonts w:cs="Arial"/>
                <w:bCs/>
                <w:szCs w:val="20"/>
              </w:rPr>
              <w:t>členom tega zakona in katere prihodki na ravni skupine na podlagi podatkov</w:t>
            </w:r>
            <w:r>
              <w:rPr>
                <w:rFonts w:cs="Arial"/>
                <w:bCs/>
                <w:szCs w:val="20"/>
              </w:rPr>
              <w:t xml:space="preserve"> </w:t>
            </w:r>
            <w:r w:rsidRPr="008030F2">
              <w:rPr>
                <w:rFonts w:cs="Arial"/>
                <w:bCs/>
                <w:szCs w:val="20"/>
              </w:rPr>
              <w:t>zadnjih dveh zaporednih poslovnih let na bilančni presečni dan bilance stanja obakrat presežejo prag 750.000.000 eurov, pripravi poročilo o davčnih informacijah v zvezi z dohodki iz 70.f člena tega zakona</w:t>
            </w:r>
            <w:r>
              <w:rPr>
                <w:rFonts w:cs="Arial"/>
                <w:bCs/>
                <w:szCs w:val="20"/>
              </w:rPr>
              <w:t>.</w:t>
            </w:r>
            <w:bookmarkEnd w:id="53"/>
            <w:bookmarkEnd w:id="54"/>
          </w:p>
          <w:p w14:paraId="1FBC2F37" w14:textId="77777777" w:rsidR="000C08CA" w:rsidRPr="003B2A0D" w:rsidRDefault="000C08CA" w:rsidP="00FE328D">
            <w:pPr>
              <w:spacing w:line="276" w:lineRule="auto"/>
              <w:jc w:val="both"/>
              <w:rPr>
                <w:rFonts w:cs="Arial"/>
                <w:bCs/>
                <w:szCs w:val="20"/>
              </w:rPr>
            </w:pPr>
          </w:p>
          <w:p w14:paraId="116C2607" w14:textId="77777777" w:rsidR="000C08CA" w:rsidRPr="003B2A0D" w:rsidRDefault="000C08CA" w:rsidP="00FE328D">
            <w:pPr>
              <w:spacing w:line="276" w:lineRule="auto"/>
              <w:jc w:val="both"/>
              <w:rPr>
                <w:rFonts w:cs="Arial"/>
                <w:bCs/>
                <w:szCs w:val="20"/>
              </w:rPr>
            </w:pPr>
            <w:r w:rsidRPr="003B2A0D">
              <w:rPr>
                <w:rFonts w:cs="Arial"/>
                <w:bCs/>
                <w:szCs w:val="20"/>
              </w:rPr>
              <w:t xml:space="preserve">(2) Poročilo o davčnih </w:t>
            </w:r>
            <w:r w:rsidRPr="003B2A0D">
              <w:rPr>
                <w:rFonts w:cs="Arial"/>
                <w:szCs w:val="20"/>
              </w:rPr>
              <w:t>informacijah</w:t>
            </w:r>
            <w:r w:rsidRPr="003B2A0D">
              <w:rPr>
                <w:rFonts w:cs="Arial"/>
                <w:bCs/>
                <w:szCs w:val="20"/>
              </w:rPr>
              <w:t xml:space="preserve"> v zvezi z dohodki iz 70.f člena tega zakona pripravi tudi </w:t>
            </w:r>
            <w:bookmarkStart w:id="55" w:name="_Hlk143685739"/>
            <w:r w:rsidRPr="003B2A0D">
              <w:rPr>
                <w:rFonts w:cs="Arial"/>
                <w:bCs/>
                <w:szCs w:val="20"/>
              </w:rPr>
              <w:t xml:space="preserve">družba, ki ni v skupini, če prihodki v zadnjih dveh zaporednih poslovnih letih na bilančni presečni dan bilance stanja obakrat presežejo prag iz prejšnjega odstavka. </w:t>
            </w:r>
          </w:p>
          <w:bookmarkEnd w:id="55"/>
          <w:p w14:paraId="7CFB943C" w14:textId="77777777" w:rsidR="000C08CA" w:rsidRPr="003B2A0D" w:rsidRDefault="000C08CA" w:rsidP="00FE328D">
            <w:pPr>
              <w:spacing w:line="276" w:lineRule="auto"/>
              <w:jc w:val="both"/>
              <w:rPr>
                <w:rFonts w:cs="Arial"/>
                <w:bCs/>
                <w:szCs w:val="20"/>
              </w:rPr>
            </w:pPr>
          </w:p>
          <w:p w14:paraId="5A72BCC1" w14:textId="77777777" w:rsidR="000C08CA" w:rsidRPr="003B2A0D" w:rsidRDefault="000C08CA" w:rsidP="00FE328D">
            <w:pPr>
              <w:spacing w:line="276" w:lineRule="auto"/>
              <w:jc w:val="both"/>
              <w:rPr>
                <w:rFonts w:cs="Arial"/>
                <w:bCs/>
                <w:szCs w:val="20"/>
              </w:rPr>
            </w:pPr>
            <w:r w:rsidRPr="003B2A0D">
              <w:rPr>
                <w:rFonts w:cs="Arial"/>
                <w:bCs/>
                <w:szCs w:val="20"/>
              </w:rPr>
              <w:t xml:space="preserve">(3) </w:t>
            </w:r>
            <w:bookmarkStart w:id="56" w:name="_Hlk143687031"/>
            <w:r w:rsidRPr="003B2A0D">
              <w:rPr>
                <w:rFonts w:cs="Arial"/>
                <w:bCs/>
                <w:szCs w:val="20"/>
              </w:rPr>
              <w:t xml:space="preserve">Obveznost, </w:t>
            </w:r>
            <w:r w:rsidRPr="003B2A0D">
              <w:rPr>
                <w:rFonts w:cs="Arial"/>
                <w:szCs w:val="20"/>
              </w:rPr>
              <w:t xml:space="preserve">da se poročilo o davčnih informacijah v zvezi z dohodki </w:t>
            </w:r>
            <w:r w:rsidRPr="003B2A0D">
              <w:rPr>
                <w:rFonts w:cs="Arial"/>
                <w:bCs/>
                <w:szCs w:val="20"/>
              </w:rPr>
              <w:t xml:space="preserve">tujega podjetja iz tretje države, ki je zavezano pripraviti konsolidirano letno poročilo za najširši krog družb v skupini, </w:t>
            </w:r>
            <w:r w:rsidRPr="003B2A0D">
              <w:rPr>
                <w:rFonts w:cs="Arial"/>
                <w:szCs w:val="20"/>
              </w:rPr>
              <w:t xml:space="preserve"> predloži AJPES</w:t>
            </w:r>
            <w:r w:rsidRPr="003B2A0D" w:rsidDel="00C52C1E">
              <w:rPr>
                <w:rFonts w:cs="Arial"/>
                <w:szCs w:val="20"/>
              </w:rPr>
              <w:t xml:space="preserve"> </w:t>
            </w:r>
            <w:r w:rsidRPr="003B2A0D">
              <w:rPr>
                <w:rFonts w:cs="Arial"/>
                <w:szCs w:val="20"/>
              </w:rPr>
              <w:t>in objavi na spletni strani</w:t>
            </w:r>
            <w:r w:rsidRPr="003B2A0D">
              <w:rPr>
                <w:rFonts w:cs="Arial"/>
                <w:bCs/>
                <w:szCs w:val="20"/>
              </w:rPr>
              <w:t>, velja tudi za njegove odvisne družbe in podružnice, če so podani pogoji iz 70.j in 683.c člena tega zakona.</w:t>
            </w:r>
            <w:bookmarkEnd w:id="56"/>
          </w:p>
          <w:p w14:paraId="7EC014CC" w14:textId="77777777" w:rsidR="000C08CA" w:rsidRPr="003B2A0D" w:rsidRDefault="000C08CA" w:rsidP="00FE328D">
            <w:pPr>
              <w:spacing w:line="276" w:lineRule="auto"/>
              <w:jc w:val="both"/>
              <w:rPr>
                <w:rFonts w:cs="Arial"/>
                <w:bCs/>
                <w:szCs w:val="20"/>
              </w:rPr>
            </w:pPr>
          </w:p>
          <w:p w14:paraId="29EACA66" w14:textId="77777777" w:rsidR="000C08CA" w:rsidRPr="003B2A0D" w:rsidRDefault="000C08CA" w:rsidP="00FE328D">
            <w:pPr>
              <w:spacing w:line="276" w:lineRule="auto"/>
              <w:jc w:val="both"/>
              <w:rPr>
                <w:rFonts w:cs="Arial"/>
                <w:bCs/>
                <w:szCs w:val="20"/>
              </w:rPr>
            </w:pPr>
            <w:r w:rsidRPr="003B2A0D">
              <w:rPr>
                <w:rFonts w:cs="Arial"/>
                <w:bCs/>
                <w:szCs w:val="20"/>
              </w:rPr>
              <w:t xml:space="preserve">(4) Ne glede na prvi in drugi odstavek tega člena poročila o davčnih </w:t>
            </w:r>
            <w:r w:rsidRPr="003B2A0D">
              <w:rPr>
                <w:rFonts w:cs="Arial"/>
                <w:szCs w:val="20"/>
              </w:rPr>
              <w:t>informacijah</w:t>
            </w:r>
            <w:r w:rsidRPr="003B2A0D">
              <w:rPr>
                <w:rFonts w:cs="Arial"/>
                <w:bCs/>
                <w:szCs w:val="20"/>
              </w:rPr>
              <w:t xml:space="preserve"> v zvezi z dohodki iz 70.f člena tega zakona ni treba pripraviti, kadar ima družba, vključno s pripadajočo podružnico, sedež, stalno mesto poslovanja ali stalno poslovno dejavnost le v Republiki Sloveniji in v nobeni drugi davčni jurisdikciji.</w:t>
            </w:r>
          </w:p>
          <w:p w14:paraId="2F63814C" w14:textId="77777777" w:rsidR="000C08CA" w:rsidRPr="003B2A0D" w:rsidRDefault="000C08CA" w:rsidP="00FE328D">
            <w:pPr>
              <w:spacing w:line="276" w:lineRule="auto"/>
              <w:jc w:val="both"/>
              <w:rPr>
                <w:rFonts w:cs="Arial"/>
                <w:bCs/>
                <w:szCs w:val="20"/>
              </w:rPr>
            </w:pPr>
          </w:p>
          <w:p w14:paraId="17641D13" w14:textId="1B2C2FA9" w:rsidR="000C08CA" w:rsidRPr="003B2A0D" w:rsidRDefault="000C08CA" w:rsidP="00FE328D">
            <w:pPr>
              <w:spacing w:line="276" w:lineRule="auto"/>
              <w:jc w:val="both"/>
              <w:rPr>
                <w:rFonts w:cs="Arial"/>
                <w:bCs/>
                <w:szCs w:val="20"/>
              </w:rPr>
            </w:pPr>
            <w:r w:rsidRPr="003B2A0D">
              <w:rPr>
                <w:rFonts w:cs="Arial"/>
                <w:bCs/>
                <w:szCs w:val="20"/>
              </w:rPr>
              <w:t xml:space="preserve">(5) Ne glede na prvi in drugi odstavek tega člena poročila o davčnih </w:t>
            </w:r>
            <w:r w:rsidRPr="003B2A0D">
              <w:rPr>
                <w:rFonts w:cs="Arial"/>
                <w:szCs w:val="20"/>
              </w:rPr>
              <w:t>informacijah</w:t>
            </w:r>
            <w:r w:rsidRPr="003B2A0D">
              <w:rPr>
                <w:rFonts w:cs="Arial"/>
                <w:bCs/>
                <w:szCs w:val="20"/>
              </w:rPr>
              <w:t xml:space="preserve"> v zvezi z dohodki iz 70.f člena tega zakona ni treba pripraviti </w:t>
            </w:r>
            <w:r>
              <w:rPr>
                <w:rFonts w:cs="Arial"/>
                <w:bCs/>
                <w:szCs w:val="20"/>
              </w:rPr>
              <w:t xml:space="preserve">niti </w:t>
            </w:r>
            <w:r w:rsidRPr="003B2A0D">
              <w:rPr>
                <w:rFonts w:cs="Arial"/>
                <w:bCs/>
                <w:szCs w:val="20"/>
              </w:rPr>
              <w:t>družbi, če ta pripravi poročilo v</w:t>
            </w:r>
            <w:r w:rsidRPr="003B2A0D" w:rsidDel="00575D3C">
              <w:rPr>
                <w:rFonts w:cs="Arial"/>
                <w:bCs/>
                <w:szCs w:val="20"/>
              </w:rPr>
              <w:t xml:space="preserve"> </w:t>
            </w:r>
            <w:r w:rsidRPr="003B2A0D">
              <w:rPr>
                <w:rFonts w:cs="Arial"/>
                <w:bCs/>
                <w:szCs w:val="20"/>
              </w:rPr>
              <w:t xml:space="preserve">skladu s podzakonskim predpisom o poslovnih knjigah in letnih poročilih banke, ki se </w:t>
            </w:r>
            <w:r w:rsidR="0030542E">
              <w:rPr>
                <w:rFonts w:cs="Arial"/>
                <w:bCs/>
                <w:szCs w:val="20"/>
              </w:rPr>
              <w:t>izda</w:t>
            </w:r>
            <w:r w:rsidR="0030542E" w:rsidRPr="003B2A0D">
              <w:rPr>
                <w:rFonts w:cs="Arial"/>
                <w:bCs/>
                <w:szCs w:val="20"/>
              </w:rPr>
              <w:t xml:space="preserve"> </w:t>
            </w:r>
            <w:r w:rsidRPr="003B2A0D">
              <w:rPr>
                <w:rFonts w:cs="Arial"/>
                <w:bCs/>
                <w:szCs w:val="20"/>
              </w:rPr>
              <w:t>na podlagi zakona, ki ureja bančništvo, in za družbo iz drugega odstavka tega člena zajame informacije o vseh njenih dejavnostih ter za družbo iz prvega odstavka tega člena zajame informacije o vseh dejavnostih vseh povezanih družb, vključenih v konsolidirane računovodske izkaze.</w:t>
            </w:r>
          </w:p>
          <w:p w14:paraId="76BC1AEB" w14:textId="77777777" w:rsidR="000C08CA" w:rsidRPr="003B2A0D" w:rsidRDefault="000C08CA" w:rsidP="00FE328D">
            <w:pPr>
              <w:spacing w:line="276" w:lineRule="auto"/>
              <w:jc w:val="both"/>
              <w:rPr>
                <w:rFonts w:cs="Arial"/>
                <w:bCs/>
                <w:szCs w:val="20"/>
              </w:rPr>
            </w:pPr>
          </w:p>
          <w:p w14:paraId="2961B257" w14:textId="77777777" w:rsidR="000C08CA" w:rsidRPr="003B2A0D" w:rsidRDefault="000C08CA" w:rsidP="00FE328D">
            <w:pPr>
              <w:spacing w:line="276" w:lineRule="auto"/>
              <w:jc w:val="both"/>
              <w:rPr>
                <w:rFonts w:cs="Arial"/>
                <w:bCs/>
                <w:szCs w:val="20"/>
              </w:rPr>
            </w:pPr>
            <w:r w:rsidRPr="003B2A0D">
              <w:rPr>
                <w:rFonts w:cs="Arial"/>
                <w:bCs/>
                <w:szCs w:val="20"/>
              </w:rPr>
              <w:t>(6) Prihodki iz prvega in drugega odstavka tega člena so:</w:t>
            </w:r>
          </w:p>
          <w:p w14:paraId="24038EF2" w14:textId="77777777" w:rsidR="000C08CA" w:rsidRPr="003B2A0D" w:rsidRDefault="000C08CA" w:rsidP="00FE328D">
            <w:pPr>
              <w:spacing w:line="276" w:lineRule="auto"/>
              <w:jc w:val="both"/>
              <w:rPr>
                <w:rFonts w:cs="Arial"/>
                <w:bCs/>
                <w:szCs w:val="20"/>
              </w:rPr>
            </w:pPr>
            <w:r w:rsidRPr="003B2A0D">
              <w:rPr>
                <w:rFonts w:cs="Arial"/>
                <w:bCs/>
                <w:szCs w:val="20"/>
              </w:rPr>
              <w:t xml:space="preserve">a) čisti prihodki od prodaje, kot so opredeljeni v skladu s tem zakonom in s slovenskimi računovodskimi standardi, </w:t>
            </w:r>
            <w:r w:rsidRPr="008030F2">
              <w:rPr>
                <w:rFonts w:cs="Arial"/>
                <w:bCs/>
                <w:szCs w:val="20"/>
              </w:rPr>
              <w:t>za družbe, ki svoje računovodske izkaze sestavljajo po slovenskih računovodskih standardih</w:t>
            </w:r>
            <w:r w:rsidRPr="003B2A0D">
              <w:rPr>
                <w:rFonts w:cs="Arial"/>
                <w:bCs/>
                <w:szCs w:val="20"/>
              </w:rPr>
              <w:t>, ali</w:t>
            </w:r>
          </w:p>
          <w:p w14:paraId="378F9D80" w14:textId="77777777" w:rsidR="000C08CA" w:rsidRPr="003B2A0D" w:rsidRDefault="000C08CA" w:rsidP="00FE328D">
            <w:pPr>
              <w:spacing w:line="276" w:lineRule="auto"/>
              <w:jc w:val="both"/>
              <w:rPr>
                <w:rFonts w:cs="Arial"/>
                <w:bCs/>
                <w:szCs w:val="20"/>
              </w:rPr>
            </w:pPr>
            <w:r w:rsidRPr="003B2A0D">
              <w:rPr>
                <w:rFonts w:cs="Arial"/>
                <w:bCs/>
                <w:szCs w:val="20"/>
              </w:rPr>
              <w:t xml:space="preserve">b) prihodki, </w:t>
            </w:r>
            <w:r w:rsidRPr="008030F2">
              <w:rPr>
                <w:rFonts w:cs="Arial"/>
                <w:bCs/>
                <w:szCs w:val="20"/>
              </w:rPr>
              <w:t>ki jih družba ustvari s svojim rednim poslovanjem</w:t>
            </w:r>
            <w:r w:rsidRPr="003B2A0D">
              <w:rPr>
                <w:rFonts w:cs="Arial"/>
                <w:bCs/>
                <w:szCs w:val="20"/>
              </w:rPr>
              <w:t xml:space="preserve">, kot so opredeljeni v </w:t>
            </w:r>
            <w:r>
              <w:rPr>
                <w:rFonts w:cs="Arial"/>
                <w:bCs/>
                <w:szCs w:val="20"/>
              </w:rPr>
              <w:t>okviru</w:t>
            </w:r>
            <w:r w:rsidRPr="003B2A0D">
              <w:rPr>
                <w:rFonts w:cs="Arial"/>
                <w:bCs/>
                <w:szCs w:val="20"/>
              </w:rPr>
              <w:t xml:space="preserve"> računovodskega poročanja</w:t>
            </w:r>
            <w:r>
              <w:rPr>
                <w:rFonts w:cs="Arial"/>
                <w:bCs/>
                <w:szCs w:val="20"/>
              </w:rPr>
              <w:t xml:space="preserve"> ali v smislu tega okvira</w:t>
            </w:r>
            <w:r w:rsidRPr="003B2A0D">
              <w:rPr>
                <w:rFonts w:cs="Arial"/>
                <w:bCs/>
                <w:szCs w:val="20"/>
              </w:rPr>
              <w:t xml:space="preserve">, na podlagi </w:t>
            </w:r>
            <w:r>
              <w:rPr>
                <w:rFonts w:cs="Arial"/>
                <w:bCs/>
                <w:szCs w:val="20"/>
              </w:rPr>
              <w:t>katerega</w:t>
            </w:r>
            <w:r w:rsidRPr="003B2A0D">
              <w:rPr>
                <w:rFonts w:cs="Arial"/>
                <w:bCs/>
                <w:szCs w:val="20"/>
              </w:rPr>
              <w:t xml:space="preserve"> družba sestavlja računovodske izkaze</w:t>
            </w:r>
            <w:r>
              <w:rPr>
                <w:rFonts w:cs="Arial"/>
                <w:bCs/>
                <w:szCs w:val="20"/>
              </w:rPr>
              <w:t>,</w:t>
            </w:r>
            <w:r w:rsidRPr="003B2A0D">
              <w:rPr>
                <w:rFonts w:cs="Arial"/>
                <w:bCs/>
                <w:szCs w:val="20"/>
              </w:rPr>
              <w:t xml:space="preserve"> </w:t>
            </w:r>
            <w:r>
              <w:rPr>
                <w:rFonts w:cs="Arial"/>
                <w:bCs/>
                <w:szCs w:val="20"/>
              </w:rPr>
              <w:t>za druge družbe</w:t>
            </w:r>
            <w:r w:rsidRPr="003B2A0D">
              <w:rPr>
                <w:rFonts w:cs="Arial"/>
                <w:bCs/>
                <w:szCs w:val="20"/>
              </w:rPr>
              <w:t>.</w:t>
            </w:r>
          </w:p>
          <w:p w14:paraId="1B9A0B33" w14:textId="77777777" w:rsidR="000C08CA" w:rsidRPr="003B2A0D" w:rsidRDefault="000C08CA" w:rsidP="00FE328D">
            <w:pPr>
              <w:spacing w:line="276" w:lineRule="auto"/>
              <w:jc w:val="center"/>
              <w:rPr>
                <w:rFonts w:cs="Arial"/>
                <w:b/>
                <w:szCs w:val="20"/>
              </w:rPr>
            </w:pPr>
          </w:p>
          <w:p w14:paraId="7FAC52E1" w14:textId="77777777" w:rsidR="000C08CA" w:rsidRPr="003B2A0D" w:rsidRDefault="000C08CA" w:rsidP="00FE328D">
            <w:pPr>
              <w:spacing w:line="276" w:lineRule="auto"/>
              <w:jc w:val="center"/>
              <w:rPr>
                <w:rFonts w:cs="Arial"/>
                <w:b/>
                <w:szCs w:val="20"/>
              </w:rPr>
            </w:pPr>
            <w:r w:rsidRPr="003B2A0D">
              <w:rPr>
                <w:rFonts w:cs="Arial"/>
                <w:b/>
                <w:szCs w:val="20"/>
              </w:rPr>
              <w:t>70.f člen</w:t>
            </w:r>
          </w:p>
          <w:p w14:paraId="10F47A27" w14:textId="77777777" w:rsidR="000C08CA" w:rsidRPr="003B2A0D" w:rsidRDefault="000C08CA" w:rsidP="00FE328D">
            <w:pPr>
              <w:spacing w:line="276" w:lineRule="auto"/>
              <w:jc w:val="center"/>
              <w:rPr>
                <w:rFonts w:cs="Arial"/>
                <w:b/>
                <w:szCs w:val="20"/>
              </w:rPr>
            </w:pPr>
            <w:r w:rsidRPr="003B2A0D">
              <w:rPr>
                <w:rFonts w:cs="Arial"/>
                <w:b/>
                <w:szCs w:val="20"/>
              </w:rPr>
              <w:t>(vsebina poročila)</w:t>
            </w:r>
          </w:p>
          <w:p w14:paraId="0DFED9C0" w14:textId="77777777" w:rsidR="000C08CA" w:rsidRPr="003B2A0D" w:rsidRDefault="000C08CA" w:rsidP="00FE328D">
            <w:pPr>
              <w:spacing w:line="276" w:lineRule="auto"/>
              <w:jc w:val="both"/>
              <w:rPr>
                <w:rFonts w:cs="Arial"/>
                <w:szCs w:val="20"/>
              </w:rPr>
            </w:pPr>
          </w:p>
          <w:p w14:paraId="04F45B58" w14:textId="77777777" w:rsidR="000C08CA" w:rsidRPr="003B2A0D" w:rsidRDefault="000C08CA" w:rsidP="00FE328D">
            <w:pPr>
              <w:spacing w:line="276" w:lineRule="auto"/>
              <w:jc w:val="both"/>
              <w:rPr>
                <w:rFonts w:cs="Arial"/>
                <w:szCs w:val="20"/>
              </w:rPr>
            </w:pPr>
            <w:r w:rsidRPr="003B2A0D">
              <w:rPr>
                <w:rFonts w:cs="Arial"/>
                <w:szCs w:val="20"/>
              </w:rPr>
              <w:t>(1) Poročilo o davčnih informacijah v zvezi z dohodki mora vsebovati informacije o celotnem poslovanju družbe,</w:t>
            </w:r>
            <w:r w:rsidRPr="003B2A0D">
              <w:rPr>
                <w:rFonts w:cs="Arial"/>
                <w:bCs/>
                <w:szCs w:val="20"/>
              </w:rPr>
              <w:t xml:space="preserve"> ki ni del skupine</w:t>
            </w:r>
            <w:r w:rsidRPr="003B2A0D">
              <w:rPr>
                <w:rFonts w:cs="Arial"/>
                <w:szCs w:val="20"/>
              </w:rPr>
              <w:t xml:space="preserve"> iz drugega odstavka prejšnjega člena ali obvladujoče družbe iz prvega odstavka prejšnjega člena, vključno s poslovanjem vseh povezanih družb, vključenih v konsolidirano letno poročilo, zlasti pa:</w:t>
            </w:r>
          </w:p>
          <w:p w14:paraId="2D60E21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firmo družbe; </w:t>
            </w:r>
          </w:p>
          <w:p w14:paraId="78CF2D47"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poslovno leto, za kater</w:t>
            </w:r>
            <w:r>
              <w:rPr>
                <w:rFonts w:cs="Arial"/>
                <w:szCs w:val="20"/>
              </w:rPr>
              <w:t>o</w:t>
            </w:r>
            <w:r w:rsidRPr="003B2A0D">
              <w:rPr>
                <w:rFonts w:cs="Arial"/>
                <w:szCs w:val="20"/>
              </w:rPr>
              <w:t xml:space="preserve"> se poročilo pripravlja;</w:t>
            </w:r>
          </w:p>
          <w:p w14:paraId="3F08E638"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valuto, uporabljeno </w:t>
            </w:r>
            <w:r>
              <w:rPr>
                <w:rFonts w:cs="Arial"/>
                <w:szCs w:val="20"/>
              </w:rPr>
              <w:t>v</w:t>
            </w:r>
            <w:r w:rsidRPr="003B2A0D">
              <w:rPr>
                <w:rFonts w:cs="Arial"/>
                <w:szCs w:val="20"/>
              </w:rPr>
              <w:t xml:space="preserve"> poročil</w:t>
            </w:r>
            <w:r>
              <w:rPr>
                <w:rFonts w:cs="Arial"/>
                <w:szCs w:val="20"/>
              </w:rPr>
              <w:t>u</w:t>
            </w:r>
            <w:r w:rsidRPr="003B2A0D">
              <w:rPr>
                <w:rFonts w:cs="Arial"/>
                <w:szCs w:val="20"/>
              </w:rPr>
              <w:t>;</w:t>
            </w:r>
          </w:p>
          <w:p w14:paraId="5374BBB3"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seznam vseh odvisnih družb, konsolidiranih v računovodskih izkazih obvladujoče družbe za poslovno leto, za katero se poroča, ki imajo sedež v Evropski uniji ali spadajo v davčno jurisdikcijo, ki je navedena v Prilogi I in Prilogi II k sklepom Sveta o posodobljenem seznamu Evropske unije z jurisdikcijami, ki niso pripravljene sodelovati v davčne namene, če ima družba take odvisne družbe;</w:t>
            </w:r>
          </w:p>
          <w:p w14:paraId="40519533" w14:textId="77777777" w:rsidR="000C08CA" w:rsidRPr="003B2A0D" w:rsidRDefault="000C08CA" w:rsidP="00FE328D">
            <w:pPr>
              <w:spacing w:line="276" w:lineRule="auto"/>
              <w:jc w:val="both"/>
              <w:rPr>
                <w:rFonts w:cs="Arial"/>
                <w:szCs w:val="20"/>
              </w:rPr>
            </w:pPr>
            <w:r>
              <w:rPr>
                <w:rFonts w:cs="Arial"/>
                <w:szCs w:val="20"/>
              </w:rPr>
              <w:lastRenderedPageBreak/>
              <w:t>‒</w:t>
            </w:r>
            <w:r w:rsidRPr="003B2A0D">
              <w:rPr>
                <w:rFonts w:cs="Arial"/>
                <w:szCs w:val="20"/>
              </w:rPr>
              <w:t xml:space="preserve"> kratek opis vrste njihovih dejavnosti;</w:t>
            </w:r>
          </w:p>
          <w:p w14:paraId="14D590D5"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število zaposlenih </w:t>
            </w:r>
            <w:r>
              <w:rPr>
                <w:rFonts w:cs="Arial"/>
                <w:szCs w:val="20"/>
              </w:rPr>
              <w:t>za polni delovni čas</w:t>
            </w:r>
            <w:r w:rsidRPr="003B2A0D">
              <w:rPr>
                <w:rFonts w:cs="Arial"/>
                <w:szCs w:val="20"/>
              </w:rPr>
              <w:t>;</w:t>
            </w:r>
          </w:p>
          <w:p w14:paraId="602203E8"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vsoto vseh prihodkov, v katere so vključeni tudi prihodki iz poslov s povezanimi družbami, razen dividend ali udeležbe v njihovem dobičku, ki se v izkazu poslovnega izida razčlenijo po 66. členu tega zakona, ki ustreza členitvi iz 1., 4. in 9. do 11. točke iz Priloge V ali členitvi iz 1. in 6. do 9. točke iz Priloge VI k Direktivi 2013/34/EU, brez prihodkov, obračunanih zaradi prevrednotenja sredstev, razen zaradi uporabe modela vrednotenja po pošteni vrednosti</w:t>
            </w:r>
            <w:r>
              <w:rPr>
                <w:rFonts w:cs="Arial"/>
                <w:szCs w:val="20"/>
              </w:rPr>
              <w:t>,</w:t>
            </w:r>
            <w:r w:rsidRPr="003B2A0D">
              <w:rPr>
                <w:rFonts w:cs="Arial"/>
                <w:szCs w:val="20"/>
              </w:rPr>
              <w:t xml:space="preserve"> ali </w:t>
            </w:r>
            <w:r>
              <w:rPr>
                <w:rFonts w:cs="Arial"/>
                <w:szCs w:val="20"/>
              </w:rPr>
              <w:t xml:space="preserve">se </w:t>
            </w:r>
            <w:r w:rsidRPr="003B2A0D">
              <w:rPr>
                <w:rFonts w:cs="Arial"/>
                <w:szCs w:val="20"/>
              </w:rPr>
              <w:t>ugotovijo v skladu s standardi računovodskega poročanja, na podlagi katerih družba sestavlja računovodske izkaze, brez prihodkov, obračunanih zaradi prevrednotenja sredstev, razen zaradi uporabe modela vrednotenja po pošteni vrednosti;</w:t>
            </w:r>
          </w:p>
          <w:p w14:paraId="13FCD4E5"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znesek dobička ali izgube pred plačilom davka od dohodkov;</w:t>
            </w:r>
          </w:p>
          <w:p w14:paraId="65800119"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znesek davka od dohodkov, obračunanega za poslovno leto, za kater</w:t>
            </w:r>
            <w:r>
              <w:rPr>
                <w:rFonts w:cs="Arial"/>
                <w:szCs w:val="20"/>
              </w:rPr>
              <w:t>o</w:t>
            </w:r>
            <w:r w:rsidRPr="003B2A0D">
              <w:rPr>
                <w:rFonts w:cs="Arial"/>
                <w:szCs w:val="20"/>
              </w:rPr>
              <w:t xml:space="preserve"> se pripravlja poročilo, ki se izračuna kot tekoči davčni odhodek, priznan v zvezi z obdavčljivim dobičkom ali izgubo poslovnega leta družb in podružnic v posamezni davčni jurisdikciji, brez odloženih davkov ali rezervacij za negotove davčne obveznosti;</w:t>
            </w:r>
          </w:p>
          <w:p w14:paraId="7AB706DA"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znesek plačil davka od dohodkov, ki se izračuna kot vsota zneskov  davka od dohodkov, ki so ga v poslovnem letu plačale družbe in podružnice v posamezni davčni jurisdikciji, vključno z davki, ki so jih druge družbe plačale v zvezi s plačili družbam in podružnicam v okviru skupine, in</w:t>
            </w:r>
          </w:p>
          <w:p w14:paraId="5A8ED32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znesek nerazporejenega dobička ob koncu zadevnega poslovnega leta, o razdelitvi katerega še ni bilo odločeno.</w:t>
            </w:r>
          </w:p>
          <w:p w14:paraId="34485A76" w14:textId="77777777" w:rsidR="000C08CA" w:rsidRPr="003B2A0D" w:rsidRDefault="000C08CA" w:rsidP="00FE328D">
            <w:pPr>
              <w:spacing w:line="276" w:lineRule="auto"/>
              <w:jc w:val="both"/>
              <w:rPr>
                <w:rFonts w:cs="Arial"/>
                <w:szCs w:val="20"/>
              </w:rPr>
            </w:pPr>
          </w:p>
          <w:p w14:paraId="56C33709" w14:textId="2984CEE1" w:rsidR="000C08CA" w:rsidRPr="003B2A0D" w:rsidRDefault="000C08CA" w:rsidP="00FE328D">
            <w:pPr>
              <w:spacing w:line="276" w:lineRule="auto"/>
              <w:jc w:val="both"/>
              <w:rPr>
                <w:rFonts w:cs="Arial"/>
                <w:szCs w:val="20"/>
              </w:rPr>
            </w:pPr>
            <w:r w:rsidRPr="003B2A0D">
              <w:rPr>
                <w:rFonts w:cs="Arial"/>
                <w:szCs w:val="20"/>
              </w:rPr>
              <w:t xml:space="preserve">(2) Ne glede na prejšnji odstavek lahko družba poročilo pripravi v skladu z navodilom o obliki, vsebini in načinu dostave poročil po državah poročevalcev mednarodnih skupin podjetij </w:t>
            </w:r>
            <w:r>
              <w:rPr>
                <w:rFonts w:cs="Arial"/>
                <w:szCs w:val="20"/>
              </w:rPr>
              <w:t>F</w:t>
            </w:r>
            <w:r w:rsidRPr="003B2A0D">
              <w:rPr>
                <w:rFonts w:cs="Arial"/>
                <w:szCs w:val="20"/>
              </w:rPr>
              <w:t xml:space="preserve">inančni upravi Republike Slovenije, </w:t>
            </w:r>
            <w:r w:rsidRPr="004B2B22">
              <w:rPr>
                <w:rFonts w:cs="Arial"/>
                <w:szCs w:val="20"/>
              </w:rPr>
              <w:t xml:space="preserve">ki se določi </w:t>
            </w:r>
            <w:r w:rsidR="00D4285D">
              <w:rPr>
                <w:rFonts w:cs="Arial"/>
                <w:szCs w:val="20"/>
              </w:rPr>
              <w:t>v skladu</w:t>
            </w:r>
            <w:r w:rsidRPr="004B2B22">
              <w:rPr>
                <w:rFonts w:cs="Arial"/>
                <w:szCs w:val="20"/>
              </w:rPr>
              <w:t xml:space="preserve"> </w:t>
            </w:r>
            <w:r w:rsidR="007C21A4">
              <w:rPr>
                <w:rFonts w:cs="Arial"/>
                <w:szCs w:val="20"/>
              </w:rPr>
              <w:t>z</w:t>
            </w:r>
            <w:r w:rsidRPr="004B2B22">
              <w:rPr>
                <w:rFonts w:cs="Arial"/>
                <w:szCs w:val="20"/>
              </w:rPr>
              <w:t xml:space="preserve"> zakon</w:t>
            </w:r>
            <w:r w:rsidR="007C21A4">
              <w:rPr>
                <w:rFonts w:cs="Arial"/>
                <w:szCs w:val="20"/>
              </w:rPr>
              <w:t>om</w:t>
            </w:r>
            <w:r w:rsidRPr="004B2B22">
              <w:rPr>
                <w:rFonts w:cs="Arial"/>
                <w:szCs w:val="20"/>
              </w:rPr>
              <w:t>, ki ureja davčni postopek.</w:t>
            </w:r>
          </w:p>
          <w:p w14:paraId="1A2329C4" w14:textId="77777777" w:rsidR="000C08CA" w:rsidRPr="003B2A0D" w:rsidRDefault="000C08CA" w:rsidP="00FE328D">
            <w:pPr>
              <w:spacing w:line="276" w:lineRule="auto"/>
              <w:jc w:val="both"/>
              <w:rPr>
                <w:rFonts w:cs="Arial"/>
                <w:szCs w:val="20"/>
              </w:rPr>
            </w:pPr>
          </w:p>
          <w:p w14:paraId="52060158" w14:textId="77777777" w:rsidR="000C08CA" w:rsidRPr="003B2A0D" w:rsidRDefault="000C08CA" w:rsidP="00FE328D">
            <w:pPr>
              <w:spacing w:line="276" w:lineRule="auto"/>
              <w:jc w:val="both"/>
              <w:rPr>
                <w:rFonts w:cs="Arial"/>
                <w:szCs w:val="20"/>
              </w:rPr>
            </w:pPr>
            <w:r w:rsidRPr="003B2A0D">
              <w:rPr>
                <w:rFonts w:cs="Arial"/>
                <w:szCs w:val="20"/>
              </w:rPr>
              <w:t>(3) V poročilu o davčnih informacijah v zvezi z dohodki se posebej navede, ali je pripravljeno po prvem ali drugem odstavku tega člena.</w:t>
            </w:r>
          </w:p>
          <w:p w14:paraId="4B6E6F33" w14:textId="77777777" w:rsidR="000C08CA" w:rsidRPr="003B2A0D" w:rsidRDefault="000C08CA" w:rsidP="00FE328D">
            <w:pPr>
              <w:spacing w:line="276" w:lineRule="auto"/>
              <w:jc w:val="both"/>
              <w:rPr>
                <w:rFonts w:cs="Arial"/>
                <w:szCs w:val="20"/>
              </w:rPr>
            </w:pPr>
          </w:p>
          <w:p w14:paraId="66ACD662" w14:textId="77777777" w:rsidR="000C08CA" w:rsidRPr="003B2A0D" w:rsidRDefault="000C08CA" w:rsidP="00FE328D">
            <w:pPr>
              <w:spacing w:line="276" w:lineRule="auto"/>
              <w:jc w:val="center"/>
              <w:rPr>
                <w:rFonts w:cs="Arial"/>
                <w:b/>
                <w:bCs/>
                <w:szCs w:val="20"/>
              </w:rPr>
            </w:pPr>
            <w:r w:rsidRPr="003B2A0D">
              <w:rPr>
                <w:rFonts w:cs="Arial"/>
                <w:b/>
                <w:bCs/>
                <w:szCs w:val="20"/>
              </w:rPr>
              <w:t>70.g člen</w:t>
            </w:r>
          </w:p>
          <w:p w14:paraId="0FA96C29" w14:textId="77777777" w:rsidR="000C08CA" w:rsidRPr="003B2A0D" w:rsidRDefault="000C08CA" w:rsidP="00FE328D">
            <w:pPr>
              <w:spacing w:line="276" w:lineRule="auto"/>
              <w:jc w:val="center"/>
              <w:rPr>
                <w:rFonts w:cs="Arial"/>
                <w:szCs w:val="20"/>
              </w:rPr>
            </w:pPr>
            <w:r w:rsidRPr="003B2A0D">
              <w:rPr>
                <w:rFonts w:cs="Arial"/>
                <w:b/>
                <w:bCs/>
                <w:szCs w:val="20"/>
              </w:rPr>
              <w:t>(način poročanja)</w:t>
            </w:r>
          </w:p>
          <w:p w14:paraId="71A70C5A" w14:textId="77777777" w:rsidR="000C08CA" w:rsidRPr="003B2A0D" w:rsidRDefault="000C08CA" w:rsidP="00FE328D">
            <w:pPr>
              <w:spacing w:line="276" w:lineRule="auto"/>
              <w:jc w:val="both"/>
              <w:rPr>
                <w:rFonts w:cs="Arial"/>
                <w:szCs w:val="20"/>
              </w:rPr>
            </w:pPr>
          </w:p>
          <w:p w14:paraId="3091C006" w14:textId="66DD5257" w:rsidR="000C08CA" w:rsidRPr="003B2A0D" w:rsidRDefault="000C08CA" w:rsidP="00FE328D">
            <w:pPr>
              <w:spacing w:line="276" w:lineRule="auto"/>
              <w:jc w:val="both"/>
              <w:rPr>
                <w:rFonts w:cs="Arial"/>
                <w:szCs w:val="20"/>
              </w:rPr>
            </w:pPr>
            <w:r w:rsidRPr="003B2A0D">
              <w:rPr>
                <w:rFonts w:cs="Arial"/>
                <w:szCs w:val="20"/>
              </w:rPr>
              <w:t xml:space="preserve">(1) </w:t>
            </w:r>
            <w:r w:rsidRPr="003B2A0D">
              <w:rPr>
                <w:rFonts w:cs="Arial"/>
                <w:bCs/>
                <w:szCs w:val="20"/>
              </w:rPr>
              <w:t xml:space="preserve">Poročilo o davčnih </w:t>
            </w:r>
            <w:r w:rsidRPr="003B2A0D">
              <w:rPr>
                <w:rFonts w:cs="Arial"/>
                <w:szCs w:val="20"/>
              </w:rPr>
              <w:t>informacijah</w:t>
            </w:r>
            <w:r w:rsidRPr="003B2A0D">
              <w:rPr>
                <w:rFonts w:cs="Arial"/>
                <w:bCs/>
                <w:szCs w:val="20"/>
              </w:rPr>
              <w:t xml:space="preserve"> v zvezi z dohodki se pripravi na podlagi sprejetega standardnega obrazca </w:t>
            </w:r>
            <w:r w:rsidRPr="003B2A0D">
              <w:rPr>
                <w:rFonts w:cs="Arial"/>
                <w:szCs w:val="20"/>
              </w:rPr>
              <w:t>v določeni elektronski obliki, ki</w:t>
            </w:r>
            <w:r w:rsidRPr="003B2A0D" w:rsidDel="001874A4">
              <w:rPr>
                <w:rFonts w:cs="Arial"/>
                <w:bCs/>
                <w:szCs w:val="20"/>
              </w:rPr>
              <w:t xml:space="preserve"> </w:t>
            </w:r>
            <w:r w:rsidRPr="003B2A0D">
              <w:rPr>
                <w:rFonts w:cs="Arial"/>
                <w:bCs/>
                <w:szCs w:val="20"/>
              </w:rPr>
              <w:t xml:space="preserve">je strojno berljiva </w:t>
            </w:r>
            <w:r>
              <w:rPr>
                <w:rFonts w:cs="Arial"/>
                <w:bCs/>
                <w:szCs w:val="20"/>
              </w:rPr>
              <w:t xml:space="preserve">v </w:t>
            </w:r>
            <w:r w:rsidRPr="003B2A0D">
              <w:rPr>
                <w:rFonts w:cs="Arial"/>
                <w:bCs/>
                <w:szCs w:val="20"/>
              </w:rPr>
              <w:t>sklad</w:t>
            </w:r>
            <w:r>
              <w:rPr>
                <w:rFonts w:cs="Arial"/>
                <w:bCs/>
                <w:szCs w:val="20"/>
              </w:rPr>
              <w:t>u</w:t>
            </w:r>
            <w:r w:rsidRPr="003B2A0D">
              <w:rPr>
                <w:rFonts w:cs="Arial"/>
                <w:bCs/>
                <w:szCs w:val="20"/>
              </w:rPr>
              <w:t xml:space="preserve"> z </w:t>
            </w:r>
            <w:r w:rsidRPr="003B2A0D">
              <w:rPr>
                <w:rFonts w:cs="Arial"/>
                <w:szCs w:val="20"/>
              </w:rPr>
              <w:t xml:space="preserve">izvedbenim aktom, ki ga Evropska komisija sprejme na podlagi drugega stavka četrtega odstavka </w:t>
            </w:r>
            <w:r w:rsidRPr="000B5A48">
              <w:rPr>
                <w:rFonts w:cs="Arial"/>
                <w:szCs w:val="20"/>
              </w:rPr>
              <w:t>48</w:t>
            </w:r>
            <w:r w:rsidR="00D03057" w:rsidRPr="000B5A48">
              <w:rPr>
                <w:rFonts w:cs="Arial"/>
                <w:szCs w:val="20"/>
              </w:rPr>
              <w:t>.</w:t>
            </w:r>
            <w:r w:rsidRPr="000B5A48">
              <w:rPr>
                <w:rFonts w:cs="Arial"/>
                <w:szCs w:val="20"/>
              </w:rPr>
              <w:t>c</w:t>
            </w:r>
            <w:r w:rsidR="00D03057">
              <w:rPr>
                <w:rFonts w:cs="Arial"/>
                <w:szCs w:val="20"/>
              </w:rPr>
              <w:t xml:space="preserve"> </w:t>
            </w:r>
            <w:r>
              <w:rPr>
                <w:rFonts w:cs="Arial"/>
                <w:szCs w:val="20"/>
              </w:rPr>
              <w:t>člena</w:t>
            </w:r>
            <w:r w:rsidRPr="003B2A0D">
              <w:rPr>
                <w:rFonts w:cs="Arial"/>
                <w:szCs w:val="20"/>
              </w:rPr>
              <w:t xml:space="preserve"> Direktive 2013/34/EU.</w:t>
            </w:r>
          </w:p>
          <w:p w14:paraId="62806C3C" w14:textId="77777777" w:rsidR="000C08CA" w:rsidRPr="003B2A0D" w:rsidRDefault="000C08CA" w:rsidP="00FE328D">
            <w:pPr>
              <w:spacing w:line="276" w:lineRule="auto"/>
              <w:jc w:val="both"/>
              <w:rPr>
                <w:rFonts w:cs="Arial"/>
                <w:szCs w:val="20"/>
              </w:rPr>
            </w:pPr>
          </w:p>
          <w:p w14:paraId="73C533A1" w14:textId="05EC7747" w:rsidR="000C08CA" w:rsidRPr="003B2A0D" w:rsidRDefault="000C08CA" w:rsidP="00FE328D">
            <w:pPr>
              <w:spacing w:line="276" w:lineRule="auto"/>
              <w:jc w:val="both"/>
              <w:rPr>
                <w:rFonts w:cs="Arial"/>
                <w:szCs w:val="20"/>
              </w:rPr>
            </w:pPr>
            <w:r w:rsidRPr="003B2A0D">
              <w:rPr>
                <w:rFonts w:cs="Arial"/>
                <w:szCs w:val="20"/>
              </w:rPr>
              <w:t xml:space="preserve">(2) Informacije iz prejšnjega člena morajo biti navedene ločeno za vsako posamezno državo članico, v kateri ima družba sedež </w:t>
            </w:r>
            <w:r>
              <w:rPr>
                <w:rFonts w:cs="Arial"/>
                <w:szCs w:val="20"/>
              </w:rPr>
              <w:t>ter</w:t>
            </w:r>
            <w:r w:rsidRPr="003B2A0D">
              <w:rPr>
                <w:rFonts w:cs="Arial"/>
                <w:szCs w:val="20"/>
              </w:rPr>
              <w:t xml:space="preserve"> </w:t>
            </w:r>
            <w:r>
              <w:rPr>
                <w:rFonts w:cs="Arial"/>
                <w:szCs w:val="20"/>
              </w:rPr>
              <w:t>v kateri</w:t>
            </w:r>
            <w:r w:rsidRPr="003B2A0D">
              <w:rPr>
                <w:rFonts w:cs="Arial"/>
                <w:szCs w:val="20"/>
              </w:rPr>
              <w:t xml:space="preserve"> je sedež njenih odvisnih družb in podružnic. Če ima družba več odvisnih družb in podružnic, ki spadajo </w:t>
            </w:r>
            <w:r>
              <w:rPr>
                <w:rFonts w:cs="Arial"/>
                <w:szCs w:val="20"/>
              </w:rPr>
              <w:t>v</w:t>
            </w:r>
            <w:r w:rsidRPr="003B2A0D">
              <w:rPr>
                <w:rFonts w:cs="Arial"/>
                <w:szCs w:val="20"/>
              </w:rPr>
              <w:t xml:space="preserve"> eno davčno jurisdikcijo, se informacije zanje </w:t>
            </w:r>
            <w:r>
              <w:rPr>
                <w:rFonts w:cs="Arial"/>
                <w:szCs w:val="20"/>
              </w:rPr>
              <w:t>navedejo</w:t>
            </w:r>
            <w:r w:rsidRPr="003B2A0D">
              <w:rPr>
                <w:rFonts w:cs="Arial"/>
                <w:szCs w:val="20"/>
              </w:rPr>
              <w:t xml:space="preserve"> kot skupek informacij za </w:t>
            </w:r>
            <w:r w:rsidR="008B51E3">
              <w:rPr>
                <w:rFonts w:cs="Arial"/>
                <w:szCs w:val="20"/>
              </w:rPr>
              <w:t xml:space="preserve">to </w:t>
            </w:r>
            <w:r w:rsidRPr="003B2A0D">
              <w:rPr>
                <w:rFonts w:cs="Arial"/>
                <w:szCs w:val="20"/>
              </w:rPr>
              <w:t xml:space="preserve">davčno jurisdikcijo. Če je v posamezni državi članici več davčnih jurisdikcij, se informacije združijo na ravni države članice. Informacije morajo biti navedene ločeno za vsako davčno jurisdikcijo, ki je bila 1. marca poslovnega leta, za katero se pripravi poročilo, vključena v Prilogo I k sklepom Sveta o posodobljenem seznamu EU z jurisdikcijami, ki niso pripravljene sodelovati v davčne namene, in ločeno za vsako davčno jurisdikcijo, ki je bila 1. marca poslovnega leta, za katero se pripravi poročilo, in 1. marca poslovnega leta pred tem letom navedena v Prilogi II k sklepom Sveta o posodobljenem seznamu EU z jurisdikcijami, ki niso pripravljene sodelovati v davčne namene. Za vse </w:t>
            </w:r>
            <w:r>
              <w:rPr>
                <w:rFonts w:cs="Arial"/>
                <w:szCs w:val="20"/>
              </w:rPr>
              <w:t>pre</w:t>
            </w:r>
            <w:r w:rsidRPr="003B2A0D">
              <w:rPr>
                <w:rFonts w:cs="Arial"/>
                <w:szCs w:val="20"/>
              </w:rPr>
              <w:t>ostale davčne</w:t>
            </w:r>
            <w:r w:rsidRPr="003B2A0D" w:rsidDel="002603D6">
              <w:rPr>
                <w:rFonts w:cs="Arial"/>
                <w:szCs w:val="20"/>
              </w:rPr>
              <w:t xml:space="preserve"> </w:t>
            </w:r>
            <w:r w:rsidRPr="003B2A0D">
              <w:rPr>
                <w:rFonts w:cs="Arial"/>
                <w:szCs w:val="20"/>
              </w:rPr>
              <w:t>jurisdikcije se informacije iz prejšnjega člena navedejo združeno.</w:t>
            </w:r>
          </w:p>
          <w:p w14:paraId="6F5A8EA9" w14:textId="77777777" w:rsidR="000C08CA" w:rsidRPr="003B2A0D" w:rsidRDefault="000C08CA" w:rsidP="00FE328D">
            <w:pPr>
              <w:spacing w:line="276" w:lineRule="auto"/>
              <w:jc w:val="both"/>
              <w:rPr>
                <w:rFonts w:cs="Arial"/>
                <w:szCs w:val="20"/>
              </w:rPr>
            </w:pPr>
          </w:p>
          <w:p w14:paraId="001FEE3F" w14:textId="77777777" w:rsidR="000C08CA" w:rsidRPr="003B2A0D" w:rsidRDefault="000C08CA" w:rsidP="00FE328D">
            <w:pPr>
              <w:spacing w:line="276" w:lineRule="auto"/>
              <w:jc w:val="center"/>
              <w:rPr>
                <w:rFonts w:cs="Arial"/>
                <w:b/>
                <w:bCs/>
                <w:szCs w:val="20"/>
              </w:rPr>
            </w:pPr>
            <w:r w:rsidRPr="003B2A0D">
              <w:rPr>
                <w:rFonts w:cs="Arial"/>
                <w:b/>
                <w:bCs/>
                <w:szCs w:val="20"/>
              </w:rPr>
              <w:t>70.h člen</w:t>
            </w:r>
          </w:p>
          <w:p w14:paraId="64039C4F" w14:textId="77777777" w:rsidR="000C08CA" w:rsidRPr="003B2A0D" w:rsidRDefault="000C08CA" w:rsidP="00FE328D">
            <w:pPr>
              <w:spacing w:line="276" w:lineRule="auto"/>
              <w:jc w:val="center"/>
              <w:rPr>
                <w:rFonts w:cs="Arial"/>
                <w:b/>
                <w:bCs/>
                <w:szCs w:val="20"/>
              </w:rPr>
            </w:pPr>
            <w:r w:rsidRPr="003B2A0D">
              <w:rPr>
                <w:rFonts w:cs="Arial"/>
                <w:b/>
                <w:bCs/>
                <w:szCs w:val="20"/>
              </w:rPr>
              <w:t>(preložitev poročanja zaradi ogroženosti poslovnega položaja)</w:t>
            </w:r>
          </w:p>
          <w:p w14:paraId="79907018" w14:textId="77777777" w:rsidR="000C08CA" w:rsidRPr="003B2A0D" w:rsidRDefault="000C08CA" w:rsidP="00FE328D">
            <w:pPr>
              <w:spacing w:line="276" w:lineRule="auto"/>
              <w:jc w:val="both"/>
              <w:rPr>
                <w:rFonts w:cs="Arial"/>
                <w:szCs w:val="20"/>
              </w:rPr>
            </w:pPr>
          </w:p>
          <w:p w14:paraId="35293870" w14:textId="77777777" w:rsidR="000C08CA" w:rsidRPr="003B2A0D" w:rsidRDefault="000C08CA" w:rsidP="00FE328D">
            <w:pPr>
              <w:spacing w:line="276" w:lineRule="auto"/>
              <w:jc w:val="both"/>
              <w:rPr>
                <w:rFonts w:cs="Arial"/>
                <w:szCs w:val="20"/>
              </w:rPr>
            </w:pPr>
            <w:r w:rsidRPr="003B2A0D">
              <w:rPr>
                <w:rFonts w:cs="Arial"/>
                <w:szCs w:val="20"/>
              </w:rPr>
              <w:lastRenderedPageBreak/>
              <w:t xml:space="preserve">(1) Ne glede na prvi odstavek 70.f člena tega zakona vseh informacij v poročilu </w:t>
            </w:r>
            <w:r w:rsidRPr="003B2A0D">
              <w:rPr>
                <w:rFonts w:cs="Arial"/>
                <w:bCs/>
                <w:szCs w:val="20"/>
              </w:rPr>
              <w:t xml:space="preserve">o davčnih </w:t>
            </w:r>
            <w:r w:rsidRPr="003B2A0D">
              <w:rPr>
                <w:rFonts w:cs="Arial"/>
                <w:szCs w:val="20"/>
              </w:rPr>
              <w:t>informacijah</w:t>
            </w:r>
            <w:r w:rsidRPr="003B2A0D">
              <w:rPr>
                <w:rFonts w:cs="Arial"/>
                <w:bCs/>
                <w:szCs w:val="20"/>
              </w:rPr>
              <w:t xml:space="preserve"> v zvezi z dohodki</w:t>
            </w:r>
            <w:r w:rsidRPr="003B2A0D">
              <w:rPr>
                <w:rFonts w:cs="Arial"/>
                <w:szCs w:val="20"/>
              </w:rPr>
              <w:t xml:space="preserve"> ni treba razkriti, če bi njihovo razkritje resno škodovalo poslovnemu položaju družb, na katere se to poročilo nanaša. </w:t>
            </w:r>
          </w:p>
          <w:p w14:paraId="0966F3F0" w14:textId="77777777" w:rsidR="000C08CA" w:rsidRPr="003B2A0D" w:rsidRDefault="000C08CA" w:rsidP="00FE328D">
            <w:pPr>
              <w:spacing w:line="276" w:lineRule="auto"/>
              <w:jc w:val="both"/>
              <w:rPr>
                <w:rFonts w:cs="Arial"/>
                <w:szCs w:val="20"/>
              </w:rPr>
            </w:pPr>
          </w:p>
          <w:p w14:paraId="4DA8EA18" w14:textId="77777777" w:rsidR="000C08CA" w:rsidRPr="003B2A0D" w:rsidRDefault="000C08CA" w:rsidP="00FE328D">
            <w:pPr>
              <w:spacing w:line="276" w:lineRule="auto"/>
              <w:jc w:val="both"/>
              <w:rPr>
                <w:rFonts w:cs="Arial"/>
                <w:szCs w:val="20"/>
              </w:rPr>
            </w:pPr>
            <w:r w:rsidRPr="003B2A0D">
              <w:rPr>
                <w:rFonts w:cs="Arial"/>
                <w:szCs w:val="20"/>
              </w:rPr>
              <w:t xml:space="preserve">(2) Opustitev razkritja informacij mora biti v poročilu jasno navedena skupaj z ustrezno utemeljeno obrazložitvijo razlogov zanjo. </w:t>
            </w:r>
          </w:p>
          <w:p w14:paraId="6429857D" w14:textId="77777777" w:rsidR="000C08CA" w:rsidRPr="003B2A0D" w:rsidRDefault="000C08CA" w:rsidP="00FE328D">
            <w:pPr>
              <w:spacing w:line="276" w:lineRule="auto"/>
              <w:jc w:val="both"/>
              <w:rPr>
                <w:rFonts w:cs="Arial"/>
                <w:szCs w:val="20"/>
              </w:rPr>
            </w:pPr>
          </w:p>
          <w:p w14:paraId="27F30665" w14:textId="77777777" w:rsidR="000C08CA" w:rsidRPr="003B2A0D" w:rsidRDefault="000C08CA" w:rsidP="00FE328D">
            <w:pPr>
              <w:spacing w:line="276" w:lineRule="auto"/>
              <w:jc w:val="both"/>
              <w:rPr>
                <w:rFonts w:cs="Arial"/>
                <w:szCs w:val="20"/>
              </w:rPr>
            </w:pPr>
            <w:r w:rsidRPr="003B2A0D">
              <w:rPr>
                <w:rFonts w:cs="Arial"/>
                <w:szCs w:val="20"/>
              </w:rPr>
              <w:t>(3) Informacije, ki jih družba izvzame iz tekočega poročila, vključi v poznejše poročilo naj</w:t>
            </w:r>
            <w:r>
              <w:rPr>
                <w:rFonts w:cs="Arial"/>
                <w:szCs w:val="20"/>
              </w:rPr>
              <w:t>poz</w:t>
            </w:r>
            <w:r w:rsidRPr="003B2A0D">
              <w:rPr>
                <w:rFonts w:cs="Arial"/>
                <w:szCs w:val="20"/>
              </w:rPr>
              <w:t xml:space="preserve">neje v petih letih, odkar bi morala poročati o njih. </w:t>
            </w:r>
          </w:p>
          <w:p w14:paraId="31491F71" w14:textId="77777777" w:rsidR="000C08CA" w:rsidRPr="003B2A0D" w:rsidRDefault="000C08CA" w:rsidP="00FE328D">
            <w:pPr>
              <w:spacing w:line="276" w:lineRule="auto"/>
              <w:jc w:val="both"/>
              <w:rPr>
                <w:rFonts w:cs="Arial"/>
                <w:szCs w:val="20"/>
              </w:rPr>
            </w:pPr>
          </w:p>
          <w:p w14:paraId="5D480838" w14:textId="77777777" w:rsidR="000C08CA" w:rsidRPr="003B2A0D" w:rsidRDefault="000C08CA" w:rsidP="00FE328D">
            <w:pPr>
              <w:spacing w:line="276" w:lineRule="auto"/>
              <w:jc w:val="both"/>
              <w:rPr>
                <w:rFonts w:cs="Arial"/>
                <w:szCs w:val="20"/>
              </w:rPr>
            </w:pPr>
            <w:r w:rsidRPr="003B2A0D">
              <w:rPr>
                <w:rFonts w:cs="Arial"/>
                <w:szCs w:val="20"/>
              </w:rPr>
              <w:t>(4) Izjema ne velja za informacije v zvezi z davčnimi jurisdikcijami, vključenimi v Prilogi I in II k sklepom Sveta o posodobljenem seznamu EU z jurisdikcijami, ki niso pripravljene sodelovati v davčne namene, ki jih družba mora razkriti.</w:t>
            </w:r>
          </w:p>
          <w:p w14:paraId="2F7021D7" w14:textId="77777777" w:rsidR="000C08CA" w:rsidRPr="003B2A0D" w:rsidRDefault="000C08CA" w:rsidP="00FE328D">
            <w:pPr>
              <w:spacing w:line="276" w:lineRule="auto"/>
              <w:jc w:val="center"/>
              <w:rPr>
                <w:rFonts w:cs="Arial"/>
                <w:b/>
                <w:szCs w:val="20"/>
              </w:rPr>
            </w:pPr>
          </w:p>
          <w:p w14:paraId="7BCEF23E" w14:textId="77777777" w:rsidR="000C08CA" w:rsidRPr="003B2A0D" w:rsidRDefault="000C08CA" w:rsidP="00FE328D">
            <w:pPr>
              <w:spacing w:line="276" w:lineRule="auto"/>
              <w:jc w:val="center"/>
              <w:rPr>
                <w:rFonts w:cs="Arial"/>
                <w:b/>
                <w:szCs w:val="20"/>
              </w:rPr>
            </w:pPr>
            <w:r w:rsidRPr="003B2A0D">
              <w:rPr>
                <w:rFonts w:cs="Arial"/>
                <w:b/>
                <w:szCs w:val="20"/>
              </w:rPr>
              <w:t>70.i člen</w:t>
            </w:r>
          </w:p>
          <w:p w14:paraId="4D303D1E" w14:textId="77777777" w:rsidR="000C08CA" w:rsidRPr="003B2A0D" w:rsidRDefault="000C08CA" w:rsidP="00FE328D">
            <w:pPr>
              <w:spacing w:line="276" w:lineRule="auto"/>
              <w:jc w:val="center"/>
              <w:rPr>
                <w:rFonts w:cs="Arial"/>
                <w:b/>
                <w:szCs w:val="20"/>
              </w:rPr>
            </w:pPr>
            <w:r w:rsidRPr="003B2A0D">
              <w:rPr>
                <w:rFonts w:cs="Arial"/>
                <w:b/>
                <w:szCs w:val="20"/>
              </w:rPr>
              <w:t>(objava in dostop do poročila)</w:t>
            </w:r>
          </w:p>
          <w:p w14:paraId="4EA586D5" w14:textId="77777777" w:rsidR="000C08CA" w:rsidRPr="003B2A0D" w:rsidRDefault="000C08CA" w:rsidP="00FE328D">
            <w:pPr>
              <w:spacing w:line="276" w:lineRule="auto"/>
              <w:jc w:val="center"/>
              <w:rPr>
                <w:rFonts w:cs="Arial"/>
                <w:szCs w:val="20"/>
              </w:rPr>
            </w:pPr>
          </w:p>
          <w:p w14:paraId="3F32788A" w14:textId="77777777" w:rsidR="000C08CA" w:rsidRPr="003B2A0D" w:rsidRDefault="000C08CA" w:rsidP="00FE328D">
            <w:pPr>
              <w:spacing w:line="276" w:lineRule="auto"/>
              <w:jc w:val="both"/>
              <w:rPr>
                <w:rFonts w:cs="Arial"/>
                <w:szCs w:val="20"/>
              </w:rPr>
            </w:pPr>
            <w:r w:rsidRPr="003B2A0D">
              <w:rPr>
                <w:rFonts w:cs="Arial"/>
                <w:szCs w:val="20"/>
              </w:rPr>
              <w:t xml:space="preserve">(1) Družbe iz prvega in drugega odstavka 70.e člena tega zakona </w:t>
            </w:r>
            <w:r w:rsidRPr="00150279">
              <w:rPr>
                <w:rFonts w:cs="Arial"/>
                <w:szCs w:val="20"/>
              </w:rPr>
              <w:t xml:space="preserve">pripravijo </w:t>
            </w:r>
            <w:r w:rsidRPr="003B2A0D">
              <w:rPr>
                <w:rFonts w:cs="Arial"/>
                <w:szCs w:val="20"/>
              </w:rPr>
              <w:t xml:space="preserve">poročilo o davčnih informacijah v zvezi z dohodki in ga v </w:t>
            </w:r>
            <w:r w:rsidRPr="00150279">
              <w:rPr>
                <w:rFonts w:cs="Arial"/>
                <w:szCs w:val="20"/>
              </w:rPr>
              <w:t>enajstih mesecih po koncu poslovnega leta v skladu z 58. in 70.g členom tega zakona zaradi javne objave predložijo AJPES, ki ga javno objavi pred iztekom 12 mesecev po koncu poslovnega leta.</w:t>
            </w:r>
          </w:p>
          <w:p w14:paraId="0E4713D6" w14:textId="77777777" w:rsidR="000C08CA" w:rsidRPr="003B2A0D" w:rsidRDefault="000C08CA" w:rsidP="00FE328D">
            <w:pPr>
              <w:spacing w:line="276" w:lineRule="auto"/>
              <w:jc w:val="both"/>
              <w:rPr>
                <w:rFonts w:cs="Arial"/>
                <w:szCs w:val="20"/>
              </w:rPr>
            </w:pPr>
          </w:p>
          <w:p w14:paraId="57D0BA14" w14:textId="77777777" w:rsidR="000C08CA" w:rsidRPr="003B2A0D" w:rsidRDefault="000C08CA" w:rsidP="00FE328D">
            <w:pPr>
              <w:spacing w:line="276" w:lineRule="auto"/>
              <w:jc w:val="both"/>
              <w:rPr>
                <w:rFonts w:cs="Arial"/>
                <w:szCs w:val="20"/>
              </w:rPr>
            </w:pPr>
            <w:r w:rsidRPr="003B2A0D">
              <w:rPr>
                <w:rFonts w:cs="Arial"/>
                <w:szCs w:val="20"/>
              </w:rPr>
              <w:t>(2) Poročilo o davčnih informacijah v zvezi z dohodki iz prejšnjega odstavka družbe v 12 mesec</w:t>
            </w:r>
            <w:r>
              <w:rPr>
                <w:rFonts w:cs="Arial"/>
                <w:szCs w:val="20"/>
              </w:rPr>
              <w:t>ih</w:t>
            </w:r>
            <w:r w:rsidRPr="003B2A0D">
              <w:rPr>
                <w:rFonts w:cs="Arial"/>
                <w:szCs w:val="20"/>
              </w:rPr>
              <w:t xml:space="preserve"> po koncu poslovnega leta v slovenskem jeziku objavijo tudi na svoji spletni strani, kjer je brezplačno dostopno najmanj pet let od dneva objave.</w:t>
            </w:r>
          </w:p>
          <w:p w14:paraId="7D7F7A16" w14:textId="77777777" w:rsidR="000C08CA" w:rsidRPr="003B2A0D" w:rsidRDefault="000C08CA" w:rsidP="00FE328D">
            <w:pPr>
              <w:spacing w:line="276" w:lineRule="auto"/>
              <w:jc w:val="both"/>
              <w:rPr>
                <w:rFonts w:cs="Arial"/>
                <w:szCs w:val="20"/>
              </w:rPr>
            </w:pPr>
          </w:p>
          <w:p w14:paraId="1E7BA29E" w14:textId="77777777" w:rsidR="000C08CA" w:rsidRPr="003B2A0D" w:rsidRDefault="000C08CA" w:rsidP="00FE328D">
            <w:pPr>
              <w:spacing w:line="276" w:lineRule="auto"/>
              <w:jc w:val="both"/>
              <w:rPr>
                <w:rFonts w:cs="Arial"/>
                <w:szCs w:val="20"/>
              </w:rPr>
            </w:pPr>
            <w:r w:rsidRPr="003B2A0D">
              <w:rPr>
                <w:rFonts w:cs="Arial"/>
                <w:szCs w:val="20"/>
              </w:rPr>
              <w:t>(3) Namesto obveznosti objave poročila o davčnih informacijah v zvezi z dohodki na svoji spletni strani iz prejšnjega odstavka lahko družba na svoji spletni strani objavi le informacijo, da je njeno poročilo o davčnih informacijah v zvezi z dohodki javno objavljeno</w:t>
            </w:r>
            <w:r w:rsidRPr="003B2A0D" w:rsidDel="00D666CE">
              <w:rPr>
                <w:rFonts w:cs="Arial"/>
                <w:szCs w:val="20"/>
              </w:rPr>
              <w:t xml:space="preserve"> </w:t>
            </w:r>
            <w:r w:rsidRPr="003B2A0D">
              <w:rPr>
                <w:rFonts w:cs="Arial"/>
                <w:szCs w:val="20"/>
              </w:rPr>
              <w:t>na spletni strani AJPES, namenjeni javni objavi letnih poročil. Ob objavi navedene informacije se družba sklicuje na uporabo izjeme iz tega odstavka. Za objavo informacije po tem odstavku veljajo vse zahteve iz prejšnjega odstavka glede objave poročila o davčnih informacijah v zvezi z dohodki.</w:t>
            </w:r>
          </w:p>
          <w:p w14:paraId="081A4E5C" w14:textId="77777777" w:rsidR="000C08CA" w:rsidRPr="003B2A0D" w:rsidRDefault="000C08CA" w:rsidP="00FE328D">
            <w:pPr>
              <w:spacing w:line="276" w:lineRule="auto"/>
              <w:rPr>
                <w:rFonts w:cs="Arial"/>
                <w:b/>
                <w:szCs w:val="20"/>
              </w:rPr>
            </w:pPr>
          </w:p>
          <w:p w14:paraId="743CD36B" w14:textId="77777777" w:rsidR="000C08CA" w:rsidRPr="003B2A0D" w:rsidRDefault="000C08CA" w:rsidP="00FE328D">
            <w:pPr>
              <w:spacing w:line="276" w:lineRule="auto"/>
              <w:jc w:val="center"/>
              <w:rPr>
                <w:rFonts w:cs="Arial"/>
                <w:b/>
                <w:szCs w:val="20"/>
              </w:rPr>
            </w:pPr>
            <w:r w:rsidRPr="003B2A0D">
              <w:rPr>
                <w:rFonts w:cs="Arial"/>
                <w:b/>
                <w:szCs w:val="20"/>
              </w:rPr>
              <w:t>70.j člen</w:t>
            </w:r>
          </w:p>
          <w:p w14:paraId="5C87B252" w14:textId="77777777" w:rsidR="000C08CA" w:rsidRPr="003B2A0D" w:rsidRDefault="000C08CA" w:rsidP="00FE328D">
            <w:pPr>
              <w:spacing w:line="276" w:lineRule="auto"/>
              <w:jc w:val="center"/>
              <w:rPr>
                <w:rFonts w:cs="Arial"/>
                <w:b/>
                <w:szCs w:val="20"/>
              </w:rPr>
            </w:pPr>
            <w:r w:rsidRPr="003B2A0D">
              <w:rPr>
                <w:rFonts w:cs="Arial"/>
                <w:b/>
                <w:szCs w:val="20"/>
              </w:rPr>
              <w:t>(poročanje za odvisne družbe, ki jih obvladuje tuje podjetje iz tretje države)</w:t>
            </w:r>
          </w:p>
          <w:p w14:paraId="5CD0D6C5" w14:textId="77777777" w:rsidR="000C08CA" w:rsidRPr="003B2A0D" w:rsidRDefault="000C08CA" w:rsidP="00FE328D">
            <w:pPr>
              <w:spacing w:line="276" w:lineRule="auto"/>
              <w:rPr>
                <w:rFonts w:cs="Arial"/>
                <w:b/>
                <w:szCs w:val="20"/>
              </w:rPr>
            </w:pPr>
          </w:p>
          <w:p w14:paraId="52CC1B62" w14:textId="77777777" w:rsidR="000C08CA" w:rsidRPr="003B2A0D" w:rsidRDefault="000C08CA" w:rsidP="00FE328D">
            <w:pPr>
              <w:spacing w:line="276" w:lineRule="auto"/>
              <w:jc w:val="both"/>
              <w:rPr>
                <w:rFonts w:cs="Arial"/>
                <w:szCs w:val="20"/>
              </w:rPr>
            </w:pPr>
            <w:r w:rsidRPr="003B2A0D">
              <w:rPr>
                <w:rFonts w:cs="Arial"/>
                <w:szCs w:val="20"/>
              </w:rPr>
              <w:t>(1) Če tuje podjetje iz tretje države iz tretjega odstavka 70.e člena samo pripravi poročilo o davčnih informacijah v zvezi z dohodki, je njegova odvisna družba s sedežem v Republiki Sloveniji zavezana, da ga v prevodu zaradi javne objave predloži AJPES.</w:t>
            </w:r>
          </w:p>
          <w:p w14:paraId="7B4353F1" w14:textId="77777777" w:rsidR="000C08CA" w:rsidRPr="003B2A0D" w:rsidRDefault="000C08CA" w:rsidP="00FE328D">
            <w:pPr>
              <w:spacing w:line="276" w:lineRule="auto"/>
              <w:rPr>
                <w:rFonts w:cs="Arial"/>
                <w:szCs w:val="20"/>
              </w:rPr>
            </w:pPr>
          </w:p>
          <w:p w14:paraId="60F8407B" w14:textId="77777777" w:rsidR="000C08CA" w:rsidRPr="003B2A0D" w:rsidRDefault="000C08CA" w:rsidP="00FE328D">
            <w:pPr>
              <w:spacing w:line="276" w:lineRule="auto"/>
              <w:jc w:val="both"/>
              <w:rPr>
                <w:rFonts w:cs="Arial"/>
                <w:szCs w:val="20"/>
              </w:rPr>
            </w:pPr>
            <w:r w:rsidRPr="003B2A0D">
              <w:rPr>
                <w:rFonts w:cs="Arial"/>
                <w:szCs w:val="20"/>
              </w:rPr>
              <w:t>(2) Če odvisna družba od svoje obvladujoče družbe ne pridobi poročila o davčnih informacijah v zvezi z dohodki, od nje zahteva, da ji zagotovi vse informacije, potrebne za pripravo poročila. Če obvladujoča družba zahtevanih informacij ne predloži, odvisna družba pripravi in zaradi javne objave predloži AJPES</w:t>
            </w:r>
            <w:r w:rsidRPr="003B2A0D" w:rsidDel="00C52C1E">
              <w:rPr>
                <w:rFonts w:cs="Arial"/>
                <w:szCs w:val="20"/>
              </w:rPr>
              <w:t xml:space="preserve"> </w:t>
            </w:r>
            <w:r w:rsidRPr="003B2A0D">
              <w:rPr>
                <w:rFonts w:cs="Arial"/>
                <w:szCs w:val="20"/>
              </w:rPr>
              <w:t xml:space="preserve">poročilo o davčnih informacijah v zvezi z dohodki, ki vsebuje informacije, ki jih ima na voljo, jih je prejela ali pridobila od obvladujoče družbe, in izjavo, da poročilo ne vsebuje vseh zahtevanih informacij, ker ji jih njena obvladujoča družba ni predložila. </w:t>
            </w:r>
          </w:p>
          <w:p w14:paraId="2ECE994F" w14:textId="77777777" w:rsidR="000C08CA" w:rsidRPr="003B2A0D" w:rsidRDefault="000C08CA" w:rsidP="00FE328D">
            <w:pPr>
              <w:spacing w:line="276" w:lineRule="auto"/>
              <w:jc w:val="both"/>
              <w:rPr>
                <w:rFonts w:cs="Arial"/>
                <w:szCs w:val="20"/>
              </w:rPr>
            </w:pPr>
          </w:p>
          <w:p w14:paraId="46DC3162" w14:textId="77777777" w:rsidR="000C08CA" w:rsidRPr="003B2A0D" w:rsidRDefault="000C08CA" w:rsidP="00FE328D">
            <w:pPr>
              <w:spacing w:line="276" w:lineRule="auto"/>
              <w:jc w:val="both"/>
              <w:rPr>
                <w:rFonts w:cs="Arial"/>
                <w:color w:val="FF0000"/>
                <w:szCs w:val="20"/>
              </w:rPr>
            </w:pPr>
            <w:r w:rsidRPr="003B2A0D">
              <w:rPr>
                <w:rFonts w:cs="Arial"/>
                <w:szCs w:val="20"/>
              </w:rPr>
              <w:t>(3) Poročilo o davčnih informacijah v zvezi z dohodki in izjavo iz prvega in drugega odstavka tega člena odvisna družba objavi na svoji spletni strani.</w:t>
            </w:r>
            <w:r w:rsidRPr="003B2A0D" w:rsidDel="003F3DEC">
              <w:rPr>
                <w:rFonts w:cs="Arial"/>
                <w:szCs w:val="20"/>
              </w:rPr>
              <w:t xml:space="preserve"> </w:t>
            </w:r>
            <w:r w:rsidRPr="003B2A0D">
              <w:rPr>
                <w:rFonts w:cs="Arial"/>
                <w:szCs w:val="20"/>
              </w:rPr>
              <w:t xml:space="preserve">Za to obveznost se smiselno uporablja prejšnji člen, pri čemer zadostuje objava na spletni strani katere koli povezane družbe v skupini, na katero se poročilo nanaša. </w:t>
            </w:r>
          </w:p>
          <w:p w14:paraId="085F5399" w14:textId="77777777" w:rsidR="000C08CA" w:rsidRPr="003B2A0D" w:rsidRDefault="000C08CA" w:rsidP="00FE328D">
            <w:pPr>
              <w:spacing w:line="276" w:lineRule="auto"/>
              <w:jc w:val="both"/>
              <w:rPr>
                <w:rFonts w:cs="Arial"/>
                <w:szCs w:val="20"/>
              </w:rPr>
            </w:pPr>
          </w:p>
          <w:p w14:paraId="4C16C3A3" w14:textId="77777777" w:rsidR="000C08CA" w:rsidRPr="003B2A0D" w:rsidRDefault="000C08CA" w:rsidP="00FE328D">
            <w:pPr>
              <w:spacing w:line="276" w:lineRule="auto"/>
              <w:jc w:val="both"/>
              <w:rPr>
                <w:rFonts w:cs="Arial"/>
                <w:szCs w:val="20"/>
              </w:rPr>
            </w:pPr>
            <w:r w:rsidRPr="003B2A0D">
              <w:rPr>
                <w:rFonts w:cs="Arial"/>
                <w:szCs w:val="20"/>
              </w:rPr>
              <w:lastRenderedPageBreak/>
              <w:t>(4) Obveznosti iz tega člena veljajo za odvisne družbe, ki izpolnjujejo merila za srednje ali velike družbe iz četrtega do šestega odstavka 55. člena tega zakona.</w:t>
            </w:r>
          </w:p>
          <w:p w14:paraId="205C20C1" w14:textId="77777777" w:rsidR="000C08CA" w:rsidRPr="003B2A0D" w:rsidRDefault="000C08CA" w:rsidP="00FE328D">
            <w:pPr>
              <w:spacing w:line="276" w:lineRule="auto"/>
              <w:jc w:val="both"/>
              <w:rPr>
                <w:rFonts w:cs="Arial"/>
                <w:szCs w:val="20"/>
              </w:rPr>
            </w:pPr>
          </w:p>
          <w:p w14:paraId="09614C1B" w14:textId="77777777" w:rsidR="000C08CA" w:rsidRPr="003B2A0D" w:rsidRDefault="000C08CA" w:rsidP="00FE328D">
            <w:pPr>
              <w:spacing w:line="276" w:lineRule="auto"/>
              <w:jc w:val="both"/>
              <w:rPr>
                <w:rFonts w:cs="Arial"/>
                <w:szCs w:val="20"/>
              </w:rPr>
            </w:pPr>
            <w:r w:rsidRPr="003B2A0D">
              <w:rPr>
                <w:rFonts w:cs="Arial"/>
                <w:szCs w:val="20"/>
              </w:rPr>
              <w:t>(5) Ne glede na prejšnji odstavek velja obveznost poročanja o davčnih informacijah v zvezi z dohodki iz tega člena za vse odvisne družbe, če so namenoma organizirane tako, da se z neizpolnjevanjem pogojev izognejo obveznostim poročanja o davčnih informacijah v zvezi z dohodki.</w:t>
            </w:r>
          </w:p>
          <w:p w14:paraId="74B15FED" w14:textId="77777777" w:rsidR="000C08CA" w:rsidRPr="003B2A0D" w:rsidRDefault="000C08CA" w:rsidP="00FE328D">
            <w:pPr>
              <w:spacing w:line="276" w:lineRule="auto"/>
              <w:jc w:val="both"/>
              <w:rPr>
                <w:rFonts w:cs="Arial"/>
                <w:szCs w:val="20"/>
              </w:rPr>
            </w:pPr>
          </w:p>
          <w:p w14:paraId="53BA092C" w14:textId="77777777" w:rsidR="000C08CA" w:rsidRPr="003B2A0D" w:rsidRDefault="000C08CA" w:rsidP="00FE328D">
            <w:pPr>
              <w:spacing w:line="276" w:lineRule="auto"/>
              <w:jc w:val="both"/>
              <w:rPr>
                <w:rFonts w:cs="Arial"/>
                <w:szCs w:val="20"/>
              </w:rPr>
            </w:pPr>
            <w:r w:rsidRPr="003B2A0D">
              <w:rPr>
                <w:rFonts w:cs="Arial"/>
                <w:szCs w:val="20"/>
              </w:rPr>
              <w:t>(6) Prag za nastanek obveznosti poročanja iz prvega odstavka 70.e člena tega zakona se pretvori v enakovreden znesek v nacionalni valuti tretje države, v kateri ima sedež obvladujoča družba iz prvega odstavka tega člena, pri čemer se uporabi menjalni tečaj, veljaven na dan 21. decembra 2021, zaokrožen na najbližjo tisočico.</w:t>
            </w:r>
          </w:p>
          <w:p w14:paraId="22FEC36A" w14:textId="77777777" w:rsidR="000C08CA" w:rsidRPr="003B2A0D" w:rsidRDefault="000C08CA" w:rsidP="00FE328D">
            <w:pPr>
              <w:spacing w:line="276" w:lineRule="auto"/>
              <w:jc w:val="both"/>
              <w:rPr>
                <w:rFonts w:cs="Arial"/>
                <w:szCs w:val="20"/>
              </w:rPr>
            </w:pPr>
          </w:p>
          <w:p w14:paraId="229B7899" w14:textId="77777777" w:rsidR="000C08CA" w:rsidRPr="003B2A0D" w:rsidRDefault="000C08CA" w:rsidP="00FE328D">
            <w:pPr>
              <w:spacing w:line="276" w:lineRule="auto"/>
              <w:jc w:val="center"/>
              <w:rPr>
                <w:rFonts w:cs="Arial"/>
                <w:b/>
                <w:szCs w:val="20"/>
              </w:rPr>
            </w:pPr>
            <w:r w:rsidRPr="003B2A0D">
              <w:rPr>
                <w:rFonts w:cs="Arial"/>
                <w:b/>
                <w:szCs w:val="20"/>
              </w:rPr>
              <w:t>70.k člen</w:t>
            </w:r>
          </w:p>
          <w:p w14:paraId="416E5D2C" w14:textId="77777777" w:rsidR="000C08CA" w:rsidRPr="003B2A0D" w:rsidRDefault="000C08CA" w:rsidP="00FE328D">
            <w:pPr>
              <w:spacing w:line="276" w:lineRule="auto"/>
              <w:jc w:val="center"/>
              <w:rPr>
                <w:rFonts w:cs="Arial"/>
                <w:b/>
                <w:szCs w:val="20"/>
              </w:rPr>
            </w:pPr>
            <w:r w:rsidRPr="003B2A0D">
              <w:rPr>
                <w:rFonts w:cs="Arial"/>
                <w:b/>
                <w:szCs w:val="20"/>
              </w:rPr>
              <w:t>(prenehanje obveznosti poročanja)</w:t>
            </w:r>
          </w:p>
          <w:p w14:paraId="41F947C9" w14:textId="77777777" w:rsidR="000C08CA" w:rsidRPr="003B2A0D" w:rsidRDefault="000C08CA" w:rsidP="00FE328D">
            <w:pPr>
              <w:spacing w:line="276" w:lineRule="auto"/>
              <w:jc w:val="center"/>
              <w:rPr>
                <w:rFonts w:cs="Arial"/>
                <w:b/>
                <w:szCs w:val="20"/>
              </w:rPr>
            </w:pPr>
          </w:p>
          <w:p w14:paraId="1343CBF4" w14:textId="77777777" w:rsidR="000C08CA" w:rsidRPr="003B2A0D" w:rsidRDefault="000C08CA" w:rsidP="00FE328D">
            <w:pPr>
              <w:spacing w:line="276" w:lineRule="auto"/>
              <w:jc w:val="both"/>
              <w:rPr>
                <w:rFonts w:cs="Arial"/>
                <w:szCs w:val="20"/>
              </w:rPr>
            </w:pPr>
            <w:r w:rsidRPr="003B2A0D">
              <w:rPr>
                <w:rFonts w:cs="Arial"/>
                <w:szCs w:val="20"/>
              </w:rPr>
              <w:t xml:space="preserve">(1) Obveznost priprave poročila o davčnih informacijah v zvezi z dohodki za obvladujočo družbo iz prvega odstavka 70.e člena tega zakona in za družbo iz drugega odstavka 70.e člena tega zakona preneha, ko so prihodki na podlagi podatkov zadnjih dveh zaporednih poslovnih let na bilančni presečni dan bilance stanja obakrat </w:t>
            </w:r>
            <w:r w:rsidRPr="003B2A0D" w:rsidDel="004D6F72">
              <w:rPr>
                <w:rFonts w:cs="Arial"/>
                <w:szCs w:val="20"/>
              </w:rPr>
              <w:t xml:space="preserve">nižji </w:t>
            </w:r>
            <w:r w:rsidRPr="003B2A0D">
              <w:rPr>
                <w:rFonts w:cs="Arial"/>
                <w:szCs w:val="20"/>
              </w:rPr>
              <w:t xml:space="preserve">od 750.000.000 eurov. </w:t>
            </w:r>
          </w:p>
          <w:p w14:paraId="2AF412A1" w14:textId="77777777" w:rsidR="000C08CA" w:rsidRPr="003B2A0D" w:rsidRDefault="000C08CA" w:rsidP="00FE328D">
            <w:pPr>
              <w:spacing w:line="276" w:lineRule="auto"/>
              <w:jc w:val="both"/>
              <w:rPr>
                <w:rFonts w:cs="Arial"/>
                <w:szCs w:val="20"/>
              </w:rPr>
            </w:pPr>
          </w:p>
          <w:p w14:paraId="707B6CCC" w14:textId="77777777" w:rsidR="000C08CA" w:rsidRPr="003B2A0D" w:rsidRDefault="000C08CA" w:rsidP="00FE328D">
            <w:pPr>
              <w:spacing w:line="276" w:lineRule="auto"/>
              <w:jc w:val="both"/>
              <w:rPr>
                <w:rFonts w:cs="Arial"/>
                <w:szCs w:val="20"/>
              </w:rPr>
            </w:pPr>
            <w:r w:rsidRPr="003B2A0D">
              <w:rPr>
                <w:rFonts w:cs="Arial"/>
                <w:szCs w:val="20"/>
              </w:rPr>
              <w:t>(2) Ko so prihodki obvladujoče</w:t>
            </w:r>
            <w:r>
              <w:rPr>
                <w:rFonts w:cs="Arial"/>
                <w:szCs w:val="20"/>
              </w:rPr>
              <w:t xml:space="preserve">ga tujega podjetja </w:t>
            </w:r>
            <w:r w:rsidRPr="003B2A0D">
              <w:rPr>
                <w:rFonts w:cs="Arial"/>
                <w:szCs w:val="20"/>
              </w:rPr>
              <w:t xml:space="preserve">iz tretje države na podlagi podatkov zadnjih dveh zaporednih poslovnih let na bilančni presečni dan bilance stanja obakrat </w:t>
            </w:r>
            <w:r w:rsidRPr="003B2A0D" w:rsidDel="004D6F72">
              <w:rPr>
                <w:rFonts w:cs="Arial"/>
                <w:szCs w:val="20"/>
              </w:rPr>
              <w:t xml:space="preserve">nižji </w:t>
            </w:r>
            <w:r w:rsidRPr="003B2A0D">
              <w:rPr>
                <w:rFonts w:cs="Arial"/>
                <w:szCs w:val="20"/>
              </w:rPr>
              <w:t>od 750.000.000 eurov, prenehajo tudi vse obveznosti v zvezi s poročanjem iz prejšnjega člena za njene odvisne družbe s sedežem v Republiki Sloveniji.</w:t>
            </w:r>
          </w:p>
          <w:p w14:paraId="4A09C4CC" w14:textId="77777777" w:rsidR="000C08CA" w:rsidRPr="003B2A0D" w:rsidRDefault="000C08CA" w:rsidP="00FE328D">
            <w:pPr>
              <w:spacing w:line="276" w:lineRule="auto"/>
              <w:jc w:val="both"/>
              <w:rPr>
                <w:rFonts w:cs="Arial"/>
                <w:szCs w:val="20"/>
              </w:rPr>
            </w:pPr>
          </w:p>
          <w:p w14:paraId="73CF9528" w14:textId="77777777" w:rsidR="000C08CA" w:rsidRPr="003B2A0D" w:rsidRDefault="000C08CA" w:rsidP="00FE328D">
            <w:pPr>
              <w:spacing w:line="276" w:lineRule="auto"/>
              <w:jc w:val="center"/>
              <w:rPr>
                <w:rFonts w:cs="Arial"/>
                <w:b/>
                <w:szCs w:val="20"/>
              </w:rPr>
            </w:pPr>
            <w:r w:rsidRPr="003B2A0D">
              <w:rPr>
                <w:rFonts w:cs="Arial"/>
                <w:b/>
                <w:szCs w:val="20"/>
              </w:rPr>
              <w:t>70.l člen</w:t>
            </w:r>
          </w:p>
          <w:p w14:paraId="7D9A1192" w14:textId="77777777" w:rsidR="000C08CA" w:rsidRPr="003B2A0D" w:rsidRDefault="000C08CA" w:rsidP="00FE328D">
            <w:pPr>
              <w:spacing w:line="276" w:lineRule="auto"/>
              <w:jc w:val="center"/>
              <w:rPr>
                <w:rFonts w:cs="Arial"/>
                <w:b/>
                <w:szCs w:val="20"/>
              </w:rPr>
            </w:pPr>
            <w:r w:rsidRPr="003B2A0D">
              <w:rPr>
                <w:rFonts w:cs="Arial"/>
                <w:b/>
                <w:szCs w:val="20"/>
              </w:rPr>
              <w:t>(izjeme glede poročanja za odvisne družbe)</w:t>
            </w:r>
          </w:p>
          <w:p w14:paraId="1AA0F990" w14:textId="77777777" w:rsidR="000C08CA" w:rsidRPr="003B2A0D" w:rsidRDefault="000C08CA" w:rsidP="00FE328D">
            <w:pPr>
              <w:spacing w:line="276" w:lineRule="auto"/>
              <w:jc w:val="center"/>
              <w:rPr>
                <w:rFonts w:cs="Arial"/>
                <w:b/>
                <w:szCs w:val="20"/>
              </w:rPr>
            </w:pPr>
          </w:p>
          <w:p w14:paraId="2C92D5F7" w14:textId="77777777" w:rsidR="000C08CA" w:rsidRPr="003B2A0D" w:rsidRDefault="000C08CA" w:rsidP="00FE328D">
            <w:pPr>
              <w:spacing w:line="276" w:lineRule="auto"/>
              <w:jc w:val="both"/>
              <w:rPr>
                <w:rFonts w:cs="Arial"/>
                <w:szCs w:val="20"/>
              </w:rPr>
            </w:pPr>
            <w:r w:rsidRPr="003B2A0D">
              <w:rPr>
                <w:rFonts w:cs="Arial"/>
                <w:szCs w:val="20"/>
              </w:rPr>
              <w:t>Določbe 70.j člena tega zakona se ne uporabljajo, če je poročilo o davčnih informacijah v zvezi z dohodki tujega podjetja iz tretje države</w:t>
            </w:r>
            <w:r w:rsidRPr="003B2A0D">
              <w:rPr>
                <w:rFonts w:cs="Arial"/>
                <w:bCs/>
                <w:szCs w:val="20"/>
              </w:rPr>
              <w:t xml:space="preserve"> </w:t>
            </w:r>
            <w:r w:rsidRPr="003B2A0D">
              <w:rPr>
                <w:rFonts w:cs="Arial"/>
                <w:szCs w:val="20"/>
              </w:rPr>
              <w:t xml:space="preserve">iz tretjega odstavka 70.e člena pripravljeno </w:t>
            </w:r>
            <w:r>
              <w:rPr>
                <w:rFonts w:cs="Arial"/>
                <w:szCs w:val="20"/>
              </w:rPr>
              <w:t>v skladu</w:t>
            </w:r>
            <w:r w:rsidRPr="003B2A0D">
              <w:rPr>
                <w:rFonts w:cs="Arial"/>
                <w:szCs w:val="20"/>
              </w:rPr>
              <w:t xml:space="preserve"> s 70.f členom tega zakona in izpolnjuje </w:t>
            </w:r>
            <w:r w:rsidRPr="003B2A0D" w:rsidDel="00626B70">
              <w:rPr>
                <w:rFonts w:cs="Arial"/>
                <w:szCs w:val="20"/>
              </w:rPr>
              <w:t xml:space="preserve">naslednja </w:t>
            </w:r>
            <w:r w:rsidRPr="003B2A0D">
              <w:rPr>
                <w:rFonts w:cs="Arial"/>
                <w:szCs w:val="20"/>
              </w:rPr>
              <w:t>merila:</w:t>
            </w:r>
          </w:p>
          <w:p w14:paraId="1827379B"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je najpozneje v 12 mesecih po datumu bilance stanja za poslovno leto, za katero je bilo poročilo o davčnih informacijah v zvezi z dohodki pripravljeno, </w:t>
            </w:r>
            <w:r>
              <w:rPr>
                <w:rFonts w:cs="Arial"/>
                <w:szCs w:val="20"/>
              </w:rPr>
              <w:t>v vsaj enem od uradnih jezikov Evropske unije</w:t>
            </w:r>
            <w:r w:rsidRPr="003B2A0D">
              <w:rPr>
                <w:rFonts w:cs="Arial"/>
                <w:szCs w:val="20"/>
              </w:rPr>
              <w:t xml:space="preserve"> objavljeno na spletni strani tega tujega podjetja iz tretje države v elektronski obliki poročanja, ki je strojno berljiva, </w:t>
            </w:r>
          </w:p>
          <w:p w14:paraId="338CE4B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ga je druga odvisna družba</w:t>
            </w:r>
            <w:r>
              <w:rPr>
                <w:rFonts w:cs="Arial"/>
                <w:szCs w:val="20"/>
              </w:rPr>
              <w:t xml:space="preserve"> v skupini,</w:t>
            </w:r>
            <w:r w:rsidRPr="003B2A0D">
              <w:rPr>
                <w:rFonts w:cs="Arial"/>
                <w:szCs w:val="20"/>
              </w:rPr>
              <w:t xml:space="preserve"> ustanovljena v državi članici zaradi javne objave predložila v skladu s pravom države sedeža in s prvim odstavkom 48</w:t>
            </w:r>
            <w:r>
              <w:rPr>
                <w:rFonts w:cs="Arial"/>
                <w:szCs w:val="20"/>
              </w:rPr>
              <w:t>.</w:t>
            </w:r>
            <w:r w:rsidRPr="003B2A0D">
              <w:rPr>
                <w:rFonts w:cs="Arial"/>
                <w:szCs w:val="20"/>
              </w:rPr>
              <w:t>d člena Direktive 2013/34/EU, in</w:t>
            </w:r>
          </w:p>
          <w:p w14:paraId="3F2FFFA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sta v poročilu o davčnih informacijah v zvezi z dohodki navedena firma in sedež odvisne družbe, ki je</w:t>
            </w:r>
            <w:r w:rsidRPr="003B2A0D" w:rsidDel="007E2435">
              <w:rPr>
                <w:rFonts w:cs="Arial"/>
                <w:szCs w:val="20"/>
              </w:rPr>
              <w:t xml:space="preserve"> </w:t>
            </w:r>
            <w:r w:rsidRPr="003B2A0D">
              <w:rPr>
                <w:rFonts w:cs="Arial"/>
                <w:szCs w:val="20"/>
              </w:rPr>
              <w:t>poročilo o davčnih informacijah v zvezi z dohodki predložila</w:t>
            </w:r>
            <w:r w:rsidRPr="003B2A0D" w:rsidDel="00C52C1E">
              <w:rPr>
                <w:rFonts w:cs="Arial"/>
                <w:szCs w:val="20"/>
              </w:rPr>
              <w:t xml:space="preserve"> </w:t>
            </w:r>
            <w:r w:rsidRPr="003B2A0D">
              <w:rPr>
                <w:rFonts w:cs="Arial"/>
                <w:szCs w:val="20"/>
              </w:rPr>
              <w:t>v skladu s prejšnjo alinejo.«.</w:t>
            </w:r>
          </w:p>
          <w:p w14:paraId="2F706199" w14:textId="77777777" w:rsidR="000C08CA" w:rsidRPr="003B2A0D" w:rsidRDefault="000C08CA" w:rsidP="00FE328D">
            <w:pPr>
              <w:spacing w:line="276" w:lineRule="auto"/>
              <w:jc w:val="center"/>
              <w:rPr>
                <w:rFonts w:cs="Arial"/>
                <w:b/>
                <w:szCs w:val="20"/>
              </w:rPr>
            </w:pPr>
          </w:p>
          <w:p w14:paraId="055CE495"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57B9CBDE" w14:textId="77777777" w:rsidR="000C08CA" w:rsidRPr="003B2A0D" w:rsidRDefault="000C08CA" w:rsidP="00FE328D">
            <w:pPr>
              <w:spacing w:line="276" w:lineRule="auto"/>
              <w:jc w:val="both"/>
              <w:rPr>
                <w:rFonts w:cs="Arial"/>
                <w:szCs w:val="20"/>
              </w:rPr>
            </w:pPr>
          </w:p>
          <w:p w14:paraId="0DCEF624" w14:textId="77777777" w:rsidR="000C08CA" w:rsidRPr="003B2A0D" w:rsidRDefault="000C08CA" w:rsidP="00FE328D">
            <w:pPr>
              <w:spacing w:line="276" w:lineRule="auto"/>
              <w:jc w:val="both"/>
              <w:rPr>
                <w:rFonts w:cs="Arial"/>
                <w:szCs w:val="20"/>
              </w:rPr>
            </w:pPr>
            <w:r w:rsidRPr="003B2A0D">
              <w:rPr>
                <w:rFonts w:cs="Arial"/>
                <w:szCs w:val="20"/>
              </w:rPr>
              <w:t xml:space="preserve">V 71. členu se v tretji alineji besedilo »29. in prvi odstavek 30. člena« nadomesti z besedilom »29. člen, prvi odstavek 30. člena in 30.a člen«. </w:t>
            </w:r>
          </w:p>
          <w:p w14:paraId="5086D30C" w14:textId="77777777" w:rsidR="000C08CA" w:rsidRPr="003B2A0D" w:rsidRDefault="000C08CA" w:rsidP="00FE328D">
            <w:pPr>
              <w:spacing w:line="276" w:lineRule="auto"/>
              <w:jc w:val="both"/>
              <w:rPr>
                <w:rFonts w:cs="Arial"/>
                <w:szCs w:val="20"/>
              </w:rPr>
            </w:pPr>
          </w:p>
          <w:p w14:paraId="5F5B49C0"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4C293526" w14:textId="77777777" w:rsidR="000C08CA" w:rsidRPr="003B2A0D" w:rsidRDefault="000C08CA" w:rsidP="00FE328D">
            <w:pPr>
              <w:spacing w:line="276" w:lineRule="auto"/>
              <w:jc w:val="both"/>
              <w:rPr>
                <w:rFonts w:cs="Arial"/>
                <w:szCs w:val="20"/>
              </w:rPr>
            </w:pPr>
          </w:p>
          <w:p w14:paraId="63E8C9F2" w14:textId="77777777" w:rsidR="000C08CA" w:rsidRPr="003B2A0D" w:rsidRDefault="000C08CA" w:rsidP="00FE328D">
            <w:pPr>
              <w:spacing w:line="276" w:lineRule="auto"/>
              <w:jc w:val="both"/>
              <w:rPr>
                <w:rFonts w:cs="Arial"/>
                <w:szCs w:val="20"/>
              </w:rPr>
            </w:pPr>
            <w:r w:rsidRPr="003B2A0D">
              <w:rPr>
                <w:rFonts w:cs="Arial"/>
                <w:szCs w:val="20"/>
              </w:rPr>
              <w:t>V 72. členu se v petem odstavku beseda »sporočilih« nadomesti z besedilom »vseh dopisih«.</w:t>
            </w:r>
          </w:p>
          <w:p w14:paraId="74982C44" w14:textId="77777777" w:rsidR="000C08CA" w:rsidRPr="003B2A0D" w:rsidRDefault="000C08CA" w:rsidP="00FE328D">
            <w:pPr>
              <w:spacing w:line="276" w:lineRule="auto"/>
              <w:jc w:val="both"/>
              <w:rPr>
                <w:rFonts w:cs="Arial"/>
                <w:szCs w:val="20"/>
              </w:rPr>
            </w:pPr>
          </w:p>
          <w:p w14:paraId="0CE7275D" w14:textId="77777777" w:rsidR="000C08CA" w:rsidRPr="003B2A0D" w:rsidRDefault="000C08CA" w:rsidP="00FE328D">
            <w:pPr>
              <w:spacing w:line="276" w:lineRule="auto"/>
              <w:jc w:val="both"/>
              <w:rPr>
                <w:rFonts w:cs="Arial"/>
                <w:szCs w:val="20"/>
              </w:rPr>
            </w:pPr>
            <w:r w:rsidRPr="003B2A0D">
              <w:rPr>
                <w:rFonts w:cs="Arial"/>
                <w:szCs w:val="20"/>
              </w:rPr>
              <w:t>V šestem odstavku se beseda »sporočilih« nadomesti z besedilom »vseh dopisih«, beseda »sporočila« pa z besedo »dopise«.</w:t>
            </w:r>
          </w:p>
          <w:p w14:paraId="1ADDDB9A" w14:textId="77777777" w:rsidR="000C08CA" w:rsidRPr="003B2A0D" w:rsidRDefault="000C08CA" w:rsidP="00FE328D">
            <w:pPr>
              <w:spacing w:line="276" w:lineRule="auto"/>
              <w:jc w:val="center"/>
              <w:rPr>
                <w:rFonts w:cs="Arial"/>
                <w:b/>
                <w:bCs/>
                <w:szCs w:val="20"/>
              </w:rPr>
            </w:pPr>
          </w:p>
          <w:p w14:paraId="4C3E5AFE"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lastRenderedPageBreak/>
              <w:t>člen</w:t>
            </w:r>
          </w:p>
          <w:p w14:paraId="0F359705" w14:textId="77777777" w:rsidR="000C08CA" w:rsidRPr="003B2A0D" w:rsidRDefault="000C08CA" w:rsidP="00FE328D">
            <w:pPr>
              <w:spacing w:line="276" w:lineRule="auto"/>
              <w:jc w:val="center"/>
              <w:rPr>
                <w:rFonts w:cs="Arial"/>
                <w:b/>
                <w:bCs/>
                <w:szCs w:val="20"/>
              </w:rPr>
            </w:pPr>
          </w:p>
          <w:p w14:paraId="15EF5F01" w14:textId="77777777" w:rsidR="000C08CA" w:rsidRPr="003B2A0D" w:rsidRDefault="000C08CA" w:rsidP="00FE328D">
            <w:pPr>
              <w:spacing w:line="276" w:lineRule="auto"/>
              <w:jc w:val="both"/>
              <w:rPr>
                <w:rFonts w:cs="Arial"/>
                <w:szCs w:val="20"/>
              </w:rPr>
            </w:pPr>
            <w:r w:rsidRPr="003B2A0D">
              <w:rPr>
                <w:rFonts w:cs="Arial"/>
                <w:szCs w:val="20"/>
              </w:rPr>
              <w:t>V drugi alineji prve točke prvega odstavka 168.a člena se besedilo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nadomesti z besedilom »Uredbe 575/2013/EU«.</w:t>
            </w:r>
          </w:p>
          <w:p w14:paraId="1B1C6815" w14:textId="77777777" w:rsidR="000C08CA" w:rsidRPr="003B2A0D" w:rsidRDefault="000C08CA" w:rsidP="00FE328D">
            <w:pPr>
              <w:spacing w:line="276" w:lineRule="auto"/>
              <w:rPr>
                <w:rFonts w:cs="Arial"/>
                <w:b/>
                <w:szCs w:val="20"/>
              </w:rPr>
            </w:pPr>
          </w:p>
          <w:p w14:paraId="2BD1A261" w14:textId="77777777" w:rsidR="000C08CA" w:rsidRPr="003B2A0D" w:rsidRDefault="000C08CA" w:rsidP="00FE328D">
            <w:pPr>
              <w:pStyle w:val="ListParagraph"/>
              <w:numPr>
                <w:ilvl w:val="0"/>
                <w:numId w:val="20"/>
              </w:numPr>
              <w:spacing w:after="0" w:line="276" w:lineRule="auto"/>
              <w:jc w:val="center"/>
              <w:rPr>
                <w:rFonts w:ascii="Arial" w:hAnsi="Arial" w:cs="Arial"/>
                <w:b/>
                <w:bCs/>
                <w:sz w:val="20"/>
                <w:szCs w:val="20"/>
              </w:rPr>
            </w:pPr>
            <w:r w:rsidRPr="003B2A0D">
              <w:rPr>
                <w:rFonts w:ascii="Arial" w:hAnsi="Arial" w:cs="Arial"/>
                <w:b/>
                <w:bCs/>
                <w:sz w:val="20"/>
                <w:szCs w:val="20"/>
              </w:rPr>
              <w:t>člen</w:t>
            </w:r>
          </w:p>
          <w:p w14:paraId="244F3849" w14:textId="77777777" w:rsidR="000C08CA" w:rsidRPr="003B2A0D" w:rsidRDefault="000C08CA" w:rsidP="00FE328D">
            <w:pPr>
              <w:spacing w:line="276" w:lineRule="auto"/>
              <w:jc w:val="both"/>
              <w:rPr>
                <w:rFonts w:cs="Arial"/>
                <w:szCs w:val="20"/>
              </w:rPr>
            </w:pPr>
          </w:p>
          <w:p w14:paraId="3C74CC93" w14:textId="6C8FEA30" w:rsidR="000C08CA" w:rsidRPr="003B2A0D" w:rsidRDefault="000C08CA" w:rsidP="4DB7FD0D">
            <w:pPr>
              <w:spacing w:line="276" w:lineRule="auto"/>
              <w:jc w:val="both"/>
              <w:rPr>
                <w:rFonts w:cs="Arial"/>
              </w:rPr>
            </w:pPr>
            <w:r w:rsidRPr="4DB7FD0D">
              <w:rPr>
                <w:rFonts w:cs="Arial"/>
              </w:rPr>
              <w:t>Za 254. členom se dodajo novi 254.a do 254.f člen, ki se glasijo:</w:t>
            </w:r>
          </w:p>
          <w:p w14:paraId="67D90003"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p>
          <w:p w14:paraId="0AE2606A"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sz w:val="20"/>
                <w:szCs w:val="20"/>
              </w:rPr>
              <w:t>»</w:t>
            </w:r>
            <w:r w:rsidRPr="003B2A0D">
              <w:rPr>
                <w:rStyle w:val="normaltextrun"/>
                <w:rFonts w:ascii="Arial" w:hAnsi="Arial" w:cs="Arial"/>
                <w:b/>
                <w:sz w:val="20"/>
                <w:szCs w:val="20"/>
              </w:rPr>
              <w:t>254.a člen</w:t>
            </w:r>
            <w:r w:rsidRPr="003B2A0D">
              <w:rPr>
                <w:rStyle w:val="eop"/>
                <w:rFonts w:ascii="Arial" w:hAnsi="Arial" w:cs="Arial"/>
                <w:b/>
                <w:sz w:val="20"/>
                <w:szCs w:val="20"/>
              </w:rPr>
              <w:t> </w:t>
            </w:r>
          </w:p>
          <w:p w14:paraId="29997682"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(spodbujanje uravnotežene zastopanosti spolov)</w:t>
            </w:r>
            <w:r w:rsidRPr="003B2A0D">
              <w:rPr>
                <w:rStyle w:val="eop"/>
                <w:rFonts w:ascii="Arial" w:hAnsi="Arial" w:cs="Arial"/>
                <w:b/>
                <w:sz w:val="20"/>
                <w:szCs w:val="20"/>
              </w:rPr>
              <w:t> </w:t>
            </w:r>
          </w:p>
          <w:p w14:paraId="7F64354F"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425E20F8"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Družbe si prizadevajo za doseganje uravnotežene zastopanosti spolov med člani organov vodenja in nadzora ter izvršnimi direktorji.</w:t>
            </w:r>
            <w:r w:rsidRPr="003B2A0D">
              <w:rPr>
                <w:rStyle w:val="eop"/>
                <w:rFonts w:ascii="Arial" w:hAnsi="Arial" w:cs="Arial"/>
                <w:sz w:val="20"/>
                <w:szCs w:val="20"/>
              </w:rPr>
              <w:t> </w:t>
            </w:r>
          </w:p>
          <w:p w14:paraId="30239AF1"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60FBE903"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254.b člen</w:t>
            </w:r>
            <w:r w:rsidRPr="003B2A0D">
              <w:rPr>
                <w:rStyle w:val="eop"/>
                <w:rFonts w:ascii="Arial" w:hAnsi="Arial" w:cs="Arial"/>
                <w:b/>
                <w:sz w:val="20"/>
                <w:szCs w:val="20"/>
              </w:rPr>
              <w:t> </w:t>
            </w:r>
          </w:p>
          <w:p w14:paraId="3B2713A6"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(družbe zavezanke)</w:t>
            </w:r>
            <w:r w:rsidRPr="003B2A0D">
              <w:rPr>
                <w:rStyle w:val="eop"/>
                <w:rFonts w:ascii="Arial" w:hAnsi="Arial" w:cs="Arial"/>
                <w:b/>
                <w:sz w:val="20"/>
                <w:szCs w:val="20"/>
              </w:rPr>
              <w:t> </w:t>
            </w:r>
          </w:p>
          <w:p w14:paraId="65298EEF"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65D598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Ukrepe iz tega poglavja za spodbujanje uravnotežene zastopanosti spolov sprejme: </w:t>
            </w:r>
            <w:r w:rsidRPr="003B2A0D">
              <w:rPr>
                <w:rStyle w:val="eop"/>
                <w:rFonts w:ascii="Arial" w:hAnsi="Arial" w:cs="Arial"/>
                <w:sz w:val="20"/>
                <w:szCs w:val="20"/>
              </w:rPr>
              <w:t> </w:t>
            </w:r>
          </w:p>
          <w:p w14:paraId="4640E07E" w14:textId="77777777" w:rsidR="000C08CA" w:rsidRPr="003B2A0D" w:rsidRDefault="000C08CA" w:rsidP="00FE328D">
            <w:pPr>
              <w:pStyle w:val="paragraph"/>
              <w:numPr>
                <w:ilvl w:val="0"/>
                <w:numId w:val="76"/>
              </w:numPr>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družba, s katere vrednostnimi papirji se trguje na organiziranem trgu, ima več kot 250 zaposlenih in hkrati čisti prihodki od prodaje presegajo 50.000.000 eurov ali vrednost aktive presega 43.000.000 eurov,</w:t>
            </w:r>
            <w:r w:rsidRPr="003B2A0D">
              <w:rPr>
                <w:rStyle w:val="eop"/>
                <w:rFonts w:ascii="Arial" w:hAnsi="Arial" w:cs="Arial"/>
                <w:sz w:val="20"/>
                <w:szCs w:val="20"/>
              </w:rPr>
              <w:t> </w:t>
            </w:r>
          </w:p>
          <w:p w14:paraId="41F1280D" w14:textId="77777777" w:rsidR="000C08CA" w:rsidRPr="003B2A0D" w:rsidRDefault="000C08CA" w:rsidP="00FE328D">
            <w:pPr>
              <w:pStyle w:val="paragraph"/>
              <w:numPr>
                <w:ilvl w:val="0"/>
                <w:numId w:val="76"/>
              </w:numPr>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 xml:space="preserve">družba z večinsko kapitalsko naložbo države </w:t>
            </w:r>
            <w:r>
              <w:rPr>
                <w:rStyle w:val="normaltextrun"/>
                <w:rFonts w:ascii="Arial" w:hAnsi="Arial" w:cs="Arial"/>
                <w:sz w:val="20"/>
                <w:szCs w:val="20"/>
              </w:rPr>
              <w:t>ali</w:t>
            </w:r>
            <w:r w:rsidRPr="003B2A0D">
              <w:rPr>
                <w:rStyle w:val="normaltextrun"/>
                <w:rFonts w:ascii="Arial" w:hAnsi="Arial" w:cs="Arial"/>
                <w:sz w:val="20"/>
                <w:szCs w:val="20"/>
              </w:rPr>
              <w:t xml:space="preserve"> samoupravne lokalne skupnosti, v kateri ima država ali samoupravna lokalna skupnost neposredno ali posredno večinski delež v kapitalu ali večino glasovalnih pravic, ima vsaj 250 zaposlenih in izpolnjuje pogoje za velike družbe iz petega odstavka 55. člena tega zakona. </w:t>
            </w:r>
            <w:r w:rsidRPr="003B2A0D">
              <w:rPr>
                <w:rStyle w:val="eop"/>
                <w:rFonts w:ascii="Arial" w:hAnsi="Arial" w:cs="Arial"/>
                <w:sz w:val="20"/>
                <w:szCs w:val="20"/>
              </w:rPr>
              <w:t> </w:t>
            </w:r>
          </w:p>
          <w:p w14:paraId="5B9A523D" w14:textId="77777777" w:rsidR="000C08CA" w:rsidRPr="003B2A0D" w:rsidRDefault="000C08CA" w:rsidP="00FE328D">
            <w:pPr>
              <w:pStyle w:val="paragraph"/>
              <w:spacing w:before="0" w:beforeAutospacing="0" w:after="0" w:afterAutospacing="0" w:line="276" w:lineRule="auto"/>
              <w:ind w:left="720"/>
              <w:jc w:val="both"/>
              <w:textAlignment w:val="baseline"/>
              <w:rPr>
                <w:rFonts w:ascii="Arial" w:hAnsi="Arial" w:cs="Arial"/>
                <w:sz w:val="20"/>
                <w:szCs w:val="20"/>
              </w:rPr>
            </w:pPr>
            <w:r w:rsidRPr="003B2A0D">
              <w:rPr>
                <w:rStyle w:val="eop"/>
                <w:rFonts w:ascii="Arial" w:hAnsi="Arial" w:cs="Arial"/>
                <w:sz w:val="20"/>
                <w:szCs w:val="20"/>
              </w:rPr>
              <w:t> </w:t>
            </w:r>
          </w:p>
          <w:p w14:paraId="4A51CDFE"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254.c člen</w:t>
            </w:r>
            <w:r w:rsidRPr="003B2A0D">
              <w:rPr>
                <w:rStyle w:val="eop"/>
                <w:rFonts w:ascii="Arial" w:hAnsi="Arial" w:cs="Arial"/>
                <w:b/>
                <w:sz w:val="20"/>
                <w:szCs w:val="20"/>
              </w:rPr>
              <w:t> </w:t>
            </w:r>
          </w:p>
          <w:p w14:paraId="3F586F53"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(delež zastopanosti posameznega spola)</w:t>
            </w:r>
            <w:r w:rsidRPr="003B2A0D">
              <w:rPr>
                <w:rStyle w:val="eop"/>
                <w:rFonts w:ascii="Arial" w:hAnsi="Arial" w:cs="Arial"/>
                <w:b/>
                <w:sz w:val="20"/>
                <w:szCs w:val="20"/>
              </w:rPr>
              <w:t> </w:t>
            </w:r>
          </w:p>
          <w:p w14:paraId="3EB3AC21"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DDF33D3"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(1) Družba iz prejšnjega člena (v nadaljnjem besedilu: družba zavezanka) zagotavlja:</w:t>
            </w:r>
            <w:r w:rsidRPr="003B2A0D">
              <w:rPr>
                <w:rStyle w:val="eop"/>
                <w:rFonts w:ascii="Arial" w:hAnsi="Arial" w:cs="Arial"/>
                <w:sz w:val="20"/>
                <w:szCs w:val="20"/>
              </w:rPr>
              <w:t> </w:t>
            </w:r>
          </w:p>
          <w:p w14:paraId="46D3E438"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sz w:val="20"/>
                <w:szCs w:val="20"/>
              </w:rPr>
              <w:t>‒</w:t>
            </w:r>
            <w:r w:rsidRPr="003B2A0D">
              <w:rPr>
                <w:rStyle w:val="normaltextrun"/>
                <w:rFonts w:ascii="Arial" w:hAnsi="Arial" w:cs="Arial"/>
                <w:sz w:val="20"/>
                <w:szCs w:val="20"/>
              </w:rPr>
              <w:t xml:space="preserve"> vsaj 40</w:t>
            </w:r>
            <w:r>
              <w:rPr>
                <w:rStyle w:val="normaltextrun"/>
                <w:rFonts w:ascii="Arial" w:hAnsi="Arial" w:cs="Arial"/>
                <w:sz w:val="20"/>
                <w:szCs w:val="20"/>
              </w:rPr>
              <w:t>-odstotno</w:t>
            </w:r>
            <w:r w:rsidRPr="003B2A0D">
              <w:rPr>
                <w:rStyle w:val="normaltextrun"/>
                <w:rFonts w:ascii="Arial" w:hAnsi="Arial" w:cs="Arial"/>
                <w:sz w:val="20"/>
                <w:szCs w:val="20"/>
              </w:rPr>
              <w:t xml:space="preserve"> zastopanost manj zastopanega spola med člani organa nadzora ali </w:t>
            </w:r>
            <w:r w:rsidRPr="003B2A0D">
              <w:rPr>
                <w:rStyle w:val="eop"/>
                <w:rFonts w:ascii="Arial" w:hAnsi="Arial" w:cs="Arial"/>
                <w:sz w:val="20"/>
                <w:szCs w:val="20"/>
              </w:rPr>
              <w:t> </w:t>
            </w:r>
          </w:p>
          <w:p w14:paraId="49E7058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Pr>
                <w:rStyle w:val="normaltextrun"/>
                <w:rFonts w:ascii="Arial" w:hAnsi="Arial" w:cs="Arial"/>
                <w:sz w:val="20"/>
                <w:szCs w:val="20"/>
              </w:rPr>
              <w:t>‒</w:t>
            </w:r>
            <w:r w:rsidRPr="003B2A0D">
              <w:rPr>
                <w:rStyle w:val="normaltextrun"/>
                <w:rFonts w:ascii="Arial" w:hAnsi="Arial" w:cs="Arial"/>
                <w:sz w:val="20"/>
                <w:szCs w:val="20"/>
              </w:rPr>
              <w:t xml:space="preserve"> vsaj 33</w:t>
            </w:r>
            <w:r>
              <w:rPr>
                <w:rStyle w:val="normaltextrun"/>
                <w:rFonts w:ascii="Arial" w:hAnsi="Arial" w:cs="Arial"/>
                <w:sz w:val="20"/>
                <w:szCs w:val="20"/>
              </w:rPr>
              <w:t>-odstotno</w:t>
            </w:r>
            <w:r w:rsidRPr="003B2A0D">
              <w:rPr>
                <w:rStyle w:val="normaltextrun"/>
                <w:rFonts w:ascii="Arial" w:hAnsi="Arial" w:cs="Arial"/>
                <w:sz w:val="20"/>
                <w:szCs w:val="20"/>
              </w:rPr>
              <w:t xml:space="preserve"> zastopanost manj zastopanega spola med člani organov vodenja in nadzora ter izvršnimi direktorji. </w:t>
            </w:r>
            <w:r w:rsidRPr="003B2A0D">
              <w:rPr>
                <w:rStyle w:val="eop"/>
                <w:rFonts w:ascii="Arial" w:hAnsi="Arial" w:cs="Arial"/>
                <w:sz w:val="20"/>
                <w:szCs w:val="20"/>
              </w:rPr>
              <w:t> </w:t>
            </w:r>
          </w:p>
          <w:p w14:paraId="3ECB9C9A"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24439F42"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(2) Družba zavezanka sprejme politiko raznolikosti, v kateri določi, katerega od deležev iz prejšnjega odstavka namerava izpolnjevati. Če se zaveže k izpolnjevanju deleža iz prve alineje prejšnjega odstavka, določi tudi delež zastopanosti manj zastopanega spola med člani organov vodenja ter izvršnimi direktorji, ki ga namerava izpolnjevati.</w:t>
            </w:r>
            <w:r w:rsidRPr="003B2A0D">
              <w:rPr>
                <w:rStyle w:val="eop"/>
                <w:rFonts w:ascii="Arial" w:hAnsi="Arial" w:cs="Arial"/>
                <w:sz w:val="20"/>
                <w:szCs w:val="20"/>
              </w:rPr>
              <w:t> </w:t>
            </w:r>
          </w:p>
          <w:p w14:paraId="51415C40"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537CE2B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(3) Svet delavcev je pri imenovanju predstavnikov delavcev v organe nadzora in vodenja ter za izvršne direktorje družbe zavezanke po zakonu, ki ureja sodelovanje delavcev pri upravljanju, dolžan glede svojih predstavnikov zagotoviti vsaj 33</w:t>
            </w:r>
            <w:r>
              <w:rPr>
                <w:rStyle w:val="normaltextrun"/>
                <w:rFonts w:ascii="Arial" w:hAnsi="Arial" w:cs="Arial"/>
                <w:sz w:val="20"/>
                <w:szCs w:val="20"/>
              </w:rPr>
              <w:t>-odstotno</w:t>
            </w:r>
            <w:r w:rsidRPr="003B2A0D">
              <w:rPr>
                <w:rStyle w:val="normaltextrun"/>
                <w:rFonts w:ascii="Arial" w:hAnsi="Arial" w:cs="Arial"/>
                <w:sz w:val="20"/>
                <w:szCs w:val="20"/>
              </w:rPr>
              <w:t xml:space="preserve"> zastopanost manj zastopanega spola, razen če v času imenovanja ni na izbiro osebe manj zastopanega spola. </w:t>
            </w:r>
            <w:r w:rsidRPr="003B2A0D">
              <w:rPr>
                <w:rStyle w:val="eop"/>
                <w:rFonts w:ascii="Arial" w:hAnsi="Arial" w:cs="Arial"/>
                <w:sz w:val="20"/>
                <w:szCs w:val="20"/>
              </w:rPr>
              <w:t> </w:t>
            </w:r>
          </w:p>
          <w:p w14:paraId="79122353"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47E224BB" w14:textId="77777777" w:rsidR="000C08CA" w:rsidRPr="003B2A0D" w:rsidRDefault="000C08CA" w:rsidP="00FE328D">
            <w:pPr>
              <w:spacing w:line="276" w:lineRule="auto"/>
              <w:jc w:val="both"/>
              <w:rPr>
                <w:rFonts w:cs="Arial"/>
                <w:szCs w:val="20"/>
              </w:rPr>
            </w:pPr>
            <w:r w:rsidRPr="003B2A0D">
              <w:rPr>
                <w:rStyle w:val="normaltextrun"/>
                <w:rFonts w:cs="Arial"/>
                <w:szCs w:val="20"/>
              </w:rPr>
              <w:t>(4) Šteje se, da je delež 40</w:t>
            </w:r>
            <w:r>
              <w:rPr>
                <w:rStyle w:val="normaltextrun"/>
                <w:rFonts w:cs="Arial"/>
                <w:szCs w:val="20"/>
              </w:rPr>
              <w:t>-ods</w:t>
            </w:r>
            <w:r>
              <w:rPr>
                <w:rStyle w:val="normaltextrun"/>
              </w:rPr>
              <w:t>totne</w:t>
            </w:r>
            <w:r w:rsidRPr="003B2A0D">
              <w:rPr>
                <w:rStyle w:val="normaltextrun"/>
                <w:rFonts w:cs="Arial"/>
                <w:szCs w:val="20"/>
              </w:rPr>
              <w:t xml:space="preserve"> zastopanosti manj zastopanega spola izpolnjen, če je delež oseb tega spola glede na število članov organa nadzora najbližji deležu 40 % in hkrati ne presega 49 %. </w:t>
            </w:r>
            <w:r w:rsidRPr="003B2A0D">
              <w:rPr>
                <w:rStyle w:val="normaltextrun"/>
                <w:rFonts w:cs="Arial"/>
                <w:szCs w:val="20"/>
              </w:rPr>
              <w:lastRenderedPageBreak/>
              <w:t>Šteje se, da je delež 33</w:t>
            </w:r>
            <w:r>
              <w:rPr>
                <w:rStyle w:val="normaltextrun"/>
                <w:rFonts w:cs="Arial"/>
                <w:szCs w:val="20"/>
              </w:rPr>
              <w:t>-odstotne</w:t>
            </w:r>
            <w:r w:rsidRPr="003B2A0D">
              <w:rPr>
                <w:rStyle w:val="normaltextrun"/>
                <w:rFonts w:cs="Arial"/>
                <w:szCs w:val="20"/>
              </w:rPr>
              <w:t xml:space="preserve"> zastopanosti manj zastopanega spola izpolnjen, če je delež oseb tega spola glede na število članov organov vodenja in nadzora ter izvršnih direktorskih mest najbližji deležu 33 % in hkrati ne presega 49 %. Število posameznih mest je navedeno v </w:t>
            </w:r>
            <w:r w:rsidRPr="003B2A0D">
              <w:rPr>
                <w:rFonts w:cs="Arial"/>
                <w:szCs w:val="20"/>
              </w:rPr>
              <w:t xml:space="preserve">Prilogi Direktive (EU) 2022/2381 Evropskega parlamenta in Sveta z dne 23. novembra 2022 o zagotavljanju uravnotežene zastopanosti spolov med direktorji družb, ki kotirajo na borzi, in s tem povezanih ukrepih (UL L št. 315 z dne 7. 12. 2022, str. 44). </w:t>
            </w:r>
          </w:p>
          <w:p w14:paraId="49A80442" w14:textId="77777777" w:rsidR="000C08CA" w:rsidRPr="003B2A0D" w:rsidRDefault="000C08CA" w:rsidP="00FE328D">
            <w:pPr>
              <w:spacing w:line="276" w:lineRule="auto"/>
              <w:jc w:val="both"/>
              <w:rPr>
                <w:rFonts w:cs="Arial"/>
                <w:szCs w:val="20"/>
              </w:rPr>
            </w:pPr>
          </w:p>
          <w:p w14:paraId="4DB82826" w14:textId="77777777" w:rsidR="000C08CA" w:rsidRPr="003B2A0D" w:rsidRDefault="000C08CA" w:rsidP="00FE328D">
            <w:pPr>
              <w:spacing w:line="276" w:lineRule="auto"/>
              <w:jc w:val="both"/>
              <w:rPr>
                <w:rFonts w:cs="Arial"/>
                <w:szCs w:val="20"/>
              </w:rPr>
            </w:pPr>
            <w:r w:rsidRPr="003B2A0D">
              <w:rPr>
                <w:rFonts w:cs="Arial"/>
                <w:szCs w:val="20"/>
              </w:rPr>
              <w:t>(5) Pri ugotavljanju deleža zastopanosti spolov v družbi z enotirnim sistemom upravljanja se član upravnega odbora, ki je imenovan za izvršnega direktorja, upošteva enkrat. Pri določanju deležev zastopanosti spolov med člani organa nadzora se izvršni direktorji ne upoštevajo.</w:t>
            </w:r>
          </w:p>
          <w:p w14:paraId="2CE92148"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6AE9B14"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254.č člen</w:t>
            </w:r>
            <w:r w:rsidRPr="003B2A0D">
              <w:rPr>
                <w:rStyle w:val="eop"/>
                <w:rFonts w:ascii="Arial" w:hAnsi="Arial" w:cs="Arial"/>
                <w:b/>
                <w:sz w:val="20"/>
                <w:szCs w:val="20"/>
              </w:rPr>
              <w:t> </w:t>
            </w:r>
          </w:p>
          <w:p w14:paraId="73801286"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(izbirni postopek v primeru neizpolnjevanja deležev)</w:t>
            </w:r>
            <w:r w:rsidRPr="003B2A0D">
              <w:rPr>
                <w:rStyle w:val="eop"/>
                <w:rFonts w:ascii="Arial" w:hAnsi="Arial" w:cs="Arial"/>
                <w:b/>
                <w:sz w:val="20"/>
                <w:szCs w:val="20"/>
              </w:rPr>
              <w:t> </w:t>
            </w:r>
          </w:p>
          <w:p w14:paraId="13538AB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6FDD8B7"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 xml:space="preserve">(1) Družba zavezanka, ki ne izpolnjuje deležev zastopanosti spolov, določenih v politiki raznolikosti, mora ob enakem izpolnjevanju predpisanih meril in pogojev izbirnega postopka za imenovanje članov organov vodenja in nadzora ter izvršnih direktorjev dati prednost osebi manj zastopanega spola, razen v izjemnih primerih, ko je treba zaradi objektivno utemeljenih razlogov, na primer zaradi upoštevanja politike raznolikosti na podlagi drugih osebnih okoliščin, dati prednost kandidatu nasprotnega spola, kar mora družba posebej utemeljiti. </w:t>
            </w:r>
            <w:r w:rsidRPr="003B2A0D">
              <w:rPr>
                <w:rStyle w:val="eop"/>
                <w:rFonts w:ascii="Arial" w:hAnsi="Arial" w:cs="Arial"/>
                <w:sz w:val="20"/>
                <w:szCs w:val="20"/>
              </w:rPr>
              <w:t> </w:t>
            </w:r>
          </w:p>
          <w:p w14:paraId="536FA179"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7C92733F"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(2) Družba zavezanka pred začetkom postopka določi jasna, nevtralna in nedvoumna merila ter pogoje izbirnega postopka za imenovanje člana organa vodenja ali nadzora oziroma izvršnega direktorja, ki morajo biti upoštevani v celotnem izbirnem postopku za imenovanje kandidata za prosto mesto.  </w:t>
            </w:r>
            <w:r w:rsidRPr="003B2A0D">
              <w:rPr>
                <w:rStyle w:val="eop"/>
                <w:rFonts w:ascii="Arial" w:hAnsi="Arial" w:cs="Arial"/>
                <w:sz w:val="20"/>
                <w:szCs w:val="20"/>
              </w:rPr>
              <w:t> </w:t>
            </w:r>
          </w:p>
          <w:p w14:paraId="195C455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3DD6524"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 xml:space="preserve">(3) </w:t>
            </w:r>
            <w:r>
              <w:rPr>
                <w:rStyle w:val="normaltextrun"/>
                <w:rFonts w:ascii="Arial" w:hAnsi="Arial" w:cs="Arial"/>
                <w:sz w:val="20"/>
                <w:szCs w:val="20"/>
              </w:rPr>
              <w:t>Kadar</w:t>
            </w:r>
            <w:r w:rsidRPr="003B2A0D">
              <w:rPr>
                <w:rStyle w:val="normaltextrun"/>
                <w:rFonts w:ascii="Arial" w:hAnsi="Arial" w:cs="Arial"/>
                <w:sz w:val="20"/>
                <w:szCs w:val="20"/>
              </w:rPr>
              <w:t xml:space="preserve"> je izbira za člana organa vodenja ali nadzora ali izvršnega direktorja opravljena z glasovanjem, družba zavezanka vsem, ki imajo glasovalno pravico, pred glasovanjem zagotovi informacije o obveznostih družbe </w:t>
            </w:r>
            <w:r>
              <w:rPr>
                <w:rStyle w:val="normaltextrun"/>
                <w:rFonts w:ascii="Arial" w:hAnsi="Arial" w:cs="Arial"/>
                <w:sz w:val="20"/>
                <w:szCs w:val="20"/>
              </w:rPr>
              <w:t>in</w:t>
            </w:r>
            <w:r w:rsidRPr="003B2A0D">
              <w:rPr>
                <w:rStyle w:val="normaltextrun"/>
                <w:rFonts w:ascii="Arial" w:hAnsi="Arial" w:cs="Arial"/>
                <w:sz w:val="20"/>
                <w:szCs w:val="20"/>
              </w:rPr>
              <w:t xml:space="preserve"> o sankcijah v primeru neizpolnitve obveznosti. </w:t>
            </w:r>
            <w:r w:rsidRPr="003B2A0D">
              <w:rPr>
                <w:rStyle w:val="eop"/>
                <w:rFonts w:ascii="Arial" w:hAnsi="Arial" w:cs="Arial"/>
                <w:sz w:val="20"/>
                <w:szCs w:val="20"/>
              </w:rPr>
              <w:t> </w:t>
            </w:r>
          </w:p>
          <w:p w14:paraId="5F7DC894"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7784BFF0"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bookmarkStart w:id="57" w:name="_Hlk146617036"/>
            <w:r w:rsidRPr="003B2A0D">
              <w:rPr>
                <w:rStyle w:val="normaltextrun"/>
                <w:rFonts w:ascii="Arial" w:hAnsi="Arial" w:cs="Arial"/>
                <w:b/>
                <w:sz w:val="20"/>
                <w:szCs w:val="20"/>
              </w:rPr>
              <w:t>254.d člen</w:t>
            </w:r>
            <w:r w:rsidRPr="003B2A0D">
              <w:rPr>
                <w:rStyle w:val="eop"/>
                <w:rFonts w:ascii="Arial" w:hAnsi="Arial" w:cs="Arial"/>
                <w:b/>
                <w:sz w:val="20"/>
                <w:szCs w:val="20"/>
              </w:rPr>
              <w:t> </w:t>
            </w:r>
          </w:p>
          <w:p w14:paraId="3AC442CA"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(pravice neizbranega kandidata)</w:t>
            </w:r>
            <w:r w:rsidRPr="003B2A0D">
              <w:rPr>
                <w:rStyle w:val="eop"/>
                <w:rFonts w:ascii="Arial" w:hAnsi="Arial" w:cs="Arial"/>
                <w:b/>
                <w:sz w:val="20"/>
                <w:szCs w:val="20"/>
              </w:rPr>
              <w:t> </w:t>
            </w:r>
          </w:p>
          <w:p w14:paraId="164308BE"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24B30DD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(1) Kandidat, ki je oseba manj zastopanega spola in ni bil izbran za imenovanje člana organa vodenja ali nadzora ali izvršnega direktorja (v nadaljnjem besedilu: neizbrani kandidat), lahko v primeru iz prejšnjega člena od družbe zavezanke zahteva podatke o merilih in pogojih izbirnega postopka, o objektivni primerjalni oceni kandidatov glede izpolnjevanja meril in pogojev oziroma o utemeljenosti izjeme.</w:t>
            </w:r>
            <w:r w:rsidRPr="003B2A0D">
              <w:rPr>
                <w:rStyle w:val="eop"/>
                <w:rFonts w:ascii="Arial" w:hAnsi="Arial" w:cs="Arial"/>
                <w:sz w:val="20"/>
                <w:szCs w:val="20"/>
              </w:rPr>
              <w:t> </w:t>
            </w:r>
          </w:p>
          <w:p w14:paraId="04266FB0"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5197551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(2)</w:t>
            </w:r>
            <w:r w:rsidRPr="003B2A0D" w:rsidDel="00E061A6">
              <w:rPr>
                <w:rStyle w:val="normaltextrun"/>
                <w:rFonts w:ascii="Arial" w:hAnsi="Arial" w:cs="Arial"/>
                <w:sz w:val="20"/>
                <w:szCs w:val="20"/>
              </w:rPr>
              <w:t xml:space="preserve"> </w:t>
            </w:r>
            <w:r w:rsidRPr="003B2A0D">
              <w:rPr>
                <w:rStyle w:val="normaltextrun"/>
                <w:rFonts w:ascii="Arial" w:hAnsi="Arial" w:cs="Arial"/>
                <w:sz w:val="20"/>
                <w:szCs w:val="20"/>
              </w:rPr>
              <w:t>Kadar neizbrani kandidat v postopku pri zagovorniku, pristojni inšpekciji ali pri drugem pristojnem organu, v katerem zahteva obravnavo postopka, izkaže dejstva, na podlagi katerih navedeni pristojni organi upravičeno domnevajo, da je bil neizbrani kandidat enako kvalificiran kot izbrani kandidat, mora družba zavezanka dokazati, da v obravnavanem primeru ni bil kršen prvi odstavek prejšnjega člena. Če se domneva iz prejšnjega stavka dokazuje v postopku pred sodiščem, mora družba zavezanka v tem sodnem postopku dokazati, da v obravnavanem primeru ni bil kršen prvi odstavek prejšnjega člena.</w:t>
            </w:r>
          </w:p>
          <w:p w14:paraId="35A8C00E"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25DCAB5C"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(3) Če je bila v izbirnem postopku za imenovanje kandidata na prosto mesto v nasprotju s prvim odstavkom prejšnjega člena imenovana oseba, ki ni oseba manj zastopanega spola, se ne glede na 392. člen tega zakona imenovanje šteje za veljavno, neizbrani kandidat pa ima pravico do odškodnine po splošnih pravilih civilnega prava in pravico do nadomestila zaradi diskriminacije v skladu z zakonom, ki ureja varstvo pred diskriminacijo.</w:t>
            </w:r>
            <w:r w:rsidRPr="003B2A0D">
              <w:rPr>
                <w:rStyle w:val="eop"/>
                <w:rFonts w:ascii="Arial" w:hAnsi="Arial" w:cs="Arial"/>
                <w:sz w:val="20"/>
                <w:szCs w:val="20"/>
              </w:rPr>
              <w:t> </w:t>
            </w:r>
          </w:p>
          <w:bookmarkEnd w:id="57"/>
          <w:p w14:paraId="1DA6ACD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lastRenderedPageBreak/>
              <w:t> </w:t>
            </w:r>
          </w:p>
          <w:p w14:paraId="1E413B00"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254.e člen</w:t>
            </w:r>
            <w:r w:rsidRPr="003B2A0D">
              <w:rPr>
                <w:rStyle w:val="eop"/>
                <w:rFonts w:ascii="Arial" w:hAnsi="Arial" w:cs="Arial"/>
                <w:b/>
                <w:sz w:val="20"/>
                <w:szCs w:val="20"/>
              </w:rPr>
              <w:t> </w:t>
            </w:r>
          </w:p>
          <w:p w14:paraId="47813DC0"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(javna objava podatkov)</w:t>
            </w:r>
            <w:r w:rsidRPr="003B2A0D">
              <w:rPr>
                <w:rStyle w:val="eop"/>
                <w:rFonts w:ascii="Arial" w:hAnsi="Arial" w:cs="Arial"/>
                <w:b/>
                <w:sz w:val="20"/>
                <w:szCs w:val="20"/>
              </w:rPr>
              <w:t> </w:t>
            </w:r>
          </w:p>
          <w:p w14:paraId="442AC4E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37D140DD"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(1) Družba zavezanka v izjavi o upravljanju iz šestega odstavka 70. člena tega zakona objavi podatke:</w:t>
            </w:r>
            <w:r w:rsidRPr="003B2A0D">
              <w:rPr>
                <w:rStyle w:val="eop"/>
                <w:rFonts w:ascii="Arial" w:hAnsi="Arial" w:cs="Arial"/>
                <w:sz w:val="20"/>
                <w:szCs w:val="20"/>
              </w:rPr>
              <w:t> </w:t>
            </w:r>
          </w:p>
          <w:p w14:paraId="71B241CA" w14:textId="77777777" w:rsidR="000C08CA" w:rsidRPr="003B2A0D" w:rsidRDefault="000C08CA" w:rsidP="00FE328D">
            <w:pPr>
              <w:pStyle w:val="paragraph"/>
              <w:numPr>
                <w:ilvl w:val="0"/>
                <w:numId w:val="75"/>
              </w:numPr>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o deležu zastopanosti spolov v organih vodenja in nadzora družbe ter med izvršnimi direktorji, </w:t>
            </w:r>
            <w:r w:rsidRPr="003B2A0D">
              <w:rPr>
                <w:rStyle w:val="eop"/>
                <w:rFonts w:ascii="Arial" w:hAnsi="Arial" w:cs="Arial"/>
                <w:sz w:val="20"/>
                <w:szCs w:val="20"/>
              </w:rPr>
              <w:t> </w:t>
            </w:r>
          </w:p>
          <w:p w14:paraId="5E92C49D" w14:textId="77777777" w:rsidR="000C08CA" w:rsidRPr="003B2A0D" w:rsidRDefault="000C08CA" w:rsidP="00FE328D">
            <w:pPr>
              <w:pStyle w:val="paragraph"/>
              <w:numPr>
                <w:ilvl w:val="0"/>
                <w:numId w:val="75"/>
              </w:numPr>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o ukrepih, sprejetih za dosego deležev zastopanosti posameznega spola iz 254.c člena tega zakona,</w:t>
            </w:r>
            <w:r w:rsidRPr="003B2A0D">
              <w:rPr>
                <w:rStyle w:val="eop"/>
                <w:rFonts w:ascii="Arial" w:hAnsi="Arial" w:cs="Arial"/>
                <w:sz w:val="20"/>
                <w:szCs w:val="20"/>
              </w:rPr>
              <w:t> </w:t>
            </w:r>
          </w:p>
          <w:p w14:paraId="3F8D99F8" w14:textId="77777777" w:rsidR="000C08CA" w:rsidRPr="003B2A0D" w:rsidRDefault="000C08CA" w:rsidP="00FE328D">
            <w:pPr>
              <w:pStyle w:val="paragraph"/>
              <w:numPr>
                <w:ilvl w:val="0"/>
                <w:numId w:val="75"/>
              </w:numPr>
              <w:spacing w:before="0" w:beforeAutospacing="0" w:after="0" w:afterAutospacing="0" w:line="276" w:lineRule="auto"/>
              <w:jc w:val="both"/>
              <w:textAlignment w:val="baseline"/>
              <w:rPr>
                <w:rStyle w:val="eop"/>
                <w:rFonts w:ascii="Arial" w:hAnsi="Arial" w:cs="Arial"/>
                <w:sz w:val="20"/>
                <w:szCs w:val="20"/>
              </w:rPr>
            </w:pPr>
            <w:r w:rsidRPr="003B2A0D">
              <w:rPr>
                <w:rStyle w:val="normaltextrun"/>
                <w:rFonts w:ascii="Arial" w:hAnsi="Arial" w:cs="Arial"/>
                <w:sz w:val="20"/>
                <w:szCs w:val="20"/>
              </w:rPr>
              <w:t xml:space="preserve">o razlogih, če deleži niso bili doseženi, z </w:t>
            </w:r>
            <w:r w:rsidRPr="003B2A0D" w:rsidDel="00093903">
              <w:rPr>
                <w:rStyle w:val="normaltextrun"/>
                <w:rFonts w:ascii="Arial" w:hAnsi="Arial" w:cs="Arial"/>
                <w:sz w:val="20"/>
                <w:szCs w:val="20"/>
              </w:rPr>
              <w:t xml:space="preserve">opisom </w:t>
            </w:r>
            <w:r w:rsidRPr="003B2A0D">
              <w:rPr>
                <w:rStyle w:val="normaltextrun"/>
                <w:rFonts w:ascii="Arial" w:hAnsi="Arial" w:cs="Arial"/>
                <w:sz w:val="20"/>
                <w:szCs w:val="20"/>
              </w:rPr>
              <w:t>ukrepov, ki jih je družba izvedla oziroma jih namerava izvesti za njihovo izpolnitev.</w:t>
            </w:r>
            <w:r w:rsidRPr="003B2A0D">
              <w:rPr>
                <w:rStyle w:val="eop"/>
                <w:rFonts w:ascii="Arial" w:hAnsi="Arial" w:cs="Arial"/>
                <w:sz w:val="20"/>
                <w:szCs w:val="20"/>
              </w:rPr>
              <w:t> </w:t>
            </w:r>
          </w:p>
          <w:p w14:paraId="36589E41" w14:textId="77777777" w:rsidR="000C08CA" w:rsidRPr="003B2A0D" w:rsidRDefault="000C08CA" w:rsidP="00FE328D">
            <w:pPr>
              <w:pStyle w:val="paragraph"/>
              <w:spacing w:before="0" w:beforeAutospacing="0" w:after="0" w:afterAutospacing="0" w:line="276" w:lineRule="auto"/>
              <w:ind w:left="360"/>
              <w:jc w:val="both"/>
              <w:textAlignment w:val="baseline"/>
              <w:rPr>
                <w:rFonts w:ascii="Arial" w:hAnsi="Arial" w:cs="Arial"/>
                <w:sz w:val="20"/>
                <w:szCs w:val="20"/>
              </w:rPr>
            </w:pPr>
          </w:p>
          <w:p w14:paraId="00BBF151" w14:textId="77777777" w:rsidR="000C08CA" w:rsidRPr="003B2A0D" w:rsidRDefault="000C08CA" w:rsidP="00FE328D">
            <w:pPr>
              <w:pStyle w:val="paragraph"/>
              <w:spacing w:before="0" w:beforeAutospacing="0" w:after="0" w:afterAutospacing="0" w:line="276" w:lineRule="auto"/>
              <w:jc w:val="both"/>
              <w:textAlignment w:val="baseline"/>
              <w:rPr>
                <w:rStyle w:val="eop"/>
                <w:rFonts w:ascii="Arial" w:hAnsi="Arial" w:cs="Arial"/>
                <w:sz w:val="20"/>
                <w:szCs w:val="20"/>
              </w:rPr>
            </w:pPr>
            <w:r w:rsidRPr="003B2A0D">
              <w:rPr>
                <w:rStyle w:val="normaltextrun"/>
                <w:rFonts w:ascii="Arial" w:hAnsi="Arial" w:cs="Arial"/>
                <w:sz w:val="20"/>
                <w:szCs w:val="20"/>
              </w:rPr>
              <w:t>(2) Podatke iz prejšnjega odstavka družba objavi tudi na svoji spletni strani.</w:t>
            </w:r>
            <w:r w:rsidRPr="003B2A0D">
              <w:rPr>
                <w:rStyle w:val="eop"/>
                <w:rFonts w:ascii="Arial" w:hAnsi="Arial" w:cs="Arial"/>
                <w:sz w:val="20"/>
                <w:szCs w:val="20"/>
              </w:rPr>
              <w:t> </w:t>
            </w:r>
          </w:p>
          <w:p w14:paraId="452571C3" w14:textId="77777777" w:rsidR="000C08CA" w:rsidRPr="003B2A0D" w:rsidRDefault="000C08CA" w:rsidP="00FE328D">
            <w:pPr>
              <w:pStyle w:val="paragraph"/>
              <w:spacing w:before="0" w:beforeAutospacing="0" w:after="0" w:afterAutospacing="0" w:line="276" w:lineRule="auto"/>
              <w:jc w:val="both"/>
              <w:textAlignment w:val="baseline"/>
              <w:rPr>
                <w:rStyle w:val="eop"/>
                <w:rFonts w:ascii="Arial" w:hAnsi="Arial" w:cs="Arial"/>
                <w:sz w:val="20"/>
                <w:szCs w:val="20"/>
              </w:rPr>
            </w:pPr>
          </w:p>
          <w:p w14:paraId="488A2EAA"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(3) Ministrstvo, pristojno za gospodarstvo, na svoji spletni strani objavi seznam družb zavezank in dosežene deleže glede zastopanosti spolov v organih vodenja in nadzora ter med izvršnimi direktorji.</w:t>
            </w:r>
          </w:p>
          <w:p w14:paraId="782D197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753768D5"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254.f člen</w:t>
            </w:r>
            <w:r w:rsidRPr="003B2A0D">
              <w:rPr>
                <w:rStyle w:val="eop"/>
                <w:rFonts w:ascii="Arial" w:hAnsi="Arial" w:cs="Arial"/>
                <w:b/>
                <w:sz w:val="20"/>
                <w:szCs w:val="20"/>
              </w:rPr>
              <w:t> </w:t>
            </w:r>
          </w:p>
          <w:p w14:paraId="69BDBBF9" w14:textId="77777777" w:rsidR="000C08CA" w:rsidRPr="003B2A0D" w:rsidRDefault="000C08CA" w:rsidP="00FE328D">
            <w:pPr>
              <w:pStyle w:val="paragraph"/>
              <w:spacing w:before="0" w:beforeAutospacing="0" w:after="0" w:afterAutospacing="0" w:line="276" w:lineRule="auto"/>
              <w:jc w:val="center"/>
              <w:textAlignment w:val="baseline"/>
              <w:rPr>
                <w:rFonts w:ascii="Arial" w:hAnsi="Arial" w:cs="Arial"/>
                <w:b/>
                <w:sz w:val="20"/>
                <w:szCs w:val="20"/>
              </w:rPr>
            </w:pPr>
            <w:r w:rsidRPr="003B2A0D">
              <w:rPr>
                <w:rStyle w:val="normaltextrun"/>
                <w:rFonts w:ascii="Arial" w:hAnsi="Arial" w:cs="Arial"/>
                <w:b/>
                <w:sz w:val="20"/>
                <w:szCs w:val="20"/>
              </w:rPr>
              <w:t>(pristojnosti Zagovornika načela enakosti)</w:t>
            </w:r>
            <w:r w:rsidRPr="003B2A0D">
              <w:rPr>
                <w:rStyle w:val="eop"/>
                <w:rFonts w:ascii="Arial" w:hAnsi="Arial" w:cs="Arial"/>
                <w:b/>
                <w:sz w:val="20"/>
                <w:szCs w:val="20"/>
              </w:rPr>
              <w:t> </w:t>
            </w:r>
          </w:p>
          <w:p w14:paraId="2EE11E64"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0D57C17E"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 xml:space="preserve">(1) Zagovornik načela enakosti spremlja, spodbuja, analizira in </w:t>
            </w:r>
            <w:r>
              <w:rPr>
                <w:rStyle w:val="normaltextrun"/>
                <w:rFonts w:ascii="Arial" w:hAnsi="Arial" w:cs="Arial"/>
                <w:sz w:val="20"/>
                <w:szCs w:val="20"/>
              </w:rPr>
              <w:t>zagotavlja</w:t>
            </w:r>
            <w:r w:rsidRPr="003B2A0D">
              <w:rPr>
                <w:rStyle w:val="normaltextrun"/>
                <w:rFonts w:ascii="Arial" w:hAnsi="Arial" w:cs="Arial"/>
                <w:sz w:val="20"/>
                <w:szCs w:val="20"/>
              </w:rPr>
              <w:t xml:space="preserve"> podporo pri spodbujanju uravnotežene zastopanosti spolov v organih vodenja in nadzora družb ter med izvršnimi direktorji.</w:t>
            </w:r>
            <w:r w:rsidRPr="003B2A0D">
              <w:rPr>
                <w:rStyle w:val="eop"/>
                <w:rFonts w:ascii="Arial" w:hAnsi="Arial" w:cs="Arial"/>
                <w:sz w:val="20"/>
                <w:szCs w:val="20"/>
              </w:rPr>
              <w:t> </w:t>
            </w:r>
          </w:p>
          <w:p w14:paraId="7AA6A61C"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eop"/>
                <w:rFonts w:ascii="Arial" w:hAnsi="Arial" w:cs="Arial"/>
                <w:sz w:val="20"/>
                <w:szCs w:val="20"/>
              </w:rPr>
              <w:t> </w:t>
            </w:r>
          </w:p>
          <w:p w14:paraId="663F67DF"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(2) Zagovornik načela enakosti je v skladu z zakonom, ki ureja varstvo pred diskriminacijo, pristojen za presojo ustreznosti postopka izbora kandidata za imenovanje v organ vodenja ali nadzora ali izvršnega direktorja na podlagi 254.č člena tega zakona.«.  </w:t>
            </w:r>
            <w:r w:rsidRPr="003B2A0D">
              <w:rPr>
                <w:rStyle w:val="eop"/>
                <w:rFonts w:ascii="Arial" w:hAnsi="Arial" w:cs="Arial"/>
                <w:sz w:val="20"/>
                <w:szCs w:val="20"/>
              </w:rPr>
              <w:t> </w:t>
            </w:r>
          </w:p>
          <w:p w14:paraId="2980BED7" w14:textId="77777777" w:rsidR="000C08CA" w:rsidRPr="003B2A0D" w:rsidRDefault="000C08CA" w:rsidP="00FE328D">
            <w:pPr>
              <w:spacing w:line="276" w:lineRule="auto"/>
              <w:rPr>
                <w:rFonts w:cs="Arial"/>
                <w:b/>
                <w:szCs w:val="20"/>
              </w:rPr>
            </w:pPr>
          </w:p>
          <w:p w14:paraId="4B25F600"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bookmarkStart w:id="58" w:name="_Hlk142474444"/>
            <w:r w:rsidRPr="003B2A0D">
              <w:rPr>
                <w:rFonts w:ascii="Arial" w:hAnsi="Arial" w:cs="Arial"/>
                <w:b/>
                <w:sz w:val="20"/>
                <w:szCs w:val="20"/>
              </w:rPr>
              <w:t>člen</w:t>
            </w:r>
          </w:p>
          <w:p w14:paraId="0A5B4B2D" w14:textId="77777777" w:rsidR="000C08CA" w:rsidRPr="003B2A0D" w:rsidRDefault="000C08CA" w:rsidP="00FE328D">
            <w:pPr>
              <w:spacing w:line="276" w:lineRule="auto"/>
              <w:rPr>
                <w:rFonts w:cs="Arial"/>
                <w:b/>
                <w:szCs w:val="20"/>
              </w:rPr>
            </w:pPr>
          </w:p>
          <w:p w14:paraId="6B5FA369" w14:textId="77777777" w:rsidR="000C08CA" w:rsidRPr="003B2A0D" w:rsidRDefault="000C08CA" w:rsidP="00FE328D">
            <w:pPr>
              <w:pStyle w:val="Odstavek"/>
              <w:spacing w:before="0" w:line="276" w:lineRule="auto"/>
              <w:ind w:firstLine="0"/>
              <w:rPr>
                <w:rFonts w:cs="Arial"/>
                <w:sz w:val="20"/>
                <w:szCs w:val="20"/>
              </w:rPr>
            </w:pPr>
            <w:bookmarkStart w:id="59" w:name="_Hlk143093805"/>
            <w:bookmarkStart w:id="60" w:name="_Hlk142576996"/>
            <w:bookmarkEnd w:id="58"/>
            <w:r w:rsidRPr="003B2A0D">
              <w:rPr>
                <w:rFonts w:cs="Arial"/>
                <w:sz w:val="20"/>
                <w:szCs w:val="20"/>
              </w:rPr>
              <w:t>V 280. členu se tretji odstavek spremeni tako, da se glasi:</w:t>
            </w:r>
          </w:p>
          <w:p w14:paraId="4F0CD779" w14:textId="77777777" w:rsidR="000C08CA" w:rsidRPr="003B2A0D" w:rsidRDefault="000C08CA" w:rsidP="00FE328D">
            <w:pPr>
              <w:pStyle w:val="Odstavek"/>
              <w:spacing w:before="0" w:line="276" w:lineRule="auto"/>
              <w:ind w:firstLine="0"/>
              <w:rPr>
                <w:rFonts w:cs="Arial"/>
                <w:sz w:val="20"/>
                <w:szCs w:val="20"/>
              </w:rPr>
            </w:pPr>
          </w:p>
          <w:p w14:paraId="3AB31F30" w14:textId="77777777" w:rsidR="000C08CA" w:rsidRPr="003B2A0D" w:rsidRDefault="000C08CA" w:rsidP="00FE328D">
            <w:pPr>
              <w:pStyle w:val="Odstavek"/>
              <w:spacing w:before="0" w:line="276" w:lineRule="auto"/>
              <w:ind w:firstLine="0"/>
              <w:rPr>
                <w:rFonts w:cs="Arial"/>
                <w:sz w:val="20"/>
                <w:szCs w:val="20"/>
              </w:rPr>
            </w:pPr>
            <w:r w:rsidRPr="003B2A0D">
              <w:rPr>
                <w:rFonts w:cs="Arial"/>
                <w:sz w:val="20"/>
                <w:szCs w:val="20"/>
              </w:rPr>
              <w:t>»(3) Naloge revizijske komisije so:</w:t>
            </w:r>
          </w:p>
          <w:p w14:paraId="04C0534D"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spremlja postopek računovodskega poročanja in poročanja o trajnostnosti, kadar je družba v skladu s tem zakonom zavezana poročati, ter pripravlja priporočila in predloge za zagotovitev njegove celovitosti,</w:t>
            </w:r>
          </w:p>
          <w:p w14:paraId="614862CC"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spremlja učinkovitost in uspešnost notranje kontrole v družbi, notranje revizije, če obstaja, in sistemov za obvladovanje tveganja,</w:t>
            </w:r>
          </w:p>
          <w:p w14:paraId="3103244C"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spremlja obvezne revizije računovodskih izkazov in konsolidiranih računovodskih izkazov ter preglede poročila o trajnostnosti in konsolidiranega poročila o trajnostnosti, zlasti uspešnost obvezne revizije, pri čemer upošteva vse ugotovitve in zaključke pristojnega organa,</w:t>
            </w:r>
          </w:p>
          <w:p w14:paraId="60943892"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pregleduje in spremlja neodvisnost revizorja letnega poročila družbe oziroma revizorja poročila o trajnostnosti, zlasti glede zagotavljanja dodatnih nerevizijskih storitev,</w:t>
            </w:r>
          </w:p>
          <w:p w14:paraId="314B2563"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odgovarja za postopek izbire revizorja in predlaga nadzornemu svetu imenovanje kandidata za revizorja letnega poročila družbe oziroma revizorja poročila o trajnostnosti,</w:t>
            </w:r>
          </w:p>
          <w:p w14:paraId="2AE61378"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nadzoruje neoporečnost finančnih informacij in informacij o trajnostnosti, ki jih daje družba,</w:t>
            </w:r>
          </w:p>
          <w:p w14:paraId="5785A787"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sidDel="007E2163">
              <w:rPr>
                <w:rFonts w:ascii="Arial" w:hAnsi="Arial" w:cs="Arial"/>
                <w:sz w:val="20"/>
                <w:szCs w:val="20"/>
              </w:rPr>
              <w:t xml:space="preserve">ocenjuje </w:t>
            </w:r>
            <w:r w:rsidRPr="003B2A0D">
              <w:rPr>
                <w:rFonts w:ascii="Arial" w:hAnsi="Arial" w:cs="Arial"/>
                <w:sz w:val="20"/>
                <w:szCs w:val="20"/>
              </w:rPr>
              <w:t>sestavo letnega poročila, vključno z oblikovanjem predloga za nadzorni svet,</w:t>
            </w:r>
          </w:p>
          <w:p w14:paraId="3D78C414"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sodeluje pri določitvi pomembnejših področij revidiranja,</w:t>
            </w:r>
          </w:p>
          <w:p w14:paraId="5D070B88"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sodeluje pri pripravi pogodbe med revizorjem in družbo, pri čemer so prepovedana vsa pogodbena določila, ki skupščini omejujejo izbiro imenovanja revizorja</w:t>
            </w:r>
            <w:r w:rsidRPr="003B2A0D" w:rsidDel="007E2163">
              <w:rPr>
                <w:rFonts w:ascii="Arial" w:hAnsi="Arial" w:cs="Arial"/>
                <w:sz w:val="20"/>
                <w:szCs w:val="20"/>
              </w:rPr>
              <w:t>. V</w:t>
            </w:r>
            <w:r w:rsidRPr="003B2A0D">
              <w:rPr>
                <w:rFonts w:ascii="Arial" w:hAnsi="Arial" w:cs="Arial"/>
                <w:sz w:val="20"/>
                <w:szCs w:val="20"/>
              </w:rPr>
              <w:t>se take določbe so nične,</w:t>
            </w:r>
          </w:p>
          <w:p w14:paraId="72523932"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lastRenderedPageBreak/>
              <w:t>poroča nadzornemu svetu o rezultatu obvezne revizije, vključno s pojasnilom, kako je obvezna revizija prispevala k celovitosti računovodskega poročanja in poročanja o trajnostnosti ter kakšno vlogo je imela revizijska komisija v tem postopku,</w:t>
            </w:r>
          </w:p>
          <w:p w14:paraId="5769165E"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opravlja druge naloge, določene s statutom ali sklepom nadzornega sveta,</w:t>
            </w:r>
          </w:p>
          <w:p w14:paraId="758C00DE"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sodeluje z revizorjem pri opravljanju revizije letnega poročila družbe oziroma pregleda poročila o trajnostnosti, zlasti z medsebojnim obveščanjem o glavnih zadevah v zvezi z revizijo, in</w:t>
            </w:r>
          </w:p>
          <w:p w14:paraId="170A33FF" w14:textId="77777777" w:rsidR="000C08CA" w:rsidRPr="003B2A0D" w:rsidRDefault="000C08CA" w:rsidP="00FE328D">
            <w:pPr>
              <w:pStyle w:val="ListParagraph"/>
              <w:numPr>
                <w:ilvl w:val="0"/>
                <w:numId w:val="31"/>
              </w:numPr>
              <w:spacing w:after="0" w:line="276" w:lineRule="auto"/>
              <w:jc w:val="both"/>
              <w:rPr>
                <w:rFonts w:ascii="Arial" w:hAnsi="Arial" w:cs="Arial"/>
                <w:sz w:val="20"/>
                <w:szCs w:val="20"/>
              </w:rPr>
            </w:pPr>
            <w:r w:rsidRPr="003B2A0D">
              <w:rPr>
                <w:rFonts w:ascii="Arial" w:hAnsi="Arial" w:cs="Arial"/>
                <w:sz w:val="20"/>
                <w:szCs w:val="20"/>
              </w:rPr>
              <w:t>sodeluje z notranjim revizorjem, zlasti z medsebojnim obveščanjem o glavnih zadevah v zvezi z notranjo revizijo.«.</w:t>
            </w:r>
          </w:p>
          <w:bookmarkEnd w:id="59"/>
          <w:p w14:paraId="7D796E1D" w14:textId="77777777" w:rsidR="000C08CA" w:rsidRPr="003B2A0D" w:rsidRDefault="000C08CA" w:rsidP="00FE328D">
            <w:pPr>
              <w:spacing w:line="276" w:lineRule="auto"/>
              <w:rPr>
                <w:rFonts w:cs="Arial"/>
                <w:b/>
                <w:szCs w:val="20"/>
              </w:rPr>
            </w:pPr>
          </w:p>
          <w:p w14:paraId="36823C62"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3D533A2B" w14:textId="77777777" w:rsidR="000C08CA" w:rsidRPr="003B2A0D" w:rsidRDefault="000C08CA" w:rsidP="00FE328D">
            <w:pPr>
              <w:spacing w:line="276" w:lineRule="auto"/>
              <w:rPr>
                <w:rFonts w:cs="Arial"/>
                <w:bCs/>
                <w:szCs w:val="20"/>
              </w:rPr>
            </w:pPr>
          </w:p>
          <w:p w14:paraId="3CEB50CC" w14:textId="77777777" w:rsidR="000C08CA" w:rsidRPr="003B2A0D" w:rsidRDefault="000C08CA" w:rsidP="00FE328D">
            <w:pPr>
              <w:spacing w:line="276" w:lineRule="auto"/>
              <w:jc w:val="both"/>
              <w:rPr>
                <w:rFonts w:cs="Arial"/>
                <w:bCs/>
                <w:szCs w:val="20"/>
              </w:rPr>
            </w:pPr>
            <w:r w:rsidRPr="003B2A0D">
              <w:rPr>
                <w:rFonts w:cs="Arial"/>
                <w:bCs/>
                <w:szCs w:val="20"/>
              </w:rPr>
              <w:t>V 281. členu se v drugem odstavku na koncu zadnjega stavka za besedilom »konsolidiranega letnega poročila« doda besedilo »ter revizorjem poročila o trajnostnosti, kadar to pregleda revizor, ki ni isti kot tisti, ki opravlja pregled preostalih delov letnega poročila«.</w:t>
            </w:r>
          </w:p>
          <w:bookmarkEnd w:id="60"/>
          <w:p w14:paraId="2A877F66" w14:textId="77777777" w:rsidR="000C08CA" w:rsidRPr="003B2A0D" w:rsidRDefault="000C08CA" w:rsidP="00FE328D">
            <w:pPr>
              <w:spacing w:line="276" w:lineRule="auto"/>
              <w:rPr>
                <w:rFonts w:cs="Arial"/>
                <w:b/>
                <w:szCs w:val="20"/>
              </w:rPr>
            </w:pPr>
          </w:p>
          <w:p w14:paraId="2B2F2500"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4AAB4CA3" w14:textId="77777777" w:rsidR="000C08CA" w:rsidRPr="003B2A0D" w:rsidRDefault="000C08CA" w:rsidP="00FE328D">
            <w:pPr>
              <w:spacing w:line="276" w:lineRule="auto"/>
              <w:rPr>
                <w:rFonts w:cs="Arial"/>
                <w:b/>
                <w:szCs w:val="20"/>
              </w:rPr>
            </w:pPr>
          </w:p>
          <w:p w14:paraId="28A7E8AD" w14:textId="77777777" w:rsidR="000C08CA" w:rsidRPr="003B2A0D" w:rsidRDefault="000C08CA" w:rsidP="00FE328D">
            <w:pPr>
              <w:spacing w:line="276" w:lineRule="auto"/>
              <w:jc w:val="both"/>
              <w:rPr>
                <w:rFonts w:cs="Arial"/>
                <w:color w:val="000000"/>
                <w:szCs w:val="20"/>
                <w:shd w:val="clear" w:color="auto" w:fill="FFFFFF"/>
              </w:rPr>
            </w:pPr>
            <w:r w:rsidRPr="003B2A0D">
              <w:rPr>
                <w:rFonts w:cs="Arial"/>
                <w:color w:val="000000"/>
                <w:szCs w:val="20"/>
                <w:shd w:val="clear" w:color="auto" w:fill="FFFFFF"/>
              </w:rPr>
              <w:t>V 522. členu se za besedilom člena, ki se označi kot prvi odstavek, doda nov drugi odstavek, ki se glasi:</w:t>
            </w:r>
          </w:p>
          <w:p w14:paraId="4C95F80F" w14:textId="77777777" w:rsidR="000C08CA" w:rsidRPr="003B2A0D" w:rsidRDefault="000C08CA" w:rsidP="00FE328D">
            <w:pPr>
              <w:spacing w:line="276" w:lineRule="auto"/>
              <w:jc w:val="both"/>
              <w:rPr>
                <w:rFonts w:cs="Arial"/>
                <w:szCs w:val="20"/>
              </w:rPr>
            </w:pPr>
          </w:p>
          <w:p w14:paraId="305A2EAB" w14:textId="77777777" w:rsidR="000C08CA" w:rsidRPr="003B2A0D" w:rsidRDefault="000C08CA" w:rsidP="00FE328D">
            <w:pPr>
              <w:spacing w:line="276" w:lineRule="auto"/>
              <w:jc w:val="both"/>
              <w:rPr>
                <w:rFonts w:cs="Arial"/>
                <w:szCs w:val="20"/>
              </w:rPr>
            </w:pPr>
            <w:r w:rsidRPr="003B2A0D">
              <w:rPr>
                <w:rFonts w:cs="Arial"/>
                <w:szCs w:val="20"/>
              </w:rPr>
              <w:t>»(2) Za družbe z omejeno odgovornostjo, ki izpolnjujejo pogoje za družbe zavezanke iz 254.b člena tega zakona, veljajo določbe 254.c do 254.f člena tega zakona</w:t>
            </w:r>
            <w:r>
              <w:rPr>
                <w:rFonts w:cs="Arial"/>
                <w:szCs w:val="20"/>
              </w:rPr>
              <w:t xml:space="preserve"> </w:t>
            </w:r>
            <w:r w:rsidRPr="003B2A0D">
              <w:rPr>
                <w:rFonts w:cs="Arial"/>
                <w:szCs w:val="20"/>
              </w:rPr>
              <w:t xml:space="preserve">glede </w:t>
            </w:r>
            <w:bookmarkStart w:id="61" w:name="_Hlk143251792"/>
            <w:r w:rsidRPr="003B2A0D">
              <w:rPr>
                <w:rFonts w:cs="Arial"/>
                <w:szCs w:val="20"/>
              </w:rPr>
              <w:t>ukrepov za spodbujanje uravnotežene zastopanosti spolov med člani organov vodenja in nadzora ter izvršnimi direktorji</w:t>
            </w:r>
            <w:bookmarkEnd w:id="61"/>
            <w:r w:rsidRPr="003B2A0D">
              <w:rPr>
                <w:rFonts w:cs="Arial"/>
                <w:szCs w:val="20"/>
              </w:rPr>
              <w:t>. Če družba z omejeno odgovornostjo nima nadzornega organa, zanjo velja delež iz druge alineje prvega odstavka 254.c člena tega zakona.«.</w:t>
            </w:r>
          </w:p>
          <w:p w14:paraId="0EBD1A16" w14:textId="77777777" w:rsidR="000C08CA" w:rsidRPr="003B2A0D" w:rsidRDefault="000C08CA" w:rsidP="00FE328D">
            <w:pPr>
              <w:spacing w:line="276" w:lineRule="auto"/>
              <w:jc w:val="both"/>
              <w:rPr>
                <w:rFonts w:cs="Arial"/>
                <w:szCs w:val="20"/>
              </w:rPr>
            </w:pPr>
          </w:p>
          <w:p w14:paraId="079E67CE"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63010AF2" w14:textId="77777777" w:rsidR="000C08CA" w:rsidRPr="003B2A0D" w:rsidRDefault="000C08CA" w:rsidP="00FE328D">
            <w:pPr>
              <w:spacing w:line="276" w:lineRule="auto"/>
              <w:jc w:val="both"/>
              <w:rPr>
                <w:rFonts w:cs="Arial"/>
                <w:szCs w:val="20"/>
              </w:rPr>
            </w:pPr>
          </w:p>
          <w:p w14:paraId="3A0DE033" w14:textId="77777777" w:rsidR="000C08CA" w:rsidRPr="003B2A0D" w:rsidRDefault="000C08CA" w:rsidP="00FE328D">
            <w:pPr>
              <w:spacing w:line="276" w:lineRule="auto"/>
              <w:jc w:val="both"/>
              <w:rPr>
                <w:rFonts w:cs="Arial"/>
                <w:szCs w:val="20"/>
              </w:rPr>
            </w:pPr>
            <w:r w:rsidRPr="003B2A0D">
              <w:rPr>
                <w:rFonts w:cs="Arial"/>
                <w:szCs w:val="20"/>
              </w:rPr>
              <w:t xml:space="preserve">Za 683.a členom se dodajo poglavje z naslovom </w:t>
            </w:r>
            <w:r w:rsidRPr="003B2A0D" w:rsidDel="007E2163">
              <w:rPr>
                <w:rFonts w:cs="Arial"/>
                <w:szCs w:val="20"/>
              </w:rPr>
              <w:t>»</w:t>
            </w:r>
            <w:r w:rsidRPr="003B2A0D">
              <w:rPr>
                <w:rFonts w:cs="Arial"/>
                <w:szCs w:val="20"/>
              </w:rPr>
              <w:t>Tretje poglavje Posebne določbe za nekatere podružnice</w:t>
            </w:r>
            <w:r w:rsidRPr="003B2A0D" w:rsidDel="007E2163">
              <w:rPr>
                <w:rFonts w:cs="Arial"/>
                <w:szCs w:val="20"/>
              </w:rPr>
              <w:t>«</w:t>
            </w:r>
            <w:r w:rsidRPr="003B2A0D">
              <w:rPr>
                <w:rFonts w:cs="Arial"/>
                <w:szCs w:val="20"/>
              </w:rPr>
              <w:t xml:space="preserve"> in novi 683.b do 683.d členi, ki se glasijo:</w:t>
            </w:r>
          </w:p>
          <w:p w14:paraId="415EC8CA" w14:textId="77777777" w:rsidR="000C08CA" w:rsidRPr="003B2A0D" w:rsidRDefault="000C08CA" w:rsidP="00FE328D">
            <w:pPr>
              <w:spacing w:line="276" w:lineRule="auto"/>
              <w:jc w:val="center"/>
              <w:rPr>
                <w:rFonts w:cs="Arial"/>
                <w:b/>
                <w:szCs w:val="20"/>
              </w:rPr>
            </w:pPr>
          </w:p>
          <w:p w14:paraId="6C49B310" w14:textId="77777777" w:rsidR="000C08CA" w:rsidRPr="003B2A0D" w:rsidRDefault="000C08CA" w:rsidP="00FE328D">
            <w:pPr>
              <w:spacing w:line="276" w:lineRule="auto"/>
              <w:jc w:val="center"/>
              <w:rPr>
                <w:rFonts w:cs="Arial"/>
                <w:b/>
                <w:szCs w:val="20"/>
              </w:rPr>
            </w:pPr>
            <w:r w:rsidRPr="003B2A0D">
              <w:rPr>
                <w:rFonts w:cs="Arial"/>
                <w:b/>
                <w:szCs w:val="20"/>
              </w:rPr>
              <w:t>»683.b člen</w:t>
            </w:r>
          </w:p>
          <w:p w14:paraId="62676A2A" w14:textId="77777777" w:rsidR="000C08CA" w:rsidRPr="003B2A0D" w:rsidRDefault="000C08CA" w:rsidP="00FE328D">
            <w:pPr>
              <w:spacing w:line="276" w:lineRule="auto"/>
              <w:jc w:val="center"/>
              <w:rPr>
                <w:rFonts w:cs="Arial"/>
                <w:b/>
                <w:szCs w:val="20"/>
              </w:rPr>
            </w:pPr>
            <w:r w:rsidRPr="003B2A0D">
              <w:rPr>
                <w:rFonts w:cs="Arial"/>
                <w:b/>
                <w:szCs w:val="20"/>
              </w:rPr>
              <w:t>(poročilo o trajnostnosti v zvezi s tujim podjetjem iz tretje države)</w:t>
            </w:r>
          </w:p>
          <w:p w14:paraId="3460C91E" w14:textId="77777777" w:rsidR="000C08CA" w:rsidRPr="003B2A0D" w:rsidRDefault="000C08CA" w:rsidP="00FE328D">
            <w:pPr>
              <w:spacing w:line="276" w:lineRule="auto"/>
              <w:jc w:val="both"/>
              <w:rPr>
                <w:rFonts w:cs="Arial"/>
                <w:szCs w:val="20"/>
              </w:rPr>
            </w:pPr>
          </w:p>
          <w:p w14:paraId="0010410B" w14:textId="77777777" w:rsidR="000C08CA" w:rsidRPr="003B2A0D" w:rsidRDefault="000C08CA" w:rsidP="00FE328D">
            <w:pPr>
              <w:spacing w:line="276" w:lineRule="auto"/>
              <w:jc w:val="both"/>
              <w:rPr>
                <w:rFonts w:cs="Arial"/>
                <w:szCs w:val="20"/>
              </w:rPr>
            </w:pPr>
            <w:r w:rsidRPr="003B2A0D">
              <w:rPr>
                <w:rFonts w:cs="Arial"/>
                <w:szCs w:val="20"/>
              </w:rPr>
              <w:t>(1) Obveznost, da se poročilo o trajnostnosti v zvezi s tujim podjetjem iz tretje države predloži AJPES, ki velja za odvisne družbe v skladu s 70.d členom tega zakona, se smiselno uporablja tudi za podružnic</w:t>
            </w:r>
            <w:r>
              <w:rPr>
                <w:rFonts w:cs="Arial"/>
                <w:szCs w:val="20"/>
              </w:rPr>
              <w:t>o</w:t>
            </w:r>
            <w:r w:rsidRPr="003B2A0D">
              <w:rPr>
                <w:rFonts w:cs="Arial"/>
                <w:szCs w:val="20"/>
              </w:rPr>
              <w:t>, ki jo je v Republiki Sloveniji ustanovilo:</w:t>
            </w:r>
          </w:p>
          <w:p w14:paraId="0A9BFEDE"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ki ni v skupini</w:t>
            </w:r>
            <w:r>
              <w:rPr>
                <w:rFonts w:cs="Arial"/>
                <w:szCs w:val="20"/>
              </w:rPr>
              <w:t>,</w:t>
            </w:r>
            <w:r w:rsidRPr="003B2A0D">
              <w:rPr>
                <w:rFonts w:cs="Arial"/>
                <w:szCs w:val="20"/>
              </w:rPr>
              <w:t xml:space="preserve"> ali</w:t>
            </w:r>
          </w:p>
          <w:p w14:paraId="1D8D4326"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ki je v skupini, v kateri je zavezano pripraviti konsolidirano letno poročilo za najširši krog družb v skupini tuje podjetje iz tretje države.</w:t>
            </w:r>
          </w:p>
          <w:p w14:paraId="4F55C849" w14:textId="77777777" w:rsidR="000C08CA" w:rsidRPr="003B2A0D" w:rsidRDefault="000C08CA" w:rsidP="00FE328D">
            <w:pPr>
              <w:spacing w:line="276" w:lineRule="auto"/>
              <w:jc w:val="both"/>
              <w:rPr>
                <w:rFonts w:cs="Arial"/>
                <w:szCs w:val="20"/>
              </w:rPr>
            </w:pPr>
          </w:p>
          <w:p w14:paraId="28F18B16" w14:textId="77777777" w:rsidR="000C08CA" w:rsidRPr="003B2A0D" w:rsidRDefault="000C08CA" w:rsidP="00FE328D">
            <w:pPr>
              <w:spacing w:line="276" w:lineRule="auto"/>
              <w:jc w:val="both"/>
              <w:rPr>
                <w:rFonts w:cs="Arial"/>
                <w:szCs w:val="20"/>
              </w:rPr>
            </w:pPr>
            <w:r w:rsidRPr="003B2A0D">
              <w:rPr>
                <w:rFonts w:cs="Arial"/>
                <w:szCs w:val="20"/>
              </w:rPr>
              <w:t>(2) Obveznost podružnice iz prejšnjega odstavka je podana, kadar:</w:t>
            </w:r>
          </w:p>
          <w:p w14:paraId="55719A6A"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jo je ustanovilo tuje podjetje iz tretje države, ki je organizirano kot kapitalska družba ali kot druga istovrstna pravnoorganizacijska oblika po pravu države sedeža; </w:t>
            </w:r>
          </w:p>
          <w:p w14:paraId="023DC308"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iz druge alineje prejšnjega odstavka nima odvisne družbe iz prvega odstavka 70.d člena tega zakona;</w:t>
            </w:r>
          </w:p>
          <w:p w14:paraId="166FBA50"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čisti prihodki od prodaje tujega podjetja iz tretje države ali skupine iz prejšnjega odstavka v Evropski uniji na podlagi podatkov zadnjih dveh zaporednih poslovnih let na bilančni presečni dan bilance stanja obakrat presežejo 150.000.000 eurov;</w:t>
            </w:r>
          </w:p>
          <w:p w14:paraId="574B4F94"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njeni čisti prihodki od prodaje v prejšnjem poslovnem letu presežejo 40.000.000 eurov.</w:t>
            </w:r>
          </w:p>
          <w:p w14:paraId="7F38BA4D" w14:textId="77777777" w:rsidR="000C08CA" w:rsidRPr="003B2A0D" w:rsidRDefault="000C08CA" w:rsidP="00FE328D">
            <w:pPr>
              <w:spacing w:line="276" w:lineRule="auto"/>
              <w:jc w:val="both"/>
              <w:rPr>
                <w:rFonts w:cs="Arial"/>
                <w:szCs w:val="20"/>
              </w:rPr>
            </w:pPr>
          </w:p>
          <w:p w14:paraId="3E501E80" w14:textId="77777777" w:rsidR="000C08CA" w:rsidRPr="003B2A0D" w:rsidRDefault="000C08CA" w:rsidP="00FE328D">
            <w:pPr>
              <w:jc w:val="both"/>
              <w:rPr>
                <w:rFonts w:cs="Arial"/>
                <w:szCs w:val="20"/>
              </w:rPr>
            </w:pPr>
            <w:r w:rsidRPr="003B2A0D">
              <w:rPr>
                <w:rFonts w:cs="Arial"/>
                <w:szCs w:val="20"/>
              </w:rPr>
              <w:lastRenderedPageBreak/>
              <w:t xml:space="preserve">(3) Glede obveznosti predložitve poročila se uporabljajo določbe 680. člena in smiselno določbe 70.d člena tega zakona. </w:t>
            </w:r>
          </w:p>
          <w:p w14:paraId="22AED82A" w14:textId="77777777" w:rsidR="000C08CA" w:rsidRPr="003B2A0D" w:rsidRDefault="000C08CA" w:rsidP="00FE328D">
            <w:pPr>
              <w:spacing w:line="276" w:lineRule="auto"/>
              <w:jc w:val="both"/>
              <w:rPr>
                <w:rFonts w:cs="Arial"/>
                <w:szCs w:val="20"/>
              </w:rPr>
            </w:pPr>
          </w:p>
          <w:p w14:paraId="28A7778F" w14:textId="77777777" w:rsidR="000C08CA" w:rsidRPr="003B2A0D" w:rsidRDefault="000C08CA" w:rsidP="00FE328D">
            <w:pPr>
              <w:spacing w:line="276" w:lineRule="auto"/>
              <w:jc w:val="both"/>
              <w:rPr>
                <w:rFonts w:cs="Arial"/>
                <w:szCs w:val="20"/>
                <w:highlight w:val="yellow"/>
              </w:rPr>
            </w:pPr>
            <w:r w:rsidRPr="003B2A0D">
              <w:rPr>
                <w:rFonts w:cs="Arial"/>
                <w:szCs w:val="20"/>
              </w:rPr>
              <w:t>(4) Podružnica, ki izpolnjuje pogoje iz prvega odstavka ter prve in druge alineje drugega odstavka tega člena, ob predložitvi letnega poročila predloži AJPES podatke o čistih prihodkih od prodaje, ki jih je obvladujoča družba na ravni družbe oziroma skupine ustvarila v Republiki Sloveniji in Evropski uniji v vsakem od zadnjih dveh zaporednih poslovnih let.</w:t>
            </w:r>
          </w:p>
          <w:p w14:paraId="63441F47" w14:textId="77777777" w:rsidR="000C08CA" w:rsidRPr="003B2A0D" w:rsidRDefault="000C08CA" w:rsidP="00FE328D">
            <w:pPr>
              <w:spacing w:line="276" w:lineRule="auto"/>
              <w:rPr>
                <w:rFonts w:cs="Arial"/>
                <w:b/>
                <w:szCs w:val="20"/>
              </w:rPr>
            </w:pPr>
          </w:p>
          <w:p w14:paraId="4770DF81" w14:textId="77777777" w:rsidR="000C08CA" w:rsidRPr="003B2A0D" w:rsidRDefault="000C08CA" w:rsidP="00FE328D">
            <w:pPr>
              <w:spacing w:line="276" w:lineRule="auto"/>
              <w:jc w:val="center"/>
              <w:rPr>
                <w:rFonts w:cs="Arial"/>
                <w:b/>
                <w:szCs w:val="20"/>
              </w:rPr>
            </w:pPr>
            <w:r w:rsidRPr="003B2A0D">
              <w:rPr>
                <w:rFonts w:cs="Arial"/>
                <w:b/>
                <w:szCs w:val="20"/>
              </w:rPr>
              <w:t>683.c člen</w:t>
            </w:r>
          </w:p>
          <w:p w14:paraId="503B233E" w14:textId="77777777" w:rsidR="000C08CA" w:rsidRPr="003B2A0D" w:rsidRDefault="000C08CA" w:rsidP="00FE328D">
            <w:pPr>
              <w:spacing w:line="276" w:lineRule="auto"/>
              <w:jc w:val="center"/>
              <w:rPr>
                <w:rFonts w:cs="Arial"/>
                <w:b/>
                <w:szCs w:val="20"/>
              </w:rPr>
            </w:pPr>
            <w:r w:rsidRPr="003B2A0D">
              <w:rPr>
                <w:rFonts w:cs="Arial"/>
                <w:b/>
                <w:szCs w:val="20"/>
              </w:rPr>
              <w:t>(poročanje o davčnih informacijah v zvezi z dohodki za podružnice tujega podjetja iz tretje države)</w:t>
            </w:r>
          </w:p>
          <w:p w14:paraId="07C3D107" w14:textId="77777777" w:rsidR="000C08CA" w:rsidRPr="003B2A0D" w:rsidRDefault="000C08CA" w:rsidP="00FE328D">
            <w:pPr>
              <w:spacing w:line="276" w:lineRule="auto"/>
              <w:jc w:val="both"/>
              <w:rPr>
                <w:rFonts w:cs="Arial"/>
                <w:szCs w:val="20"/>
              </w:rPr>
            </w:pPr>
          </w:p>
          <w:p w14:paraId="7E36A24D" w14:textId="77777777" w:rsidR="000C08CA" w:rsidRPr="003B2A0D" w:rsidRDefault="000C08CA" w:rsidP="00FE328D">
            <w:pPr>
              <w:spacing w:line="276" w:lineRule="auto"/>
              <w:jc w:val="both"/>
              <w:rPr>
                <w:rFonts w:cs="Arial"/>
                <w:szCs w:val="20"/>
              </w:rPr>
            </w:pPr>
            <w:r w:rsidRPr="003B2A0D">
              <w:rPr>
                <w:rFonts w:cs="Arial"/>
                <w:szCs w:val="20"/>
              </w:rPr>
              <w:t>(1) Obveznost, da se poročilo o davčnih informacijah v zvezi z dohodki zaradi javne objave predloži AJPES v prevodu, ki velja za odvisne družbe v skladu s 70.j členom tega zakona, se smiselno uporablja tudi za podružnic</w:t>
            </w:r>
            <w:r>
              <w:rPr>
                <w:rFonts w:cs="Arial"/>
                <w:szCs w:val="20"/>
              </w:rPr>
              <w:t>o</w:t>
            </w:r>
            <w:r w:rsidRPr="003B2A0D">
              <w:rPr>
                <w:rFonts w:cs="Arial"/>
                <w:szCs w:val="20"/>
              </w:rPr>
              <w:t>, ki jo je v Republiki Sloveniji ustanovilo:</w:t>
            </w:r>
          </w:p>
          <w:p w14:paraId="10FD5CFC"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ki ni v skupini</w:t>
            </w:r>
            <w:r>
              <w:rPr>
                <w:rFonts w:cs="Arial"/>
                <w:szCs w:val="20"/>
              </w:rPr>
              <w:t>,</w:t>
            </w:r>
            <w:r w:rsidRPr="003B2A0D">
              <w:rPr>
                <w:rFonts w:cs="Arial"/>
                <w:szCs w:val="20"/>
              </w:rPr>
              <w:t xml:space="preserve"> ali</w:t>
            </w:r>
          </w:p>
          <w:p w14:paraId="62E4F082"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w:t>
            </w:r>
            <w:r>
              <w:rPr>
                <w:rFonts w:cs="Arial"/>
                <w:szCs w:val="20"/>
              </w:rPr>
              <w:t>iz</w:t>
            </w:r>
            <w:r w:rsidRPr="003B2A0D">
              <w:rPr>
                <w:rFonts w:cs="Arial"/>
                <w:szCs w:val="20"/>
              </w:rPr>
              <w:t xml:space="preserve"> tretje države, ki je v skupini</w:t>
            </w:r>
            <w:r>
              <w:rPr>
                <w:rFonts w:cs="Arial"/>
                <w:szCs w:val="20"/>
              </w:rPr>
              <w:t>,</w:t>
            </w:r>
            <w:r w:rsidRPr="003B2A0D">
              <w:rPr>
                <w:rFonts w:cs="Arial"/>
                <w:szCs w:val="20"/>
              </w:rPr>
              <w:t xml:space="preserve"> v kateri je zavezano pripraviti konsolidirano letno poročilo za najširši krog družb v skupini tuje podjetje iz tretje države.</w:t>
            </w:r>
          </w:p>
          <w:p w14:paraId="03EB9794" w14:textId="77777777" w:rsidR="000C08CA" w:rsidRPr="003B2A0D" w:rsidRDefault="000C08CA" w:rsidP="00FE328D">
            <w:pPr>
              <w:spacing w:line="276" w:lineRule="auto"/>
              <w:jc w:val="both"/>
              <w:rPr>
                <w:rFonts w:cs="Arial"/>
                <w:szCs w:val="20"/>
              </w:rPr>
            </w:pPr>
          </w:p>
          <w:p w14:paraId="0022AEE9" w14:textId="77777777" w:rsidR="000C08CA" w:rsidRPr="003B2A0D" w:rsidRDefault="000C08CA" w:rsidP="00FE328D">
            <w:pPr>
              <w:spacing w:line="276" w:lineRule="auto"/>
              <w:jc w:val="both"/>
              <w:rPr>
                <w:rFonts w:cs="Arial"/>
                <w:szCs w:val="20"/>
              </w:rPr>
            </w:pPr>
            <w:r w:rsidRPr="003B2A0D">
              <w:rPr>
                <w:rFonts w:cs="Arial"/>
                <w:szCs w:val="20"/>
              </w:rPr>
              <w:t xml:space="preserve">(2) Obveznost podružnice iz prejšnjega </w:t>
            </w:r>
            <w:r>
              <w:rPr>
                <w:rFonts w:cs="Arial"/>
                <w:szCs w:val="20"/>
              </w:rPr>
              <w:t>od</w:t>
            </w:r>
            <w:r w:rsidRPr="003B2A0D">
              <w:rPr>
                <w:rFonts w:cs="Arial"/>
                <w:szCs w:val="20"/>
              </w:rPr>
              <w:t>stavka glede poročanja je podana, če:</w:t>
            </w:r>
          </w:p>
          <w:p w14:paraId="4D9CBF37"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jo je ustanovilo tuje podjetje iz tretje države, ki je organizirano kot kapitalska družba ali kot druga istovrstna pravnoorganizacijska oblika po pravu države sedeža;</w:t>
            </w:r>
          </w:p>
          <w:p w14:paraId="11607F05"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iz druge alineje prejšnjega odstavka nima odvisne družbe, za katero velja 70.j člen tega zakona;</w:t>
            </w:r>
          </w:p>
          <w:p w14:paraId="3DF5A31B" w14:textId="77777777" w:rsidR="000C08CA" w:rsidRPr="003B2A0D" w:rsidRDefault="000C08CA" w:rsidP="00FE328D">
            <w:pPr>
              <w:jc w:val="both"/>
              <w:rPr>
                <w:rFonts w:cs="Arial"/>
                <w:szCs w:val="20"/>
              </w:rPr>
            </w:pPr>
            <w:r>
              <w:rPr>
                <w:rFonts w:cs="Arial"/>
                <w:szCs w:val="20"/>
              </w:rPr>
              <w:t>‒</w:t>
            </w:r>
            <w:r w:rsidRPr="003B2A0D">
              <w:rPr>
                <w:rFonts w:cs="Arial"/>
                <w:szCs w:val="20"/>
              </w:rPr>
              <w:t xml:space="preserve"> prihodki tujega podjetja iz tretje države ali skupine iz prejšnjega odstavka na podlagi podatkov zadnjih dveh zaporednih poslovnih let na bilančni presečni dan bilance stanja obakrat presežejo 750.000.000 eurov;</w:t>
            </w:r>
          </w:p>
          <w:p w14:paraId="137F16CE" w14:textId="3D216E35"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w:t>
            </w:r>
            <w:r>
              <w:rPr>
                <w:rFonts w:cs="Arial"/>
                <w:szCs w:val="20"/>
              </w:rPr>
              <w:t xml:space="preserve">njeni </w:t>
            </w:r>
            <w:r w:rsidRPr="003B2A0D">
              <w:rPr>
                <w:rFonts w:cs="Arial"/>
                <w:szCs w:val="20"/>
              </w:rPr>
              <w:t>prihodki presežejo merilo za majhne družbe, določen</w:t>
            </w:r>
            <w:r w:rsidR="007A2047">
              <w:rPr>
                <w:rFonts w:cs="Arial"/>
                <w:szCs w:val="20"/>
              </w:rPr>
              <w:t>o</w:t>
            </w:r>
            <w:r w:rsidRPr="003B2A0D">
              <w:rPr>
                <w:rFonts w:cs="Arial"/>
                <w:szCs w:val="20"/>
              </w:rPr>
              <w:t xml:space="preserve"> v tretjem in šestem odstavku 55. člena tega zakona. </w:t>
            </w:r>
          </w:p>
          <w:p w14:paraId="0D9AA811" w14:textId="77777777" w:rsidR="000C08CA" w:rsidRPr="003B2A0D" w:rsidRDefault="000C08CA" w:rsidP="00FE328D">
            <w:pPr>
              <w:spacing w:line="276" w:lineRule="auto"/>
              <w:jc w:val="both"/>
              <w:rPr>
                <w:rFonts w:cs="Arial"/>
                <w:szCs w:val="20"/>
              </w:rPr>
            </w:pPr>
          </w:p>
          <w:p w14:paraId="012E55BE" w14:textId="77777777" w:rsidR="000C08CA" w:rsidRPr="003B2A0D" w:rsidRDefault="000C08CA" w:rsidP="00FE328D">
            <w:pPr>
              <w:spacing w:line="276" w:lineRule="auto"/>
              <w:jc w:val="both"/>
              <w:rPr>
                <w:rFonts w:cs="Arial"/>
                <w:szCs w:val="20"/>
              </w:rPr>
            </w:pPr>
            <w:r w:rsidRPr="003B2A0D">
              <w:rPr>
                <w:rFonts w:cs="Arial"/>
                <w:szCs w:val="20"/>
              </w:rPr>
              <w:t>(3) Če podružnica ne pridobi poročila o davčnih informacijah v zvezi z dohodki, zastopnik tujega podjetja v podružnici iz 682. člena tega zakona od tujega podjetja iz tretje države iz tretjega odstavka 70.e člena tega zakona zahteva, da podružnici zagotovi vse podatke, potrebne za pripravo poročila. Če tuje podjetje iz tretje države iz tretjega odstavka 70.e člena tega zakona zahtevanih podatkov ne predloži, podružnica pripravi in zaradi javne objave predloži AJPES</w:t>
            </w:r>
            <w:r w:rsidRPr="003B2A0D" w:rsidDel="00C52C1E">
              <w:rPr>
                <w:rFonts w:cs="Arial"/>
                <w:szCs w:val="20"/>
              </w:rPr>
              <w:t xml:space="preserve"> </w:t>
            </w:r>
            <w:r w:rsidRPr="003B2A0D">
              <w:rPr>
                <w:rFonts w:cs="Arial"/>
                <w:szCs w:val="20"/>
              </w:rPr>
              <w:t>poročilo o davčnih informacijah v zvezi z dohodki, ki vsebuje podatke, ki jih ima na voljo in ki jih je prejela ali pridobila od tujega podjetja iz tretje države, skupaj z izjavo, da poročilo ne vsebuje vseh zahtevanih podatkov, ker ji jih tuje podjetje iz tretje države iz tretjega odstavka 70.e člena tega zakona ni predložilo.</w:t>
            </w:r>
          </w:p>
          <w:p w14:paraId="699C0B06" w14:textId="77777777" w:rsidR="000C08CA" w:rsidRPr="003B2A0D" w:rsidRDefault="000C08CA" w:rsidP="00FE328D">
            <w:pPr>
              <w:spacing w:line="276" w:lineRule="auto"/>
              <w:jc w:val="both"/>
              <w:rPr>
                <w:rFonts w:cs="Arial"/>
                <w:szCs w:val="20"/>
              </w:rPr>
            </w:pPr>
          </w:p>
          <w:p w14:paraId="225FDD71" w14:textId="77777777" w:rsidR="000C08CA" w:rsidRPr="003B2A0D" w:rsidRDefault="000C08CA" w:rsidP="00FE328D">
            <w:pPr>
              <w:spacing w:line="276" w:lineRule="auto"/>
              <w:jc w:val="both"/>
              <w:rPr>
                <w:rFonts w:cs="Arial"/>
                <w:color w:val="FF0000"/>
                <w:szCs w:val="20"/>
              </w:rPr>
            </w:pPr>
            <w:r w:rsidRPr="003B2A0D">
              <w:rPr>
                <w:rFonts w:cs="Arial"/>
                <w:szCs w:val="20"/>
              </w:rPr>
              <w:t>(4) Poročilo o davčnih informacijah v zvezi z dohodki in izjavo iz prvega in tretjega odstavka tega člena podružnica objavi na svoji spletni strani. Glede te obveznosti se uporabljajo določbe 680. člena in smiselno določbe 70.i člena tega zakona, pri čemer zadostuje objava na spletni strani katere koli podružnice ali družbe, ki je ustanovil</w:t>
            </w:r>
            <w:r>
              <w:rPr>
                <w:rFonts w:cs="Arial"/>
                <w:szCs w:val="20"/>
              </w:rPr>
              <w:t>a</w:t>
            </w:r>
            <w:r w:rsidRPr="003B2A0D">
              <w:rPr>
                <w:rFonts w:cs="Arial"/>
                <w:szCs w:val="20"/>
              </w:rPr>
              <w:t xml:space="preserve"> podružnico ali povezane družbe v skupini, na katero se poročilo nanaša.</w:t>
            </w:r>
          </w:p>
          <w:p w14:paraId="52BF0B72" w14:textId="77777777" w:rsidR="000C08CA" w:rsidRPr="003B2A0D" w:rsidRDefault="000C08CA" w:rsidP="00FE328D">
            <w:pPr>
              <w:spacing w:line="276" w:lineRule="auto"/>
              <w:jc w:val="both"/>
              <w:rPr>
                <w:rFonts w:cs="Arial"/>
                <w:szCs w:val="20"/>
              </w:rPr>
            </w:pPr>
          </w:p>
          <w:p w14:paraId="0626F4A0" w14:textId="77777777" w:rsidR="000C08CA" w:rsidRPr="003B2A0D" w:rsidRDefault="000C08CA" w:rsidP="00FE328D">
            <w:pPr>
              <w:spacing w:line="276" w:lineRule="auto"/>
              <w:jc w:val="both"/>
              <w:rPr>
                <w:rFonts w:cs="Arial"/>
                <w:szCs w:val="20"/>
              </w:rPr>
            </w:pPr>
            <w:r w:rsidRPr="003B2A0D">
              <w:rPr>
                <w:rFonts w:cs="Arial"/>
                <w:szCs w:val="20"/>
              </w:rPr>
              <w:t>(5) Ne glede na pogoje iz prvega odstavka tega člena velja obveznost poročanja o davčnih informacijah v zvezi z dohodki iz tega člena za vse podružnice tujega podjetja iz tretje države, če so namenoma organizirane tako, da se z neizpolnjevanjem pogojev izognejo obveznostim poročanja o davčnih informacijah v zvezi z dohodki.</w:t>
            </w:r>
          </w:p>
          <w:p w14:paraId="1F835A4B" w14:textId="77777777" w:rsidR="000C08CA" w:rsidRPr="003B2A0D" w:rsidRDefault="000C08CA" w:rsidP="00FE328D">
            <w:pPr>
              <w:spacing w:line="276" w:lineRule="auto"/>
              <w:jc w:val="both"/>
              <w:rPr>
                <w:rFonts w:cs="Arial"/>
                <w:szCs w:val="20"/>
              </w:rPr>
            </w:pPr>
          </w:p>
          <w:p w14:paraId="0D2BC39E" w14:textId="77777777" w:rsidR="000C08CA" w:rsidRPr="003B2A0D" w:rsidRDefault="000C08CA" w:rsidP="00FE328D">
            <w:pPr>
              <w:spacing w:line="276" w:lineRule="auto"/>
              <w:jc w:val="both"/>
              <w:rPr>
                <w:rFonts w:cs="Arial"/>
                <w:szCs w:val="20"/>
              </w:rPr>
            </w:pPr>
            <w:r w:rsidRPr="003B2A0D">
              <w:rPr>
                <w:rFonts w:cs="Arial"/>
                <w:szCs w:val="20"/>
              </w:rPr>
              <w:t>(6) Za pretvorbo zneska pragu za nastanek obveznosti poročanja iz 70.e člena tega zakona v nacionalno valuto tujega podjetja iz tretje države se uporablja šesti odstavek 70.j člena tega zakona.</w:t>
            </w:r>
          </w:p>
          <w:p w14:paraId="62FC4C1A" w14:textId="77777777" w:rsidR="000C08CA" w:rsidRPr="003B2A0D" w:rsidRDefault="000C08CA" w:rsidP="00FE328D">
            <w:pPr>
              <w:spacing w:line="276" w:lineRule="auto"/>
              <w:jc w:val="both"/>
              <w:rPr>
                <w:rFonts w:cs="Arial"/>
                <w:szCs w:val="20"/>
              </w:rPr>
            </w:pPr>
          </w:p>
          <w:p w14:paraId="04007B22" w14:textId="77777777" w:rsidR="000C08CA" w:rsidRPr="003B2A0D" w:rsidRDefault="000C08CA" w:rsidP="00FE328D">
            <w:pPr>
              <w:spacing w:line="276" w:lineRule="auto"/>
              <w:jc w:val="center"/>
              <w:rPr>
                <w:rFonts w:cs="Arial"/>
                <w:b/>
                <w:szCs w:val="20"/>
              </w:rPr>
            </w:pPr>
            <w:r w:rsidRPr="003B2A0D">
              <w:rPr>
                <w:rFonts w:cs="Arial"/>
                <w:b/>
                <w:szCs w:val="20"/>
              </w:rPr>
              <w:t>683.č člen</w:t>
            </w:r>
          </w:p>
          <w:p w14:paraId="21807A3B" w14:textId="77777777" w:rsidR="000C08CA" w:rsidRPr="003B2A0D" w:rsidRDefault="000C08CA" w:rsidP="00FE328D">
            <w:pPr>
              <w:spacing w:line="276" w:lineRule="auto"/>
              <w:jc w:val="center"/>
              <w:rPr>
                <w:rFonts w:cs="Arial"/>
                <w:b/>
                <w:szCs w:val="20"/>
              </w:rPr>
            </w:pPr>
            <w:r w:rsidRPr="003B2A0D">
              <w:rPr>
                <w:rFonts w:cs="Arial"/>
                <w:b/>
                <w:szCs w:val="20"/>
              </w:rPr>
              <w:t>(prenehanje obveznosti poročanja o davčnih informacijah v zvezi z dohodki tujega podjetja iz tretje države)</w:t>
            </w:r>
          </w:p>
          <w:p w14:paraId="58DDE9B9" w14:textId="77777777" w:rsidR="000C08CA" w:rsidRPr="003B2A0D" w:rsidRDefault="000C08CA" w:rsidP="00FE328D">
            <w:pPr>
              <w:spacing w:line="276" w:lineRule="auto"/>
              <w:jc w:val="both"/>
              <w:rPr>
                <w:rFonts w:cs="Arial"/>
                <w:szCs w:val="20"/>
              </w:rPr>
            </w:pPr>
          </w:p>
          <w:p w14:paraId="545C3233" w14:textId="77777777" w:rsidR="000C08CA" w:rsidRPr="003B2A0D" w:rsidRDefault="000C08CA" w:rsidP="00FE328D">
            <w:pPr>
              <w:spacing w:line="276" w:lineRule="auto"/>
              <w:jc w:val="both"/>
              <w:rPr>
                <w:rFonts w:cs="Arial"/>
                <w:szCs w:val="20"/>
              </w:rPr>
            </w:pPr>
            <w:r w:rsidRPr="003B2A0D">
              <w:rPr>
                <w:rFonts w:cs="Arial"/>
                <w:szCs w:val="20"/>
              </w:rPr>
              <w:t>Obveznost poročanja o davčnih informacijah v zvezi z dohodki za podružnico tujega podjetja preneha, ko:</w:t>
            </w:r>
          </w:p>
          <w:p w14:paraId="6FFEC01E"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prihodki tujega podjetja iz tretje države ali skupine</w:t>
            </w:r>
            <w:r>
              <w:rPr>
                <w:rFonts w:cs="Arial"/>
                <w:szCs w:val="20"/>
              </w:rPr>
              <w:t>,</w:t>
            </w:r>
            <w:r w:rsidRPr="003B2A0D">
              <w:rPr>
                <w:rFonts w:cs="Arial"/>
                <w:szCs w:val="20"/>
              </w:rPr>
              <w:t xml:space="preserve"> v kateri je tuje podjetje iz tretje države zavezano pripraviti konsolidirano letno poročilo za najširši krog družb v skupini</w:t>
            </w:r>
            <w:r>
              <w:rPr>
                <w:rFonts w:cs="Arial"/>
                <w:szCs w:val="20"/>
              </w:rPr>
              <w:t>,</w:t>
            </w:r>
            <w:r w:rsidRPr="003B2A0D">
              <w:rPr>
                <w:rFonts w:cs="Arial"/>
                <w:szCs w:val="20"/>
              </w:rPr>
              <w:t xml:space="preserve"> na podlagi podatkov zadnjih dveh zaporednih poslovnih let na bilančni presečni dan bilance stanja obakrat ne presežejo merila iz </w:t>
            </w:r>
            <w:r>
              <w:rPr>
                <w:rFonts w:cs="Arial"/>
                <w:szCs w:val="20"/>
              </w:rPr>
              <w:t>tretje</w:t>
            </w:r>
            <w:r w:rsidRPr="003B2A0D">
              <w:rPr>
                <w:rFonts w:cs="Arial"/>
                <w:szCs w:val="20"/>
              </w:rPr>
              <w:t xml:space="preserve"> alineje drugega odstavka prejšnjega člena in</w:t>
            </w:r>
          </w:p>
          <w:p w14:paraId="1B1D26D4" w14:textId="16E4BC2A"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v dveh zaporednih poslovnih letih obakrat ne izpolni pogoja iz </w:t>
            </w:r>
            <w:r>
              <w:rPr>
                <w:rFonts w:cs="Arial"/>
                <w:szCs w:val="20"/>
              </w:rPr>
              <w:t>četrte</w:t>
            </w:r>
            <w:r w:rsidRPr="003B2A0D">
              <w:rPr>
                <w:rFonts w:cs="Arial"/>
                <w:szCs w:val="20"/>
              </w:rPr>
              <w:t xml:space="preserve"> alineje </w:t>
            </w:r>
            <w:r w:rsidR="002F15C6">
              <w:rPr>
                <w:rFonts w:cs="Arial"/>
                <w:szCs w:val="20"/>
              </w:rPr>
              <w:t>drugega</w:t>
            </w:r>
            <w:r w:rsidRPr="003B2A0D">
              <w:rPr>
                <w:rFonts w:cs="Arial"/>
                <w:szCs w:val="20"/>
              </w:rPr>
              <w:t xml:space="preserve"> odstavka prejšnjega člena.</w:t>
            </w:r>
          </w:p>
          <w:p w14:paraId="48674418" w14:textId="77777777" w:rsidR="000C08CA" w:rsidRPr="003B2A0D" w:rsidRDefault="000C08CA" w:rsidP="00FE328D">
            <w:pPr>
              <w:spacing w:line="276" w:lineRule="auto"/>
              <w:jc w:val="both"/>
              <w:rPr>
                <w:rFonts w:cs="Arial"/>
                <w:szCs w:val="20"/>
              </w:rPr>
            </w:pPr>
          </w:p>
          <w:p w14:paraId="3CAC2596" w14:textId="77777777" w:rsidR="000C08CA" w:rsidRPr="003B2A0D" w:rsidRDefault="000C08CA" w:rsidP="00FE328D">
            <w:pPr>
              <w:spacing w:line="276" w:lineRule="auto"/>
              <w:jc w:val="center"/>
              <w:rPr>
                <w:rFonts w:cs="Arial"/>
                <w:b/>
                <w:szCs w:val="20"/>
              </w:rPr>
            </w:pPr>
            <w:r w:rsidRPr="003B2A0D">
              <w:rPr>
                <w:rFonts w:cs="Arial"/>
                <w:b/>
                <w:szCs w:val="20"/>
              </w:rPr>
              <w:t>683.d člen</w:t>
            </w:r>
          </w:p>
          <w:p w14:paraId="332AAF4E" w14:textId="77777777" w:rsidR="000C08CA" w:rsidRPr="003B2A0D" w:rsidRDefault="000C08CA" w:rsidP="00FE328D">
            <w:pPr>
              <w:spacing w:line="276" w:lineRule="auto"/>
              <w:jc w:val="center"/>
              <w:rPr>
                <w:rFonts w:cs="Arial"/>
                <w:b/>
                <w:szCs w:val="20"/>
              </w:rPr>
            </w:pPr>
            <w:r w:rsidRPr="003B2A0D">
              <w:rPr>
                <w:rFonts w:cs="Arial"/>
                <w:b/>
                <w:szCs w:val="20"/>
              </w:rPr>
              <w:t>(izjeme glede poročanja o davčnih informacijah v zvezi z dohodki tujega podjetja iz tretje države)</w:t>
            </w:r>
          </w:p>
          <w:p w14:paraId="07940594" w14:textId="77777777" w:rsidR="000C08CA" w:rsidRPr="003B2A0D" w:rsidRDefault="000C08CA" w:rsidP="00FE328D">
            <w:pPr>
              <w:spacing w:line="276" w:lineRule="auto"/>
              <w:jc w:val="center"/>
              <w:rPr>
                <w:rFonts w:cs="Arial"/>
                <w:b/>
                <w:szCs w:val="20"/>
              </w:rPr>
            </w:pPr>
          </w:p>
          <w:p w14:paraId="54A6A1C2" w14:textId="77777777" w:rsidR="000C08CA" w:rsidRPr="003B2A0D" w:rsidRDefault="000C08CA" w:rsidP="00FE328D">
            <w:pPr>
              <w:spacing w:line="276" w:lineRule="auto"/>
              <w:jc w:val="both"/>
              <w:rPr>
                <w:rFonts w:cs="Arial"/>
                <w:szCs w:val="20"/>
              </w:rPr>
            </w:pPr>
            <w:r w:rsidRPr="003B2A0D">
              <w:rPr>
                <w:rFonts w:cs="Arial"/>
                <w:szCs w:val="20"/>
              </w:rPr>
              <w:t>Določbe 683.c in 683.č člena tega zakona se ne uporabljajo, če je poročilo o davčnih informacijah v zvezi z dohodki tujega podjetja iz tretje države ali skupine</w:t>
            </w:r>
            <w:r>
              <w:rPr>
                <w:rFonts w:cs="Arial"/>
                <w:szCs w:val="20"/>
              </w:rPr>
              <w:t>,</w:t>
            </w:r>
            <w:r w:rsidRPr="003B2A0D">
              <w:rPr>
                <w:rFonts w:cs="Arial"/>
                <w:szCs w:val="20"/>
              </w:rPr>
              <w:t xml:space="preserve"> v kateri je tuje podjetje iz tretje države zavezano pripraviti konsolidirano letno poročilo za najširši krog družb v skupini, pripravljeno v skladu s 70.f členom tega zakona in izpolnjuje </w:t>
            </w:r>
            <w:r w:rsidRPr="003B2A0D" w:rsidDel="00D065A8">
              <w:rPr>
                <w:rFonts w:cs="Arial"/>
                <w:szCs w:val="20"/>
              </w:rPr>
              <w:t xml:space="preserve">naslednje </w:t>
            </w:r>
            <w:r w:rsidRPr="003B2A0D">
              <w:rPr>
                <w:rFonts w:cs="Arial"/>
                <w:szCs w:val="20"/>
              </w:rPr>
              <w:t>pogoje:</w:t>
            </w:r>
          </w:p>
          <w:p w14:paraId="179862A6"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je najpozneje v 12 mesecih po datumu bilance stanja za poslovno leto, za katero je bilo poročilo o davčnih informacijah v zvezi z dohodki pripravljeno, </w:t>
            </w:r>
            <w:r>
              <w:rPr>
                <w:rFonts w:cs="Arial"/>
                <w:szCs w:val="20"/>
              </w:rPr>
              <w:t>v vsaj enem od uradnih jezikov Evropske unije</w:t>
            </w:r>
            <w:r w:rsidRPr="003B2A0D">
              <w:rPr>
                <w:rFonts w:cs="Arial"/>
                <w:szCs w:val="20"/>
              </w:rPr>
              <w:t xml:space="preserve"> objavljeno na spletni strani tega tujega podjetja iz tretje države v elektronski obliki poročanja, ki je strojno berljiva, </w:t>
            </w:r>
          </w:p>
          <w:p w14:paraId="4C0D459B"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ga je druga podružnica</w:t>
            </w:r>
            <w:r>
              <w:rPr>
                <w:rFonts w:cs="Arial"/>
                <w:szCs w:val="20"/>
              </w:rPr>
              <w:t>,</w:t>
            </w:r>
            <w:r w:rsidRPr="003B2A0D">
              <w:rPr>
                <w:rFonts w:cs="Arial"/>
                <w:szCs w:val="20"/>
              </w:rPr>
              <w:t xml:space="preserve"> ustanovljena v državi članici zaradi javne objave predložila</w:t>
            </w:r>
            <w:r w:rsidRPr="003B2A0D">
              <w:rPr>
                <w:rFonts w:cs="Arial"/>
                <w:bCs/>
                <w:szCs w:val="20"/>
              </w:rPr>
              <w:t xml:space="preserve"> </w:t>
            </w:r>
            <w:r w:rsidRPr="003B2A0D">
              <w:rPr>
                <w:rFonts w:cs="Arial"/>
                <w:szCs w:val="20"/>
              </w:rPr>
              <w:t>v skladu s pravom države sedeža in s prvim odstavkom 48</w:t>
            </w:r>
            <w:r>
              <w:rPr>
                <w:rFonts w:cs="Arial"/>
                <w:szCs w:val="20"/>
              </w:rPr>
              <w:t>.</w:t>
            </w:r>
            <w:r w:rsidRPr="003B2A0D">
              <w:rPr>
                <w:rFonts w:cs="Arial"/>
                <w:szCs w:val="20"/>
              </w:rPr>
              <w:t>d člena Direktive 2013/34/EU in</w:t>
            </w:r>
          </w:p>
          <w:p w14:paraId="34343A34"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sta v poročilu o davčnih informacijah v zvezi z dohodki navedena firma in sedež podružnice, ki je poročilo o davčnih informacijah v zvezi z dohodki zaradi javne objave predložila v skladu s prejšnjo alinejo.«.</w:t>
            </w:r>
          </w:p>
          <w:p w14:paraId="52A9B023" w14:textId="77777777" w:rsidR="000C08CA" w:rsidRPr="003B2A0D" w:rsidRDefault="000C08CA" w:rsidP="00FE328D">
            <w:pPr>
              <w:spacing w:line="276" w:lineRule="auto"/>
              <w:jc w:val="both"/>
              <w:rPr>
                <w:rFonts w:cs="Arial"/>
                <w:szCs w:val="20"/>
                <w:highlight w:val="yellow"/>
              </w:rPr>
            </w:pPr>
          </w:p>
          <w:p w14:paraId="52D700FC"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1D4DAE52" w14:textId="77777777" w:rsidR="000C08CA" w:rsidRPr="003B2A0D" w:rsidRDefault="000C08CA" w:rsidP="00FE328D">
            <w:pPr>
              <w:spacing w:line="276" w:lineRule="auto"/>
              <w:jc w:val="both"/>
              <w:rPr>
                <w:rFonts w:cs="Arial"/>
                <w:szCs w:val="20"/>
              </w:rPr>
            </w:pPr>
          </w:p>
          <w:p w14:paraId="48255369" w14:textId="77777777" w:rsidR="000C08CA" w:rsidRPr="003B2A0D" w:rsidRDefault="000C08CA" w:rsidP="00FE328D">
            <w:pPr>
              <w:spacing w:line="276" w:lineRule="auto"/>
              <w:jc w:val="both"/>
              <w:rPr>
                <w:rFonts w:cs="Arial"/>
                <w:szCs w:val="20"/>
              </w:rPr>
            </w:pPr>
            <w:r w:rsidRPr="003B2A0D">
              <w:rPr>
                <w:rFonts w:cs="Arial"/>
                <w:szCs w:val="20"/>
              </w:rPr>
              <w:t>V 684. členu se v prvem odstavku za besedilom »Tržni inšpektorat Republike Slovenije« dodata vejica in besedilo »</w:t>
            </w:r>
            <w:r>
              <w:rPr>
                <w:rFonts w:cs="Arial"/>
                <w:szCs w:val="20"/>
              </w:rPr>
              <w:t>Z</w:t>
            </w:r>
            <w:r w:rsidRPr="003B2A0D">
              <w:rPr>
                <w:rFonts w:cs="Arial"/>
                <w:szCs w:val="20"/>
              </w:rPr>
              <w:t>agovornik načela enakosti«.</w:t>
            </w:r>
          </w:p>
          <w:p w14:paraId="5AFDB1E5" w14:textId="77777777" w:rsidR="000C08CA" w:rsidRPr="003B2A0D" w:rsidRDefault="000C08CA" w:rsidP="00FE328D">
            <w:pPr>
              <w:spacing w:line="276" w:lineRule="auto"/>
              <w:jc w:val="both"/>
              <w:rPr>
                <w:rFonts w:cs="Arial"/>
                <w:szCs w:val="20"/>
              </w:rPr>
            </w:pPr>
          </w:p>
          <w:p w14:paraId="519E745C" w14:textId="77777777" w:rsidR="000C08CA" w:rsidRPr="003B2A0D" w:rsidRDefault="000C08CA" w:rsidP="00FE328D">
            <w:pPr>
              <w:spacing w:line="276" w:lineRule="auto"/>
              <w:jc w:val="both"/>
              <w:rPr>
                <w:rFonts w:cs="Arial"/>
                <w:szCs w:val="20"/>
              </w:rPr>
            </w:pPr>
            <w:r w:rsidRPr="003B2A0D">
              <w:rPr>
                <w:rFonts w:cs="Arial"/>
                <w:szCs w:val="20"/>
              </w:rPr>
              <w:t>Drugi odstavek se spremeni tako, da se glasi:</w:t>
            </w:r>
          </w:p>
          <w:p w14:paraId="46E2C2EA" w14:textId="77777777" w:rsidR="000C08CA" w:rsidRPr="003B2A0D" w:rsidRDefault="000C08CA" w:rsidP="00FE328D">
            <w:pPr>
              <w:spacing w:line="276" w:lineRule="auto"/>
              <w:jc w:val="both"/>
              <w:rPr>
                <w:rFonts w:cs="Arial"/>
                <w:szCs w:val="20"/>
              </w:rPr>
            </w:pPr>
            <w:r w:rsidRPr="003B2A0D">
              <w:rPr>
                <w:rFonts w:cs="Arial"/>
                <w:szCs w:val="20"/>
              </w:rPr>
              <w:t>»(2) AJPES je pristojna za nadzor nad izvajanjem določb prvega, drugega in tretjega odstavka 58., prvega odstavka 59., 70.d, prvega odstavka 70.i, prvega in drugega odstavka 70.j, druge alineje 70.l, drugega in tretjega odstavka 74., prvega odstavka 75., tretjega in četrtega odstavka 680. v zvezi z 58., 683.b, prvega in drugega odstavka 683.c ter druge alineje 683.d člena tega zakona.«.</w:t>
            </w:r>
          </w:p>
          <w:p w14:paraId="045C6E84" w14:textId="77777777" w:rsidR="000C08CA" w:rsidRPr="003B2A0D" w:rsidRDefault="000C08CA" w:rsidP="00FE328D">
            <w:pPr>
              <w:spacing w:line="276" w:lineRule="auto"/>
              <w:jc w:val="both"/>
              <w:rPr>
                <w:rFonts w:cs="Arial"/>
                <w:szCs w:val="20"/>
              </w:rPr>
            </w:pPr>
          </w:p>
          <w:p w14:paraId="690879D2" w14:textId="77777777" w:rsidR="000C08CA" w:rsidRPr="003B2A0D" w:rsidRDefault="000C08CA" w:rsidP="00FE328D">
            <w:pPr>
              <w:spacing w:line="276" w:lineRule="auto"/>
              <w:jc w:val="both"/>
              <w:rPr>
                <w:rFonts w:cs="Arial"/>
                <w:szCs w:val="20"/>
              </w:rPr>
            </w:pPr>
            <w:r w:rsidRPr="003B2A0D">
              <w:rPr>
                <w:rFonts w:cs="Arial"/>
                <w:szCs w:val="20"/>
              </w:rPr>
              <w:t xml:space="preserve">V petem odstavku se za besedilom »30. člena« dodata vejica in besedilo »30.a člena«. </w:t>
            </w:r>
          </w:p>
          <w:p w14:paraId="05364C27" w14:textId="77777777" w:rsidR="000C08CA" w:rsidRPr="003B2A0D" w:rsidRDefault="000C08CA" w:rsidP="00FE328D">
            <w:pPr>
              <w:spacing w:line="276" w:lineRule="auto"/>
              <w:jc w:val="both"/>
              <w:rPr>
                <w:rFonts w:cs="Arial"/>
                <w:szCs w:val="20"/>
              </w:rPr>
            </w:pPr>
          </w:p>
          <w:p w14:paraId="0F142600" w14:textId="77777777" w:rsidR="000C08CA" w:rsidRPr="003B2A0D" w:rsidRDefault="000C08CA" w:rsidP="00FE328D">
            <w:pPr>
              <w:spacing w:line="276" w:lineRule="auto"/>
              <w:jc w:val="both"/>
              <w:rPr>
                <w:rFonts w:cs="Arial"/>
                <w:szCs w:val="20"/>
              </w:rPr>
            </w:pPr>
            <w:r w:rsidRPr="003B2A0D">
              <w:rPr>
                <w:rFonts w:cs="Arial"/>
                <w:szCs w:val="20"/>
              </w:rPr>
              <w:t>Za petim odstavkom se doda nov šesti odstavek, ki se glasi:</w:t>
            </w:r>
          </w:p>
          <w:p w14:paraId="13027976" w14:textId="77777777" w:rsidR="000C08CA" w:rsidRPr="003B2A0D" w:rsidRDefault="000C08CA" w:rsidP="00FE328D">
            <w:pPr>
              <w:spacing w:line="276" w:lineRule="auto"/>
              <w:jc w:val="both"/>
              <w:rPr>
                <w:rFonts w:cs="Arial"/>
                <w:szCs w:val="20"/>
              </w:rPr>
            </w:pPr>
            <w:r w:rsidRPr="003B2A0D">
              <w:rPr>
                <w:rFonts w:cs="Arial"/>
                <w:szCs w:val="20"/>
              </w:rPr>
              <w:t>»(6) Zagovornik načela enakosti je pristojen za nadzor nad izvajanjem določb 254.c, 254.č in 254.e člena tega zakona.«.</w:t>
            </w:r>
          </w:p>
          <w:p w14:paraId="60FA64D4" w14:textId="77777777" w:rsidR="000C08CA" w:rsidRPr="003B2A0D" w:rsidRDefault="000C08CA" w:rsidP="00FE328D">
            <w:pPr>
              <w:spacing w:line="276" w:lineRule="auto"/>
              <w:jc w:val="both"/>
              <w:rPr>
                <w:rFonts w:cs="Arial"/>
                <w:szCs w:val="20"/>
              </w:rPr>
            </w:pPr>
          </w:p>
          <w:p w14:paraId="00FB055E" w14:textId="77777777" w:rsidR="000C08CA" w:rsidRDefault="000C08CA" w:rsidP="00FE328D">
            <w:pPr>
              <w:spacing w:line="276" w:lineRule="auto"/>
              <w:jc w:val="both"/>
              <w:rPr>
                <w:rFonts w:cs="Arial"/>
                <w:szCs w:val="20"/>
              </w:rPr>
            </w:pPr>
            <w:r w:rsidRPr="003B2A0D">
              <w:rPr>
                <w:rFonts w:cs="Arial"/>
                <w:szCs w:val="20"/>
              </w:rPr>
              <w:t>Dosedanji šesti odstavek postane sedmi odstavek.</w:t>
            </w:r>
          </w:p>
          <w:p w14:paraId="29384F8F" w14:textId="77777777" w:rsidR="00153008" w:rsidRPr="003B2A0D" w:rsidRDefault="00153008" w:rsidP="00FE328D">
            <w:pPr>
              <w:spacing w:line="276" w:lineRule="auto"/>
              <w:jc w:val="both"/>
              <w:rPr>
                <w:rFonts w:cs="Arial"/>
                <w:szCs w:val="20"/>
              </w:rPr>
            </w:pPr>
          </w:p>
          <w:p w14:paraId="39098D4A" w14:textId="77777777" w:rsidR="000C08CA" w:rsidRPr="003B2A0D" w:rsidRDefault="000C08CA" w:rsidP="00FE328D">
            <w:pPr>
              <w:spacing w:line="276" w:lineRule="auto"/>
              <w:jc w:val="center"/>
              <w:rPr>
                <w:rFonts w:cs="Arial"/>
                <w:szCs w:val="20"/>
              </w:rPr>
            </w:pPr>
          </w:p>
          <w:p w14:paraId="3E7E14D2"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bCs/>
                <w:sz w:val="20"/>
                <w:szCs w:val="20"/>
              </w:rPr>
              <w:lastRenderedPageBreak/>
              <w:t>č</w:t>
            </w:r>
            <w:r w:rsidRPr="003B2A0D">
              <w:rPr>
                <w:rFonts w:ascii="Arial" w:hAnsi="Arial" w:cs="Arial"/>
                <w:b/>
                <w:sz w:val="20"/>
                <w:szCs w:val="20"/>
              </w:rPr>
              <w:t>len</w:t>
            </w:r>
          </w:p>
          <w:p w14:paraId="05F17F6E" w14:textId="77777777" w:rsidR="000C08CA" w:rsidRPr="003B2A0D" w:rsidRDefault="000C08CA" w:rsidP="00FE328D">
            <w:pPr>
              <w:spacing w:line="276" w:lineRule="auto"/>
              <w:jc w:val="both"/>
              <w:rPr>
                <w:rFonts w:cs="Arial"/>
                <w:szCs w:val="20"/>
              </w:rPr>
            </w:pPr>
          </w:p>
          <w:p w14:paraId="1CB248D9" w14:textId="77777777" w:rsidR="000C08CA" w:rsidRPr="003B2A0D" w:rsidRDefault="000C08CA" w:rsidP="00FE328D">
            <w:pPr>
              <w:spacing w:line="276" w:lineRule="auto"/>
              <w:rPr>
                <w:rFonts w:cs="Arial"/>
                <w:szCs w:val="20"/>
              </w:rPr>
            </w:pPr>
            <w:r w:rsidRPr="003B2A0D">
              <w:rPr>
                <w:rFonts w:cs="Arial"/>
                <w:szCs w:val="20"/>
              </w:rPr>
              <w:t xml:space="preserve">V 685. členu se v prvem odstavku za 1. točko doda nova 2. točka, ki se glasi: </w:t>
            </w:r>
          </w:p>
          <w:p w14:paraId="7EA174E9" w14:textId="77777777" w:rsidR="000C08CA" w:rsidRPr="003B2A0D" w:rsidRDefault="000C08CA" w:rsidP="00FE328D">
            <w:pPr>
              <w:spacing w:line="276" w:lineRule="auto"/>
              <w:jc w:val="both"/>
              <w:rPr>
                <w:rFonts w:cs="Arial"/>
                <w:szCs w:val="20"/>
              </w:rPr>
            </w:pPr>
            <w:r w:rsidRPr="003B2A0D">
              <w:rPr>
                <w:rFonts w:cs="Arial"/>
                <w:szCs w:val="20"/>
              </w:rPr>
              <w:t>»2. ki na poslovnem naslovu nima na vidnem mestu napisa z navedbo firme in sedeža družbe (30.a člen);«.</w:t>
            </w:r>
          </w:p>
          <w:p w14:paraId="130F04CF" w14:textId="77777777" w:rsidR="000C08CA" w:rsidRPr="003B2A0D" w:rsidRDefault="000C08CA" w:rsidP="00FE328D">
            <w:pPr>
              <w:spacing w:line="276" w:lineRule="auto"/>
              <w:jc w:val="both"/>
              <w:rPr>
                <w:rFonts w:cs="Arial"/>
                <w:szCs w:val="20"/>
              </w:rPr>
            </w:pPr>
          </w:p>
          <w:p w14:paraId="42383DE9" w14:textId="77777777" w:rsidR="000C08CA" w:rsidRPr="003B2A0D" w:rsidRDefault="000C08CA" w:rsidP="00FE328D">
            <w:pPr>
              <w:spacing w:line="276" w:lineRule="auto"/>
              <w:jc w:val="both"/>
              <w:rPr>
                <w:rFonts w:cs="Arial"/>
                <w:szCs w:val="20"/>
              </w:rPr>
            </w:pPr>
            <w:r w:rsidRPr="003B2A0D">
              <w:rPr>
                <w:rFonts w:cs="Arial"/>
                <w:szCs w:val="20"/>
              </w:rPr>
              <w:t xml:space="preserve">Dosedanje 2. do 27. točka postanejo 3. to 28. točka. </w:t>
            </w:r>
          </w:p>
          <w:p w14:paraId="02ABDCC7" w14:textId="77777777" w:rsidR="000C08CA" w:rsidRPr="003B2A0D" w:rsidRDefault="000C08CA" w:rsidP="00FE328D">
            <w:pPr>
              <w:spacing w:line="276" w:lineRule="auto"/>
              <w:jc w:val="center"/>
              <w:rPr>
                <w:rFonts w:cs="Arial"/>
                <w:szCs w:val="20"/>
              </w:rPr>
            </w:pPr>
          </w:p>
          <w:p w14:paraId="16417C90"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6954519E" w14:textId="77777777" w:rsidR="000C08CA" w:rsidRPr="003B2A0D" w:rsidRDefault="000C08CA" w:rsidP="00FE328D">
            <w:pPr>
              <w:spacing w:line="276" w:lineRule="auto"/>
              <w:rPr>
                <w:rFonts w:cs="Arial"/>
                <w:szCs w:val="20"/>
              </w:rPr>
            </w:pPr>
          </w:p>
          <w:p w14:paraId="62CBF8CE" w14:textId="77777777" w:rsidR="000C08CA" w:rsidRPr="003B2A0D" w:rsidRDefault="000C08CA" w:rsidP="00FE328D">
            <w:pPr>
              <w:spacing w:line="276" w:lineRule="auto"/>
              <w:jc w:val="both"/>
              <w:rPr>
                <w:rFonts w:cs="Arial"/>
                <w:szCs w:val="20"/>
              </w:rPr>
            </w:pPr>
            <w:r w:rsidRPr="003B2A0D">
              <w:rPr>
                <w:rFonts w:cs="Arial"/>
                <w:szCs w:val="20"/>
              </w:rPr>
              <w:t>V 686. členu se v prvem odstavku v 7. točki beseda »določa« nadomesti z besedo »določata« in za besedo »prvi« doda besedilo »in drugi«.</w:t>
            </w:r>
          </w:p>
          <w:p w14:paraId="4614F1F1" w14:textId="77777777" w:rsidR="000C08CA" w:rsidRPr="003B2A0D" w:rsidRDefault="000C08CA" w:rsidP="00FE328D">
            <w:pPr>
              <w:spacing w:line="276" w:lineRule="auto"/>
              <w:jc w:val="both"/>
              <w:rPr>
                <w:rFonts w:cs="Arial"/>
                <w:szCs w:val="20"/>
              </w:rPr>
            </w:pPr>
          </w:p>
          <w:p w14:paraId="2C92951A" w14:textId="77777777" w:rsidR="000C08CA" w:rsidRPr="003B2A0D" w:rsidRDefault="000C08CA" w:rsidP="00FE328D">
            <w:pPr>
              <w:spacing w:line="276" w:lineRule="auto"/>
              <w:jc w:val="both"/>
              <w:rPr>
                <w:rFonts w:cs="Arial"/>
                <w:szCs w:val="20"/>
              </w:rPr>
            </w:pPr>
            <w:r w:rsidRPr="003B2A0D">
              <w:rPr>
                <w:rFonts w:cs="Arial"/>
                <w:szCs w:val="20"/>
              </w:rPr>
              <w:t>Za 10. točko se dodata novi 11. in 12. točka, ki se glasita:</w:t>
            </w:r>
          </w:p>
          <w:p w14:paraId="0E6EC52A" w14:textId="77777777" w:rsidR="000C08CA" w:rsidRPr="003B2A0D" w:rsidRDefault="000C08CA" w:rsidP="00FE328D">
            <w:pPr>
              <w:spacing w:line="276" w:lineRule="auto"/>
              <w:jc w:val="both"/>
              <w:rPr>
                <w:rFonts w:cs="Arial"/>
                <w:szCs w:val="20"/>
              </w:rPr>
            </w:pPr>
          </w:p>
          <w:p w14:paraId="4A8E9102" w14:textId="77777777" w:rsidR="000C08CA" w:rsidRPr="003B2A0D" w:rsidRDefault="000C08CA" w:rsidP="00FE328D">
            <w:pPr>
              <w:spacing w:line="276" w:lineRule="auto"/>
              <w:jc w:val="both"/>
              <w:rPr>
                <w:rFonts w:cs="Arial"/>
                <w:szCs w:val="20"/>
              </w:rPr>
            </w:pPr>
            <w:r w:rsidRPr="003B2A0D">
              <w:rPr>
                <w:rFonts w:cs="Arial"/>
                <w:szCs w:val="20"/>
              </w:rPr>
              <w:t>»11. poročila o trajnostnosti v zvezi s tujim podjetjem iz tretje države ne predloži AJPES na način in v rokih v skladu s prvim do četrtim odstavkom 70.d člena tega zakona oziroma podatkov o čistih prihodkih od prodaje iz šestega odstavka 70.d člena tega zakona ne predloži AJPES;</w:t>
            </w:r>
          </w:p>
          <w:p w14:paraId="5A5DCEC5" w14:textId="77777777" w:rsidR="000C08CA" w:rsidRPr="003B2A0D" w:rsidRDefault="000C08CA" w:rsidP="00FE328D">
            <w:pPr>
              <w:spacing w:line="276" w:lineRule="auto"/>
              <w:jc w:val="both"/>
              <w:rPr>
                <w:rFonts w:cs="Arial"/>
                <w:szCs w:val="20"/>
              </w:rPr>
            </w:pPr>
            <w:r w:rsidRPr="003B2A0D">
              <w:rPr>
                <w:rFonts w:cs="Arial"/>
                <w:szCs w:val="20"/>
              </w:rPr>
              <w:t>12. poročila o davčnih informacijah v zvezi z dohodki iz 70.e in 70.j člena tega zakona ne pripravi ali ne predloži AJPES ali ne objavi na spletni strani na način in v rokih, ki jih določajo 58., 70.g in 70.i člen tega zakona;«.</w:t>
            </w:r>
          </w:p>
          <w:p w14:paraId="5BD23BA0" w14:textId="77777777" w:rsidR="000C08CA" w:rsidRPr="003B2A0D" w:rsidRDefault="000C08CA" w:rsidP="00FE328D">
            <w:pPr>
              <w:spacing w:line="276" w:lineRule="auto"/>
              <w:jc w:val="both"/>
              <w:rPr>
                <w:rFonts w:cs="Arial"/>
                <w:szCs w:val="20"/>
              </w:rPr>
            </w:pPr>
          </w:p>
          <w:p w14:paraId="2B463DB8" w14:textId="77777777" w:rsidR="000C08CA" w:rsidRPr="003B2A0D" w:rsidRDefault="000C08CA" w:rsidP="00FE328D">
            <w:pPr>
              <w:spacing w:line="276" w:lineRule="auto"/>
              <w:jc w:val="both"/>
              <w:rPr>
                <w:rFonts w:cs="Arial"/>
                <w:szCs w:val="20"/>
              </w:rPr>
            </w:pPr>
            <w:r w:rsidRPr="003B2A0D">
              <w:rPr>
                <w:rFonts w:cs="Arial"/>
                <w:szCs w:val="20"/>
              </w:rPr>
              <w:t>Dosedanje 11. do 34. točka postanejo 13. do 36. točka.</w:t>
            </w:r>
          </w:p>
          <w:p w14:paraId="40BA9875" w14:textId="77777777" w:rsidR="000C08CA" w:rsidRPr="003B2A0D" w:rsidRDefault="000C08CA" w:rsidP="00FE328D">
            <w:pPr>
              <w:spacing w:line="276" w:lineRule="auto"/>
              <w:jc w:val="both"/>
              <w:rPr>
                <w:rFonts w:cs="Arial"/>
                <w:szCs w:val="20"/>
              </w:rPr>
            </w:pPr>
          </w:p>
          <w:p w14:paraId="51778776" w14:textId="77777777" w:rsidR="000C08CA" w:rsidRPr="003B2A0D" w:rsidRDefault="000C08CA" w:rsidP="00FE328D">
            <w:pPr>
              <w:spacing w:line="276" w:lineRule="auto"/>
              <w:jc w:val="both"/>
              <w:rPr>
                <w:rFonts w:cs="Arial"/>
                <w:szCs w:val="20"/>
              </w:rPr>
            </w:pPr>
            <w:r w:rsidRPr="003B2A0D">
              <w:rPr>
                <w:rFonts w:cs="Arial"/>
                <w:szCs w:val="20"/>
              </w:rPr>
              <w:t xml:space="preserve">V dosedanji 35. točki, ki postane 37. točka, se </w:t>
            </w:r>
            <w:r w:rsidRPr="003B2A0D" w:rsidDel="003D5E60">
              <w:rPr>
                <w:rFonts w:cs="Arial"/>
                <w:szCs w:val="20"/>
              </w:rPr>
              <w:t xml:space="preserve">na koncu </w:t>
            </w:r>
            <w:r w:rsidRPr="003B2A0D">
              <w:rPr>
                <w:rFonts w:cs="Arial"/>
                <w:szCs w:val="20"/>
              </w:rPr>
              <w:t>pika nadomesti s podpičjem, za njo pa se dodajo nove 38., 39. in 40. točka, ki se glasijo:</w:t>
            </w:r>
          </w:p>
          <w:p w14:paraId="7194943A" w14:textId="77777777" w:rsidR="000C08CA" w:rsidRPr="003B2A0D" w:rsidRDefault="000C08CA" w:rsidP="00FE328D">
            <w:pPr>
              <w:spacing w:line="276" w:lineRule="auto"/>
              <w:jc w:val="both"/>
              <w:rPr>
                <w:rFonts w:cs="Arial"/>
                <w:szCs w:val="20"/>
              </w:rPr>
            </w:pPr>
          </w:p>
          <w:p w14:paraId="6C07778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»38. družba zavezanka ne določi deleža zastopanosti manj zastopanega spola v organih vodenja in nadzora ter med izvršnimi direktorji skladno z drugim odstavkom 254.c členom tega zakona</w:t>
            </w:r>
            <w:r>
              <w:rPr>
                <w:rStyle w:val="normaltextrun"/>
                <w:rFonts w:ascii="Arial" w:hAnsi="Arial" w:cs="Arial"/>
                <w:sz w:val="20"/>
                <w:szCs w:val="20"/>
              </w:rPr>
              <w:t>;</w:t>
            </w:r>
            <w:r w:rsidRPr="003B2A0D">
              <w:rPr>
                <w:rStyle w:val="eop"/>
                <w:rFonts w:ascii="Arial" w:hAnsi="Arial" w:cs="Arial"/>
                <w:sz w:val="20"/>
                <w:szCs w:val="20"/>
              </w:rPr>
              <w:t> </w:t>
            </w:r>
          </w:p>
          <w:p w14:paraId="75810C4B"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39. družba zavezanka v primeru neizpolnjevanja deležev v izbirnem postopku za imenovanje članov organov vodenja in nadzora ter izvršnih direktorjev ob enakem izpolnjevanju predpisanih meril in pogojev v nasprotju s prvim odstavkom 254.č členom tega zakona ne da prednosti osebi manj zastopanega spola</w:t>
            </w:r>
            <w:r>
              <w:rPr>
                <w:rStyle w:val="normaltextrun"/>
                <w:rFonts w:ascii="Arial" w:hAnsi="Arial" w:cs="Arial"/>
                <w:sz w:val="20"/>
                <w:szCs w:val="20"/>
              </w:rPr>
              <w:t>;</w:t>
            </w:r>
          </w:p>
          <w:p w14:paraId="72C1977F"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4</w:t>
            </w:r>
            <w:r w:rsidRPr="003B2A0D" w:rsidDel="005F54B9">
              <w:rPr>
                <w:rStyle w:val="normaltextrun"/>
                <w:rFonts w:ascii="Arial" w:hAnsi="Arial" w:cs="Arial"/>
                <w:sz w:val="20"/>
                <w:szCs w:val="20"/>
              </w:rPr>
              <w:t>0</w:t>
            </w:r>
            <w:r w:rsidRPr="003B2A0D">
              <w:rPr>
                <w:rStyle w:val="normaltextrun"/>
                <w:rFonts w:ascii="Arial" w:hAnsi="Arial" w:cs="Arial"/>
                <w:sz w:val="20"/>
                <w:szCs w:val="20"/>
              </w:rPr>
              <w:t>. družba zavezanka v primeru neizpolnjevanja deležev pred začetkom izbirnega postopka ne določi jasnih, nevtralnih in nedvoumnih meril ter pogojev za imenovanje člana organa vodenja ali nadzora ali izvršnega direktorja v skladu z drugim odstavkom 254.č člena tega zakona.«.</w:t>
            </w:r>
            <w:r w:rsidRPr="003B2A0D">
              <w:rPr>
                <w:rStyle w:val="eop"/>
                <w:rFonts w:ascii="Arial" w:hAnsi="Arial" w:cs="Arial"/>
                <w:sz w:val="20"/>
                <w:szCs w:val="20"/>
              </w:rPr>
              <w:t> </w:t>
            </w:r>
          </w:p>
          <w:p w14:paraId="07DDE5E4" w14:textId="77777777" w:rsidR="000C08CA" w:rsidRPr="003B2A0D" w:rsidRDefault="000C08CA" w:rsidP="00FE328D">
            <w:pPr>
              <w:spacing w:line="276" w:lineRule="auto"/>
              <w:jc w:val="center"/>
              <w:rPr>
                <w:rFonts w:cs="Arial"/>
                <w:szCs w:val="20"/>
              </w:rPr>
            </w:pPr>
          </w:p>
          <w:p w14:paraId="66C90DF4"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4A293756" w14:textId="77777777" w:rsidR="000C08CA" w:rsidRPr="003B2A0D" w:rsidRDefault="000C08CA" w:rsidP="00FE328D">
            <w:pPr>
              <w:spacing w:line="276" w:lineRule="auto"/>
              <w:rPr>
                <w:rFonts w:cs="Arial"/>
                <w:szCs w:val="20"/>
              </w:rPr>
            </w:pPr>
          </w:p>
          <w:p w14:paraId="2A3CB516" w14:textId="6699B754" w:rsidR="000C08CA" w:rsidRPr="003B2A0D" w:rsidRDefault="000C08CA" w:rsidP="00FE328D">
            <w:pPr>
              <w:spacing w:line="276" w:lineRule="auto"/>
              <w:jc w:val="both"/>
              <w:rPr>
                <w:rFonts w:cs="Arial"/>
                <w:szCs w:val="20"/>
              </w:rPr>
            </w:pPr>
            <w:r w:rsidRPr="003B2A0D">
              <w:rPr>
                <w:rFonts w:cs="Arial"/>
                <w:szCs w:val="20"/>
              </w:rPr>
              <w:t>V 686.a členu se v prvem odstavku v 1. točki beseda »drugi« nadomesti z besedo »tretji«</w:t>
            </w:r>
            <w:r w:rsidR="00B05735">
              <w:rPr>
                <w:rFonts w:cs="Arial"/>
                <w:szCs w:val="20"/>
              </w:rPr>
              <w:t>,</w:t>
            </w:r>
            <w:r>
              <w:rPr>
                <w:rFonts w:cs="Arial"/>
                <w:szCs w:val="20"/>
              </w:rPr>
              <w:t xml:space="preserve"> na koncu besedila </w:t>
            </w:r>
            <w:r w:rsidR="00B05735">
              <w:rPr>
                <w:rFonts w:cs="Arial"/>
                <w:szCs w:val="20"/>
              </w:rPr>
              <w:t xml:space="preserve">pa </w:t>
            </w:r>
            <w:r>
              <w:rPr>
                <w:rFonts w:cs="Arial"/>
                <w:szCs w:val="20"/>
              </w:rPr>
              <w:t>se doda podpičje</w:t>
            </w:r>
            <w:r w:rsidRPr="003B2A0D" w:rsidDel="00D1528C">
              <w:rPr>
                <w:rFonts w:cs="Arial"/>
                <w:szCs w:val="20"/>
              </w:rPr>
              <w:t>.</w:t>
            </w:r>
          </w:p>
          <w:p w14:paraId="75FBD479" w14:textId="77777777" w:rsidR="000C08CA" w:rsidRPr="003B2A0D" w:rsidRDefault="000C08CA" w:rsidP="00FE328D">
            <w:pPr>
              <w:spacing w:line="276" w:lineRule="auto"/>
              <w:jc w:val="both"/>
              <w:rPr>
                <w:rFonts w:cs="Arial"/>
                <w:szCs w:val="20"/>
              </w:rPr>
            </w:pPr>
          </w:p>
          <w:p w14:paraId="59130ABC" w14:textId="77777777" w:rsidR="000C08CA" w:rsidRPr="003B2A0D" w:rsidRDefault="000C08CA" w:rsidP="00FE328D">
            <w:pPr>
              <w:spacing w:line="276" w:lineRule="auto"/>
              <w:jc w:val="both"/>
              <w:rPr>
                <w:rFonts w:cs="Arial"/>
                <w:szCs w:val="20"/>
              </w:rPr>
            </w:pPr>
            <w:r w:rsidRPr="003B2A0D">
              <w:rPr>
                <w:rFonts w:cs="Arial"/>
                <w:szCs w:val="20"/>
              </w:rPr>
              <w:t xml:space="preserve">V 2. točki se na koncu </w:t>
            </w:r>
            <w:r w:rsidRPr="003B2A0D" w:rsidDel="003D5E60">
              <w:rPr>
                <w:rFonts w:cs="Arial"/>
                <w:szCs w:val="20"/>
              </w:rPr>
              <w:t xml:space="preserve">pika </w:t>
            </w:r>
            <w:r w:rsidRPr="003B2A0D">
              <w:rPr>
                <w:rFonts w:cs="Arial"/>
                <w:szCs w:val="20"/>
              </w:rPr>
              <w:t xml:space="preserve">nadomesti </w:t>
            </w:r>
            <w:r>
              <w:rPr>
                <w:rFonts w:cs="Arial"/>
                <w:szCs w:val="20"/>
              </w:rPr>
              <w:t>s podpičjem</w:t>
            </w:r>
            <w:r w:rsidRPr="003B2A0D">
              <w:rPr>
                <w:rFonts w:cs="Arial"/>
                <w:szCs w:val="20"/>
              </w:rPr>
              <w:t>, za njo pa se dodata novi 3. in 4. točka, ki se glasita:</w:t>
            </w:r>
          </w:p>
          <w:p w14:paraId="4A8FB3F9"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»3. če družba zavezanka v izjavi o upravljanju ne objavi podatkov iz prvega odstavka 254.e člena tega zakona</w:t>
            </w:r>
            <w:r>
              <w:rPr>
                <w:rStyle w:val="normaltextrun"/>
                <w:rFonts w:ascii="Arial" w:hAnsi="Arial" w:cs="Arial"/>
                <w:sz w:val="20"/>
                <w:szCs w:val="20"/>
              </w:rPr>
              <w:t>;</w:t>
            </w:r>
          </w:p>
          <w:p w14:paraId="05F843F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 xml:space="preserve">4. če družba zavezanka ne objavi podatkov na svoji spletni strani skladno z drugim odstavkom 254.e člena tega zakona.«. </w:t>
            </w:r>
            <w:r w:rsidRPr="003B2A0D">
              <w:rPr>
                <w:rStyle w:val="eop"/>
                <w:rFonts w:ascii="Arial" w:hAnsi="Arial" w:cs="Arial"/>
                <w:sz w:val="20"/>
                <w:szCs w:val="20"/>
              </w:rPr>
              <w:t> </w:t>
            </w:r>
          </w:p>
          <w:p w14:paraId="2053C215" w14:textId="77777777" w:rsidR="000C08CA" w:rsidRPr="003B2A0D" w:rsidRDefault="000C08CA" w:rsidP="00FE328D">
            <w:pPr>
              <w:spacing w:line="276" w:lineRule="auto"/>
              <w:rPr>
                <w:rFonts w:cs="Arial"/>
                <w:szCs w:val="20"/>
              </w:rPr>
            </w:pPr>
          </w:p>
          <w:p w14:paraId="48495C52"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41679493" w14:textId="77777777" w:rsidR="000C08CA" w:rsidRPr="003B2A0D" w:rsidRDefault="000C08CA" w:rsidP="00FE328D">
            <w:pPr>
              <w:pStyle w:val="ListParagraph"/>
              <w:spacing w:after="0" w:line="276" w:lineRule="auto"/>
              <w:rPr>
                <w:rFonts w:ascii="Arial" w:hAnsi="Arial" w:cs="Arial"/>
                <w:sz w:val="20"/>
                <w:szCs w:val="20"/>
              </w:rPr>
            </w:pPr>
          </w:p>
          <w:p w14:paraId="3DBB9CA0" w14:textId="77777777" w:rsidR="000C08CA" w:rsidRPr="003B2A0D" w:rsidRDefault="000C08CA" w:rsidP="00FE328D">
            <w:pPr>
              <w:spacing w:line="276" w:lineRule="auto"/>
              <w:jc w:val="both"/>
              <w:rPr>
                <w:rFonts w:cs="Arial"/>
                <w:szCs w:val="20"/>
              </w:rPr>
            </w:pPr>
            <w:r w:rsidRPr="003B2A0D">
              <w:rPr>
                <w:rFonts w:cs="Arial"/>
                <w:szCs w:val="20"/>
              </w:rPr>
              <w:lastRenderedPageBreak/>
              <w:t xml:space="preserve">V 687. členu se v tretjem odstavku v 3. točki na koncu </w:t>
            </w:r>
            <w:r w:rsidRPr="003B2A0D" w:rsidDel="003D5E60">
              <w:rPr>
                <w:rFonts w:cs="Arial"/>
                <w:szCs w:val="20"/>
              </w:rPr>
              <w:t xml:space="preserve">pika </w:t>
            </w:r>
            <w:r w:rsidRPr="003B2A0D">
              <w:rPr>
                <w:rFonts w:cs="Arial"/>
                <w:szCs w:val="20"/>
              </w:rPr>
              <w:t>nadomesti s podpičjem, za njo pa se dodata novi 4. in 5. točka, ki se glasita:</w:t>
            </w:r>
          </w:p>
          <w:p w14:paraId="61747C11" w14:textId="77777777" w:rsidR="000C08CA" w:rsidRPr="003B2A0D" w:rsidRDefault="000C08CA" w:rsidP="00FE328D">
            <w:pPr>
              <w:spacing w:line="276" w:lineRule="auto"/>
              <w:jc w:val="both"/>
              <w:rPr>
                <w:rFonts w:cs="Arial"/>
                <w:szCs w:val="20"/>
              </w:rPr>
            </w:pPr>
          </w:p>
          <w:p w14:paraId="4CC87F20" w14:textId="77777777" w:rsidR="000C08CA" w:rsidRPr="003B2A0D" w:rsidRDefault="000C08CA" w:rsidP="00FE328D">
            <w:pPr>
              <w:spacing w:line="276" w:lineRule="auto"/>
              <w:jc w:val="both"/>
              <w:rPr>
                <w:rFonts w:cs="Arial"/>
                <w:szCs w:val="20"/>
              </w:rPr>
            </w:pPr>
            <w:r w:rsidRPr="003B2A0D">
              <w:rPr>
                <w:rFonts w:cs="Arial"/>
                <w:szCs w:val="20"/>
              </w:rPr>
              <w:t>»</w:t>
            </w:r>
            <w:r w:rsidRPr="00BC251B">
              <w:rPr>
                <w:rFonts w:cs="Arial"/>
                <w:szCs w:val="20"/>
              </w:rPr>
              <w:t xml:space="preserve">4. poročila o trajnostnosti v zvezi s tujim podjetjem iz tretje države ne predloži AJPES na način in v rokih v skladu </w:t>
            </w:r>
            <w:bookmarkStart w:id="62" w:name="_Hlk142647359"/>
            <w:r w:rsidRPr="00BC251B">
              <w:rPr>
                <w:rFonts w:cs="Arial"/>
                <w:szCs w:val="20"/>
              </w:rPr>
              <w:t>s prvim do tretjim odstavkom 683.b člena v</w:t>
            </w:r>
            <w:r w:rsidRPr="00BC251B" w:rsidDel="00E239C4">
              <w:rPr>
                <w:rFonts w:cs="Arial"/>
                <w:szCs w:val="20"/>
              </w:rPr>
              <w:t xml:space="preserve"> </w:t>
            </w:r>
            <w:r w:rsidRPr="00BC251B">
              <w:rPr>
                <w:rFonts w:cs="Arial"/>
                <w:szCs w:val="20"/>
              </w:rPr>
              <w:t>zvezi s 70.d členom tega zakona</w:t>
            </w:r>
            <w:bookmarkEnd w:id="62"/>
            <w:r w:rsidRPr="00BC251B">
              <w:rPr>
                <w:rFonts w:cs="Arial"/>
                <w:szCs w:val="20"/>
              </w:rPr>
              <w:t xml:space="preserve"> oziroma podatkov o čistih prihodkih od prodaje iz četrtega odstavka 683.b člena tega zakona ne predloži AJPES;</w:t>
            </w:r>
          </w:p>
          <w:p w14:paraId="42C1DE7E" w14:textId="77777777" w:rsidR="000C08CA" w:rsidRPr="003B2A0D" w:rsidRDefault="000C08CA" w:rsidP="00FE328D">
            <w:pPr>
              <w:spacing w:line="276" w:lineRule="auto"/>
              <w:jc w:val="both"/>
              <w:rPr>
                <w:rFonts w:cs="Arial"/>
                <w:szCs w:val="20"/>
              </w:rPr>
            </w:pPr>
            <w:r w:rsidRPr="003B2A0D">
              <w:rPr>
                <w:rFonts w:cs="Arial"/>
                <w:szCs w:val="20"/>
              </w:rPr>
              <w:t>5. poročila o davčnih informacijah v zvezi z dohodki ne pripravi</w:t>
            </w:r>
            <w:r>
              <w:rPr>
                <w:rFonts w:cs="Arial"/>
                <w:szCs w:val="20"/>
              </w:rPr>
              <w:t>,</w:t>
            </w:r>
            <w:r w:rsidRPr="003B2A0D">
              <w:rPr>
                <w:rFonts w:cs="Arial"/>
                <w:szCs w:val="20"/>
              </w:rPr>
              <w:t xml:space="preserve"> ali ne predloži AJPES</w:t>
            </w:r>
            <w:r>
              <w:rPr>
                <w:rFonts w:cs="Arial"/>
                <w:szCs w:val="20"/>
              </w:rPr>
              <w:t>,</w:t>
            </w:r>
            <w:r w:rsidRPr="003B2A0D">
              <w:rPr>
                <w:rFonts w:cs="Arial"/>
                <w:szCs w:val="20"/>
              </w:rPr>
              <w:t xml:space="preserve"> ali ne objavi na spletni strani na način in v rokih, ki jih določa 683.c člen v zvezi s 680., 70.g in 70.i členom tega zakona.«.</w:t>
            </w:r>
          </w:p>
          <w:p w14:paraId="228168E2" w14:textId="77777777" w:rsidR="000C08CA" w:rsidRPr="003B2A0D" w:rsidRDefault="000C08CA" w:rsidP="00FE328D">
            <w:pPr>
              <w:spacing w:line="276" w:lineRule="auto"/>
              <w:jc w:val="both"/>
              <w:rPr>
                <w:rFonts w:cs="Arial"/>
                <w:szCs w:val="20"/>
              </w:rPr>
            </w:pPr>
          </w:p>
          <w:p w14:paraId="59A16929"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204C398A" w14:textId="77777777" w:rsidR="000C08CA" w:rsidRPr="003B2A0D" w:rsidRDefault="000C08CA" w:rsidP="00FE328D">
            <w:pPr>
              <w:spacing w:line="276" w:lineRule="auto"/>
              <w:jc w:val="both"/>
              <w:rPr>
                <w:rFonts w:cs="Arial"/>
                <w:szCs w:val="20"/>
              </w:rPr>
            </w:pPr>
          </w:p>
          <w:p w14:paraId="27482F56" w14:textId="77777777" w:rsidR="000C08CA" w:rsidRPr="003B2A0D" w:rsidRDefault="000C08CA" w:rsidP="00FE328D">
            <w:pPr>
              <w:spacing w:line="276" w:lineRule="auto"/>
              <w:jc w:val="both"/>
              <w:rPr>
                <w:rFonts w:cs="Arial"/>
                <w:szCs w:val="20"/>
              </w:rPr>
            </w:pPr>
            <w:r w:rsidRPr="003B2A0D">
              <w:rPr>
                <w:rFonts w:cs="Arial"/>
                <w:szCs w:val="20"/>
              </w:rPr>
              <w:t xml:space="preserve">V 688. členu se v prvem odstavku v 1. točki pred besedo »ima« doda beseda »če«. </w:t>
            </w:r>
          </w:p>
          <w:p w14:paraId="174CC5AB" w14:textId="77777777" w:rsidR="000C08CA" w:rsidRPr="003B2A0D" w:rsidRDefault="000C08CA" w:rsidP="00FE328D">
            <w:pPr>
              <w:spacing w:line="276" w:lineRule="auto"/>
              <w:jc w:val="both"/>
              <w:rPr>
                <w:rFonts w:cs="Arial"/>
                <w:szCs w:val="20"/>
              </w:rPr>
            </w:pPr>
          </w:p>
          <w:p w14:paraId="7747F946" w14:textId="77777777" w:rsidR="000C08CA" w:rsidRPr="003B2A0D" w:rsidRDefault="000C08CA" w:rsidP="00FE328D">
            <w:pPr>
              <w:spacing w:line="276" w:lineRule="auto"/>
              <w:jc w:val="both"/>
              <w:rPr>
                <w:rFonts w:cs="Arial"/>
                <w:szCs w:val="20"/>
              </w:rPr>
            </w:pPr>
            <w:r w:rsidRPr="003B2A0D">
              <w:rPr>
                <w:rFonts w:cs="Arial"/>
                <w:szCs w:val="20"/>
              </w:rPr>
              <w:t>Za 1. točko se doda nova 2. točka, ki se glasi:</w:t>
            </w:r>
          </w:p>
          <w:p w14:paraId="1F32EF90" w14:textId="77777777" w:rsidR="000C08CA" w:rsidRPr="003B2A0D" w:rsidRDefault="000C08CA" w:rsidP="00FE328D">
            <w:pPr>
              <w:spacing w:line="276" w:lineRule="auto"/>
              <w:jc w:val="both"/>
              <w:rPr>
                <w:rFonts w:cs="Arial"/>
                <w:szCs w:val="20"/>
              </w:rPr>
            </w:pPr>
            <w:r w:rsidRPr="003B2A0D">
              <w:rPr>
                <w:rFonts w:cs="Arial"/>
                <w:szCs w:val="20"/>
              </w:rPr>
              <w:t>»2. če na poslovnem naslovu nima na vidnem mestu napisa z navedbo firme in sedeža podjetnika (30.a člen);«.</w:t>
            </w:r>
          </w:p>
          <w:p w14:paraId="001D27FB" w14:textId="77777777" w:rsidR="000C08CA" w:rsidRPr="003B2A0D" w:rsidRDefault="000C08CA" w:rsidP="00FE328D">
            <w:pPr>
              <w:spacing w:line="276" w:lineRule="auto"/>
              <w:jc w:val="both"/>
              <w:rPr>
                <w:rFonts w:cs="Arial"/>
                <w:szCs w:val="20"/>
              </w:rPr>
            </w:pPr>
          </w:p>
          <w:p w14:paraId="7993724A" w14:textId="77777777" w:rsidR="000C08CA" w:rsidRPr="003B2A0D" w:rsidRDefault="000C08CA" w:rsidP="00FE328D">
            <w:pPr>
              <w:spacing w:line="276" w:lineRule="auto"/>
              <w:jc w:val="both"/>
              <w:rPr>
                <w:rFonts w:cs="Arial"/>
              </w:rPr>
            </w:pPr>
            <w:r w:rsidRPr="604D2F63">
              <w:rPr>
                <w:rFonts w:cs="Arial"/>
              </w:rPr>
              <w:t xml:space="preserve">Dosedanji 2. in 3. točka postaneta 3. </w:t>
            </w:r>
            <w:r w:rsidRPr="604D2F63" w:rsidDel="003D5E60">
              <w:rPr>
                <w:rFonts w:cs="Arial"/>
              </w:rPr>
              <w:t xml:space="preserve">in </w:t>
            </w:r>
            <w:r w:rsidRPr="604D2F63">
              <w:rPr>
                <w:rFonts w:cs="Arial"/>
              </w:rPr>
              <w:t>4. točka.</w:t>
            </w:r>
          </w:p>
          <w:p w14:paraId="2894843C" w14:textId="77777777" w:rsidR="000C08CA" w:rsidRPr="003B2A0D" w:rsidRDefault="000C08CA" w:rsidP="00FE328D">
            <w:pPr>
              <w:spacing w:line="276" w:lineRule="auto"/>
              <w:jc w:val="both"/>
              <w:rPr>
                <w:rFonts w:cs="Arial"/>
                <w:szCs w:val="20"/>
              </w:rPr>
            </w:pPr>
          </w:p>
          <w:p w14:paraId="64A1C3B1" w14:textId="77777777" w:rsidR="000C08CA" w:rsidRPr="003B2A0D" w:rsidRDefault="000C08CA" w:rsidP="00FE328D">
            <w:pPr>
              <w:spacing w:line="276" w:lineRule="auto"/>
              <w:jc w:val="both"/>
              <w:rPr>
                <w:rFonts w:cs="Arial"/>
                <w:szCs w:val="20"/>
              </w:rPr>
            </w:pPr>
            <w:r w:rsidRPr="003B2A0D">
              <w:rPr>
                <w:rFonts w:cs="Arial"/>
                <w:szCs w:val="20"/>
              </w:rPr>
              <w:t xml:space="preserve">V dosedanji 4. točki, ki postane 5. točka, se beseda »oznako« nadomesti z </w:t>
            </w:r>
            <w:r w:rsidRPr="003B2A0D" w:rsidDel="00CC3C64">
              <w:rPr>
                <w:rFonts w:cs="Arial"/>
                <w:szCs w:val="20"/>
              </w:rPr>
              <w:t>besedo</w:t>
            </w:r>
            <w:r w:rsidRPr="003B2A0D">
              <w:rPr>
                <w:rFonts w:cs="Arial"/>
                <w:szCs w:val="20"/>
              </w:rPr>
              <w:t xml:space="preserve"> »firmo«.</w:t>
            </w:r>
          </w:p>
          <w:p w14:paraId="2CDD4B99" w14:textId="77777777" w:rsidR="000C08CA" w:rsidRPr="003B2A0D" w:rsidRDefault="000C08CA" w:rsidP="00FE328D">
            <w:pPr>
              <w:spacing w:line="276" w:lineRule="auto"/>
              <w:jc w:val="both"/>
              <w:rPr>
                <w:rFonts w:cs="Arial"/>
                <w:szCs w:val="20"/>
              </w:rPr>
            </w:pPr>
          </w:p>
          <w:p w14:paraId="40A9EE72" w14:textId="77777777" w:rsidR="000C08CA" w:rsidRPr="003B2A0D" w:rsidRDefault="000C08CA" w:rsidP="00FE328D">
            <w:pPr>
              <w:spacing w:line="276" w:lineRule="auto"/>
              <w:jc w:val="both"/>
              <w:rPr>
                <w:rFonts w:cs="Arial"/>
                <w:szCs w:val="20"/>
              </w:rPr>
            </w:pPr>
            <w:r w:rsidRPr="003B2A0D">
              <w:rPr>
                <w:rFonts w:cs="Arial"/>
                <w:szCs w:val="20"/>
              </w:rPr>
              <w:t>V dosedanji 5. točki, ki postane 6. točka, se beseda »sporočilih« na obeh mestih nadomesti z besedo »dopisih«, za besedo »člena« pa se doda besedilo »tega zakona«.</w:t>
            </w:r>
          </w:p>
          <w:p w14:paraId="522D584A" w14:textId="77777777" w:rsidR="000C08CA" w:rsidRPr="003B2A0D" w:rsidRDefault="000C08CA" w:rsidP="00FE328D">
            <w:pPr>
              <w:spacing w:line="276" w:lineRule="auto"/>
              <w:jc w:val="both"/>
              <w:rPr>
                <w:rFonts w:cs="Arial"/>
                <w:szCs w:val="20"/>
              </w:rPr>
            </w:pPr>
          </w:p>
          <w:p w14:paraId="30A0F6A9" w14:textId="77777777" w:rsidR="000C08CA" w:rsidRPr="003B2A0D" w:rsidRDefault="000C08CA" w:rsidP="00FE328D">
            <w:pPr>
              <w:spacing w:line="276" w:lineRule="auto"/>
              <w:jc w:val="both"/>
              <w:rPr>
                <w:rFonts w:cs="Arial"/>
                <w:szCs w:val="20"/>
              </w:rPr>
            </w:pPr>
            <w:r w:rsidRPr="003B2A0D">
              <w:rPr>
                <w:rFonts w:cs="Arial"/>
                <w:szCs w:val="20"/>
              </w:rPr>
              <w:t>Dosedanje 6. do 8. točka postanejo 7. do 9. točka.</w:t>
            </w:r>
          </w:p>
          <w:p w14:paraId="2A237AD3" w14:textId="77777777" w:rsidR="000C08CA" w:rsidRPr="003B2A0D" w:rsidRDefault="000C08CA" w:rsidP="00FE328D">
            <w:pPr>
              <w:pStyle w:val="ListParagraph"/>
              <w:spacing w:after="0" w:line="276" w:lineRule="auto"/>
              <w:rPr>
                <w:rFonts w:ascii="Arial" w:hAnsi="Arial" w:cs="Arial"/>
                <w:sz w:val="20"/>
                <w:szCs w:val="20"/>
              </w:rPr>
            </w:pPr>
          </w:p>
          <w:p w14:paraId="2E2BCACB" w14:textId="77777777" w:rsidR="000C08CA" w:rsidRPr="003B2A0D" w:rsidRDefault="000C08CA" w:rsidP="00FE328D">
            <w:pPr>
              <w:pStyle w:val="ListParagraph"/>
              <w:numPr>
                <w:ilvl w:val="0"/>
                <w:numId w:val="20"/>
              </w:numPr>
              <w:spacing w:after="0" w:line="276" w:lineRule="auto"/>
              <w:jc w:val="center"/>
              <w:rPr>
                <w:rFonts w:ascii="Arial" w:hAnsi="Arial" w:cs="Arial"/>
                <w:sz w:val="20"/>
                <w:szCs w:val="20"/>
              </w:rPr>
            </w:pPr>
            <w:r w:rsidRPr="003B2A0D">
              <w:rPr>
                <w:rFonts w:ascii="Arial" w:hAnsi="Arial" w:cs="Arial"/>
                <w:b/>
                <w:sz w:val="20"/>
                <w:szCs w:val="20"/>
              </w:rPr>
              <w:t>člen</w:t>
            </w:r>
          </w:p>
          <w:p w14:paraId="610F94ED" w14:textId="77777777" w:rsidR="000C08CA" w:rsidRPr="003B2A0D" w:rsidRDefault="000C08CA" w:rsidP="00FE328D">
            <w:pPr>
              <w:spacing w:line="276" w:lineRule="auto"/>
              <w:jc w:val="center"/>
              <w:rPr>
                <w:rFonts w:cs="Arial"/>
                <w:b/>
                <w:szCs w:val="20"/>
              </w:rPr>
            </w:pPr>
          </w:p>
          <w:p w14:paraId="2DD1375E" w14:textId="77777777" w:rsidR="000C08CA" w:rsidRPr="003B2A0D" w:rsidRDefault="000C08CA" w:rsidP="00FE328D">
            <w:pPr>
              <w:spacing w:line="276" w:lineRule="auto"/>
              <w:jc w:val="both"/>
              <w:rPr>
                <w:rFonts w:cs="Arial"/>
                <w:szCs w:val="20"/>
              </w:rPr>
            </w:pPr>
            <w:r w:rsidRPr="003B2A0D">
              <w:rPr>
                <w:rFonts w:cs="Arial"/>
                <w:szCs w:val="20"/>
              </w:rPr>
              <w:t>V 68</w:t>
            </w:r>
            <w:r w:rsidRPr="003B2A0D">
              <w:rPr>
                <w:rFonts w:cs="Arial"/>
                <w:bCs/>
                <w:szCs w:val="20"/>
              </w:rPr>
              <w:t>9</w:t>
            </w:r>
            <w:r w:rsidRPr="003B2A0D">
              <w:rPr>
                <w:rFonts w:cs="Arial"/>
                <w:szCs w:val="20"/>
              </w:rPr>
              <w:t>.</w:t>
            </w:r>
            <w:r w:rsidRPr="003B2A0D">
              <w:rPr>
                <w:rFonts w:cs="Arial"/>
                <w:bCs/>
                <w:szCs w:val="20"/>
              </w:rPr>
              <w:t>c</w:t>
            </w:r>
            <w:r w:rsidRPr="003B2A0D">
              <w:rPr>
                <w:rFonts w:cs="Arial"/>
                <w:szCs w:val="20"/>
              </w:rPr>
              <w:t xml:space="preserve"> členu se v </w:t>
            </w:r>
            <w:r w:rsidRPr="003B2A0D">
              <w:rPr>
                <w:rFonts w:cs="Arial"/>
                <w:bCs/>
                <w:szCs w:val="20"/>
              </w:rPr>
              <w:t>tretje</w:t>
            </w:r>
            <w:r w:rsidRPr="003B2A0D">
              <w:rPr>
                <w:rFonts w:cs="Arial"/>
                <w:szCs w:val="20"/>
              </w:rPr>
              <w:t xml:space="preserve">m odstavku v </w:t>
            </w:r>
            <w:r w:rsidRPr="003B2A0D">
              <w:rPr>
                <w:rFonts w:cs="Arial"/>
                <w:bCs/>
                <w:szCs w:val="20"/>
              </w:rPr>
              <w:t>3</w:t>
            </w:r>
            <w:r w:rsidRPr="003B2A0D">
              <w:rPr>
                <w:rFonts w:cs="Arial"/>
                <w:szCs w:val="20"/>
              </w:rPr>
              <w:t xml:space="preserve">. točki </w:t>
            </w:r>
            <w:r w:rsidRPr="003B2A0D">
              <w:rPr>
                <w:rFonts w:cs="Arial"/>
                <w:bCs/>
                <w:szCs w:val="20"/>
              </w:rPr>
              <w:t>besedilo »</w:t>
            </w:r>
            <w:r w:rsidRPr="003B2A0D">
              <w:rPr>
                <w:rFonts w:cs="Arial"/>
                <w:szCs w:val="20"/>
              </w:rPr>
              <w:t xml:space="preserve">družbi, s katere vrednostnimi papirji se trguje na organiziranem trgu,« nadomesti z besedilom »subjektu javnega interesa«. </w:t>
            </w:r>
          </w:p>
          <w:p w14:paraId="4E45E0DF" w14:textId="77777777" w:rsidR="000C08CA" w:rsidRPr="003B2A0D" w:rsidRDefault="000C08CA" w:rsidP="00FE328D">
            <w:pPr>
              <w:spacing w:line="276" w:lineRule="auto"/>
              <w:jc w:val="both"/>
              <w:rPr>
                <w:rFonts w:cs="Arial"/>
                <w:szCs w:val="20"/>
              </w:rPr>
            </w:pPr>
          </w:p>
          <w:p w14:paraId="69D0AF0A" w14:textId="77777777" w:rsidR="000C08CA" w:rsidRPr="003B2A0D" w:rsidRDefault="000C08CA" w:rsidP="00FE328D">
            <w:pPr>
              <w:pStyle w:val="ListParagraph"/>
              <w:keepNext/>
              <w:keepLines/>
              <w:numPr>
                <w:ilvl w:val="0"/>
                <w:numId w:val="20"/>
              </w:numPr>
              <w:spacing w:before="40" w:line="276" w:lineRule="auto"/>
              <w:jc w:val="center"/>
              <w:outlineLvl w:val="1"/>
              <w:rPr>
                <w:rFonts w:ascii="Arial" w:hAnsi="Arial" w:cs="Arial"/>
                <w:b/>
                <w:bCs/>
                <w:sz w:val="20"/>
                <w:szCs w:val="20"/>
              </w:rPr>
            </w:pPr>
            <w:r w:rsidRPr="4DB7FD0D">
              <w:rPr>
                <w:rFonts w:ascii="Arial" w:hAnsi="Arial" w:cs="Arial"/>
                <w:b/>
                <w:bCs/>
                <w:sz w:val="20"/>
                <w:szCs w:val="20"/>
              </w:rPr>
              <w:t>člen</w:t>
            </w:r>
          </w:p>
          <w:p w14:paraId="34694AD1" w14:textId="759EA7F2" w:rsidR="4DB7FD0D" w:rsidRDefault="4DB7FD0D" w:rsidP="4DB7FD0D">
            <w:pPr>
              <w:spacing w:line="276" w:lineRule="auto"/>
              <w:jc w:val="both"/>
              <w:rPr>
                <w:rFonts w:cs="Arial"/>
              </w:rPr>
            </w:pPr>
          </w:p>
          <w:p w14:paraId="40435F6F" w14:textId="24A20BBA" w:rsidR="000C08CA" w:rsidRPr="003B2A0D" w:rsidRDefault="000C08CA" w:rsidP="0098472E">
            <w:pPr>
              <w:spacing w:line="276" w:lineRule="auto"/>
              <w:jc w:val="both"/>
              <w:rPr>
                <w:rFonts w:cs="Arial"/>
                <w:szCs w:val="20"/>
              </w:rPr>
            </w:pPr>
            <w:r w:rsidRPr="003B2A0D">
              <w:rPr>
                <w:rFonts w:cs="Arial"/>
                <w:szCs w:val="20"/>
              </w:rPr>
              <w:t>V 689.č členu se v tretjem odstavku v 2. točki besedilo »družbi, s katere vrednostnimi papirji se trguje na organiziranem trgu,« nadomesti z besedilom »subjektu javnega interesa« in število »279« se nadomesti s številom »289«.</w:t>
            </w:r>
          </w:p>
          <w:p w14:paraId="73B104DB" w14:textId="77777777" w:rsidR="000C08CA" w:rsidRPr="003B2A0D" w:rsidRDefault="000C08CA" w:rsidP="00FE328D">
            <w:pPr>
              <w:spacing w:line="276" w:lineRule="auto"/>
              <w:jc w:val="both"/>
              <w:rPr>
                <w:rFonts w:cs="Arial"/>
                <w:szCs w:val="20"/>
              </w:rPr>
            </w:pPr>
          </w:p>
          <w:p w14:paraId="69143619" w14:textId="77777777" w:rsidR="000C08CA" w:rsidRPr="003B2A0D" w:rsidRDefault="000C08CA" w:rsidP="00FE328D">
            <w:pPr>
              <w:spacing w:line="276" w:lineRule="auto"/>
              <w:jc w:val="center"/>
              <w:rPr>
                <w:rFonts w:cs="Arial"/>
                <w:b/>
                <w:szCs w:val="20"/>
              </w:rPr>
            </w:pPr>
            <w:r w:rsidRPr="003B2A0D">
              <w:rPr>
                <w:rFonts w:cs="Arial"/>
                <w:b/>
                <w:szCs w:val="20"/>
              </w:rPr>
              <w:t>PREHODNE IN KONČNA DOLOČBA</w:t>
            </w:r>
          </w:p>
          <w:p w14:paraId="476C56B1" w14:textId="77777777" w:rsidR="000C08CA" w:rsidRPr="003B2A0D" w:rsidRDefault="000C08CA" w:rsidP="00FE328D">
            <w:pPr>
              <w:pStyle w:val="tevilnatoka"/>
              <w:numPr>
                <w:ilvl w:val="0"/>
                <w:numId w:val="0"/>
              </w:numPr>
              <w:spacing w:line="276" w:lineRule="auto"/>
              <w:rPr>
                <w:rFonts w:cs="Arial"/>
                <w:b/>
                <w:sz w:val="20"/>
                <w:szCs w:val="20"/>
              </w:rPr>
            </w:pPr>
          </w:p>
          <w:p w14:paraId="22469693" w14:textId="77777777" w:rsidR="000C08CA" w:rsidRPr="003B2A0D" w:rsidRDefault="000C08CA" w:rsidP="00FE328D">
            <w:pPr>
              <w:pStyle w:val="tevilnatoka"/>
              <w:numPr>
                <w:ilvl w:val="0"/>
                <w:numId w:val="20"/>
              </w:numPr>
              <w:spacing w:line="276" w:lineRule="auto"/>
              <w:jc w:val="center"/>
              <w:rPr>
                <w:rFonts w:cs="Arial"/>
                <w:b/>
                <w:sz w:val="20"/>
                <w:szCs w:val="20"/>
              </w:rPr>
            </w:pPr>
            <w:r w:rsidRPr="003B2A0D">
              <w:rPr>
                <w:rFonts w:cs="Arial"/>
                <w:b/>
                <w:sz w:val="20"/>
                <w:szCs w:val="20"/>
              </w:rPr>
              <w:t>člen</w:t>
            </w:r>
          </w:p>
          <w:p w14:paraId="090B49D1" w14:textId="77777777" w:rsidR="000C08CA" w:rsidRPr="003B2A0D" w:rsidRDefault="000C08CA" w:rsidP="00FE328D">
            <w:pPr>
              <w:pStyle w:val="tevilnatoka"/>
              <w:numPr>
                <w:ilvl w:val="0"/>
                <w:numId w:val="0"/>
              </w:numPr>
              <w:spacing w:line="276" w:lineRule="auto"/>
              <w:jc w:val="center"/>
              <w:rPr>
                <w:rFonts w:cs="Arial"/>
                <w:b/>
                <w:sz w:val="20"/>
                <w:szCs w:val="20"/>
              </w:rPr>
            </w:pPr>
            <w:r w:rsidRPr="003B2A0D">
              <w:rPr>
                <w:rFonts w:cs="Arial"/>
                <w:b/>
                <w:sz w:val="20"/>
                <w:szCs w:val="20"/>
              </w:rPr>
              <w:t>(končanje postopkov nadzora)</w:t>
            </w:r>
          </w:p>
          <w:p w14:paraId="111B8430" w14:textId="77777777" w:rsidR="000C08CA" w:rsidRPr="003B2A0D" w:rsidRDefault="000C08CA" w:rsidP="00FE328D">
            <w:pPr>
              <w:pStyle w:val="tevilnatoka"/>
              <w:numPr>
                <w:ilvl w:val="0"/>
                <w:numId w:val="0"/>
              </w:numPr>
              <w:spacing w:line="276" w:lineRule="auto"/>
              <w:ind w:left="720"/>
              <w:rPr>
                <w:rFonts w:cs="Arial"/>
                <w:b/>
                <w:sz w:val="20"/>
                <w:szCs w:val="20"/>
              </w:rPr>
            </w:pPr>
          </w:p>
          <w:p w14:paraId="67AACDD2" w14:textId="77777777" w:rsidR="000C08CA" w:rsidRPr="003B2A0D" w:rsidRDefault="000C08CA" w:rsidP="00FE328D">
            <w:pPr>
              <w:spacing w:line="276" w:lineRule="auto"/>
              <w:jc w:val="both"/>
              <w:rPr>
                <w:rFonts w:cs="Arial"/>
                <w:szCs w:val="20"/>
              </w:rPr>
            </w:pPr>
            <w:r w:rsidRPr="003B2A0D">
              <w:rPr>
                <w:rFonts w:cs="Arial"/>
                <w:szCs w:val="20"/>
              </w:rPr>
              <w:t>Postopki nadzora, začeti na podlagi 4. točke prvega odstavka 688. člena Zakona o gospodarskih družbah (Uradni list RS, št. 65/09 – uradno prečiščeno besedilo, 33/11, 91/11, 32/12, 57/12, 44/13 – odl. US, 82/13, 55/15, 15/17, 22/19 – ZPosS, 158/20 – ZIntPK-C, 18/21, 18/23 – ZDU-1O in 75/23), se dokončajo po določbah, ki so veljale do uveljavitve tega zakona.</w:t>
            </w:r>
          </w:p>
          <w:p w14:paraId="1EA6EDD2" w14:textId="77777777" w:rsidR="000C08CA" w:rsidRPr="003B2A0D" w:rsidRDefault="000C08CA" w:rsidP="00FE328D">
            <w:pPr>
              <w:pStyle w:val="tevilnatoka"/>
              <w:numPr>
                <w:ilvl w:val="0"/>
                <w:numId w:val="0"/>
              </w:numPr>
              <w:spacing w:line="276" w:lineRule="auto"/>
              <w:ind w:left="425" w:hanging="425"/>
              <w:jc w:val="center"/>
              <w:rPr>
                <w:rFonts w:cs="Arial"/>
                <w:b/>
                <w:sz w:val="20"/>
                <w:szCs w:val="20"/>
              </w:rPr>
            </w:pPr>
          </w:p>
          <w:p w14:paraId="04FE66C9" w14:textId="77777777" w:rsidR="000C08CA" w:rsidRPr="003B2A0D" w:rsidRDefault="000C08CA" w:rsidP="00FE328D">
            <w:pPr>
              <w:pStyle w:val="tevilnatoka"/>
              <w:numPr>
                <w:ilvl w:val="0"/>
                <w:numId w:val="20"/>
              </w:numPr>
              <w:spacing w:line="276" w:lineRule="auto"/>
              <w:jc w:val="center"/>
              <w:rPr>
                <w:rFonts w:cs="Arial"/>
                <w:b/>
                <w:sz w:val="20"/>
                <w:szCs w:val="20"/>
              </w:rPr>
            </w:pPr>
            <w:r w:rsidRPr="003B2A0D">
              <w:rPr>
                <w:rFonts w:cs="Arial"/>
                <w:b/>
                <w:sz w:val="20"/>
                <w:szCs w:val="20"/>
              </w:rPr>
              <w:t>člen</w:t>
            </w:r>
          </w:p>
          <w:p w14:paraId="2EB9EA2A" w14:textId="77777777" w:rsidR="000C08CA" w:rsidRPr="003B2A0D" w:rsidRDefault="000C08CA" w:rsidP="00FE328D">
            <w:pPr>
              <w:pStyle w:val="tevilnatoka"/>
              <w:numPr>
                <w:ilvl w:val="0"/>
                <w:numId w:val="0"/>
              </w:numPr>
              <w:spacing w:line="276" w:lineRule="auto"/>
              <w:jc w:val="center"/>
              <w:rPr>
                <w:rFonts w:cs="Arial"/>
                <w:b/>
                <w:sz w:val="20"/>
                <w:szCs w:val="20"/>
              </w:rPr>
            </w:pPr>
            <w:r w:rsidRPr="003B2A0D">
              <w:rPr>
                <w:rFonts w:cs="Arial"/>
                <w:b/>
                <w:sz w:val="20"/>
                <w:szCs w:val="20"/>
              </w:rPr>
              <w:t>(</w:t>
            </w:r>
            <w:bookmarkStart w:id="63" w:name="_Hlk142403146"/>
            <w:r w:rsidRPr="003B2A0D">
              <w:rPr>
                <w:rFonts w:cs="Arial"/>
                <w:b/>
                <w:sz w:val="20"/>
                <w:szCs w:val="20"/>
              </w:rPr>
              <w:t xml:space="preserve">začetek uporabe 58., 70.c do 70.d in 683.b člena </w:t>
            </w:r>
            <w:bookmarkEnd w:id="63"/>
            <w:r w:rsidRPr="003B2A0D">
              <w:rPr>
                <w:rFonts w:cs="Arial"/>
                <w:b/>
                <w:sz w:val="20"/>
                <w:szCs w:val="20"/>
              </w:rPr>
              <w:t>zakona)</w:t>
            </w:r>
          </w:p>
          <w:p w14:paraId="2D590921" w14:textId="77777777" w:rsidR="000C08CA" w:rsidRPr="003B2A0D" w:rsidRDefault="000C08CA" w:rsidP="00FE328D">
            <w:pPr>
              <w:pStyle w:val="tevilnatoka"/>
              <w:numPr>
                <w:ilvl w:val="0"/>
                <w:numId w:val="0"/>
              </w:numPr>
              <w:spacing w:line="276" w:lineRule="auto"/>
              <w:ind w:left="425" w:hanging="425"/>
              <w:rPr>
                <w:rFonts w:cs="Arial"/>
                <w:b/>
                <w:sz w:val="20"/>
                <w:szCs w:val="20"/>
              </w:rPr>
            </w:pPr>
          </w:p>
          <w:p w14:paraId="4BBFEF7C" w14:textId="77777777" w:rsidR="000C08CA" w:rsidRPr="003B2A0D" w:rsidRDefault="000C08CA" w:rsidP="00FE328D">
            <w:pPr>
              <w:spacing w:line="276" w:lineRule="auto"/>
              <w:jc w:val="both"/>
              <w:rPr>
                <w:rFonts w:cs="Arial"/>
                <w:bCs/>
                <w:szCs w:val="20"/>
              </w:rPr>
            </w:pPr>
            <w:r w:rsidRPr="003B2A0D">
              <w:rPr>
                <w:rFonts w:cs="Arial"/>
                <w:bCs/>
                <w:szCs w:val="20"/>
              </w:rPr>
              <w:t>(1) Določbe spremenjenega 70.c in novega 70.č člena zakona se začnejo uporabljati:</w:t>
            </w:r>
          </w:p>
          <w:p w14:paraId="1D53403D" w14:textId="77777777" w:rsidR="000C08CA" w:rsidRPr="003B2A0D" w:rsidRDefault="000C08CA" w:rsidP="00FE328D">
            <w:pPr>
              <w:pStyle w:val="ListParagraph"/>
              <w:numPr>
                <w:ilvl w:val="0"/>
                <w:numId w:val="22"/>
              </w:numPr>
              <w:spacing w:after="0" w:line="276" w:lineRule="auto"/>
              <w:jc w:val="both"/>
              <w:rPr>
                <w:rFonts w:ascii="Arial" w:hAnsi="Arial" w:cs="Arial"/>
                <w:bCs/>
                <w:sz w:val="20"/>
                <w:szCs w:val="20"/>
              </w:rPr>
            </w:pPr>
            <w:bookmarkStart w:id="64" w:name="_Hlk142403536"/>
            <w:r w:rsidRPr="003B2A0D">
              <w:rPr>
                <w:rFonts w:ascii="Arial" w:hAnsi="Arial" w:cs="Arial"/>
                <w:bCs/>
                <w:sz w:val="20"/>
                <w:szCs w:val="20"/>
              </w:rPr>
              <w:t>za poslovno leto, ki se začne</w:t>
            </w:r>
            <w:r w:rsidRPr="003B2A0D" w:rsidDel="003F4DE4">
              <w:rPr>
                <w:rFonts w:ascii="Arial" w:hAnsi="Arial" w:cs="Arial"/>
                <w:bCs/>
                <w:sz w:val="20"/>
                <w:szCs w:val="20"/>
              </w:rPr>
              <w:t xml:space="preserve"> </w:t>
            </w:r>
            <w:r w:rsidRPr="003B2A0D">
              <w:rPr>
                <w:rFonts w:ascii="Arial" w:hAnsi="Arial" w:cs="Arial"/>
                <w:bCs/>
                <w:sz w:val="20"/>
                <w:szCs w:val="20"/>
              </w:rPr>
              <w:t>v letu 2024, za:</w:t>
            </w:r>
          </w:p>
          <w:p w14:paraId="1DD435FC" w14:textId="77777777" w:rsidR="000C08CA" w:rsidRPr="003B2A0D" w:rsidRDefault="000C08CA" w:rsidP="00FE328D">
            <w:pPr>
              <w:pStyle w:val="ListParagraph"/>
              <w:numPr>
                <w:ilvl w:val="0"/>
                <w:numId w:val="23"/>
              </w:numPr>
              <w:spacing w:after="0" w:line="276" w:lineRule="auto"/>
              <w:jc w:val="both"/>
              <w:rPr>
                <w:rFonts w:ascii="Arial" w:hAnsi="Arial" w:cs="Arial"/>
                <w:bCs/>
                <w:sz w:val="20"/>
                <w:szCs w:val="20"/>
              </w:rPr>
            </w:pPr>
            <w:r w:rsidRPr="003B2A0D">
              <w:rPr>
                <w:rFonts w:ascii="Arial" w:hAnsi="Arial" w:cs="Arial"/>
                <w:bCs/>
                <w:sz w:val="20"/>
                <w:szCs w:val="20"/>
              </w:rPr>
              <w:t xml:space="preserve">velike družbe, ki so subjekti javnega interesa in katerih povprečno število zaposlenih v poslovnem letu je na bilančni presečni dan večje od 500, </w:t>
            </w:r>
          </w:p>
          <w:p w14:paraId="7127C582" w14:textId="77777777" w:rsidR="000C08CA" w:rsidRPr="003B2A0D" w:rsidRDefault="000C08CA" w:rsidP="00FE328D">
            <w:pPr>
              <w:pStyle w:val="ListParagraph"/>
              <w:numPr>
                <w:ilvl w:val="0"/>
                <w:numId w:val="23"/>
              </w:numPr>
              <w:spacing w:after="0" w:line="276" w:lineRule="auto"/>
              <w:jc w:val="both"/>
              <w:rPr>
                <w:rFonts w:ascii="Arial" w:hAnsi="Arial" w:cs="Arial"/>
                <w:bCs/>
                <w:sz w:val="20"/>
                <w:szCs w:val="20"/>
              </w:rPr>
            </w:pPr>
            <w:r w:rsidRPr="003B2A0D">
              <w:rPr>
                <w:rFonts w:ascii="Arial" w:hAnsi="Arial" w:cs="Arial"/>
                <w:bCs/>
                <w:sz w:val="20"/>
                <w:szCs w:val="20"/>
              </w:rPr>
              <w:t>obvladujoče družbe, ki so subjekti javnega interesa in ki skupaj z odvisnimi družbami dosegajo pogoje za velike družbe iz petega odstavka 55. člena</w:t>
            </w:r>
            <w:r w:rsidRPr="003B2A0D" w:rsidDel="00B22A0B">
              <w:rPr>
                <w:rFonts w:ascii="Arial" w:hAnsi="Arial" w:cs="Arial"/>
                <w:bCs/>
                <w:sz w:val="20"/>
                <w:szCs w:val="20"/>
              </w:rPr>
              <w:t xml:space="preserve"> </w:t>
            </w:r>
            <w:r w:rsidRPr="003B2A0D">
              <w:rPr>
                <w:rFonts w:ascii="Arial" w:hAnsi="Arial" w:cs="Arial"/>
                <w:bCs/>
                <w:sz w:val="20"/>
                <w:szCs w:val="20"/>
              </w:rPr>
              <w:t>zakona, pri čemer se merili čistih prihodkov od prodaje in vrednosti aktive povečata za 20 %, ter katerih povprečno število zaposlenih v poslovnem letu je na dan bilance stanja na ravni skupine večje od 500;</w:t>
            </w:r>
          </w:p>
          <w:p w14:paraId="1DD0F893" w14:textId="77777777" w:rsidR="000C08CA" w:rsidRPr="003B2A0D" w:rsidRDefault="000C08CA" w:rsidP="00FE328D">
            <w:pPr>
              <w:pStyle w:val="ListParagraph"/>
              <w:numPr>
                <w:ilvl w:val="0"/>
                <w:numId w:val="22"/>
              </w:numPr>
              <w:spacing w:after="0" w:line="276" w:lineRule="auto"/>
              <w:jc w:val="both"/>
              <w:rPr>
                <w:rFonts w:ascii="Arial" w:hAnsi="Arial" w:cs="Arial"/>
                <w:bCs/>
                <w:sz w:val="20"/>
                <w:szCs w:val="20"/>
              </w:rPr>
            </w:pPr>
            <w:r w:rsidRPr="003B2A0D">
              <w:rPr>
                <w:rFonts w:ascii="Arial" w:hAnsi="Arial" w:cs="Arial"/>
                <w:bCs/>
                <w:sz w:val="20"/>
                <w:szCs w:val="20"/>
              </w:rPr>
              <w:t>za poslovno leto, ki se začne</w:t>
            </w:r>
            <w:r w:rsidRPr="003B2A0D" w:rsidDel="004E6421">
              <w:rPr>
                <w:rFonts w:ascii="Arial" w:hAnsi="Arial" w:cs="Arial"/>
                <w:bCs/>
                <w:sz w:val="20"/>
                <w:szCs w:val="20"/>
              </w:rPr>
              <w:t xml:space="preserve"> </w:t>
            </w:r>
            <w:r w:rsidRPr="003B2A0D">
              <w:rPr>
                <w:rFonts w:ascii="Arial" w:hAnsi="Arial" w:cs="Arial"/>
                <w:bCs/>
                <w:sz w:val="20"/>
                <w:szCs w:val="20"/>
              </w:rPr>
              <w:t>v letu 2025, za:</w:t>
            </w:r>
          </w:p>
          <w:p w14:paraId="74DCEC0D" w14:textId="77777777" w:rsidR="000C08CA" w:rsidRPr="003B2A0D" w:rsidRDefault="000C08CA" w:rsidP="00FE328D">
            <w:pPr>
              <w:pStyle w:val="ListParagraph"/>
              <w:numPr>
                <w:ilvl w:val="0"/>
                <w:numId w:val="23"/>
              </w:numPr>
              <w:spacing w:after="0" w:line="276" w:lineRule="auto"/>
              <w:jc w:val="both"/>
              <w:rPr>
                <w:rFonts w:ascii="Arial" w:hAnsi="Arial" w:cs="Arial"/>
                <w:bCs/>
                <w:sz w:val="20"/>
                <w:szCs w:val="20"/>
              </w:rPr>
            </w:pPr>
            <w:r w:rsidRPr="003B2A0D">
              <w:rPr>
                <w:rFonts w:ascii="Arial" w:hAnsi="Arial" w:cs="Arial"/>
                <w:bCs/>
                <w:sz w:val="20"/>
                <w:szCs w:val="20"/>
              </w:rPr>
              <w:t>velike družbe, razen za tiste</w:t>
            </w:r>
            <w:r w:rsidRPr="003B2A0D" w:rsidDel="00D71E16">
              <w:rPr>
                <w:rFonts w:ascii="Arial" w:hAnsi="Arial" w:cs="Arial"/>
                <w:bCs/>
                <w:sz w:val="20"/>
                <w:szCs w:val="20"/>
              </w:rPr>
              <w:t xml:space="preserve"> </w:t>
            </w:r>
            <w:r w:rsidRPr="003B2A0D">
              <w:rPr>
                <w:rFonts w:ascii="Arial" w:hAnsi="Arial" w:cs="Arial"/>
                <w:bCs/>
                <w:sz w:val="20"/>
                <w:szCs w:val="20"/>
              </w:rPr>
              <w:t xml:space="preserve">iz prve alineje prejšnje točke, </w:t>
            </w:r>
          </w:p>
          <w:p w14:paraId="5A58A7F5" w14:textId="77777777" w:rsidR="000C08CA" w:rsidRPr="003B2A0D" w:rsidRDefault="000C08CA" w:rsidP="00FE328D">
            <w:pPr>
              <w:pStyle w:val="ListParagraph"/>
              <w:numPr>
                <w:ilvl w:val="0"/>
                <w:numId w:val="23"/>
              </w:numPr>
              <w:spacing w:after="0" w:line="276" w:lineRule="auto"/>
              <w:jc w:val="both"/>
              <w:rPr>
                <w:rFonts w:ascii="Arial" w:hAnsi="Arial" w:cs="Arial"/>
                <w:bCs/>
                <w:sz w:val="20"/>
                <w:szCs w:val="20"/>
              </w:rPr>
            </w:pPr>
            <w:r w:rsidRPr="003B2A0D">
              <w:rPr>
                <w:rFonts w:ascii="Arial" w:hAnsi="Arial" w:cs="Arial"/>
                <w:bCs/>
                <w:sz w:val="20"/>
                <w:szCs w:val="20"/>
              </w:rPr>
              <w:t>obvladujoče družbe, ki skupaj z odvisnimi družbami dosegajo pogoje za velike družbe iz petega odstavka 55. člena</w:t>
            </w:r>
            <w:r w:rsidRPr="003B2A0D" w:rsidDel="00B22A0B">
              <w:rPr>
                <w:rFonts w:ascii="Arial" w:hAnsi="Arial" w:cs="Arial"/>
                <w:bCs/>
                <w:sz w:val="20"/>
                <w:szCs w:val="20"/>
              </w:rPr>
              <w:t xml:space="preserve"> </w:t>
            </w:r>
            <w:r w:rsidRPr="003B2A0D">
              <w:rPr>
                <w:rFonts w:ascii="Arial" w:hAnsi="Arial" w:cs="Arial"/>
                <w:bCs/>
                <w:sz w:val="20"/>
                <w:szCs w:val="20"/>
              </w:rPr>
              <w:t>zakona, pri čemer se merili čistih prihodkov od prodaje in vrednosti aktive povečata za 20 %, razen za tiste iz druge alineje prejšnje točke;</w:t>
            </w:r>
          </w:p>
          <w:p w14:paraId="163037F3" w14:textId="77777777" w:rsidR="000C08CA" w:rsidRPr="003B2A0D" w:rsidRDefault="000C08CA" w:rsidP="00FE328D">
            <w:pPr>
              <w:pStyle w:val="ListParagraph"/>
              <w:numPr>
                <w:ilvl w:val="0"/>
                <w:numId w:val="22"/>
              </w:numPr>
              <w:spacing w:after="0" w:line="276" w:lineRule="auto"/>
              <w:jc w:val="both"/>
              <w:rPr>
                <w:rFonts w:ascii="Arial" w:hAnsi="Arial" w:cs="Arial"/>
                <w:bCs/>
                <w:sz w:val="20"/>
                <w:szCs w:val="20"/>
              </w:rPr>
            </w:pPr>
            <w:r w:rsidRPr="003B2A0D">
              <w:rPr>
                <w:rFonts w:ascii="Arial" w:hAnsi="Arial" w:cs="Arial"/>
                <w:bCs/>
                <w:sz w:val="20"/>
                <w:szCs w:val="20"/>
              </w:rPr>
              <w:t>za poslovno leto, ki se začne</w:t>
            </w:r>
            <w:r w:rsidRPr="003B2A0D" w:rsidDel="004E6421">
              <w:rPr>
                <w:rFonts w:ascii="Arial" w:hAnsi="Arial" w:cs="Arial"/>
                <w:bCs/>
                <w:sz w:val="20"/>
                <w:szCs w:val="20"/>
              </w:rPr>
              <w:t xml:space="preserve"> </w:t>
            </w:r>
            <w:r w:rsidRPr="003B2A0D">
              <w:rPr>
                <w:rFonts w:ascii="Arial" w:hAnsi="Arial" w:cs="Arial"/>
                <w:bCs/>
                <w:sz w:val="20"/>
                <w:szCs w:val="20"/>
              </w:rPr>
              <w:t>v letu 2026</w:t>
            </w:r>
            <w:r>
              <w:rPr>
                <w:rFonts w:ascii="Arial" w:hAnsi="Arial" w:cs="Arial"/>
                <w:bCs/>
                <w:sz w:val="20"/>
                <w:szCs w:val="20"/>
              </w:rPr>
              <w:t>,</w:t>
            </w:r>
            <w:r w:rsidRPr="003B2A0D">
              <w:rPr>
                <w:rFonts w:ascii="Arial" w:hAnsi="Arial" w:cs="Arial"/>
                <w:bCs/>
                <w:sz w:val="20"/>
                <w:szCs w:val="20"/>
              </w:rPr>
              <w:t xml:space="preserve"> za:</w:t>
            </w:r>
          </w:p>
          <w:p w14:paraId="52DF25DD" w14:textId="77777777" w:rsidR="000C08CA" w:rsidRPr="003B2A0D" w:rsidRDefault="000C08CA" w:rsidP="00FE328D">
            <w:pPr>
              <w:pStyle w:val="ListParagraph"/>
              <w:numPr>
                <w:ilvl w:val="0"/>
                <w:numId w:val="23"/>
              </w:numPr>
              <w:spacing w:after="0" w:line="276" w:lineRule="auto"/>
              <w:jc w:val="both"/>
              <w:rPr>
                <w:rFonts w:ascii="Arial" w:hAnsi="Arial" w:cs="Arial"/>
                <w:bCs/>
                <w:sz w:val="20"/>
                <w:szCs w:val="20"/>
              </w:rPr>
            </w:pPr>
            <w:r w:rsidRPr="003B2A0D">
              <w:rPr>
                <w:rFonts w:ascii="Arial" w:hAnsi="Arial" w:cs="Arial"/>
                <w:bCs/>
                <w:sz w:val="20"/>
                <w:szCs w:val="20"/>
              </w:rPr>
              <w:t xml:space="preserve">majhne in srednje družbe, </w:t>
            </w:r>
            <w:r>
              <w:rPr>
                <w:rFonts w:ascii="Arial" w:hAnsi="Arial" w:cs="Arial"/>
                <w:bCs/>
                <w:sz w:val="20"/>
                <w:szCs w:val="20"/>
              </w:rPr>
              <w:t>z</w:t>
            </w:r>
            <w:r w:rsidRPr="003B2A0D">
              <w:rPr>
                <w:rFonts w:ascii="Arial" w:hAnsi="Arial" w:cs="Arial"/>
                <w:bCs/>
                <w:sz w:val="20"/>
                <w:szCs w:val="20"/>
              </w:rPr>
              <w:t xml:space="preserve"> vrednostnimi papirji </w:t>
            </w:r>
            <w:r>
              <w:rPr>
                <w:rFonts w:ascii="Arial" w:hAnsi="Arial" w:cs="Arial"/>
                <w:bCs/>
                <w:sz w:val="20"/>
                <w:szCs w:val="20"/>
              </w:rPr>
              <w:t xml:space="preserve">katerih </w:t>
            </w:r>
            <w:r w:rsidRPr="003B2A0D">
              <w:rPr>
                <w:rFonts w:ascii="Arial" w:hAnsi="Arial" w:cs="Arial"/>
                <w:bCs/>
                <w:sz w:val="20"/>
                <w:szCs w:val="20"/>
              </w:rPr>
              <w:t>se trguje na organiziranem trgu, razen za mikro družbe,</w:t>
            </w:r>
          </w:p>
          <w:p w14:paraId="55BC7F27" w14:textId="77777777" w:rsidR="000C08CA" w:rsidRPr="000F6661" w:rsidRDefault="000C08CA" w:rsidP="00FE328D">
            <w:pPr>
              <w:pStyle w:val="ListParagraph"/>
              <w:numPr>
                <w:ilvl w:val="0"/>
                <w:numId w:val="23"/>
              </w:numPr>
              <w:spacing w:after="0" w:line="276" w:lineRule="auto"/>
              <w:jc w:val="both"/>
              <w:rPr>
                <w:rFonts w:ascii="Arial" w:hAnsi="Arial" w:cs="Arial"/>
                <w:sz w:val="20"/>
                <w:szCs w:val="20"/>
              </w:rPr>
            </w:pPr>
            <w:r w:rsidRPr="003B2A0D">
              <w:rPr>
                <w:rFonts w:ascii="Arial" w:hAnsi="Arial" w:cs="Arial"/>
                <w:bCs/>
                <w:sz w:val="20"/>
                <w:szCs w:val="20"/>
              </w:rPr>
              <w:t xml:space="preserve">majhne in nekompleksne institucije, </w:t>
            </w:r>
            <w:r>
              <w:rPr>
                <w:rFonts w:ascii="Arial" w:hAnsi="Arial" w:cs="Arial"/>
                <w:bCs/>
                <w:sz w:val="20"/>
                <w:szCs w:val="20"/>
              </w:rPr>
              <w:t>če</w:t>
            </w:r>
            <w:r w:rsidRPr="003B2A0D">
              <w:rPr>
                <w:rFonts w:ascii="Arial" w:hAnsi="Arial" w:cs="Arial"/>
                <w:bCs/>
                <w:sz w:val="20"/>
                <w:szCs w:val="20"/>
              </w:rPr>
              <w:t xml:space="preserve"> gre za veliko </w:t>
            </w:r>
            <w:r w:rsidRPr="000F6661">
              <w:rPr>
                <w:rFonts w:ascii="Arial" w:hAnsi="Arial" w:cs="Arial"/>
                <w:sz w:val="20"/>
                <w:szCs w:val="20"/>
              </w:rPr>
              <w:t>družbo oziroma majhno ali srednjo družbo, s katere vrednostnimi papirji se trguje na organiziranem trgu, ki ni mikro družba,</w:t>
            </w:r>
          </w:p>
          <w:p w14:paraId="3B66DC47" w14:textId="77777777" w:rsidR="000C08CA" w:rsidRPr="003B2A0D" w:rsidRDefault="000C08CA" w:rsidP="00FE328D">
            <w:pPr>
              <w:pStyle w:val="ListParagraph"/>
              <w:numPr>
                <w:ilvl w:val="0"/>
                <w:numId w:val="23"/>
              </w:numPr>
              <w:spacing w:after="0" w:line="276" w:lineRule="auto"/>
              <w:jc w:val="both"/>
              <w:rPr>
                <w:rFonts w:ascii="Arial" w:hAnsi="Arial" w:cs="Arial"/>
                <w:sz w:val="20"/>
                <w:szCs w:val="20"/>
              </w:rPr>
            </w:pPr>
            <w:r w:rsidRPr="000F6661">
              <w:rPr>
                <w:rFonts w:ascii="Arial" w:hAnsi="Arial" w:cs="Arial"/>
                <w:sz w:val="20"/>
                <w:szCs w:val="20"/>
              </w:rPr>
              <w:t>lastne zavarovalnice in pozavarovalnice po zakonu, ki ureja zavarovalništvo, če gre za veliko družbo oziroma majhno ali srednjo družbo, s katere vrednostnimi</w:t>
            </w:r>
            <w:r w:rsidRPr="003B2A0D">
              <w:rPr>
                <w:rFonts w:ascii="Arial" w:hAnsi="Arial" w:cs="Arial"/>
                <w:bCs/>
                <w:sz w:val="20"/>
                <w:szCs w:val="20"/>
              </w:rPr>
              <w:t xml:space="preserve"> papirji se trguje na organiziranem trgu, ki ni mikro družba.</w:t>
            </w:r>
            <w:bookmarkEnd w:id="64"/>
          </w:p>
          <w:p w14:paraId="741D52DA" w14:textId="77777777" w:rsidR="000C08CA" w:rsidRPr="003B2A0D" w:rsidRDefault="000C08CA" w:rsidP="00FE328D">
            <w:pPr>
              <w:pStyle w:val="ListParagraph"/>
              <w:spacing w:after="0" w:line="276" w:lineRule="auto"/>
              <w:jc w:val="both"/>
              <w:rPr>
                <w:rFonts w:ascii="Arial" w:hAnsi="Arial" w:cs="Arial"/>
                <w:sz w:val="20"/>
                <w:szCs w:val="20"/>
              </w:rPr>
            </w:pPr>
          </w:p>
          <w:p w14:paraId="240064D7" w14:textId="77777777" w:rsidR="000C08CA" w:rsidRPr="003B2A0D" w:rsidRDefault="000C08CA" w:rsidP="00FE328D">
            <w:pPr>
              <w:spacing w:line="276" w:lineRule="auto"/>
              <w:jc w:val="both"/>
              <w:rPr>
                <w:rFonts w:cs="Arial"/>
                <w:szCs w:val="20"/>
              </w:rPr>
            </w:pPr>
            <w:r w:rsidRPr="003B2A0D">
              <w:rPr>
                <w:rFonts w:cs="Arial"/>
                <w:szCs w:val="20"/>
              </w:rPr>
              <w:t xml:space="preserve">(2) Do začetka uporabe spremenjenega 70.c in novega 70.č člena zakona se za obveznosti poročanja uporabljajo določbe 70.c člena Zakona o gospodarskih družbah (Uradni list RS, št. 65/09 – uradno prečiščeno besedilo, 33/11, 91/11, 32/12, 57/12, 44/13 – odl. US, 82/13, 55/15, 15/17, 22/19 – ZPosS, 158/20 – ZIntPK-C, 18/21, 18/23 – ZDU-1O in 75/23), ki so se uporabljale do uveljavitve tega zakona. </w:t>
            </w:r>
          </w:p>
          <w:p w14:paraId="3E295875" w14:textId="77777777" w:rsidR="000C08CA" w:rsidRPr="003B2A0D" w:rsidRDefault="000C08CA" w:rsidP="00FE328D">
            <w:pPr>
              <w:pStyle w:val="ListParagraph"/>
              <w:spacing w:after="0" w:line="276" w:lineRule="auto"/>
              <w:jc w:val="both"/>
              <w:rPr>
                <w:rFonts w:ascii="Arial" w:hAnsi="Arial" w:cs="Arial"/>
                <w:bCs/>
                <w:sz w:val="20"/>
                <w:szCs w:val="20"/>
              </w:rPr>
            </w:pPr>
          </w:p>
          <w:p w14:paraId="53335DDD" w14:textId="77777777" w:rsidR="000C08CA" w:rsidRPr="003B2A0D" w:rsidRDefault="000C08CA" w:rsidP="00FE328D">
            <w:pPr>
              <w:spacing w:line="276" w:lineRule="auto"/>
              <w:jc w:val="both"/>
              <w:rPr>
                <w:rFonts w:cs="Arial"/>
                <w:bCs/>
                <w:szCs w:val="20"/>
              </w:rPr>
            </w:pPr>
            <w:r w:rsidRPr="003B2A0D">
              <w:rPr>
                <w:rFonts w:cs="Arial"/>
                <w:bCs/>
                <w:szCs w:val="20"/>
              </w:rPr>
              <w:t>(3) Določbe</w:t>
            </w:r>
            <w:r w:rsidRPr="003B2A0D" w:rsidDel="00C218F9">
              <w:rPr>
                <w:rFonts w:cs="Arial"/>
                <w:bCs/>
                <w:szCs w:val="20"/>
              </w:rPr>
              <w:t xml:space="preserve"> </w:t>
            </w:r>
            <w:r w:rsidRPr="003B2A0D">
              <w:rPr>
                <w:rFonts w:cs="Arial"/>
                <w:bCs/>
                <w:szCs w:val="20"/>
              </w:rPr>
              <w:t>drugega odstavka spremenjenega 58. člena zakona, ki se nanašajo na</w:t>
            </w:r>
            <w:r w:rsidRPr="003B2A0D">
              <w:rPr>
                <w:rFonts w:cs="Arial"/>
                <w:szCs w:val="20"/>
              </w:rPr>
              <w:t xml:space="preserve"> </w:t>
            </w:r>
            <w:r w:rsidRPr="003B2A0D">
              <w:rPr>
                <w:rFonts w:cs="Arial"/>
                <w:bCs/>
                <w:szCs w:val="20"/>
              </w:rPr>
              <w:t xml:space="preserve">opremo poročila o trajnostnosti z oznakami, se začnejo uporabljati, ko so zagotovljeni tehnični pogoji za njihovo izvajanje. </w:t>
            </w:r>
            <w:r w:rsidRPr="003B2A0D">
              <w:rPr>
                <w:rFonts w:cs="Arial"/>
                <w:szCs w:val="20"/>
              </w:rPr>
              <w:t xml:space="preserve">Minister, pristojen za gospodarstvo, </w:t>
            </w:r>
            <w:r w:rsidRPr="003B2A0D">
              <w:rPr>
                <w:rFonts w:cs="Arial"/>
                <w:bCs/>
                <w:szCs w:val="20"/>
              </w:rPr>
              <w:t>ob zagotovitvi tehničnih pogojev z odredbo, ki se objavi v Uradnem listu Republike Slovenije, določi datum, od katerega se začnejo uporabljati te določbe.</w:t>
            </w:r>
          </w:p>
          <w:p w14:paraId="74A4CD8F" w14:textId="77777777" w:rsidR="000C08CA" w:rsidRPr="003B2A0D" w:rsidRDefault="000C08CA" w:rsidP="00FE328D">
            <w:pPr>
              <w:pStyle w:val="ListParagraph"/>
              <w:spacing w:after="0" w:line="276" w:lineRule="auto"/>
              <w:ind w:left="0"/>
              <w:jc w:val="both"/>
              <w:rPr>
                <w:rFonts w:ascii="Arial" w:hAnsi="Arial" w:cs="Arial"/>
                <w:bCs/>
                <w:sz w:val="20"/>
                <w:szCs w:val="20"/>
              </w:rPr>
            </w:pPr>
          </w:p>
          <w:p w14:paraId="716EE4D3" w14:textId="77777777" w:rsidR="000C08CA" w:rsidRPr="003B2A0D" w:rsidRDefault="000C08CA" w:rsidP="00FE328D">
            <w:pPr>
              <w:pStyle w:val="ListParagraph"/>
              <w:spacing w:after="0" w:line="276" w:lineRule="auto"/>
              <w:ind w:left="0"/>
              <w:jc w:val="both"/>
              <w:rPr>
                <w:rFonts w:ascii="Arial" w:hAnsi="Arial" w:cs="Arial"/>
                <w:sz w:val="20"/>
                <w:szCs w:val="20"/>
              </w:rPr>
            </w:pPr>
            <w:r w:rsidRPr="003B2A0D">
              <w:rPr>
                <w:rFonts w:ascii="Arial" w:hAnsi="Arial" w:cs="Arial"/>
                <w:bCs/>
                <w:sz w:val="20"/>
                <w:szCs w:val="20"/>
              </w:rPr>
              <w:t xml:space="preserve">(4) </w:t>
            </w:r>
            <w:bookmarkStart w:id="65" w:name="_Hlk141710427"/>
            <w:r w:rsidRPr="003B2A0D">
              <w:rPr>
                <w:rFonts w:ascii="Arial" w:hAnsi="Arial" w:cs="Arial"/>
                <w:bCs/>
                <w:sz w:val="20"/>
                <w:szCs w:val="20"/>
              </w:rPr>
              <w:t>Določbe novega 70.d in 683.b člena zakona se začnejo uporabljati za poslovno leto, ki se začne v letu 2028.</w:t>
            </w:r>
            <w:bookmarkEnd w:id="65"/>
          </w:p>
          <w:p w14:paraId="464D78D9" w14:textId="77777777" w:rsidR="000C08CA" w:rsidRPr="003B2A0D" w:rsidRDefault="000C08CA" w:rsidP="00FE328D">
            <w:pPr>
              <w:pStyle w:val="tevilnatoka"/>
              <w:numPr>
                <w:ilvl w:val="0"/>
                <w:numId w:val="0"/>
              </w:numPr>
              <w:spacing w:line="276" w:lineRule="auto"/>
              <w:rPr>
                <w:rFonts w:cs="Arial"/>
                <w:b/>
                <w:sz w:val="20"/>
                <w:szCs w:val="20"/>
              </w:rPr>
            </w:pPr>
          </w:p>
          <w:p w14:paraId="252202F6" w14:textId="77777777" w:rsidR="000C08CA" w:rsidRPr="003B2A0D" w:rsidRDefault="000C08CA" w:rsidP="00FE328D">
            <w:pPr>
              <w:pStyle w:val="tevilnatoka"/>
              <w:numPr>
                <w:ilvl w:val="0"/>
                <w:numId w:val="20"/>
              </w:numPr>
              <w:spacing w:line="276" w:lineRule="auto"/>
              <w:jc w:val="center"/>
              <w:rPr>
                <w:rFonts w:cs="Arial"/>
                <w:b/>
                <w:sz w:val="20"/>
                <w:szCs w:val="20"/>
              </w:rPr>
            </w:pPr>
            <w:r w:rsidRPr="003B2A0D">
              <w:rPr>
                <w:rFonts w:cs="Arial"/>
                <w:b/>
                <w:sz w:val="20"/>
                <w:szCs w:val="20"/>
              </w:rPr>
              <w:t>člen</w:t>
            </w:r>
          </w:p>
          <w:p w14:paraId="24D860F3" w14:textId="77777777" w:rsidR="000C08CA" w:rsidRPr="003B2A0D" w:rsidRDefault="000C08CA" w:rsidP="00FE328D">
            <w:pPr>
              <w:pStyle w:val="tevilnatoka"/>
              <w:numPr>
                <w:ilvl w:val="0"/>
                <w:numId w:val="0"/>
              </w:numPr>
              <w:spacing w:line="276" w:lineRule="auto"/>
              <w:jc w:val="center"/>
              <w:rPr>
                <w:rFonts w:cs="Arial"/>
                <w:b/>
                <w:sz w:val="20"/>
                <w:szCs w:val="20"/>
              </w:rPr>
            </w:pPr>
            <w:r w:rsidRPr="003B2A0D">
              <w:rPr>
                <w:rFonts w:cs="Arial"/>
                <w:b/>
                <w:sz w:val="20"/>
                <w:szCs w:val="20"/>
              </w:rPr>
              <w:t xml:space="preserve">(prehodno obdobje za pripravo poročila o trajnostnosti za majhne in srednje družbe, </w:t>
            </w:r>
            <w:r>
              <w:rPr>
                <w:rFonts w:cs="Arial"/>
                <w:b/>
                <w:sz w:val="20"/>
                <w:szCs w:val="20"/>
              </w:rPr>
              <w:t>z</w:t>
            </w:r>
            <w:r w:rsidRPr="003B2A0D">
              <w:rPr>
                <w:rFonts w:cs="Arial"/>
                <w:b/>
                <w:sz w:val="20"/>
                <w:szCs w:val="20"/>
              </w:rPr>
              <w:t xml:space="preserve"> vrednostnimi papirji </w:t>
            </w:r>
            <w:r>
              <w:rPr>
                <w:rFonts w:cs="Arial"/>
                <w:b/>
                <w:sz w:val="20"/>
                <w:szCs w:val="20"/>
              </w:rPr>
              <w:t xml:space="preserve">katerih </w:t>
            </w:r>
            <w:r w:rsidRPr="003B2A0D">
              <w:rPr>
                <w:rFonts w:cs="Arial"/>
                <w:b/>
                <w:sz w:val="20"/>
                <w:szCs w:val="20"/>
              </w:rPr>
              <w:t>se trguje na organiziranem trgu)</w:t>
            </w:r>
          </w:p>
          <w:p w14:paraId="1C0C0BFE" w14:textId="77777777" w:rsidR="000C08CA" w:rsidRPr="003B2A0D" w:rsidRDefault="000C08CA" w:rsidP="00FE328D">
            <w:pPr>
              <w:pStyle w:val="ListParagraph"/>
              <w:spacing w:after="0" w:line="276" w:lineRule="auto"/>
              <w:ind w:left="0"/>
              <w:jc w:val="both"/>
              <w:rPr>
                <w:rFonts w:ascii="Arial" w:hAnsi="Arial" w:cs="Arial"/>
                <w:sz w:val="20"/>
                <w:szCs w:val="20"/>
              </w:rPr>
            </w:pPr>
          </w:p>
          <w:p w14:paraId="1534CE37" w14:textId="77777777" w:rsidR="000C08CA" w:rsidRPr="003B2A0D" w:rsidRDefault="000C08CA" w:rsidP="00FE328D">
            <w:pPr>
              <w:spacing w:line="276" w:lineRule="auto"/>
              <w:jc w:val="both"/>
              <w:rPr>
                <w:rFonts w:cs="Arial"/>
                <w:szCs w:val="20"/>
              </w:rPr>
            </w:pPr>
            <w:r w:rsidRPr="003B2A0D">
              <w:rPr>
                <w:rFonts w:cs="Arial"/>
                <w:szCs w:val="20"/>
              </w:rPr>
              <w:t xml:space="preserve">Ne glede na prejšnji člen se lahko majhna </w:t>
            </w:r>
            <w:r w:rsidRPr="003B2A0D" w:rsidDel="00930FFA">
              <w:rPr>
                <w:rFonts w:cs="Arial"/>
                <w:szCs w:val="20"/>
              </w:rPr>
              <w:t xml:space="preserve">in </w:t>
            </w:r>
            <w:r w:rsidRPr="003B2A0D">
              <w:rPr>
                <w:rFonts w:cs="Arial"/>
                <w:szCs w:val="20"/>
              </w:rPr>
              <w:t>srednja družba, s katere vrednostnimi papirji se trguje na organiziranem trgu, za poslovno leto, ki se začne pred 1. januarjem 2028, odloči, da ne pripravi poročila o trajnostnosti. V tem primeru družba v poslovnem poročilu na kratko pojasni, zakaj poročila o trajnostnosti ni pripravila.</w:t>
            </w:r>
          </w:p>
          <w:p w14:paraId="25D7DDA3" w14:textId="77777777" w:rsidR="000C08CA" w:rsidRPr="003B2A0D" w:rsidRDefault="000C08CA" w:rsidP="00FE328D">
            <w:pPr>
              <w:spacing w:line="276" w:lineRule="auto"/>
              <w:rPr>
                <w:rFonts w:cs="Arial"/>
                <w:b/>
                <w:szCs w:val="20"/>
              </w:rPr>
            </w:pPr>
          </w:p>
          <w:p w14:paraId="655E7EE5"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7536F85F" w14:textId="77777777" w:rsidR="000C08CA" w:rsidRPr="003B2A0D" w:rsidRDefault="000C08CA" w:rsidP="00FE328D">
            <w:pPr>
              <w:spacing w:line="276" w:lineRule="auto"/>
              <w:jc w:val="center"/>
              <w:rPr>
                <w:rFonts w:cs="Arial"/>
                <w:b/>
                <w:bCs/>
                <w:szCs w:val="20"/>
              </w:rPr>
            </w:pPr>
            <w:r w:rsidRPr="003B2A0D">
              <w:rPr>
                <w:rFonts w:cs="Arial"/>
                <w:b/>
                <w:bCs/>
                <w:szCs w:val="20"/>
              </w:rPr>
              <w:t>(prehodno obdobje za vključitev informacij o vrednostni verigi družbe v poročilo o trajnostnosti)</w:t>
            </w:r>
          </w:p>
          <w:p w14:paraId="58E344E7" w14:textId="77777777" w:rsidR="000C08CA" w:rsidRPr="003B2A0D" w:rsidRDefault="000C08CA" w:rsidP="00FE328D">
            <w:pPr>
              <w:pStyle w:val="ListParagraph"/>
              <w:spacing w:after="0" w:line="276" w:lineRule="auto"/>
              <w:jc w:val="both"/>
              <w:rPr>
                <w:rFonts w:ascii="Arial" w:hAnsi="Arial" w:cs="Arial"/>
                <w:sz w:val="20"/>
                <w:szCs w:val="20"/>
              </w:rPr>
            </w:pPr>
          </w:p>
          <w:p w14:paraId="21D73D71" w14:textId="77777777" w:rsidR="000C08CA" w:rsidRPr="003B2A0D" w:rsidRDefault="000C08CA" w:rsidP="00FE328D">
            <w:pPr>
              <w:spacing w:line="276" w:lineRule="auto"/>
              <w:jc w:val="both"/>
              <w:rPr>
                <w:rFonts w:cs="Arial"/>
                <w:szCs w:val="20"/>
              </w:rPr>
            </w:pPr>
            <w:r w:rsidRPr="003B2A0D">
              <w:rPr>
                <w:rFonts w:cs="Arial"/>
                <w:szCs w:val="20"/>
              </w:rPr>
              <w:t xml:space="preserve">Družba, ki pripravi poročilo o trajnostnosti v skladu s prvim odstavkom 70.c člena zakona oziroma konsolidirano poročilo o trajnostnosti v skladu s 70.č členom zakona, lahko v prvih treh letih od nastanka obveznosti poročanja, kadar niso na voljo vse potrebne informacije o vrednostni verigi, </w:t>
            </w:r>
            <w:r w:rsidRPr="003B2A0D">
              <w:rPr>
                <w:rFonts w:cs="Arial"/>
                <w:szCs w:val="20"/>
              </w:rPr>
              <w:lastRenderedPageBreak/>
              <w:t>pojasni, kaj je storila za njihovo pridobitev, zakaj vseh potrebnih informacij ni bilo mogoče pridobiti in kako jih namerava pridobiti v prihodnje.</w:t>
            </w:r>
          </w:p>
          <w:p w14:paraId="595CE4A0" w14:textId="77777777" w:rsidR="000C08CA" w:rsidRPr="003B2A0D" w:rsidRDefault="000C08CA" w:rsidP="00FE328D">
            <w:pPr>
              <w:spacing w:line="276" w:lineRule="auto"/>
              <w:rPr>
                <w:rFonts w:cs="Arial"/>
                <w:b/>
                <w:szCs w:val="20"/>
              </w:rPr>
            </w:pPr>
          </w:p>
          <w:p w14:paraId="5BBBC064"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4CD0963E" w14:textId="77777777" w:rsidR="000C08CA" w:rsidRPr="003B2A0D" w:rsidRDefault="000C08CA" w:rsidP="00FE328D">
            <w:pPr>
              <w:pStyle w:val="Default"/>
              <w:spacing w:line="276" w:lineRule="auto"/>
              <w:jc w:val="center"/>
              <w:rPr>
                <w:b/>
                <w:bCs/>
                <w:sz w:val="20"/>
                <w:szCs w:val="20"/>
              </w:rPr>
            </w:pPr>
            <w:r w:rsidRPr="003B2A0D">
              <w:rPr>
                <w:b/>
                <w:bCs/>
                <w:sz w:val="20"/>
                <w:szCs w:val="20"/>
              </w:rPr>
              <w:t>(prehodno obdobje za odvisne družbe v Evropski uniji, ki jih obvladuje</w:t>
            </w:r>
            <w:r w:rsidRPr="003B2A0D">
              <w:rPr>
                <w:b/>
                <w:sz w:val="20"/>
                <w:szCs w:val="20"/>
              </w:rPr>
              <w:t xml:space="preserve"> družba iz tretje države)</w:t>
            </w:r>
          </w:p>
          <w:p w14:paraId="7920A129" w14:textId="77777777" w:rsidR="000C08CA" w:rsidRPr="003B2A0D" w:rsidRDefault="000C08CA" w:rsidP="00FE328D">
            <w:pPr>
              <w:pStyle w:val="Default"/>
              <w:spacing w:line="276" w:lineRule="auto"/>
              <w:rPr>
                <w:sz w:val="20"/>
                <w:szCs w:val="20"/>
              </w:rPr>
            </w:pPr>
            <w:bookmarkStart w:id="66" w:name="_Hlk142465852"/>
            <w:bookmarkStart w:id="67" w:name="_Hlk138256808"/>
          </w:p>
          <w:p w14:paraId="73D39D86" w14:textId="77777777" w:rsidR="000C08CA" w:rsidRPr="003B2A0D" w:rsidRDefault="000C08CA" w:rsidP="00FE328D">
            <w:pPr>
              <w:spacing w:line="276" w:lineRule="auto"/>
              <w:jc w:val="both"/>
              <w:rPr>
                <w:rFonts w:cs="Arial"/>
                <w:strike/>
                <w:szCs w:val="20"/>
              </w:rPr>
            </w:pPr>
            <w:r w:rsidRPr="003B2A0D">
              <w:rPr>
                <w:rFonts w:cs="Arial"/>
                <w:szCs w:val="20"/>
              </w:rPr>
              <w:t>(1) Odvisna družba iz države članice, za katero velja spremenjeni 70.c ali nov</w:t>
            </w:r>
            <w:r>
              <w:rPr>
                <w:rFonts w:cs="Arial"/>
                <w:szCs w:val="20"/>
              </w:rPr>
              <w:t>i</w:t>
            </w:r>
            <w:r w:rsidRPr="003B2A0D">
              <w:rPr>
                <w:rFonts w:cs="Arial"/>
                <w:szCs w:val="20"/>
              </w:rPr>
              <w:t xml:space="preserve"> 70.č člen zakona in ki jo obvladuje družba iz tretje države, lahko do 6. januarja 2030 v skladu z zahtevami iz novega 70.č člena zakona pripravi konsolidirano poročilo o trajnostnosti, ki vključuje vse odvisne družbe iz držav članic take obvladujoče družbe, ki so zavezane pripraviti poročilo trajnostnosti oziroma konsolidirano poročilo o trajnostnosti.</w:t>
            </w:r>
          </w:p>
          <w:p w14:paraId="184F12CC" w14:textId="77777777" w:rsidR="000C08CA" w:rsidRPr="003B2A0D" w:rsidRDefault="000C08CA" w:rsidP="00FE328D">
            <w:pPr>
              <w:pStyle w:val="Default"/>
              <w:spacing w:line="276" w:lineRule="auto"/>
              <w:rPr>
                <w:sz w:val="20"/>
                <w:szCs w:val="20"/>
              </w:rPr>
            </w:pPr>
          </w:p>
          <w:p w14:paraId="2C90CBFD" w14:textId="77777777" w:rsidR="000C08CA" w:rsidRPr="003B2A0D" w:rsidRDefault="000C08CA" w:rsidP="00FE328D">
            <w:pPr>
              <w:spacing w:line="276" w:lineRule="auto"/>
              <w:jc w:val="both"/>
              <w:rPr>
                <w:rFonts w:cs="Arial"/>
                <w:szCs w:val="20"/>
              </w:rPr>
            </w:pPr>
            <w:r w:rsidRPr="003B2A0D">
              <w:rPr>
                <w:rFonts w:cs="Arial"/>
                <w:szCs w:val="20"/>
              </w:rPr>
              <w:t xml:space="preserve">(2) </w:t>
            </w:r>
            <w:bookmarkStart w:id="68" w:name="_Hlk141708216"/>
            <w:r w:rsidRPr="003B2A0D">
              <w:rPr>
                <w:rFonts w:cs="Arial"/>
                <w:szCs w:val="20"/>
              </w:rPr>
              <w:t xml:space="preserve">Konsolidirano poročilo o trajnostnosti </w:t>
            </w:r>
            <w:bookmarkEnd w:id="68"/>
            <w:r w:rsidRPr="003B2A0D">
              <w:rPr>
                <w:rFonts w:cs="Arial"/>
                <w:szCs w:val="20"/>
              </w:rPr>
              <w:t>iz prejšnjega odstavka lahko do 6. januarja 2030 vključuje razkritja iz 8. člena Uredbe 2020/852/EU, kadar so zajete dejavnosti, ki jih izvajajo vse odvisne družbe iz držav članic obvladujoče družbe iz prejšnjega odstavka, ki so zavezane pripraviti poročilo trajnostnosti oziroma konsolidirano poročilo o trajnostnosti.</w:t>
            </w:r>
          </w:p>
          <w:p w14:paraId="49EE855F" w14:textId="77777777" w:rsidR="000C08CA" w:rsidRPr="003B2A0D" w:rsidRDefault="000C08CA" w:rsidP="00FE328D">
            <w:pPr>
              <w:pStyle w:val="Default"/>
              <w:spacing w:line="276" w:lineRule="auto"/>
              <w:rPr>
                <w:color w:val="auto"/>
                <w:sz w:val="20"/>
                <w:szCs w:val="20"/>
              </w:rPr>
            </w:pPr>
          </w:p>
          <w:p w14:paraId="5E7F6CE5" w14:textId="3A507E72" w:rsidR="000C08CA" w:rsidRPr="003B2A0D" w:rsidRDefault="000C08CA" w:rsidP="00FE328D">
            <w:pPr>
              <w:spacing w:line="276" w:lineRule="auto"/>
              <w:jc w:val="both"/>
              <w:rPr>
                <w:rFonts w:cs="Arial"/>
                <w:szCs w:val="20"/>
              </w:rPr>
            </w:pPr>
            <w:r w:rsidRPr="003B2A0D">
              <w:rPr>
                <w:rFonts w:cs="Arial"/>
                <w:szCs w:val="20"/>
              </w:rPr>
              <w:t>(3) Odvisna družba, ki pripravi konsolidirano poročilo o trajnostnosti iz prvega odstavka tega člena, je ena od odvisnih družb skupine, ki je ustvarila največji prihodek v državah članicah v vsaj enem od petih predhodnih poslovnih let, po potrebi na konsolidirani podlagi.</w:t>
            </w:r>
          </w:p>
          <w:p w14:paraId="59816FCC" w14:textId="77777777" w:rsidR="000C08CA" w:rsidRPr="003B2A0D" w:rsidRDefault="000C08CA" w:rsidP="00FE328D">
            <w:pPr>
              <w:pStyle w:val="Default"/>
              <w:spacing w:line="276" w:lineRule="auto"/>
              <w:rPr>
                <w:strike/>
                <w:color w:val="auto"/>
                <w:sz w:val="20"/>
                <w:szCs w:val="20"/>
              </w:rPr>
            </w:pPr>
          </w:p>
          <w:p w14:paraId="55AAC072" w14:textId="77777777" w:rsidR="000C08CA" w:rsidRPr="003B2A0D" w:rsidRDefault="000C08CA" w:rsidP="00FE328D">
            <w:pPr>
              <w:spacing w:line="276" w:lineRule="auto"/>
              <w:jc w:val="both"/>
              <w:rPr>
                <w:rFonts w:cs="Arial"/>
                <w:strike/>
                <w:szCs w:val="20"/>
              </w:rPr>
            </w:pPr>
            <w:r w:rsidRPr="003B2A0D">
              <w:rPr>
                <w:rFonts w:cs="Arial"/>
                <w:szCs w:val="20"/>
              </w:rPr>
              <w:t>(4) Odvisna družba s sedežem v Republiki Sloveniji, ki pripravi konsolidirano poročilo o trajnostnosti iz prvega odstavka tega člena, zaradi javne objave tega predloži AJPES v skladu s prvim in drugim odstavkom spremenjenega 58. člena</w:t>
            </w:r>
            <w:r w:rsidRPr="003B2A0D" w:rsidDel="00B22A0B">
              <w:rPr>
                <w:rFonts w:cs="Arial"/>
                <w:szCs w:val="20"/>
              </w:rPr>
              <w:t xml:space="preserve"> </w:t>
            </w:r>
            <w:r w:rsidRPr="003B2A0D">
              <w:rPr>
                <w:rFonts w:cs="Arial"/>
                <w:szCs w:val="20"/>
              </w:rPr>
              <w:t xml:space="preserve">zakona. </w:t>
            </w:r>
          </w:p>
          <w:p w14:paraId="12A5BF5E" w14:textId="77777777" w:rsidR="000C08CA" w:rsidRPr="003B2A0D" w:rsidRDefault="000C08CA" w:rsidP="00FE328D">
            <w:pPr>
              <w:pStyle w:val="Default"/>
              <w:spacing w:line="276" w:lineRule="auto"/>
              <w:rPr>
                <w:color w:val="auto"/>
                <w:sz w:val="20"/>
                <w:szCs w:val="20"/>
              </w:rPr>
            </w:pPr>
          </w:p>
          <w:p w14:paraId="7BAB267A" w14:textId="77777777" w:rsidR="000C08CA" w:rsidRPr="003B2A0D" w:rsidRDefault="000C08CA" w:rsidP="00FE328D">
            <w:pPr>
              <w:spacing w:line="276" w:lineRule="auto"/>
              <w:jc w:val="both"/>
              <w:rPr>
                <w:rFonts w:cs="Arial"/>
                <w:szCs w:val="20"/>
              </w:rPr>
            </w:pPr>
            <w:r w:rsidRPr="003B2A0D">
              <w:rPr>
                <w:rFonts w:cs="Arial"/>
                <w:szCs w:val="20"/>
              </w:rPr>
              <w:t xml:space="preserve">(5) Za namene izvzetja iz osmega odstavka spremenjenega 70.c člena zakona se konsolidirano poročilo o trajnostnosti v skladu s prvim odstavkom tega člena šteje za poročanje obvladujoče družbe na ravni skupine v zvezi s družbami, vključenimi v konsolidacijo. Za poročanje v skladu z drugim odstavkom tega člena se šteje, da izpolnjuje pogoje </w:t>
            </w:r>
            <w:r w:rsidRPr="003B2A0D" w:rsidDel="007A56B9">
              <w:rPr>
                <w:rFonts w:cs="Arial"/>
                <w:szCs w:val="20"/>
              </w:rPr>
              <w:t xml:space="preserve">pod </w:t>
            </w:r>
            <w:r>
              <w:rPr>
                <w:rFonts w:cs="Arial"/>
                <w:szCs w:val="20"/>
              </w:rPr>
              <w:t>č</w:t>
            </w:r>
            <w:r w:rsidRPr="003B2A0D">
              <w:rPr>
                <w:rFonts w:cs="Arial"/>
                <w:szCs w:val="20"/>
              </w:rPr>
              <w:t>) 2. točke osmega odstavka spremenjenega 70.c člena zakona.</w:t>
            </w:r>
          </w:p>
          <w:bookmarkEnd w:id="66"/>
          <w:p w14:paraId="6FF01266" w14:textId="77777777" w:rsidR="000C08CA" w:rsidRPr="003B2A0D" w:rsidRDefault="000C08CA" w:rsidP="00FE328D">
            <w:pPr>
              <w:spacing w:line="276" w:lineRule="auto"/>
              <w:jc w:val="both"/>
              <w:rPr>
                <w:rFonts w:cs="Arial"/>
                <w:b/>
                <w:szCs w:val="20"/>
              </w:rPr>
            </w:pPr>
          </w:p>
          <w:bookmarkEnd w:id="67"/>
          <w:p w14:paraId="67FECB76"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34D06A2D" w14:textId="77777777" w:rsidR="000C08CA" w:rsidRPr="003B2A0D" w:rsidRDefault="000C08CA" w:rsidP="00FE328D">
            <w:pPr>
              <w:spacing w:line="276" w:lineRule="auto"/>
              <w:jc w:val="center"/>
              <w:rPr>
                <w:rFonts w:cs="Arial"/>
                <w:b/>
                <w:szCs w:val="20"/>
              </w:rPr>
            </w:pPr>
            <w:r w:rsidRPr="003B2A0D">
              <w:rPr>
                <w:rFonts w:cs="Arial"/>
                <w:b/>
                <w:szCs w:val="20"/>
              </w:rPr>
              <w:t>(</w:t>
            </w:r>
            <w:bookmarkStart w:id="69" w:name="_Hlk142660659"/>
            <w:r w:rsidRPr="003B2A0D">
              <w:rPr>
                <w:rFonts w:cs="Arial"/>
                <w:b/>
                <w:szCs w:val="20"/>
              </w:rPr>
              <w:t>prehodna določba glede obveznosti poročanja o davčnih informacijah v zvezi z dohodki</w:t>
            </w:r>
            <w:bookmarkEnd w:id="69"/>
            <w:r w:rsidRPr="003B2A0D">
              <w:rPr>
                <w:rFonts w:cs="Arial"/>
                <w:b/>
                <w:szCs w:val="20"/>
              </w:rPr>
              <w:t>)</w:t>
            </w:r>
          </w:p>
          <w:p w14:paraId="3A8600F0" w14:textId="77777777" w:rsidR="000C08CA" w:rsidRPr="003B2A0D" w:rsidRDefault="000C08CA" w:rsidP="00FE328D">
            <w:pPr>
              <w:spacing w:line="276" w:lineRule="auto"/>
              <w:jc w:val="both"/>
              <w:rPr>
                <w:rFonts w:cs="Arial"/>
                <w:szCs w:val="20"/>
              </w:rPr>
            </w:pPr>
          </w:p>
          <w:p w14:paraId="41DEC0B1" w14:textId="77777777" w:rsidR="000C08CA" w:rsidRPr="003B2A0D" w:rsidRDefault="000C08CA" w:rsidP="00FE328D">
            <w:pPr>
              <w:spacing w:line="276" w:lineRule="auto"/>
              <w:jc w:val="both"/>
              <w:rPr>
                <w:rFonts w:cs="Arial"/>
                <w:szCs w:val="20"/>
              </w:rPr>
            </w:pPr>
            <w:r w:rsidRPr="003B2A0D">
              <w:rPr>
                <w:rFonts w:cs="Arial"/>
                <w:szCs w:val="20"/>
              </w:rPr>
              <w:t xml:space="preserve">Družbe in podružnice pripravijo, predložijo in objavijo poročilo o davčnih informacijah v zvezi z dohodki v skladu z novimi 70.e do 70.l ter 683.c do 683.d členom zakona </w:t>
            </w:r>
            <w:r w:rsidRPr="003B2A0D">
              <w:rPr>
                <w:rFonts w:cs="Arial"/>
                <w:bCs/>
                <w:szCs w:val="20"/>
              </w:rPr>
              <w:t xml:space="preserve">za poslovno leto, ki se začne z dnem uveljavitve tega zakona </w:t>
            </w:r>
            <w:r w:rsidRPr="003B2A0D" w:rsidDel="00BF6075">
              <w:rPr>
                <w:rFonts w:cs="Arial"/>
                <w:szCs w:val="20"/>
              </w:rPr>
              <w:t>ali po tem datumu</w:t>
            </w:r>
            <w:r w:rsidRPr="003B2A0D">
              <w:rPr>
                <w:rFonts w:cs="Arial"/>
                <w:szCs w:val="20"/>
              </w:rPr>
              <w:t>.</w:t>
            </w:r>
          </w:p>
          <w:p w14:paraId="19932769" w14:textId="77777777" w:rsidR="000C08CA" w:rsidRPr="003B2A0D" w:rsidRDefault="000C08CA" w:rsidP="00FE328D">
            <w:pPr>
              <w:spacing w:line="276" w:lineRule="auto"/>
              <w:jc w:val="both"/>
              <w:rPr>
                <w:rFonts w:cs="Arial"/>
                <w:szCs w:val="20"/>
              </w:rPr>
            </w:pPr>
          </w:p>
          <w:p w14:paraId="3D5BAA35" w14:textId="6959E326" w:rsidR="000C08CA" w:rsidRPr="003B2A0D" w:rsidRDefault="000C08CA" w:rsidP="4DB7FD0D">
            <w:pPr>
              <w:pStyle w:val="ListParagraph"/>
              <w:numPr>
                <w:ilvl w:val="0"/>
                <w:numId w:val="20"/>
              </w:numPr>
              <w:spacing w:after="0" w:line="276" w:lineRule="auto"/>
              <w:jc w:val="center"/>
              <w:rPr>
                <w:rFonts w:ascii="Arial" w:hAnsi="Arial" w:cs="Arial"/>
                <w:b/>
                <w:bCs/>
                <w:sz w:val="20"/>
                <w:szCs w:val="20"/>
              </w:rPr>
            </w:pPr>
            <w:r w:rsidRPr="4DB7FD0D">
              <w:rPr>
                <w:rFonts w:ascii="Arial" w:hAnsi="Arial" w:cs="Arial"/>
                <w:b/>
                <w:bCs/>
                <w:sz w:val="20"/>
                <w:szCs w:val="20"/>
              </w:rPr>
              <w:t>člen</w:t>
            </w:r>
            <w:r>
              <w:br/>
            </w:r>
            <w:r w:rsidRPr="4DB7FD0D">
              <w:rPr>
                <w:rFonts w:ascii="Arial" w:hAnsi="Arial" w:cs="Arial"/>
                <w:b/>
                <w:bCs/>
                <w:sz w:val="20"/>
                <w:szCs w:val="20"/>
              </w:rPr>
              <w:t>(uskladitev podzakonskega predpisa)</w:t>
            </w:r>
          </w:p>
          <w:p w14:paraId="009D7C8A" w14:textId="77777777" w:rsidR="000C08CA" w:rsidRPr="003B2A0D" w:rsidRDefault="000C08CA" w:rsidP="00FE328D">
            <w:pPr>
              <w:spacing w:line="276" w:lineRule="auto"/>
              <w:jc w:val="both"/>
              <w:rPr>
                <w:rFonts w:cs="Arial"/>
                <w:szCs w:val="20"/>
              </w:rPr>
            </w:pPr>
          </w:p>
          <w:p w14:paraId="34BF5FF9" w14:textId="77777777" w:rsidR="000C08CA" w:rsidRPr="003B2A0D" w:rsidRDefault="000C08CA" w:rsidP="00FE328D">
            <w:pPr>
              <w:spacing w:line="276" w:lineRule="auto"/>
              <w:jc w:val="both"/>
              <w:rPr>
                <w:rFonts w:cs="Arial"/>
                <w:szCs w:val="20"/>
              </w:rPr>
            </w:pPr>
            <w:r w:rsidRPr="003B2A0D">
              <w:rPr>
                <w:rFonts w:cs="Arial"/>
                <w:szCs w:val="20"/>
              </w:rPr>
              <w:t xml:space="preserve">Pravilnik o načinu predložitve letnih poročil in njihove javne objave (Uradni list RS, št. </w:t>
            </w:r>
            <w:hyperlink r:id="rId33" w:tgtFrame="_blank" w:tooltip="Pravilnik o načinu predložitve letnih poročil in njihove javne objave" w:history="1">
              <w:r w:rsidRPr="003B2A0D">
                <w:rPr>
                  <w:rFonts w:cs="Arial"/>
                  <w:szCs w:val="20"/>
                </w:rPr>
                <w:t>47/08</w:t>
              </w:r>
            </w:hyperlink>
            <w:r w:rsidRPr="003B2A0D">
              <w:rPr>
                <w:rFonts w:cs="Arial"/>
                <w:szCs w:val="20"/>
              </w:rPr>
              <w:t>) se uskladi s tem zakonom v treh mesecih po uveljavitvi tega zakona.</w:t>
            </w:r>
          </w:p>
          <w:p w14:paraId="2CD1A2E2" w14:textId="77777777" w:rsidR="000C08CA" w:rsidRPr="003B2A0D" w:rsidRDefault="000C08CA" w:rsidP="00FE328D">
            <w:pPr>
              <w:spacing w:line="276" w:lineRule="auto"/>
              <w:jc w:val="both"/>
              <w:rPr>
                <w:rFonts w:cs="Arial"/>
                <w:szCs w:val="20"/>
              </w:rPr>
            </w:pPr>
          </w:p>
          <w:p w14:paraId="01628BC3"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3C9876E4" w14:textId="77777777" w:rsidR="000C08CA" w:rsidRPr="003B2A0D" w:rsidRDefault="000C08CA" w:rsidP="00FE328D">
            <w:pPr>
              <w:spacing w:line="276" w:lineRule="auto"/>
              <w:jc w:val="center"/>
              <w:rPr>
                <w:rFonts w:cs="Arial"/>
                <w:b/>
                <w:szCs w:val="20"/>
              </w:rPr>
            </w:pPr>
            <w:r w:rsidRPr="003B2A0D">
              <w:rPr>
                <w:rFonts w:cs="Arial"/>
                <w:b/>
                <w:szCs w:val="20"/>
              </w:rPr>
              <w:t>(roki za dosego deležev glede uravnotežene zastopanosti spolov)</w:t>
            </w:r>
          </w:p>
          <w:p w14:paraId="4015F01E" w14:textId="77777777" w:rsidR="000C08CA" w:rsidRPr="003B2A0D" w:rsidRDefault="000C08CA" w:rsidP="00FE328D">
            <w:pPr>
              <w:spacing w:line="276" w:lineRule="auto"/>
              <w:jc w:val="center"/>
              <w:rPr>
                <w:rFonts w:cs="Arial"/>
                <w:b/>
                <w:szCs w:val="20"/>
              </w:rPr>
            </w:pPr>
          </w:p>
          <w:p w14:paraId="24A99015" w14:textId="77777777" w:rsidR="000C08CA" w:rsidRPr="003B2A0D" w:rsidRDefault="000C08CA" w:rsidP="00FE328D">
            <w:pPr>
              <w:pStyle w:val="paragraph"/>
              <w:spacing w:before="0" w:beforeAutospacing="0" w:after="0" w:afterAutospacing="0" w:line="276" w:lineRule="auto"/>
              <w:jc w:val="both"/>
              <w:textAlignment w:val="baseline"/>
              <w:rPr>
                <w:rFonts w:ascii="Arial" w:hAnsi="Arial" w:cs="Arial"/>
                <w:sz w:val="20"/>
                <w:szCs w:val="20"/>
              </w:rPr>
            </w:pPr>
            <w:r w:rsidRPr="003B2A0D">
              <w:rPr>
                <w:rStyle w:val="normaltextrun"/>
                <w:rFonts w:ascii="Arial" w:hAnsi="Arial" w:cs="Arial"/>
                <w:sz w:val="20"/>
                <w:szCs w:val="20"/>
              </w:rPr>
              <w:t>Deleže iz novega 254.c člena morajo družbe zavezanke iz prve alineje novega 254.b člena zakona doseči do 30. junija 2026, družbe zavezanke iz druge alineje novega 254.b člena zakona pa do 30. junija 2028.</w:t>
            </w:r>
            <w:r w:rsidRPr="003B2A0D">
              <w:rPr>
                <w:rStyle w:val="eop"/>
                <w:rFonts w:ascii="Arial" w:hAnsi="Arial" w:cs="Arial"/>
                <w:sz w:val="20"/>
                <w:szCs w:val="20"/>
              </w:rPr>
              <w:t> </w:t>
            </w:r>
          </w:p>
          <w:p w14:paraId="18093FA9" w14:textId="77777777" w:rsidR="000C08CA" w:rsidRPr="003B2A0D" w:rsidRDefault="000C08CA" w:rsidP="00FE328D">
            <w:pPr>
              <w:spacing w:line="276" w:lineRule="auto"/>
              <w:rPr>
                <w:rFonts w:cs="Arial"/>
                <w:b/>
                <w:szCs w:val="20"/>
              </w:rPr>
            </w:pPr>
          </w:p>
          <w:p w14:paraId="35DBFB8E"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lastRenderedPageBreak/>
              <w:t>člen</w:t>
            </w:r>
          </w:p>
          <w:p w14:paraId="534E4329" w14:textId="77777777" w:rsidR="000C08CA" w:rsidRPr="003B2A0D" w:rsidRDefault="000C08CA" w:rsidP="00FE328D">
            <w:pPr>
              <w:spacing w:line="276" w:lineRule="auto"/>
              <w:jc w:val="center"/>
              <w:rPr>
                <w:rFonts w:cs="Arial"/>
                <w:b/>
                <w:szCs w:val="20"/>
              </w:rPr>
            </w:pPr>
            <w:r w:rsidRPr="003B2A0D">
              <w:rPr>
                <w:rFonts w:cs="Arial"/>
                <w:b/>
                <w:szCs w:val="20"/>
              </w:rPr>
              <w:t>(obveznost uskladitve s tem zakonom)</w:t>
            </w:r>
          </w:p>
          <w:p w14:paraId="7C736E28" w14:textId="77777777" w:rsidR="000C08CA" w:rsidRPr="003B2A0D" w:rsidRDefault="000C08CA" w:rsidP="00FE328D">
            <w:pPr>
              <w:spacing w:line="276" w:lineRule="auto"/>
              <w:jc w:val="both"/>
              <w:rPr>
                <w:rFonts w:cs="Arial"/>
                <w:szCs w:val="20"/>
              </w:rPr>
            </w:pPr>
          </w:p>
          <w:p w14:paraId="7355F4CE" w14:textId="77777777" w:rsidR="000C08CA" w:rsidRPr="003B2A0D" w:rsidRDefault="000C08CA" w:rsidP="00FE328D">
            <w:pPr>
              <w:spacing w:line="276" w:lineRule="auto"/>
              <w:jc w:val="both"/>
              <w:rPr>
                <w:rFonts w:cs="Arial"/>
              </w:rPr>
            </w:pPr>
            <w:r w:rsidRPr="2909D051">
              <w:rPr>
                <w:rFonts w:cs="Arial"/>
              </w:rPr>
              <w:t xml:space="preserve">Družbe in podjetniki v </w:t>
            </w:r>
            <w:r w:rsidRPr="2909D051" w:rsidDel="007A56B9">
              <w:rPr>
                <w:rFonts w:cs="Arial"/>
              </w:rPr>
              <w:t xml:space="preserve">roku </w:t>
            </w:r>
            <w:r w:rsidRPr="2909D051">
              <w:rPr>
                <w:rFonts w:cs="Arial"/>
              </w:rPr>
              <w:t xml:space="preserve">enega leta od uveljavitve tega zakona uskladijo svoje poslovanje z </w:t>
            </w:r>
            <w:r w:rsidRPr="2909D051" w:rsidDel="007A56B9">
              <w:rPr>
                <w:rFonts w:cs="Arial"/>
              </w:rPr>
              <w:t xml:space="preserve">določbo </w:t>
            </w:r>
            <w:r w:rsidRPr="2909D051">
              <w:rPr>
                <w:rFonts w:cs="Arial"/>
              </w:rPr>
              <w:t>novega 30.a člena zakona.</w:t>
            </w:r>
          </w:p>
          <w:p w14:paraId="439D81D7" w14:textId="77777777" w:rsidR="000C08CA" w:rsidRPr="003B2A0D" w:rsidRDefault="000C08CA" w:rsidP="00FE328D">
            <w:pPr>
              <w:spacing w:line="276" w:lineRule="auto"/>
              <w:jc w:val="center"/>
              <w:rPr>
                <w:rFonts w:cs="Arial"/>
                <w:b/>
                <w:szCs w:val="20"/>
              </w:rPr>
            </w:pPr>
          </w:p>
          <w:p w14:paraId="0C8AEA74"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48511358" w14:textId="77777777" w:rsidR="000C08CA" w:rsidRPr="003B2A0D" w:rsidRDefault="000C08CA" w:rsidP="00FE328D">
            <w:pPr>
              <w:spacing w:line="276" w:lineRule="auto"/>
              <w:jc w:val="center"/>
              <w:rPr>
                <w:rFonts w:cs="Arial"/>
                <w:b/>
                <w:szCs w:val="20"/>
              </w:rPr>
            </w:pPr>
            <w:r w:rsidRPr="003B2A0D">
              <w:rPr>
                <w:rFonts w:cs="Arial"/>
                <w:b/>
                <w:szCs w:val="20"/>
              </w:rPr>
              <w:t>(prehodna določba glede</w:t>
            </w:r>
            <w:r w:rsidRPr="003B2A0D">
              <w:rPr>
                <w:rFonts w:cs="Arial"/>
                <w:szCs w:val="20"/>
              </w:rPr>
              <w:t xml:space="preserve"> </w:t>
            </w:r>
            <w:r w:rsidRPr="003B2A0D">
              <w:rPr>
                <w:rFonts w:cs="Arial"/>
                <w:b/>
                <w:szCs w:val="20"/>
              </w:rPr>
              <w:t>razvrščanja in prerazvrščanja družb)</w:t>
            </w:r>
          </w:p>
          <w:p w14:paraId="69600171" w14:textId="77777777" w:rsidR="000C08CA" w:rsidRPr="003B2A0D" w:rsidRDefault="000C08CA" w:rsidP="00FE328D">
            <w:pPr>
              <w:spacing w:line="276" w:lineRule="auto"/>
              <w:rPr>
                <w:rFonts w:cs="Arial"/>
                <w:bCs/>
                <w:szCs w:val="20"/>
              </w:rPr>
            </w:pPr>
          </w:p>
          <w:p w14:paraId="23242A2A" w14:textId="77777777" w:rsidR="000C08CA" w:rsidRPr="003B2A0D" w:rsidRDefault="000C08CA" w:rsidP="00FE328D">
            <w:pPr>
              <w:spacing w:line="276" w:lineRule="auto"/>
              <w:jc w:val="both"/>
              <w:rPr>
                <w:rFonts w:cs="Arial"/>
                <w:bCs/>
                <w:szCs w:val="20"/>
              </w:rPr>
            </w:pPr>
            <w:r w:rsidRPr="003B2A0D">
              <w:rPr>
                <w:rFonts w:cs="Arial"/>
                <w:bCs/>
                <w:szCs w:val="20"/>
              </w:rPr>
              <w:t xml:space="preserve">Določbe spremenjenega 55. člena zakona se začnejo uporabljati za poslovno leto, ki se začne v letu 2024. </w:t>
            </w:r>
          </w:p>
          <w:p w14:paraId="3D724621" w14:textId="77777777" w:rsidR="000C08CA" w:rsidRPr="003B2A0D" w:rsidRDefault="000C08CA" w:rsidP="00FE328D">
            <w:pPr>
              <w:spacing w:line="276" w:lineRule="auto"/>
              <w:jc w:val="both"/>
              <w:rPr>
                <w:rFonts w:cs="Arial"/>
                <w:bCs/>
                <w:szCs w:val="20"/>
              </w:rPr>
            </w:pPr>
          </w:p>
          <w:p w14:paraId="63F934A8" w14:textId="77777777" w:rsidR="000C08CA" w:rsidRPr="003B2A0D" w:rsidRDefault="000C08CA" w:rsidP="00FE328D">
            <w:pPr>
              <w:pStyle w:val="ListParagraph"/>
              <w:numPr>
                <w:ilvl w:val="0"/>
                <w:numId w:val="20"/>
              </w:numPr>
              <w:spacing w:after="0" w:line="276" w:lineRule="auto"/>
              <w:jc w:val="center"/>
              <w:rPr>
                <w:rFonts w:ascii="Arial" w:hAnsi="Arial" w:cs="Arial"/>
                <w:b/>
                <w:sz w:val="20"/>
                <w:szCs w:val="20"/>
              </w:rPr>
            </w:pPr>
            <w:r w:rsidRPr="003B2A0D">
              <w:rPr>
                <w:rFonts w:ascii="Arial" w:hAnsi="Arial" w:cs="Arial"/>
                <w:b/>
                <w:sz w:val="20"/>
                <w:szCs w:val="20"/>
              </w:rPr>
              <w:t>člen</w:t>
            </w:r>
          </w:p>
          <w:p w14:paraId="6A65F49C" w14:textId="77777777" w:rsidR="000C08CA" w:rsidRPr="003B2A0D" w:rsidRDefault="000C08CA" w:rsidP="00FE328D">
            <w:pPr>
              <w:spacing w:line="276" w:lineRule="auto"/>
              <w:jc w:val="center"/>
              <w:rPr>
                <w:rFonts w:cs="Arial"/>
                <w:b/>
                <w:szCs w:val="20"/>
              </w:rPr>
            </w:pPr>
            <w:r w:rsidRPr="003B2A0D">
              <w:rPr>
                <w:rFonts w:cs="Arial"/>
                <w:b/>
                <w:szCs w:val="20"/>
              </w:rPr>
              <w:t>(začetek veljavnosti)</w:t>
            </w:r>
          </w:p>
          <w:p w14:paraId="6465EDDF" w14:textId="77777777" w:rsidR="000C08CA" w:rsidRPr="003B2A0D" w:rsidRDefault="000C08CA" w:rsidP="00FE328D">
            <w:pPr>
              <w:spacing w:line="276" w:lineRule="auto"/>
              <w:jc w:val="center"/>
              <w:rPr>
                <w:rFonts w:cs="Arial"/>
                <w:b/>
                <w:szCs w:val="20"/>
              </w:rPr>
            </w:pPr>
          </w:p>
          <w:p w14:paraId="35635EC0" w14:textId="77777777" w:rsidR="000C08CA" w:rsidRPr="003B2A0D" w:rsidRDefault="000C08CA" w:rsidP="00FE328D">
            <w:pPr>
              <w:spacing w:line="276" w:lineRule="auto"/>
              <w:jc w:val="both"/>
              <w:rPr>
                <w:rFonts w:cs="Arial"/>
                <w:szCs w:val="20"/>
              </w:rPr>
            </w:pPr>
            <w:r w:rsidRPr="003B2A0D">
              <w:rPr>
                <w:rFonts w:cs="Arial"/>
                <w:szCs w:val="20"/>
              </w:rPr>
              <w:t>Ta zakon začne veljati petnajsti dan po objavi</w:t>
            </w:r>
            <w:r w:rsidRPr="003B2A0D" w:rsidDel="00EB4981">
              <w:rPr>
                <w:rFonts w:cs="Arial"/>
                <w:szCs w:val="20"/>
              </w:rPr>
              <w:t xml:space="preserve"> </w:t>
            </w:r>
            <w:r w:rsidRPr="003B2A0D">
              <w:rPr>
                <w:rFonts w:cs="Arial"/>
                <w:szCs w:val="20"/>
              </w:rPr>
              <w:t>v Uradnem listu Republike Slovenije.</w:t>
            </w:r>
          </w:p>
          <w:p w14:paraId="4036C451" w14:textId="77777777" w:rsidR="000C08CA" w:rsidRPr="003B2A0D" w:rsidRDefault="000C08CA" w:rsidP="00FE328D">
            <w:pPr>
              <w:pStyle w:val="Poglavje"/>
              <w:spacing w:before="0" w:after="0" w:line="276" w:lineRule="auto"/>
              <w:jc w:val="left"/>
              <w:rPr>
                <w:color w:val="000000" w:themeColor="text1"/>
                <w:sz w:val="20"/>
                <w:szCs w:val="20"/>
              </w:rPr>
            </w:pPr>
          </w:p>
          <w:p w14:paraId="101625BB" w14:textId="77777777" w:rsidR="000C08CA" w:rsidRPr="003B2A0D" w:rsidRDefault="000C08CA" w:rsidP="00FE328D">
            <w:pPr>
              <w:pStyle w:val="Poglavje"/>
              <w:spacing w:before="0" w:after="0" w:line="276" w:lineRule="auto"/>
              <w:jc w:val="left"/>
              <w:rPr>
                <w:color w:val="000000" w:themeColor="text1"/>
                <w:sz w:val="20"/>
                <w:szCs w:val="20"/>
              </w:rPr>
            </w:pPr>
          </w:p>
          <w:p w14:paraId="3CB2234B" w14:textId="77777777" w:rsidR="000C08CA" w:rsidRPr="003B2A0D" w:rsidRDefault="000C08CA" w:rsidP="00FE328D">
            <w:pPr>
              <w:pStyle w:val="Poglavje"/>
              <w:spacing w:before="0" w:after="0" w:line="276" w:lineRule="auto"/>
              <w:jc w:val="left"/>
              <w:rPr>
                <w:color w:val="000000" w:themeColor="text1"/>
                <w:sz w:val="20"/>
                <w:szCs w:val="20"/>
              </w:rPr>
            </w:pPr>
          </w:p>
        </w:tc>
      </w:tr>
      <w:tr w:rsidR="000C08CA" w:rsidRPr="00605612" w14:paraId="5E035463" w14:textId="77777777" w:rsidTr="4DB7FD0D">
        <w:tc>
          <w:tcPr>
            <w:tcW w:w="9072" w:type="dxa"/>
          </w:tcPr>
          <w:p w14:paraId="4C3D12B4" w14:textId="77777777" w:rsidR="000C08CA" w:rsidRPr="003B2A0D" w:rsidRDefault="000C08CA" w:rsidP="00FE328D">
            <w:pPr>
              <w:pStyle w:val="Poglavje"/>
              <w:spacing w:before="0" w:after="0" w:line="276" w:lineRule="auto"/>
              <w:jc w:val="left"/>
              <w:rPr>
                <w:color w:val="000000" w:themeColor="text1"/>
                <w:sz w:val="20"/>
                <w:szCs w:val="20"/>
              </w:rPr>
            </w:pPr>
          </w:p>
        </w:tc>
      </w:tr>
      <w:tr w:rsidR="000C08CA" w14:paraId="03DD801B" w14:textId="77777777" w:rsidTr="4DB7FD0D">
        <w:trPr>
          <w:trHeight w:val="300"/>
        </w:trPr>
        <w:tc>
          <w:tcPr>
            <w:tcW w:w="9072" w:type="dxa"/>
          </w:tcPr>
          <w:p w14:paraId="40C9415E" w14:textId="77777777" w:rsidR="000C08CA" w:rsidRPr="003B2A0D" w:rsidRDefault="000C08CA" w:rsidP="00FE328D">
            <w:pPr>
              <w:pStyle w:val="Poglavje"/>
              <w:spacing w:line="276" w:lineRule="auto"/>
              <w:jc w:val="left"/>
              <w:rPr>
                <w:color w:val="000000" w:themeColor="text1"/>
                <w:sz w:val="20"/>
                <w:szCs w:val="20"/>
              </w:rPr>
            </w:pPr>
          </w:p>
        </w:tc>
      </w:tr>
      <w:tr w:rsidR="000C08CA" w14:paraId="7A52E352" w14:textId="77777777" w:rsidTr="4DB7FD0D">
        <w:trPr>
          <w:trHeight w:val="300"/>
        </w:trPr>
        <w:tc>
          <w:tcPr>
            <w:tcW w:w="9072" w:type="dxa"/>
          </w:tcPr>
          <w:p w14:paraId="63882DD3" w14:textId="77777777" w:rsidR="000C08CA" w:rsidRPr="003B2A0D" w:rsidRDefault="000C08CA" w:rsidP="00FE328D">
            <w:pPr>
              <w:pStyle w:val="Poglavje"/>
              <w:spacing w:line="276" w:lineRule="auto"/>
              <w:jc w:val="left"/>
              <w:rPr>
                <w:color w:val="000000" w:themeColor="text1"/>
                <w:sz w:val="20"/>
                <w:szCs w:val="20"/>
              </w:rPr>
            </w:pPr>
          </w:p>
        </w:tc>
      </w:tr>
    </w:tbl>
    <w:p w14:paraId="58E7C1AA"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5F456B">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0C08CA" w:rsidRPr="00605612" w14:paraId="11425353" w14:textId="77777777" w:rsidTr="4DB7FD0D">
        <w:tc>
          <w:tcPr>
            <w:tcW w:w="9072" w:type="dxa"/>
          </w:tcPr>
          <w:p w14:paraId="4DFD80C8" w14:textId="77777777" w:rsidR="000C08CA" w:rsidRPr="00605612" w:rsidRDefault="000C08CA" w:rsidP="00FE328D">
            <w:pPr>
              <w:pStyle w:val="Poglavje"/>
              <w:spacing w:before="0" w:after="0" w:line="260" w:lineRule="exact"/>
              <w:jc w:val="left"/>
              <w:rPr>
                <w:color w:val="000000" w:themeColor="text1"/>
                <w:sz w:val="20"/>
                <w:szCs w:val="20"/>
              </w:rPr>
            </w:pPr>
            <w:r w:rsidRPr="00605612">
              <w:rPr>
                <w:color w:val="000000" w:themeColor="text1"/>
                <w:sz w:val="20"/>
                <w:szCs w:val="20"/>
              </w:rPr>
              <w:lastRenderedPageBreak/>
              <w:t>III. OBRAZLOŽITEV</w:t>
            </w:r>
          </w:p>
        </w:tc>
      </w:tr>
      <w:tr w:rsidR="000C08CA" w:rsidRPr="00605612" w14:paraId="3ADCDF9C" w14:textId="77777777" w:rsidTr="4DB7FD0D">
        <w:tc>
          <w:tcPr>
            <w:tcW w:w="9072" w:type="dxa"/>
          </w:tcPr>
          <w:p w14:paraId="38834263" w14:textId="77777777" w:rsidR="000C08CA" w:rsidRPr="00605612" w:rsidRDefault="000C08CA" w:rsidP="00FE328D">
            <w:pPr>
              <w:pBdr>
                <w:top w:val="nil"/>
                <w:left w:val="nil"/>
                <w:bottom w:val="nil"/>
                <w:right w:val="nil"/>
                <w:between w:val="nil"/>
              </w:pBdr>
              <w:spacing w:line="276" w:lineRule="auto"/>
              <w:ind w:hanging="2"/>
              <w:jc w:val="both"/>
              <w:rPr>
                <w:rFonts w:eastAsia="Arial" w:cs="Arial"/>
                <w:b/>
                <w:color w:val="000000" w:themeColor="text1"/>
                <w:szCs w:val="20"/>
              </w:rPr>
            </w:pPr>
          </w:p>
          <w:p w14:paraId="1E96A263" w14:textId="77777777" w:rsidR="000C08CA" w:rsidRPr="00605612" w:rsidRDefault="000C08CA" w:rsidP="00FE328D">
            <w:pPr>
              <w:spacing w:line="276" w:lineRule="auto"/>
              <w:rPr>
                <w:rFonts w:cs="Arial"/>
                <w:b/>
                <w:szCs w:val="20"/>
              </w:rPr>
            </w:pPr>
            <w:r w:rsidRPr="00605612">
              <w:rPr>
                <w:rFonts w:cs="Arial"/>
                <w:b/>
                <w:szCs w:val="20"/>
              </w:rPr>
              <w:t>K 1. členu</w:t>
            </w:r>
          </w:p>
          <w:p w14:paraId="13E08250" w14:textId="77777777" w:rsidR="000C08CA" w:rsidRPr="00605612" w:rsidRDefault="000C08CA" w:rsidP="00FE328D">
            <w:pPr>
              <w:spacing w:line="276" w:lineRule="auto"/>
              <w:rPr>
                <w:rFonts w:cs="Arial"/>
                <w:b/>
                <w:szCs w:val="20"/>
              </w:rPr>
            </w:pPr>
          </w:p>
          <w:p w14:paraId="26F40271" w14:textId="77777777" w:rsidR="000C08CA" w:rsidRPr="00605612" w:rsidRDefault="000C08CA" w:rsidP="00FE328D">
            <w:pPr>
              <w:spacing w:line="276" w:lineRule="auto"/>
              <w:jc w:val="both"/>
              <w:rPr>
                <w:rFonts w:cs="Arial"/>
                <w:szCs w:val="20"/>
              </w:rPr>
            </w:pPr>
            <w:r w:rsidRPr="4DB7FD0D">
              <w:rPr>
                <w:rFonts w:cs="Arial"/>
              </w:rPr>
              <w:t>Predlog zakona v zakonodajo Republike Slovenije v celoti prenaša določbe Direktive (EU) 2022/2381 Evropskega parlamenta in Sveta z dne 23. novembra 2022 o zagotavljanju uravnotežene zastopanosti spolov med direktorji družb, ki kotirajo na borzi, in s tem povezanih ukrepih (v nadaljnjem besedilu: Direktiva 2022/2381/EU).</w:t>
            </w:r>
          </w:p>
          <w:p w14:paraId="540F5F1B" w14:textId="2C795965" w:rsidR="4DB7FD0D" w:rsidRDefault="4DB7FD0D" w:rsidP="4DB7FD0D">
            <w:pPr>
              <w:spacing w:line="276" w:lineRule="auto"/>
              <w:jc w:val="both"/>
              <w:rPr>
                <w:rFonts w:cs="Arial"/>
              </w:rPr>
            </w:pPr>
          </w:p>
          <w:p w14:paraId="7A0E788C" w14:textId="77777777" w:rsidR="000C08CA" w:rsidRDefault="000C08CA" w:rsidP="00FE328D">
            <w:pPr>
              <w:spacing w:line="276" w:lineRule="auto"/>
              <w:jc w:val="both"/>
              <w:rPr>
                <w:rFonts w:cs="Arial"/>
                <w:b/>
                <w:bCs/>
                <w:szCs w:val="20"/>
              </w:rPr>
            </w:pPr>
            <w:r>
              <w:rPr>
                <w:rFonts w:cs="Arial"/>
                <w:bCs/>
                <w:szCs w:val="20"/>
              </w:rPr>
              <w:t>V</w:t>
            </w:r>
            <w:r w:rsidRPr="00605612">
              <w:rPr>
                <w:rFonts w:cs="Arial"/>
                <w:bCs/>
                <w:szCs w:val="20"/>
              </w:rPr>
              <w:t xml:space="preserve"> </w:t>
            </w:r>
            <w:r>
              <w:rPr>
                <w:rFonts w:cs="Arial"/>
                <w:bCs/>
                <w:szCs w:val="20"/>
              </w:rPr>
              <w:t>slovenski pravni red</w:t>
            </w:r>
            <w:r w:rsidRPr="00605612">
              <w:rPr>
                <w:rFonts w:cs="Arial"/>
                <w:bCs/>
                <w:szCs w:val="20"/>
              </w:rPr>
              <w:t xml:space="preserve"> v celoti prenaša</w:t>
            </w:r>
            <w:r>
              <w:rPr>
                <w:rFonts w:cs="Arial"/>
                <w:bCs/>
                <w:szCs w:val="20"/>
              </w:rPr>
              <w:t xml:space="preserve"> tudi</w:t>
            </w:r>
            <w:r w:rsidRPr="00605612">
              <w:rPr>
                <w:rFonts w:cs="Arial"/>
                <w:b/>
                <w:szCs w:val="20"/>
              </w:rPr>
              <w:t xml:space="preserve"> </w:t>
            </w:r>
            <w:r w:rsidRPr="00605612">
              <w:rPr>
                <w:rFonts w:cs="Arial"/>
                <w:bCs/>
                <w:szCs w:val="20"/>
              </w:rPr>
              <w:t>določbe</w:t>
            </w:r>
            <w:r w:rsidRPr="00605612">
              <w:rPr>
                <w:rFonts w:cs="Arial"/>
                <w:b/>
                <w:szCs w:val="20"/>
              </w:rPr>
              <w:t xml:space="preserve"> </w:t>
            </w:r>
            <w:r w:rsidRPr="00605612">
              <w:rPr>
                <w:rFonts w:cs="Arial"/>
                <w:szCs w:val="20"/>
              </w:rPr>
              <w:t>Direktive (EU) 2021/2101 Evropskega parlamenta in Sveta z</w:t>
            </w:r>
            <w:r>
              <w:rPr>
                <w:rFonts w:cs="Arial"/>
                <w:szCs w:val="20"/>
              </w:rPr>
              <w:t xml:space="preserve"> </w:t>
            </w:r>
            <w:r w:rsidRPr="00605612">
              <w:rPr>
                <w:rFonts w:cs="Arial"/>
                <w:szCs w:val="20"/>
              </w:rPr>
              <w:t>dne 24. novembra 2021 o</w:t>
            </w:r>
            <w:r>
              <w:rPr>
                <w:rFonts w:cs="Arial"/>
                <w:szCs w:val="20"/>
              </w:rPr>
              <w:t xml:space="preserve"> </w:t>
            </w:r>
            <w:r w:rsidRPr="00605612">
              <w:rPr>
                <w:rFonts w:cs="Arial"/>
                <w:szCs w:val="20"/>
              </w:rPr>
              <w:t>spremembi Direktive 2013/34/EU glede razkritja davčnih informacij v zvezi z dohodki s strani nekaterih podjetij in podružnic (v nadaljnjem besedilu</w:t>
            </w:r>
            <w:r>
              <w:rPr>
                <w:rFonts w:cs="Arial"/>
                <w:szCs w:val="20"/>
              </w:rPr>
              <w:t>:</w:t>
            </w:r>
            <w:r w:rsidRPr="00605612">
              <w:rPr>
                <w:rFonts w:cs="Arial"/>
                <w:szCs w:val="20"/>
              </w:rPr>
              <w:t xml:space="preserve"> Direktiva 2021/2101/EU) in delno določbe Direktive (EU) 2022/2464 Evropskega parlamenta in Sveta z dne 14. decembra 2022 o spremembi Uredbe (EU) št. 537/2014, Direktive 2004/109/ES, Direktive 2006/43/ES in Direktive 2013/34/EU glede poročanja podjetij o trajnostnosti (v nadaljnjem besedilu</w:t>
            </w:r>
            <w:r>
              <w:rPr>
                <w:rFonts w:cs="Arial"/>
                <w:szCs w:val="20"/>
              </w:rPr>
              <w:t>:</w:t>
            </w:r>
            <w:r w:rsidRPr="00605612">
              <w:rPr>
                <w:rFonts w:cs="Arial"/>
                <w:szCs w:val="20"/>
              </w:rPr>
              <w:t xml:space="preserve"> Direktiva 2022/2464/EU).</w:t>
            </w:r>
            <w:r w:rsidRPr="00605612">
              <w:rPr>
                <w:rFonts w:cs="Arial"/>
                <w:b/>
                <w:bCs/>
                <w:szCs w:val="20"/>
              </w:rPr>
              <w:t xml:space="preserve"> </w:t>
            </w:r>
          </w:p>
          <w:p w14:paraId="1833885A" w14:textId="77777777" w:rsidR="000C08CA" w:rsidRDefault="000C08CA" w:rsidP="00FE328D">
            <w:pPr>
              <w:spacing w:line="276" w:lineRule="auto"/>
              <w:jc w:val="both"/>
              <w:rPr>
                <w:rFonts w:cs="Arial"/>
                <w:b/>
                <w:bCs/>
                <w:szCs w:val="20"/>
              </w:rPr>
            </w:pPr>
          </w:p>
          <w:p w14:paraId="5980AE12" w14:textId="16F8CE95" w:rsidR="000C08CA" w:rsidRPr="0098472E" w:rsidRDefault="000C08CA" w:rsidP="00FE328D">
            <w:pPr>
              <w:spacing w:line="276" w:lineRule="auto"/>
              <w:jc w:val="both"/>
              <w:rPr>
                <w:rFonts w:cs="Arial"/>
                <w:szCs w:val="20"/>
              </w:rPr>
            </w:pPr>
            <w:r>
              <w:rPr>
                <w:rFonts w:cs="Arial"/>
                <w:szCs w:val="20"/>
              </w:rPr>
              <w:t>Ker 2. člen ZGD-1 določa tudi seznam direktiv, ki se prenašajo v slovenski pravni red, ga je treba zaradi zagotovitve ustreznega navajanja pravnih aktov Evropske unije</w:t>
            </w:r>
            <w:r w:rsidRPr="00605612">
              <w:rPr>
                <w:rFonts w:cs="Arial"/>
                <w:szCs w:val="20"/>
              </w:rPr>
              <w:t xml:space="preserve"> </w:t>
            </w:r>
            <w:r>
              <w:rPr>
                <w:rFonts w:cs="Arial"/>
                <w:szCs w:val="20"/>
              </w:rPr>
              <w:t xml:space="preserve">temu ustrezno tudi dopolniti. Zato se dodaja nova četrta alineja v prvem odstavku 2. člena ZGD-1 za navedbo prenosa </w:t>
            </w:r>
            <w:r w:rsidRPr="000C6140">
              <w:rPr>
                <w:rFonts w:cs="Arial"/>
                <w:szCs w:val="20"/>
              </w:rPr>
              <w:t>Direktiv</w:t>
            </w:r>
            <w:r>
              <w:rPr>
                <w:rFonts w:cs="Arial"/>
                <w:szCs w:val="20"/>
              </w:rPr>
              <w:t>e</w:t>
            </w:r>
            <w:r w:rsidRPr="000C6140">
              <w:rPr>
                <w:rFonts w:cs="Arial"/>
                <w:szCs w:val="20"/>
              </w:rPr>
              <w:t xml:space="preserve"> 2022/2381</w:t>
            </w:r>
            <w:r>
              <w:rPr>
                <w:rFonts w:cs="Arial"/>
                <w:szCs w:val="20"/>
              </w:rPr>
              <w:t>/EU, spreminjata</w:t>
            </w:r>
            <w:r w:rsidDel="00325639">
              <w:rPr>
                <w:rFonts w:cs="Arial"/>
                <w:szCs w:val="20"/>
              </w:rPr>
              <w:t xml:space="preserve"> </w:t>
            </w:r>
            <w:r>
              <w:rPr>
                <w:rFonts w:cs="Arial"/>
                <w:szCs w:val="20"/>
              </w:rPr>
              <w:t xml:space="preserve">se tudi prva alineja drugega odstavka 2. člena ZGD-1, ki vključuje prenos </w:t>
            </w:r>
            <w:r w:rsidRPr="00605612">
              <w:rPr>
                <w:rFonts w:cs="Arial"/>
                <w:szCs w:val="20"/>
              </w:rPr>
              <w:t>Direktiv</w:t>
            </w:r>
            <w:r>
              <w:rPr>
                <w:rFonts w:cs="Arial"/>
                <w:szCs w:val="20"/>
              </w:rPr>
              <w:t>e</w:t>
            </w:r>
            <w:r w:rsidRPr="00605612">
              <w:rPr>
                <w:rFonts w:cs="Arial"/>
                <w:szCs w:val="20"/>
              </w:rPr>
              <w:t xml:space="preserve"> 2022/2464/EU</w:t>
            </w:r>
            <w:r>
              <w:rPr>
                <w:rFonts w:cs="Arial"/>
                <w:szCs w:val="20"/>
              </w:rPr>
              <w:t xml:space="preserve">, in druga alineja drugega odstavka 2. člena ZGD-1, ki vključuje prenos </w:t>
            </w:r>
            <w:r w:rsidRPr="00605612">
              <w:rPr>
                <w:rFonts w:cs="Arial"/>
                <w:szCs w:val="20"/>
              </w:rPr>
              <w:t>Direktiv</w:t>
            </w:r>
            <w:r>
              <w:rPr>
                <w:rFonts w:cs="Arial"/>
                <w:szCs w:val="20"/>
              </w:rPr>
              <w:t>e</w:t>
            </w:r>
            <w:r w:rsidRPr="00605612">
              <w:rPr>
                <w:rFonts w:cs="Arial"/>
                <w:szCs w:val="20"/>
              </w:rPr>
              <w:t xml:space="preserve"> 2021/2101/EU </w:t>
            </w:r>
            <w:r>
              <w:rPr>
                <w:rFonts w:cs="Arial"/>
                <w:szCs w:val="20"/>
              </w:rPr>
              <w:t xml:space="preserve">in </w:t>
            </w:r>
            <w:r w:rsidRPr="00605612">
              <w:rPr>
                <w:rFonts w:cs="Arial"/>
                <w:szCs w:val="20"/>
              </w:rPr>
              <w:t>Direktiv</w:t>
            </w:r>
            <w:r>
              <w:rPr>
                <w:rFonts w:cs="Arial"/>
                <w:szCs w:val="20"/>
              </w:rPr>
              <w:t>e</w:t>
            </w:r>
            <w:r w:rsidRPr="00605612">
              <w:rPr>
                <w:rFonts w:cs="Arial"/>
                <w:szCs w:val="20"/>
              </w:rPr>
              <w:t xml:space="preserve"> 2022/2464/EU</w:t>
            </w:r>
            <w:r>
              <w:rPr>
                <w:rFonts w:cs="Arial"/>
                <w:szCs w:val="20"/>
              </w:rPr>
              <w:t xml:space="preserve"> v slovenski pravni red.</w:t>
            </w:r>
          </w:p>
          <w:p w14:paraId="38A2CDEB" w14:textId="77777777" w:rsidR="000C08CA" w:rsidRPr="00605612" w:rsidRDefault="000C08CA" w:rsidP="00FE328D">
            <w:pPr>
              <w:spacing w:line="276" w:lineRule="auto"/>
              <w:jc w:val="both"/>
              <w:rPr>
                <w:rFonts w:cs="Arial"/>
                <w:b/>
                <w:bCs/>
                <w:szCs w:val="20"/>
                <w:shd w:val="clear" w:color="auto" w:fill="FFFFFF"/>
              </w:rPr>
            </w:pPr>
          </w:p>
          <w:p w14:paraId="58C280FE" w14:textId="77777777" w:rsidR="000C08CA" w:rsidRDefault="000C08CA" w:rsidP="00FE328D">
            <w:pPr>
              <w:spacing w:line="276" w:lineRule="auto"/>
              <w:jc w:val="both"/>
              <w:rPr>
                <w:rFonts w:cs="Arial"/>
                <w:b/>
                <w:bCs/>
              </w:rPr>
            </w:pPr>
            <w:r w:rsidRPr="31710A8E">
              <w:rPr>
                <w:rFonts w:cs="Arial"/>
                <w:b/>
                <w:bCs/>
              </w:rPr>
              <w:t xml:space="preserve">K </w:t>
            </w:r>
            <w:r>
              <w:rPr>
                <w:rFonts w:cs="Arial"/>
                <w:b/>
                <w:bCs/>
              </w:rPr>
              <w:t>2</w:t>
            </w:r>
            <w:r w:rsidRPr="31710A8E">
              <w:rPr>
                <w:rFonts w:cs="Arial"/>
                <w:b/>
                <w:bCs/>
              </w:rPr>
              <w:t>. členu</w:t>
            </w:r>
          </w:p>
          <w:p w14:paraId="38DB7B32" w14:textId="77777777" w:rsidR="000C08CA" w:rsidRDefault="000C08CA" w:rsidP="00FE328D">
            <w:pPr>
              <w:spacing w:line="276" w:lineRule="auto"/>
              <w:jc w:val="both"/>
              <w:rPr>
                <w:rFonts w:cs="Arial"/>
                <w:b/>
                <w:bCs/>
              </w:rPr>
            </w:pPr>
          </w:p>
          <w:p w14:paraId="57120EB8" w14:textId="77777777" w:rsidR="000C08CA" w:rsidRPr="00F75E31" w:rsidRDefault="000C08CA" w:rsidP="00FE328D">
            <w:pPr>
              <w:pStyle w:val="Neotevilenodstavek"/>
              <w:spacing w:before="0" w:after="0" w:line="276" w:lineRule="auto"/>
              <w:rPr>
                <w:color w:val="000000" w:themeColor="text1"/>
                <w:sz w:val="20"/>
                <w:szCs w:val="20"/>
              </w:rPr>
            </w:pPr>
            <w:r w:rsidRPr="00F75E31">
              <w:rPr>
                <w:color w:val="000000" w:themeColor="text1"/>
                <w:sz w:val="20"/>
                <w:szCs w:val="20"/>
              </w:rPr>
              <w:t xml:space="preserve">V osmem odstavku 3. člena je na novo opredeljena </w:t>
            </w:r>
            <w:r>
              <w:rPr>
                <w:color w:val="000000" w:themeColor="text1"/>
                <w:sz w:val="20"/>
                <w:szCs w:val="20"/>
              </w:rPr>
              <w:t>opredelitev</w:t>
            </w:r>
            <w:r w:rsidRPr="00F75E31">
              <w:rPr>
                <w:color w:val="000000" w:themeColor="text1"/>
                <w:sz w:val="20"/>
                <w:szCs w:val="20"/>
              </w:rPr>
              <w:t xml:space="preserve"> subjektov javnega interesa (v nadaljnjem besedilu: SJI), ki je bila pred tem urejena v Zakonu o revidiranju (</w:t>
            </w:r>
            <w:r w:rsidRPr="00F75E31">
              <w:rPr>
                <w:color w:val="000000" w:themeColor="text1"/>
                <w:sz w:val="20"/>
                <w:szCs w:val="20"/>
                <w:shd w:val="clear" w:color="auto" w:fill="FFFFFF"/>
              </w:rPr>
              <w:t>Uradni list RS, št. </w:t>
            </w:r>
            <w:hyperlink r:id="rId34" w:tgtFrame="_blank" w:tooltip="Zakon o revidiranju (ZRev-2)" w:history="1">
              <w:r w:rsidRPr="00F75E31">
                <w:rPr>
                  <w:rStyle w:val="Hyperlink"/>
                  <w:color w:val="000000" w:themeColor="text1"/>
                  <w:sz w:val="20"/>
                  <w:szCs w:val="20"/>
                  <w:u w:val="none"/>
                  <w:shd w:val="clear" w:color="auto" w:fill="FFFFFF"/>
                </w:rPr>
                <w:t>65/08</w:t>
              </w:r>
            </w:hyperlink>
            <w:r w:rsidRPr="00F75E31">
              <w:rPr>
                <w:color w:val="000000" w:themeColor="text1"/>
                <w:sz w:val="20"/>
                <w:szCs w:val="20"/>
                <w:shd w:val="clear" w:color="auto" w:fill="FFFFFF"/>
              </w:rPr>
              <w:t>, </w:t>
            </w:r>
            <w:hyperlink r:id="rId35" w:tgtFrame="_blank" w:tooltip="Zakon o spremembah in dopolnitvah Zakona o sodiščih (ZS-K)" w:history="1">
              <w:r w:rsidRPr="00F75E31">
                <w:rPr>
                  <w:rStyle w:val="Hyperlink"/>
                  <w:color w:val="000000" w:themeColor="text1"/>
                  <w:sz w:val="20"/>
                  <w:szCs w:val="20"/>
                  <w:u w:val="none"/>
                  <w:shd w:val="clear" w:color="auto" w:fill="FFFFFF"/>
                </w:rPr>
                <w:t>63/13</w:t>
              </w:r>
            </w:hyperlink>
            <w:r w:rsidRPr="00F75E31">
              <w:rPr>
                <w:color w:val="000000" w:themeColor="text1"/>
                <w:sz w:val="20"/>
                <w:szCs w:val="20"/>
                <w:shd w:val="clear" w:color="auto" w:fill="FFFFFF"/>
              </w:rPr>
              <w:t> – ZS-K, </w:t>
            </w:r>
            <w:hyperlink r:id="rId36" w:tgtFrame="_blank" w:tooltip="Zakon o spremembah in dopolnitvah Zakona o revidiranju (ZRev-2A)" w:history="1">
              <w:r w:rsidRPr="00F75E31">
                <w:rPr>
                  <w:rStyle w:val="Hyperlink"/>
                  <w:color w:val="000000" w:themeColor="text1"/>
                  <w:sz w:val="20"/>
                  <w:szCs w:val="20"/>
                  <w:u w:val="none"/>
                  <w:shd w:val="clear" w:color="auto" w:fill="FFFFFF"/>
                </w:rPr>
                <w:t>84/18</w:t>
              </w:r>
            </w:hyperlink>
            <w:r w:rsidRPr="00F75E31">
              <w:rPr>
                <w:color w:val="000000" w:themeColor="text1"/>
                <w:sz w:val="20"/>
                <w:szCs w:val="20"/>
                <w:shd w:val="clear" w:color="auto" w:fill="FFFFFF"/>
              </w:rPr>
              <w:t> in </w:t>
            </w:r>
            <w:hyperlink r:id="rId37" w:tgtFrame="_blank" w:tooltip="Zakon o spremembah in dopolnitvah Zakona o revidiranju (ZRev-2B)" w:history="1">
              <w:r w:rsidRPr="00F75E31">
                <w:rPr>
                  <w:rStyle w:val="Hyperlink"/>
                  <w:color w:val="000000" w:themeColor="text1"/>
                  <w:sz w:val="20"/>
                  <w:szCs w:val="20"/>
                  <w:u w:val="none"/>
                  <w:shd w:val="clear" w:color="auto" w:fill="FFFFFF"/>
                </w:rPr>
                <w:t>115/21</w:t>
              </w:r>
            </w:hyperlink>
            <w:r>
              <w:rPr>
                <w:color w:val="000000" w:themeColor="text1"/>
                <w:sz w:val="20"/>
                <w:szCs w:val="20"/>
              </w:rPr>
              <w:t xml:space="preserve"> ‒ </w:t>
            </w:r>
            <w:r w:rsidRPr="00F75E31">
              <w:rPr>
                <w:color w:val="000000" w:themeColor="text1"/>
                <w:sz w:val="20"/>
                <w:szCs w:val="20"/>
              </w:rPr>
              <w:t>ZRev-2).</w:t>
            </w:r>
            <w:r w:rsidRPr="00F75E31" w:rsidDel="00325639">
              <w:rPr>
                <w:color w:val="000000" w:themeColor="text1"/>
                <w:sz w:val="20"/>
                <w:szCs w:val="20"/>
              </w:rPr>
              <w:t xml:space="preserve"> </w:t>
            </w:r>
            <w:r>
              <w:rPr>
                <w:color w:val="000000" w:themeColor="text1"/>
                <w:sz w:val="20"/>
                <w:szCs w:val="20"/>
              </w:rPr>
              <w:t>Opredelitev</w:t>
            </w:r>
            <w:r w:rsidRPr="00F75E31">
              <w:rPr>
                <w:color w:val="000000" w:themeColor="text1"/>
                <w:sz w:val="20"/>
                <w:szCs w:val="20"/>
              </w:rPr>
              <w:t xml:space="preserve"> SJI je z vidika ZGD-1 vsebinsko pomembna zaradi opredelitve, za katere družbe veljajo posamezne obveznosti glede priprave letnega poročila</w:t>
            </w:r>
            <w:r>
              <w:rPr>
                <w:color w:val="000000" w:themeColor="text1"/>
                <w:sz w:val="20"/>
                <w:szCs w:val="20"/>
              </w:rPr>
              <w:t xml:space="preserve">, saj </w:t>
            </w:r>
            <w:r w:rsidRPr="00F75E31">
              <w:rPr>
                <w:color w:val="000000" w:themeColor="text1"/>
                <w:sz w:val="20"/>
                <w:szCs w:val="20"/>
              </w:rPr>
              <w:t xml:space="preserve">se na to opredelitev vežejo tudi druge obveznosti gospodarskih družb (npr. oblikovanje nadzornih svetov in revizijskih komisij). Predlaga se </w:t>
            </w:r>
            <w:r>
              <w:rPr>
                <w:color w:val="000000" w:themeColor="text1"/>
                <w:sz w:val="20"/>
                <w:szCs w:val="20"/>
              </w:rPr>
              <w:t>opredelitev</w:t>
            </w:r>
            <w:r w:rsidRPr="00F75E31">
              <w:rPr>
                <w:color w:val="000000" w:themeColor="text1"/>
                <w:sz w:val="20"/>
                <w:szCs w:val="20"/>
              </w:rPr>
              <w:t>, da je SJI družba, s katere vrednostnimi papirji se trguje na organiziranem trgu vrednostnih papirjev, kreditna institucija, kot jo opredeljuje zakon, ki ureja bančništvo, zavarovalnica, kot jo opredeljuje zakon, ki ureja zavarovalništvo, pokojninska družba, kot jo opredeljuje zakon, ki ureja pokojninske družbe</w:t>
            </w:r>
            <w:r>
              <w:rPr>
                <w:color w:val="000000" w:themeColor="text1"/>
                <w:sz w:val="20"/>
                <w:szCs w:val="20"/>
              </w:rPr>
              <w:t>,</w:t>
            </w:r>
            <w:r w:rsidRPr="00F75E31">
              <w:rPr>
                <w:color w:val="000000" w:themeColor="text1"/>
                <w:sz w:val="20"/>
                <w:szCs w:val="20"/>
              </w:rPr>
              <w:t xml:space="preserve"> in velika družba, zavezana k obvezni reviziji v skladu s 57. členom tega zakona, v kateri ima država ali samoupravna lokalna skupnost skupaj ali samostojno, neposredno ali posredno večinski lastniški delež. Z drugim zakonom se lahko za SJI določi tudi druga družba, zavezana k obvezni reviziji. </w:t>
            </w:r>
            <w:r w:rsidRPr="00F75E31">
              <w:rPr>
                <w:color w:val="000000" w:themeColor="text1"/>
                <w:sz w:val="20"/>
                <w:szCs w:val="20"/>
                <w:shd w:val="clear" w:color="auto" w:fill="FFFFFF"/>
              </w:rPr>
              <w:t>SJI so bolj vidni in pomembnejši z gospodarskega vidika, zato so zanj</w:t>
            </w:r>
            <w:r>
              <w:rPr>
                <w:color w:val="000000" w:themeColor="text1"/>
                <w:sz w:val="20"/>
                <w:szCs w:val="20"/>
                <w:shd w:val="clear" w:color="auto" w:fill="FFFFFF"/>
              </w:rPr>
              <w:t>e</w:t>
            </w:r>
            <w:r w:rsidRPr="00F75E31">
              <w:rPr>
                <w:color w:val="000000" w:themeColor="text1"/>
                <w:sz w:val="20"/>
                <w:szCs w:val="20"/>
                <w:shd w:val="clear" w:color="auto" w:fill="FFFFFF"/>
              </w:rPr>
              <w:t xml:space="preserve"> predpisane dodatne zakonske obveznosti, </w:t>
            </w:r>
            <w:r>
              <w:rPr>
                <w:color w:val="000000" w:themeColor="text1"/>
                <w:sz w:val="20"/>
                <w:szCs w:val="20"/>
                <w:shd w:val="clear" w:color="auto" w:fill="FFFFFF"/>
              </w:rPr>
              <w:t xml:space="preserve">ob tem </w:t>
            </w:r>
            <w:r w:rsidRPr="00F75E31">
              <w:rPr>
                <w:color w:val="000000" w:themeColor="text1"/>
                <w:sz w:val="20"/>
                <w:szCs w:val="20"/>
                <w:shd w:val="clear" w:color="auto" w:fill="FFFFFF"/>
              </w:rPr>
              <w:t xml:space="preserve">veljajo za obvezne revizije njihovih letnih poročil strožje zahteve. </w:t>
            </w:r>
            <w:r w:rsidRPr="00F75E31">
              <w:rPr>
                <w:color w:val="000000" w:themeColor="text1"/>
                <w:sz w:val="20"/>
                <w:szCs w:val="20"/>
              </w:rPr>
              <w:t xml:space="preserve">Namen spremenjene </w:t>
            </w:r>
            <w:r>
              <w:rPr>
                <w:color w:val="000000" w:themeColor="text1"/>
                <w:sz w:val="20"/>
                <w:szCs w:val="20"/>
              </w:rPr>
              <w:t>opredelitve</w:t>
            </w:r>
            <w:r w:rsidRPr="00F75E31">
              <w:rPr>
                <w:color w:val="000000" w:themeColor="text1"/>
                <w:sz w:val="20"/>
                <w:szCs w:val="20"/>
              </w:rPr>
              <w:t xml:space="preserve"> SJI je predvsem, da se iz njihovega obsega izvzame</w:t>
            </w:r>
            <w:r>
              <w:rPr>
                <w:color w:val="000000" w:themeColor="text1"/>
                <w:sz w:val="20"/>
                <w:szCs w:val="20"/>
              </w:rPr>
              <w:t>jo</w:t>
            </w:r>
            <w:r w:rsidRPr="00F75E31">
              <w:rPr>
                <w:color w:val="000000" w:themeColor="text1"/>
                <w:sz w:val="20"/>
                <w:szCs w:val="20"/>
              </w:rPr>
              <w:t xml:space="preserve"> srednje velike družbe, v katerih imajo država ali samoupravne lokalne skupnosti večinski delež. Na</w:t>
            </w:r>
            <w:r>
              <w:rPr>
                <w:color w:val="000000" w:themeColor="text1"/>
                <w:sz w:val="20"/>
                <w:szCs w:val="20"/>
              </w:rPr>
              <w:t>nj</w:t>
            </w:r>
            <w:r w:rsidRPr="00F75E31">
              <w:rPr>
                <w:color w:val="000000" w:themeColor="text1"/>
                <w:sz w:val="20"/>
                <w:szCs w:val="20"/>
              </w:rPr>
              <w:t>e bo to vplivalo pozitivno,</w:t>
            </w:r>
            <w:r w:rsidRPr="00F75E31" w:rsidDel="00325639">
              <w:rPr>
                <w:color w:val="000000" w:themeColor="text1"/>
                <w:sz w:val="20"/>
                <w:szCs w:val="20"/>
              </w:rPr>
              <w:t xml:space="preserve"> </w:t>
            </w:r>
            <w:r>
              <w:rPr>
                <w:color w:val="000000" w:themeColor="text1"/>
                <w:sz w:val="20"/>
                <w:szCs w:val="20"/>
              </w:rPr>
              <w:t>saj</w:t>
            </w:r>
            <w:r w:rsidRPr="00F75E31">
              <w:rPr>
                <w:color w:val="000000" w:themeColor="text1"/>
                <w:sz w:val="20"/>
                <w:szCs w:val="20"/>
              </w:rPr>
              <w:t xml:space="preserve"> to za njih pomeni odpravo administrativnih bremen (npr. priprava letnih poročil</w:t>
            </w:r>
            <w:r>
              <w:rPr>
                <w:color w:val="000000" w:themeColor="text1"/>
                <w:sz w:val="20"/>
                <w:szCs w:val="20"/>
              </w:rPr>
              <w:t>,</w:t>
            </w:r>
            <w:r w:rsidRPr="00F75E31">
              <w:rPr>
                <w:color w:val="000000" w:themeColor="text1"/>
                <w:sz w:val="20"/>
                <w:szCs w:val="20"/>
              </w:rPr>
              <w:t xml:space="preserve"> kot to velja za velike družbe) in </w:t>
            </w:r>
            <w:r>
              <w:rPr>
                <w:color w:val="000000" w:themeColor="text1"/>
                <w:sz w:val="20"/>
                <w:szCs w:val="20"/>
              </w:rPr>
              <w:t>nekaterih</w:t>
            </w:r>
            <w:r w:rsidRPr="00F75E31">
              <w:rPr>
                <w:color w:val="000000" w:themeColor="text1"/>
                <w:sz w:val="20"/>
                <w:szCs w:val="20"/>
              </w:rPr>
              <w:t xml:space="preserve"> zakonskih obveznosti (npr. oblikovanje revizijskih komisij), ki veljajo za SJI. V praksi se je izkazalo, da so srednje velike družbe, ki se s spremembo tega zakona izloča</w:t>
            </w:r>
            <w:r>
              <w:rPr>
                <w:color w:val="000000" w:themeColor="text1"/>
                <w:sz w:val="20"/>
                <w:szCs w:val="20"/>
              </w:rPr>
              <w:t>jo</w:t>
            </w:r>
            <w:r w:rsidRPr="00F75E31">
              <w:rPr>
                <w:color w:val="000000" w:themeColor="text1"/>
                <w:sz w:val="20"/>
                <w:szCs w:val="20"/>
              </w:rPr>
              <w:t xml:space="preserve"> iz družb </w:t>
            </w:r>
            <w:r>
              <w:rPr>
                <w:color w:val="000000" w:themeColor="text1"/>
                <w:sz w:val="20"/>
                <w:szCs w:val="20"/>
              </w:rPr>
              <w:t>SJI</w:t>
            </w:r>
            <w:r w:rsidRPr="00F75E31">
              <w:rPr>
                <w:color w:val="000000" w:themeColor="text1"/>
                <w:sz w:val="20"/>
                <w:szCs w:val="20"/>
              </w:rPr>
              <w:t>, ustanovljene kot družbe z omejeno odgovornostjo. Glede na njihovo velikost, pravnoorganizacijsko obliko in zmožnosti težko sledijo vsem zahtevam</w:t>
            </w:r>
            <w:r>
              <w:rPr>
                <w:color w:val="000000" w:themeColor="text1"/>
                <w:sz w:val="20"/>
                <w:szCs w:val="20"/>
              </w:rPr>
              <w:t>,</w:t>
            </w:r>
            <w:r w:rsidRPr="00F75E31">
              <w:rPr>
                <w:color w:val="000000" w:themeColor="text1"/>
                <w:sz w:val="20"/>
                <w:szCs w:val="20"/>
              </w:rPr>
              <w:t xml:space="preserve"> kot to velja za velike družbe</w:t>
            </w:r>
            <w:r>
              <w:rPr>
                <w:color w:val="000000" w:themeColor="text1"/>
                <w:sz w:val="20"/>
                <w:szCs w:val="20"/>
              </w:rPr>
              <w:t>, ki so prepoznane kot</w:t>
            </w:r>
            <w:r w:rsidRPr="00F75E31">
              <w:rPr>
                <w:color w:val="000000" w:themeColor="text1"/>
                <w:sz w:val="20"/>
                <w:szCs w:val="20"/>
              </w:rPr>
              <w:t xml:space="preserve"> </w:t>
            </w:r>
            <w:r>
              <w:rPr>
                <w:color w:val="000000" w:themeColor="text1"/>
                <w:sz w:val="20"/>
                <w:szCs w:val="20"/>
              </w:rPr>
              <w:t xml:space="preserve">SJI </w:t>
            </w:r>
            <w:r w:rsidRPr="00F75E31">
              <w:rPr>
                <w:color w:val="000000" w:themeColor="text1"/>
                <w:sz w:val="20"/>
                <w:szCs w:val="20"/>
              </w:rPr>
              <w:t xml:space="preserve">in jim zakonske zahteve </w:t>
            </w:r>
            <w:r>
              <w:rPr>
                <w:color w:val="000000" w:themeColor="text1"/>
                <w:sz w:val="20"/>
                <w:szCs w:val="20"/>
              </w:rPr>
              <w:t>pomenijo</w:t>
            </w:r>
            <w:r w:rsidRPr="00F75E31">
              <w:rPr>
                <w:color w:val="000000" w:themeColor="text1"/>
                <w:sz w:val="20"/>
                <w:szCs w:val="20"/>
              </w:rPr>
              <w:t xml:space="preserve"> le administrativno breme ter ne vplivajo na učinkovit</w:t>
            </w:r>
            <w:r>
              <w:rPr>
                <w:color w:val="000000" w:themeColor="text1"/>
                <w:sz w:val="20"/>
                <w:szCs w:val="20"/>
              </w:rPr>
              <w:t>ejše</w:t>
            </w:r>
            <w:r w:rsidRPr="00F75E31">
              <w:rPr>
                <w:color w:val="000000" w:themeColor="text1"/>
                <w:sz w:val="20"/>
                <w:szCs w:val="20"/>
              </w:rPr>
              <w:t xml:space="preserve"> poslovanje ali nadzorovanje.</w:t>
            </w:r>
          </w:p>
          <w:p w14:paraId="6ACB95B6" w14:textId="77777777" w:rsidR="000C08CA" w:rsidRDefault="000C08CA" w:rsidP="00FE328D">
            <w:pPr>
              <w:spacing w:line="276" w:lineRule="auto"/>
              <w:jc w:val="both"/>
              <w:rPr>
                <w:rFonts w:cs="Arial"/>
                <w:b/>
                <w:bCs/>
              </w:rPr>
            </w:pPr>
          </w:p>
          <w:p w14:paraId="221F8CD3" w14:textId="77777777" w:rsidR="005151C3" w:rsidRDefault="005151C3" w:rsidP="00FE328D">
            <w:pPr>
              <w:spacing w:line="276" w:lineRule="auto"/>
              <w:jc w:val="both"/>
              <w:rPr>
                <w:rFonts w:cs="Arial"/>
                <w:b/>
                <w:bCs/>
              </w:rPr>
            </w:pPr>
          </w:p>
          <w:p w14:paraId="1779E999" w14:textId="77777777" w:rsidR="005151C3" w:rsidRDefault="005151C3" w:rsidP="00FE328D">
            <w:pPr>
              <w:spacing w:line="276" w:lineRule="auto"/>
              <w:jc w:val="both"/>
              <w:rPr>
                <w:rFonts w:cs="Arial"/>
                <w:b/>
                <w:bCs/>
              </w:rPr>
            </w:pPr>
          </w:p>
          <w:p w14:paraId="1F3B6466" w14:textId="2F6A2E2B" w:rsidR="000C08CA" w:rsidRDefault="000C08CA" w:rsidP="00FE328D">
            <w:pPr>
              <w:spacing w:line="276" w:lineRule="auto"/>
              <w:jc w:val="both"/>
              <w:rPr>
                <w:rFonts w:cs="Arial"/>
                <w:b/>
                <w:bCs/>
              </w:rPr>
            </w:pPr>
            <w:r>
              <w:rPr>
                <w:rFonts w:cs="Arial"/>
                <w:b/>
                <w:bCs/>
              </w:rPr>
              <w:lastRenderedPageBreak/>
              <w:t>K 3. členu</w:t>
            </w:r>
          </w:p>
          <w:p w14:paraId="44876B81" w14:textId="77777777" w:rsidR="000C08CA" w:rsidRPr="00BE28A8" w:rsidRDefault="000C08CA" w:rsidP="00FE328D">
            <w:pPr>
              <w:spacing w:line="276" w:lineRule="auto"/>
              <w:jc w:val="both"/>
              <w:rPr>
                <w:rFonts w:cs="Arial"/>
              </w:rPr>
            </w:pPr>
          </w:p>
          <w:p w14:paraId="1A341486" w14:textId="77777777" w:rsidR="000C08CA" w:rsidRDefault="000C08CA" w:rsidP="00FE328D">
            <w:pPr>
              <w:spacing w:line="276" w:lineRule="auto"/>
              <w:jc w:val="both"/>
              <w:rPr>
                <w:rFonts w:cs="Arial"/>
                <w:b/>
                <w:shd w:val="clear" w:color="auto" w:fill="FFFFFF"/>
              </w:rPr>
            </w:pPr>
            <w:r w:rsidRPr="00BE28A8">
              <w:rPr>
                <w:rFonts w:cs="Arial"/>
              </w:rPr>
              <w:t xml:space="preserve">Zaradi </w:t>
            </w:r>
            <w:r>
              <w:rPr>
                <w:rFonts w:cs="Arial"/>
              </w:rPr>
              <w:t>novega prekrška v prvem odstavku 685. člena ZGD-1, ki je po predlogu zakona umeščen v novo 2. točko navedenega odstavka, in posledičnega preštevilčenja dosedanjih prekrškov v 2. do 27. točki je treba popraviti sklic v 6. točki prvega odstavka 10.a člena ZGD-1.</w:t>
            </w:r>
          </w:p>
          <w:p w14:paraId="5B04184B" w14:textId="77777777" w:rsidR="000C08CA" w:rsidRDefault="000C08CA" w:rsidP="00FE328D">
            <w:pPr>
              <w:spacing w:line="276" w:lineRule="auto"/>
              <w:jc w:val="both"/>
              <w:rPr>
                <w:rFonts w:cs="Arial"/>
                <w:b/>
                <w:bCs/>
                <w:szCs w:val="20"/>
                <w:shd w:val="clear" w:color="auto" w:fill="FFFFFF"/>
              </w:rPr>
            </w:pPr>
          </w:p>
          <w:p w14:paraId="4724D741" w14:textId="77777777" w:rsidR="000C08CA" w:rsidRPr="00605612" w:rsidRDefault="000C08CA" w:rsidP="00FE328D">
            <w:pPr>
              <w:spacing w:line="276" w:lineRule="auto"/>
              <w:jc w:val="both"/>
              <w:rPr>
                <w:rFonts w:cs="Arial"/>
                <w:b/>
                <w:bCs/>
                <w:szCs w:val="20"/>
              </w:rPr>
            </w:pPr>
            <w:r w:rsidRPr="00605612">
              <w:rPr>
                <w:rFonts w:cs="Arial"/>
                <w:b/>
                <w:bCs/>
                <w:szCs w:val="20"/>
                <w:shd w:val="clear" w:color="auto" w:fill="FFFFFF"/>
              </w:rPr>
              <w:t xml:space="preserve">K </w:t>
            </w:r>
            <w:r>
              <w:rPr>
                <w:rFonts w:cs="Arial"/>
                <w:b/>
                <w:bCs/>
                <w:szCs w:val="20"/>
                <w:shd w:val="clear" w:color="auto" w:fill="FFFFFF"/>
              </w:rPr>
              <w:t>4</w:t>
            </w:r>
            <w:r w:rsidRPr="00605612">
              <w:rPr>
                <w:rFonts w:cs="Arial"/>
                <w:b/>
                <w:bCs/>
                <w:szCs w:val="20"/>
                <w:shd w:val="clear" w:color="auto" w:fill="FFFFFF"/>
              </w:rPr>
              <w:t>. členu</w:t>
            </w:r>
          </w:p>
          <w:p w14:paraId="6B62A291" w14:textId="77777777" w:rsidR="000C08CA" w:rsidRPr="00605612" w:rsidRDefault="000C08CA" w:rsidP="00FE328D">
            <w:pPr>
              <w:spacing w:line="276" w:lineRule="auto"/>
              <w:jc w:val="both"/>
              <w:rPr>
                <w:rFonts w:cs="Arial"/>
                <w:szCs w:val="20"/>
              </w:rPr>
            </w:pPr>
            <w:bookmarkStart w:id="70" w:name="_Hlk142463472"/>
          </w:p>
          <w:p w14:paraId="4203793B" w14:textId="77777777" w:rsidR="000C08CA" w:rsidRPr="00605612" w:rsidRDefault="000C08CA" w:rsidP="00FE328D">
            <w:pPr>
              <w:spacing w:line="276" w:lineRule="auto"/>
              <w:jc w:val="both"/>
              <w:rPr>
                <w:rFonts w:cs="Arial"/>
              </w:rPr>
            </w:pPr>
            <w:r w:rsidRPr="149261AB">
              <w:rPr>
                <w:rFonts w:cs="Arial"/>
              </w:rPr>
              <w:t>Z novim 30.a členom ZGD-1, ki se v skladu s spremembo 71. člena ZGD-1 smiselno uporablja tudi za samostojnega podjetnika posameznika (v nadaljnjem besedilu: podjetnik), se za večjo preglednost poslovanja določi obveznost družb in podjetnikov, da na vidnem mestu namestijo napis, na katerem bosta izpisana firma in sedež družbe ali podjetnika.</w:t>
            </w:r>
          </w:p>
          <w:p w14:paraId="1A4E9D49" w14:textId="77777777" w:rsidR="000C08CA" w:rsidRPr="00605612" w:rsidRDefault="000C08CA" w:rsidP="00FE328D">
            <w:pPr>
              <w:spacing w:line="276" w:lineRule="auto"/>
              <w:jc w:val="both"/>
              <w:rPr>
                <w:rFonts w:cs="Arial"/>
                <w:szCs w:val="20"/>
              </w:rPr>
            </w:pPr>
          </w:p>
          <w:p w14:paraId="54F4AC9F" w14:textId="77777777" w:rsidR="000C08CA" w:rsidRDefault="000C08CA" w:rsidP="00FE328D">
            <w:pPr>
              <w:spacing w:line="276" w:lineRule="auto"/>
              <w:jc w:val="both"/>
              <w:rPr>
                <w:rFonts w:cs="Arial"/>
              </w:rPr>
            </w:pPr>
            <w:r w:rsidRPr="1308966A">
              <w:rPr>
                <w:rFonts w:cs="Arial"/>
              </w:rPr>
              <w:t xml:space="preserve">Obveznost označevanja na poslovnem naslovu je v Republiki Sloveniji že velja v dejavnosti trgovine in gostinstva. V skladu z drugim odstavkom 5. člena Pravilnika o minimalnih tehničnih pogojih za opravljanje trgovinske dejavnosti (Uradni list RS, št. 37/09) mora biti na zunanji strani prodajalne na vidnem mestu napis z navedbo firme in sedeža trgovca ter morebitnim imenom prodajalne. Podobno morajo imeti gostinski obrati v skladu s prvim odstavkom 4. člena Pravilnika o minimalnih tehničnih pogojih in o obsegu storitev za opravljanje gostinske dejavnosti (Uradni list RS, št. 35/17) ob vhodu vidno označen naziv firme in sedež gostinca ter vrsto in ime obrata, nastanitveni obrat, ki se kategorizira, pa tudi označbo kategorije. </w:t>
            </w:r>
          </w:p>
          <w:p w14:paraId="498F24F4" w14:textId="77777777" w:rsidR="000C08CA" w:rsidRDefault="000C08CA" w:rsidP="00FE328D">
            <w:pPr>
              <w:spacing w:line="276" w:lineRule="auto"/>
              <w:jc w:val="both"/>
              <w:rPr>
                <w:rFonts w:cs="Arial"/>
                <w:szCs w:val="20"/>
              </w:rPr>
            </w:pPr>
          </w:p>
          <w:p w14:paraId="138992A3" w14:textId="77777777" w:rsidR="000C08CA" w:rsidRPr="00605612" w:rsidRDefault="000C08CA" w:rsidP="00FE328D">
            <w:pPr>
              <w:spacing w:line="276" w:lineRule="auto"/>
              <w:jc w:val="both"/>
              <w:rPr>
                <w:rFonts w:cs="Arial"/>
              </w:rPr>
            </w:pPr>
            <w:r w:rsidRPr="1308966A">
              <w:rPr>
                <w:rFonts w:cs="Arial"/>
              </w:rPr>
              <w:t>S predlagano določbo se obveznost označevanja v skladu z načelom enake obravnave širi na vse dejavnosti, v katerih delujejo družbe in podjetniki. Predlagana določba je splošna in ne vsebuje podrobnejših pravil ali tehničnih pogojev za označevanje na poslovnem naslovu,</w:t>
            </w:r>
            <w:r>
              <w:rPr>
                <w:rFonts w:cs="Arial"/>
              </w:rPr>
              <w:t xml:space="preserve"> </w:t>
            </w:r>
            <w:r w:rsidRPr="1308966A">
              <w:rPr>
                <w:rFonts w:cs="Arial"/>
              </w:rPr>
              <w:t>na primer velikost, videz in mesto napisa. Zakonska obveznost bo izpolnjena, če bo napis postavljen na vidnem mestu. V</w:t>
            </w:r>
            <w:r w:rsidRPr="1308966A">
              <w:rPr>
                <w:rFonts w:ascii="Arial Nova" w:hAnsi="Arial Nova"/>
                <w:color w:val="000000" w:themeColor="text1"/>
              </w:rPr>
              <w:t xml:space="preserve"> večstanovanjskem objektu bi se označitev lahko štela za ustrezno, če bosta firma in sedež družbe in podjetnika vidno označena na poštnem nabiralniku.</w:t>
            </w:r>
            <w:r w:rsidRPr="1308966A">
              <w:rPr>
                <w:rFonts w:cs="Arial"/>
              </w:rPr>
              <w:t xml:space="preserve"> </w:t>
            </w:r>
          </w:p>
          <w:p w14:paraId="1FCB4392" w14:textId="77777777" w:rsidR="000C08CA" w:rsidRPr="00390CB0" w:rsidRDefault="000C08CA" w:rsidP="00FE328D">
            <w:pPr>
              <w:spacing w:line="276" w:lineRule="auto"/>
              <w:jc w:val="both"/>
              <w:rPr>
                <w:rFonts w:cs="Arial"/>
                <w:szCs w:val="20"/>
              </w:rPr>
            </w:pPr>
          </w:p>
          <w:p w14:paraId="53EBEF09" w14:textId="77777777" w:rsidR="000C08CA" w:rsidRPr="00390CB0" w:rsidRDefault="000C08CA" w:rsidP="00FE328D">
            <w:pPr>
              <w:spacing w:line="276" w:lineRule="auto"/>
              <w:jc w:val="both"/>
              <w:rPr>
                <w:rFonts w:cs="Arial"/>
              </w:rPr>
            </w:pPr>
            <w:r w:rsidRPr="149261AB">
              <w:rPr>
                <w:rFonts w:cs="Arial"/>
              </w:rPr>
              <w:t xml:space="preserve">Poleg večje preglednosti poslovanja družb in podjetnikov se s predlagano obveznostjo rešujejo tudi težave inšpekcijskih organov pri izvajanju nadzora iz lastnih pristojnosti, ki preprečujejo učinkovito izvajanje nadzora. Registrski in inšpekcijski organi še vedno zaznavajo primere, da je na posameznih poslovnih naslovih registrirano </w:t>
            </w:r>
            <w:r w:rsidRPr="50C28D0E">
              <w:rPr>
                <w:rFonts w:cs="Arial"/>
              </w:rPr>
              <w:t>več</w:t>
            </w:r>
            <w:r w:rsidRPr="149261AB">
              <w:rPr>
                <w:rFonts w:cs="Arial"/>
              </w:rPr>
              <w:t xml:space="preserve"> poslovnih subjektov, zlasti družb z omejeno odgovornostjo, ki so za neko denarno nadomestilo pridobili dovoljenje lastnika objekta za uporabo naslova kot poslovnega naslova za namen vpisa v sodni ali poslovni register. Na teh naslovih so navadno samo poštni nabiralniki vpisanih družb ali pa še ti ne. Te družbe so ustanovljene na zalogo, mirujejo in ne delujejo ter so na razpolago kot pravni nosilec. V pravnem prometu se pojavijo šele, ko tretji pridobijo poslovne deleže in </w:t>
            </w:r>
            <w:r w:rsidRPr="6B533D48">
              <w:rPr>
                <w:rFonts w:cs="Arial"/>
              </w:rPr>
              <w:t>jih</w:t>
            </w:r>
            <w:r w:rsidRPr="149261AB">
              <w:rPr>
                <w:rFonts w:cs="Arial"/>
              </w:rPr>
              <w:t xml:space="preserve"> aktivirajo.</w:t>
            </w:r>
          </w:p>
          <w:p w14:paraId="1D3E128D" w14:textId="77777777" w:rsidR="000C08CA" w:rsidRPr="00390CB0" w:rsidRDefault="000C08CA" w:rsidP="00FE328D">
            <w:pPr>
              <w:spacing w:line="276" w:lineRule="auto"/>
              <w:jc w:val="both"/>
              <w:rPr>
                <w:rFonts w:cs="Arial"/>
                <w:szCs w:val="20"/>
              </w:rPr>
            </w:pPr>
          </w:p>
          <w:p w14:paraId="715A5C5F" w14:textId="77777777" w:rsidR="000C08CA" w:rsidRDefault="000C08CA" w:rsidP="00FE328D">
            <w:pPr>
              <w:spacing w:line="276" w:lineRule="auto"/>
              <w:jc w:val="both"/>
              <w:rPr>
                <w:rFonts w:cs="Arial"/>
              </w:rPr>
            </w:pPr>
            <w:r w:rsidRPr="1308966A">
              <w:rPr>
                <w:rFonts w:cs="Arial"/>
              </w:rPr>
              <w:t>Obveznost označevanja na poslovnem naslovu sledi pozivu Komisije Državnega zbora za peticije, človekove pravice in enake možnosti št. 102-01/21-17/3 z dne 2. 7. 2021, ki je v sklepu pod zap. št. 2</w:t>
            </w:r>
            <w:r w:rsidRPr="1308966A" w:rsidDel="00BA3DFC">
              <w:rPr>
                <w:rFonts w:cs="Arial"/>
              </w:rPr>
              <w:t xml:space="preserve"> </w:t>
            </w:r>
            <w:r w:rsidRPr="1308966A">
              <w:rPr>
                <w:rFonts w:cs="Arial"/>
              </w:rPr>
              <w:t>Vlado Republike Slovenije pozvala, naj s spremembami področne zakonodaje ter dodatnimi finančnimi sredstvi in kadri zagotovi učinkovit inšpekcijski nadzor nad neupoštevanjem prepovedi veriženja družb in kršenjem osnovnih delavskih pravic, ter pozivu št. 102-01/21-24/2 z dne 28. 10. 2021, v katerem je navedena komisija v sklepu pod zap. št. 2</w:t>
            </w:r>
            <w:r w:rsidRPr="1308966A" w:rsidDel="00BA3DFC">
              <w:rPr>
                <w:rFonts w:cs="Arial"/>
              </w:rPr>
              <w:t xml:space="preserve"> </w:t>
            </w:r>
            <w:r w:rsidRPr="1308966A">
              <w:rPr>
                <w:rFonts w:cs="Arial"/>
              </w:rPr>
              <w:t>Ministrstvo za delo, družino, socialne zadeve in enake možnosti pozvala, naj v sodelovanju z Ministrstvom za pravosodje in Ministrstvom za gospodarski razvoj in tehnologijo (danes Ministrstvo za gospodarstvo, turizem in šport) ter s predstavniki delavcev in strokovnjaki na področju gospodarskega kriminala v 60 dneh pripravi predloge zakonodajnih sprememb, ki bodo onemogočile škodljivo veriženje slamnatih podjetij in s tem oškodovanje delavcev, skupnosti in gospodarstva.</w:t>
            </w:r>
          </w:p>
          <w:p w14:paraId="3296AEB6" w14:textId="77777777" w:rsidR="000C08CA" w:rsidRPr="00605612" w:rsidRDefault="000C08CA" w:rsidP="00FE328D">
            <w:pPr>
              <w:spacing w:line="276" w:lineRule="auto"/>
              <w:jc w:val="both"/>
              <w:rPr>
                <w:rFonts w:cs="Arial"/>
                <w:szCs w:val="20"/>
              </w:rPr>
            </w:pPr>
          </w:p>
          <w:p w14:paraId="5ED21532" w14:textId="77777777" w:rsidR="00F2247E" w:rsidRDefault="00F2247E" w:rsidP="00FE328D">
            <w:pPr>
              <w:spacing w:line="276" w:lineRule="auto"/>
              <w:jc w:val="both"/>
              <w:rPr>
                <w:rFonts w:cs="Arial"/>
                <w:b/>
                <w:bCs/>
                <w:szCs w:val="20"/>
              </w:rPr>
            </w:pPr>
          </w:p>
          <w:p w14:paraId="59B93BE1" w14:textId="2F976A34" w:rsidR="000C08CA" w:rsidRPr="00605612" w:rsidRDefault="000C08CA" w:rsidP="00FE328D">
            <w:pPr>
              <w:spacing w:line="276" w:lineRule="auto"/>
              <w:jc w:val="both"/>
              <w:rPr>
                <w:rFonts w:cs="Arial"/>
                <w:b/>
                <w:bCs/>
                <w:szCs w:val="20"/>
              </w:rPr>
            </w:pPr>
            <w:r w:rsidRPr="00605612">
              <w:rPr>
                <w:rFonts w:cs="Arial"/>
                <w:b/>
                <w:bCs/>
                <w:szCs w:val="20"/>
              </w:rPr>
              <w:lastRenderedPageBreak/>
              <w:t xml:space="preserve">K </w:t>
            </w:r>
            <w:r>
              <w:rPr>
                <w:rFonts w:cs="Arial"/>
                <w:b/>
                <w:bCs/>
                <w:szCs w:val="20"/>
              </w:rPr>
              <w:t>5</w:t>
            </w:r>
            <w:r w:rsidRPr="00605612">
              <w:rPr>
                <w:rFonts w:cs="Arial"/>
                <w:b/>
                <w:bCs/>
                <w:szCs w:val="20"/>
              </w:rPr>
              <w:t>. členu</w:t>
            </w:r>
          </w:p>
          <w:p w14:paraId="323B16AF" w14:textId="77777777" w:rsidR="000C08CA" w:rsidRPr="00605612" w:rsidRDefault="000C08CA" w:rsidP="00FE328D">
            <w:pPr>
              <w:spacing w:line="276" w:lineRule="auto"/>
              <w:jc w:val="both"/>
              <w:rPr>
                <w:rFonts w:cs="Arial"/>
                <w:szCs w:val="20"/>
              </w:rPr>
            </w:pPr>
          </w:p>
          <w:p w14:paraId="1FE1F94A" w14:textId="77777777" w:rsidR="000C08CA" w:rsidRPr="00605612" w:rsidRDefault="000C08CA" w:rsidP="00FE328D">
            <w:pPr>
              <w:spacing w:line="276" w:lineRule="auto"/>
              <w:jc w:val="both"/>
              <w:rPr>
                <w:rFonts w:cs="Arial"/>
                <w:szCs w:val="20"/>
              </w:rPr>
            </w:pPr>
            <w:r w:rsidRPr="00605612">
              <w:rPr>
                <w:rFonts w:cs="Arial"/>
                <w:szCs w:val="20"/>
              </w:rPr>
              <w:t>Z dopolnitvijo četrtega odstavka 53. člena ZGD-1 se v nacionalno zakonodajo prenaša z Direktivo 2022/2464/EU dopolnjena določba 2. člena Direktive 2013/34/EU</w:t>
            </w:r>
            <w:bookmarkEnd w:id="70"/>
            <w:r w:rsidRPr="00605612">
              <w:rPr>
                <w:rFonts w:cs="Arial"/>
                <w:szCs w:val="20"/>
              </w:rPr>
              <w:t xml:space="preserve"> (računovodsk</w:t>
            </w:r>
            <w:r>
              <w:rPr>
                <w:rFonts w:cs="Arial"/>
                <w:szCs w:val="20"/>
              </w:rPr>
              <w:t>a</w:t>
            </w:r>
            <w:r w:rsidRPr="00605612">
              <w:rPr>
                <w:rFonts w:cs="Arial"/>
                <w:szCs w:val="20"/>
              </w:rPr>
              <w:t xml:space="preserve"> direktiv</w:t>
            </w:r>
            <w:r>
              <w:rPr>
                <w:rFonts w:cs="Arial"/>
                <w:szCs w:val="20"/>
              </w:rPr>
              <w:t>a</w:t>
            </w:r>
            <w:r w:rsidRPr="00605612">
              <w:rPr>
                <w:rFonts w:cs="Arial"/>
                <w:szCs w:val="20"/>
              </w:rPr>
              <w:t>), ki opredeljuje nove pojme, povezane s poročanjem o trajnostnosti. V 2. členu Direktive 2013/34/EU s</w:t>
            </w:r>
            <w:r>
              <w:rPr>
                <w:rFonts w:cs="Arial"/>
                <w:szCs w:val="20"/>
              </w:rPr>
              <w:t>o dodane</w:t>
            </w:r>
            <w:r w:rsidRPr="00605612">
              <w:rPr>
                <w:rFonts w:cs="Arial"/>
                <w:szCs w:val="20"/>
              </w:rPr>
              <w:t xml:space="preserve"> opredelitve izrazov za </w:t>
            </w:r>
            <w:r w:rsidRPr="00816745">
              <w:rPr>
                <w:rFonts w:cs="Arial"/>
                <w:szCs w:val="20"/>
              </w:rPr>
              <w:t xml:space="preserve">čiste prihodke </w:t>
            </w:r>
            <w:r>
              <w:rPr>
                <w:rFonts w:cs="Arial"/>
                <w:szCs w:val="20"/>
              </w:rPr>
              <w:t>(</w:t>
            </w:r>
            <w:r w:rsidRPr="00816745">
              <w:rPr>
                <w:rFonts w:cs="Arial"/>
                <w:szCs w:val="20"/>
              </w:rPr>
              <w:t>od prodaje</w:t>
            </w:r>
            <w:r>
              <w:rPr>
                <w:rFonts w:cs="Arial"/>
                <w:szCs w:val="20"/>
              </w:rPr>
              <w:t>)</w:t>
            </w:r>
            <w:r w:rsidRPr="00816745">
              <w:rPr>
                <w:rFonts w:cs="Arial"/>
                <w:szCs w:val="20"/>
              </w:rPr>
              <w:t xml:space="preserve"> </w:t>
            </w:r>
            <w:r w:rsidRPr="00605612">
              <w:rPr>
                <w:rFonts w:cs="Arial"/>
                <w:szCs w:val="20"/>
              </w:rPr>
              <w:t>za banke, zavarovalnice in za družbe iz 70.d člena ZGD-1, za zadeve v zvezi s trajnostnostjo, za poročanje o trajnostnosti, za ključna neopredmetena sredstva in za neodvisnega ponudnika storitev dajanja zagotovil.</w:t>
            </w:r>
          </w:p>
          <w:p w14:paraId="3B254AD3" w14:textId="77777777" w:rsidR="000C08CA" w:rsidRPr="00605612" w:rsidRDefault="000C08CA" w:rsidP="00FE328D">
            <w:pPr>
              <w:spacing w:line="276" w:lineRule="auto"/>
              <w:jc w:val="both"/>
              <w:rPr>
                <w:rFonts w:cs="Arial"/>
                <w:szCs w:val="20"/>
              </w:rPr>
            </w:pPr>
          </w:p>
          <w:p w14:paraId="20B44A4F" w14:textId="77777777" w:rsidR="000C08CA" w:rsidRDefault="000C08CA" w:rsidP="00FE328D">
            <w:pPr>
              <w:spacing w:line="276" w:lineRule="auto"/>
              <w:jc w:val="both"/>
              <w:rPr>
                <w:rFonts w:cs="Arial"/>
                <w:szCs w:val="20"/>
              </w:rPr>
            </w:pPr>
            <w:r w:rsidRPr="00605612">
              <w:rPr>
                <w:rFonts w:cs="Arial"/>
                <w:szCs w:val="20"/>
              </w:rPr>
              <w:t xml:space="preserve">53. člen ZGD-1 v četrtem odstavku opredeljuje posamezne izraze, ki veljajo za osmo poglavje Poslovne knjige in letno poročilo. Izrazi se </w:t>
            </w:r>
            <w:r>
              <w:rPr>
                <w:rFonts w:cs="Arial"/>
                <w:szCs w:val="20"/>
              </w:rPr>
              <w:t xml:space="preserve">dopolnijo </w:t>
            </w:r>
            <w:r w:rsidRPr="00605612">
              <w:rPr>
                <w:rFonts w:cs="Arial"/>
                <w:szCs w:val="20"/>
              </w:rPr>
              <w:t xml:space="preserve">skladno </w:t>
            </w:r>
            <w:r>
              <w:rPr>
                <w:rFonts w:cs="Arial"/>
                <w:szCs w:val="20"/>
              </w:rPr>
              <w:t>z</w:t>
            </w:r>
            <w:r w:rsidRPr="00605612">
              <w:rPr>
                <w:rFonts w:cs="Arial"/>
                <w:szCs w:val="20"/>
              </w:rPr>
              <w:t xml:space="preserve"> omenjeno direktivo</w:t>
            </w:r>
            <w:r>
              <w:rPr>
                <w:rFonts w:cs="Arial"/>
                <w:szCs w:val="20"/>
              </w:rPr>
              <w:t>.</w:t>
            </w:r>
            <w:r w:rsidRPr="00605612" w:rsidDel="008B5758">
              <w:rPr>
                <w:rFonts w:cs="Arial"/>
                <w:szCs w:val="20"/>
              </w:rPr>
              <w:t xml:space="preserve"> </w:t>
            </w:r>
          </w:p>
          <w:p w14:paraId="3F938161" w14:textId="77777777" w:rsidR="000C08CA" w:rsidRDefault="000C08CA" w:rsidP="00FE328D">
            <w:pPr>
              <w:spacing w:line="276" w:lineRule="auto"/>
              <w:jc w:val="both"/>
              <w:rPr>
                <w:rFonts w:cs="Arial"/>
                <w:szCs w:val="20"/>
              </w:rPr>
            </w:pPr>
          </w:p>
          <w:p w14:paraId="18D7476C" w14:textId="77777777" w:rsidR="000C08CA" w:rsidRDefault="000C08CA" w:rsidP="00FE328D">
            <w:pPr>
              <w:spacing w:line="276" w:lineRule="auto"/>
              <w:jc w:val="both"/>
              <w:rPr>
                <w:rFonts w:cs="Arial"/>
                <w:szCs w:val="20"/>
              </w:rPr>
            </w:pPr>
            <w:r w:rsidRPr="00B80751">
              <w:rPr>
                <w:rFonts w:cs="Arial"/>
                <w:szCs w:val="20"/>
              </w:rPr>
              <w:t xml:space="preserve">V 32. uvodni izjavi Direktive 2022/2464/EU je pojasnjeno, da Direktiva 2013/34/EU ne zahteva razkritja informacij o neopredmetenih sredstvih, ki niso neopredmetena sredstva, pripoznana v bilanci stanja. Splošno znano je, da se o informacijah o neopredmetenih sredstvih in drugih neopredmetenih dejavnikih, vključno z notranje ustvarjenimi neopredmetenimi sredstvi, premalo poroča, kar ovira ustrezno </w:t>
            </w:r>
            <w:r>
              <w:rPr>
                <w:rFonts w:cs="Arial"/>
                <w:szCs w:val="20"/>
              </w:rPr>
              <w:t>presojo</w:t>
            </w:r>
            <w:r w:rsidRPr="00B80751">
              <w:rPr>
                <w:rFonts w:cs="Arial"/>
                <w:szCs w:val="20"/>
              </w:rPr>
              <w:t xml:space="preserve"> razvoja, uspešnosti in položaja družbe ter spremljanje naložb. Da bi vlagateljem omogočili boljše razumevanje vse večjega razkoraka med knjigovodsko vrednostjo številnih družb in njihovim tržnim vrednotenjem, ki je opazno v številnih gospodarskih sektorjih, bi bilo treba od </w:t>
            </w:r>
            <w:r>
              <w:rPr>
                <w:rFonts w:cs="Arial"/>
                <w:szCs w:val="20"/>
              </w:rPr>
              <w:t>nekaterih</w:t>
            </w:r>
            <w:r w:rsidRPr="00B80751">
              <w:rPr>
                <w:rFonts w:cs="Arial"/>
                <w:szCs w:val="20"/>
              </w:rPr>
              <w:t xml:space="preserve"> družb zahtevati, da ustrezno poročajo o neopredmetenih sredstvih. Kljub temu so nekatere informacije o neopredmetenih sredstvih neločljivo povezane z zadevami v zvezi s trajnostnostjo in bi zato morale biti vključene v poročanje o njej. Informacije o znanju in spretnostih, kompetencah in izkušnjah zaposlenih, njihovi lojalnosti do podjetja ter njihovi motivaciji za izboljševanje procesov, blaga in storitev so na primer informacije o trajnostnosti v zvezi s socialnimi zadevami, ki pa bi jih lahko šteli tudi za informacije o neopredmetenih sredstvih. Podobno so informacije o kakovosti odnosov med podjetji in njihovimi deležniki, vključno s strankami, dobavitelji in skupnostmi, na katere vplivajo dejavnosti podjetja, informacije o trajnostnosti v zvezi s socialnimi in upravljavskimi zadevami, ki pa bi jih lahko šteli </w:t>
            </w:r>
            <w:r>
              <w:rPr>
                <w:rFonts w:cs="Arial"/>
                <w:szCs w:val="20"/>
              </w:rPr>
              <w:t xml:space="preserve">tudi </w:t>
            </w:r>
            <w:r w:rsidRPr="00B80751">
              <w:rPr>
                <w:rFonts w:cs="Arial"/>
                <w:szCs w:val="20"/>
              </w:rPr>
              <w:t>za informacije o neopredmetenih sredstvih. Ta primera ponazarjata, da v nekaterih primerih ni mogoče razlikovati med informacijami o neopredmetenih sredstvih in informacijami o zadevah v zvezi s trajnostnostjo.</w:t>
            </w:r>
            <w:r>
              <w:rPr>
                <w:rFonts w:cs="Arial"/>
                <w:szCs w:val="20"/>
              </w:rPr>
              <w:t xml:space="preserve"> </w:t>
            </w:r>
          </w:p>
          <w:p w14:paraId="15DBC444" w14:textId="77777777" w:rsidR="000C08CA" w:rsidRDefault="000C08CA" w:rsidP="00FE328D">
            <w:pPr>
              <w:spacing w:line="276" w:lineRule="auto"/>
              <w:jc w:val="both"/>
              <w:rPr>
                <w:rFonts w:cs="Arial"/>
                <w:szCs w:val="20"/>
              </w:rPr>
            </w:pPr>
          </w:p>
          <w:p w14:paraId="2B0529DD" w14:textId="77777777" w:rsidR="000C08CA" w:rsidRDefault="000C08CA" w:rsidP="00FE328D">
            <w:pPr>
              <w:spacing w:line="276" w:lineRule="auto"/>
              <w:jc w:val="both"/>
              <w:rPr>
                <w:rFonts w:cs="Arial"/>
                <w:szCs w:val="20"/>
              </w:rPr>
            </w:pPr>
            <w:r w:rsidRPr="00605612">
              <w:rPr>
                <w:rFonts w:cs="Arial"/>
                <w:szCs w:val="20"/>
              </w:rPr>
              <w:t xml:space="preserve">Dodaja se tudi opredelitev izraza evropski standardi poročanja o trajnostnosti, ki so standardi, določeni z delegiranimi akti </w:t>
            </w:r>
            <w:r>
              <w:rPr>
                <w:rFonts w:cs="Arial"/>
                <w:szCs w:val="20"/>
              </w:rPr>
              <w:t>K</w:t>
            </w:r>
            <w:r w:rsidRPr="00605612">
              <w:rPr>
                <w:rFonts w:cs="Arial"/>
                <w:szCs w:val="20"/>
              </w:rPr>
              <w:t>omisije, sprejetimi na podlagi 29</w:t>
            </w:r>
            <w:r w:rsidRPr="00605612" w:rsidDel="00807317">
              <w:rPr>
                <w:rFonts w:cs="Arial"/>
                <w:szCs w:val="20"/>
              </w:rPr>
              <w:t>.</w:t>
            </w:r>
            <w:r w:rsidRPr="00605612">
              <w:rPr>
                <w:rFonts w:cs="Arial"/>
                <w:szCs w:val="20"/>
              </w:rPr>
              <w:t>b in 29</w:t>
            </w:r>
            <w:r w:rsidRPr="00605612" w:rsidDel="00807317">
              <w:rPr>
                <w:rFonts w:cs="Arial"/>
                <w:szCs w:val="20"/>
              </w:rPr>
              <w:t>.</w:t>
            </w:r>
            <w:r w:rsidRPr="00605612">
              <w:rPr>
                <w:rFonts w:cs="Arial"/>
                <w:szCs w:val="20"/>
              </w:rPr>
              <w:t xml:space="preserve">c </w:t>
            </w:r>
            <w:r w:rsidRPr="00605612" w:rsidDel="00807317">
              <w:rPr>
                <w:rFonts w:cs="Arial"/>
                <w:szCs w:val="20"/>
              </w:rPr>
              <w:t xml:space="preserve">člena </w:t>
            </w:r>
            <w:r w:rsidRPr="00605612">
              <w:rPr>
                <w:rFonts w:cs="Arial"/>
                <w:szCs w:val="20"/>
              </w:rPr>
              <w:t xml:space="preserve">Direktive 2013/34/EU. </w:t>
            </w:r>
            <w:r>
              <w:rPr>
                <w:rFonts w:cs="Arial"/>
                <w:szCs w:val="20"/>
              </w:rPr>
              <w:t>K</w:t>
            </w:r>
            <w:r w:rsidRPr="00605612">
              <w:rPr>
                <w:rFonts w:cs="Arial"/>
                <w:szCs w:val="20"/>
              </w:rPr>
              <w:t>omisija je standarde na podlagi 29</w:t>
            </w:r>
            <w:r w:rsidRPr="00605612" w:rsidDel="00CB4EBD">
              <w:rPr>
                <w:rFonts w:cs="Arial"/>
                <w:szCs w:val="20"/>
              </w:rPr>
              <w:t>.</w:t>
            </w:r>
            <w:r w:rsidRPr="00605612">
              <w:rPr>
                <w:rFonts w:cs="Arial"/>
                <w:szCs w:val="20"/>
              </w:rPr>
              <w:t xml:space="preserve">b </w:t>
            </w:r>
            <w:r w:rsidRPr="00605612" w:rsidDel="00CB4EBD">
              <w:rPr>
                <w:rFonts w:cs="Arial"/>
                <w:szCs w:val="20"/>
              </w:rPr>
              <w:t xml:space="preserve">člena </w:t>
            </w:r>
            <w:r w:rsidRPr="00605612">
              <w:rPr>
                <w:rFonts w:cs="Arial"/>
                <w:szCs w:val="20"/>
              </w:rPr>
              <w:t>že sprejela. Standardi, sprejeti na podlagi 29</w:t>
            </w:r>
            <w:r w:rsidRPr="00605612" w:rsidDel="00CB4EBD">
              <w:rPr>
                <w:rFonts w:cs="Arial"/>
                <w:szCs w:val="20"/>
              </w:rPr>
              <w:t>.</w:t>
            </w:r>
            <w:r w:rsidRPr="00605612">
              <w:rPr>
                <w:rFonts w:cs="Arial"/>
                <w:szCs w:val="20"/>
              </w:rPr>
              <w:t>c</w:t>
            </w:r>
            <w:r w:rsidRPr="00605612" w:rsidDel="00CB4EBD">
              <w:rPr>
                <w:rFonts w:cs="Arial"/>
                <w:szCs w:val="20"/>
              </w:rPr>
              <w:t xml:space="preserve"> člena</w:t>
            </w:r>
            <w:r>
              <w:rPr>
                <w:rFonts w:cs="Arial"/>
                <w:szCs w:val="20"/>
              </w:rPr>
              <w:t>,</w:t>
            </w:r>
            <w:r w:rsidRPr="00605612">
              <w:rPr>
                <w:rFonts w:cs="Arial"/>
                <w:szCs w:val="20"/>
              </w:rPr>
              <w:t xml:space="preserve"> pa bodo sprejeti naknadno (rok za spreje</w:t>
            </w:r>
            <w:r>
              <w:rPr>
                <w:rFonts w:cs="Arial"/>
                <w:szCs w:val="20"/>
              </w:rPr>
              <w:t>tje</w:t>
            </w:r>
            <w:r w:rsidRPr="00605612">
              <w:rPr>
                <w:rFonts w:cs="Arial"/>
                <w:szCs w:val="20"/>
              </w:rPr>
              <w:t xml:space="preserve"> je 30. 6. 2024</w:t>
            </w:r>
            <w:r>
              <w:rPr>
                <w:rFonts w:cs="Arial"/>
                <w:szCs w:val="20"/>
              </w:rPr>
              <w:t xml:space="preserve">, predvideva pa se zamuda </w:t>
            </w:r>
            <w:r w:rsidDel="00CB4EBD">
              <w:rPr>
                <w:rFonts w:cs="Arial"/>
                <w:szCs w:val="20"/>
              </w:rPr>
              <w:t>pri sprejemu</w:t>
            </w:r>
            <w:r w:rsidRPr="00605612">
              <w:rPr>
                <w:rFonts w:cs="Arial"/>
                <w:szCs w:val="20"/>
              </w:rPr>
              <w:t>) in bodo namenjeni majhnim in srednjim družbam</w:t>
            </w:r>
            <w:r>
              <w:rPr>
                <w:rFonts w:cs="Arial"/>
                <w:szCs w:val="20"/>
              </w:rPr>
              <w:t>, ki kotirajo na borzi</w:t>
            </w:r>
            <w:r w:rsidRPr="00605612">
              <w:rPr>
                <w:rFonts w:cs="Arial"/>
                <w:szCs w:val="20"/>
              </w:rPr>
              <w:t xml:space="preserve">. </w:t>
            </w:r>
            <w:r>
              <w:rPr>
                <w:rFonts w:cs="Arial"/>
                <w:szCs w:val="20"/>
              </w:rPr>
              <w:t>D</w:t>
            </w:r>
            <w:r w:rsidRPr="00605612">
              <w:rPr>
                <w:rFonts w:cs="Arial"/>
                <w:szCs w:val="20"/>
              </w:rPr>
              <w:t xml:space="preserve">odaja </w:t>
            </w:r>
            <w:r>
              <w:rPr>
                <w:rFonts w:cs="Arial"/>
                <w:szCs w:val="20"/>
              </w:rPr>
              <w:t xml:space="preserve">se tudi </w:t>
            </w:r>
            <w:r w:rsidRPr="00605612">
              <w:rPr>
                <w:rFonts w:cs="Arial"/>
                <w:szCs w:val="20"/>
              </w:rPr>
              <w:t xml:space="preserve">opredelitev izraza standardi poročanja o trajnostnosti za </w:t>
            </w:r>
            <w:r w:rsidRPr="005E789B">
              <w:rPr>
                <w:rFonts w:cs="Arial"/>
                <w:szCs w:val="20"/>
              </w:rPr>
              <w:t>tuja podjetja iz tretjih držav</w:t>
            </w:r>
            <w:r w:rsidRPr="00605612">
              <w:rPr>
                <w:rFonts w:cs="Arial"/>
                <w:szCs w:val="20"/>
              </w:rPr>
              <w:t xml:space="preserve">, ki so standardi, določeni z delegiranim aktom </w:t>
            </w:r>
            <w:r>
              <w:rPr>
                <w:rFonts w:cs="Arial"/>
                <w:szCs w:val="20"/>
              </w:rPr>
              <w:t>K</w:t>
            </w:r>
            <w:r w:rsidRPr="00605612">
              <w:rPr>
                <w:rFonts w:cs="Arial"/>
                <w:szCs w:val="20"/>
              </w:rPr>
              <w:t>omisije, sprejetim na podlagi 40</w:t>
            </w:r>
            <w:r w:rsidRPr="00605612" w:rsidDel="00CB4EBD">
              <w:rPr>
                <w:rFonts w:cs="Arial"/>
                <w:szCs w:val="20"/>
              </w:rPr>
              <w:t>.</w:t>
            </w:r>
            <w:r w:rsidRPr="00605612">
              <w:rPr>
                <w:rFonts w:cs="Arial"/>
                <w:szCs w:val="20"/>
              </w:rPr>
              <w:t xml:space="preserve">b </w:t>
            </w:r>
            <w:r w:rsidRPr="00605612" w:rsidDel="00CB4EBD">
              <w:rPr>
                <w:rFonts w:cs="Arial"/>
                <w:szCs w:val="20"/>
              </w:rPr>
              <w:t xml:space="preserve">člena </w:t>
            </w:r>
            <w:r w:rsidRPr="00605612">
              <w:rPr>
                <w:rFonts w:cs="Arial"/>
                <w:szCs w:val="20"/>
              </w:rPr>
              <w:t xml:space="preserve">Direktive 2013/34/EU. Ti bodo veljali za </w:t>
            </w:r>
            <w:r>
              <w:rPr>
                <w:rFonts w:cs="Arial"/>
                <w:szCs w:val="20"/>
              </w:rPr>
              <w:t>tuje podjetje</w:t>
            </w:r>
            <w:r w:rsidRPr="00605612">
              <w:rPr>
                <w:rFonts w:cs="Arial"/>
                <w:szCs w:val="20"/>
              </w:rPr>
              <w:t xml:space="preserve"> iz tret</w:t>
            </w:r>
            <w:r>
              <w:rPr>
                <w:rFonts w:cs="Arial"/>
                <w:szCs w:val="20"/>
              </w:rPr>
              <w:t>je</w:t>
            </w:r>
            <w:r w:rsidRPr="00605612">
              <w:rPr>
                <w:rFonts w:cs="Arial"/>
                <w:szCs w:val="20"/>
              </w:rPr>
              <w:t xml:space="preserve"> držav</w:t>
            </w:r>
            <w:r>
              <w:rPr>
                <w:rFonts w:cs="Arial"/>
                <w:szCs w:val="20"/>
              </w:rPr>
              <w:t>e</w:t>
            </w:r>
            <w:r w:rsidRPr="00605612">
              <w:rPr>
                <w:rFonts w:cs="Arial"/>
                <w:szCs w:val="20"/>
              </w:rPr>
              <w:t xml:space="preserve"> in bodo določali informacije, ki jih je treba vključiti v poročila o trajnostnosti iz 70.d člena ZGD-1.</w:t>
            </w:r>
          </w:p>
          <w:p w14:paraId="0023CFDE" w14:textId="77777777" w:rsidR="000C08CA" w:rsidRDefault="000C08CA" w:rsidP="00FE328D">
            <w:pPr>
              <w:spacing w:line="276" w:lineRule="auto"/>
              <w:jc w:val="both"/>
              <w:rPr>
                <w:rFonts w:cs="Arial"/>
                <w:szCs w:val="20"/>
              </w:rPr>
            </w:pPr>
          </w:p>
          <w:p w14:paraId="78EA1D2F" w14:textId="77777777" w:rsidR="000C08CA" w:rsidRDefault="000C08CA" w:rsidP="00FE328D">
            <w:pPr>
              <w:spacing w:line="276" w:lineRule="auto"/>
              <w:jc w:val="both"/>
              <w:rPr>
                <w:rFonts w:cs="Arial"/>
                <w:szCs w:val="20"/>
              </w:rPr>
            </w:pPr>
            <w:r>
              <w:rPr>
                <w:rFonts w:cs="Arial"/>
                <w:szCs w:val="20"/>
              </w:rPr>
              <w:t xml:space="preserve">Dodaja se tudi opredelitev izraza </w:t>
            </w:r>
            <w:r w:rsidRPr="00E11B63">
              <w:rPr>
                <w:rFonts w:cs="Arial"/>
                <w:szCs w:val="20"/>
              </w:rPr>
              <w:t>majhn</w:t>
            </w:r>
            <w:r>
              <w:rPr>
                <w:rFonts w:cs="Arial"/>
                <w:szCs w:val="20"/>
              </w:rPr>
              <w:t>a</w:t>
            </w:r>
            <w:r w:rsidRPr="00E11B63">
              <w:rPr>
                <w:rFonts w:cs="Arial"/>
                <w:szCs w:val="20"/>
              </w:rPr>
              <w:t xml:space="preserve"> in nekompleksn</w:t>
            </w:r>
            <w:r>
              <w:rPr>
                <w:rFonts w:cs="Arial"/>
                <w:szCs w:val="20"/>
              </w:rPr>
              <w:t>a</w:t>
            </w:r>
            <w:r w:rsidRPr="00E11B63">
              <w:rPr>
                <w:rFonts w:cs="Arial"/>
                <w:szCs w:val="20"/>
              </w:rPr>
              <w:t xml:space="preserve"> institucij</w:t>
            </w:r>
            <w:r>
              <w:rPr>
                <w:rFonts w:cs="Arial"/>
                <w:szCs w:val="20"/>
              </w:rPr>
              <w:t xml:space="preserve">a, ki je </w:t>
            </w:r>
            <w:r w:rsidRPr="00EB7ADB">
              <w:rPr>
                <w:rFonts w:cs="Arial"/>
                <w:szCs w:val="20"/>
              </w:rPr>
              <w:t xml:space="preserve">majhna in nekompleksna institucija iz 145. točke prvega odstavka 4. člena Uredbe (EU) št. 575/2013 Evropskega parlamenta in Sveta z dne 26. junija 2013 o bonitetnih zahtevah za kreditne institucije in investicijska podjetja ter o spremembi Uredbe (EU) št. 648/2012 (UL L št. 176 z dne 27. 6. 2013, str. </w:t>
            </w:r>
            <w:r w:rsidRPr="00FF34F5">
              <w:rPr>
                <w:rFonts w:cs="Arial"/>
                <w:szCs w:val="20"/>
              </w:rPr>
              <w:t>1), zadnjič spremenjene z Uredbo (EU) 2023/2869 Evropskega parlamenta in Sveta z dne 13. decembra 2023 o spremembi nekaterih uredb glede vzpostavitve in delovanja evropske enotne točke dostopa (UL L št. 2023/2869 z dne 20. 12. 2023; v nadaljnjem besedilu: Uredba 2023/2869/EU)</w:t>
            </w:r>
            <w:r>
              <w:rPr>
                <w:rFonts w:cs="Arial"/>
                <w:szCs w:val="20"/>
              </w:rPr>
              <w:t xml:space="preserve">, </w:t>
            </w:r>
            <w:r w:rsidRPr="00EB7ADB">
              <w:rPr>
                <w:rFonts w:cs="Arial"/>
                <w:szCs w:val="20"/>
              </w:rPr>
              <w:t>(v nadaljnjem besedilu: Uredba 575/2013/EU)</w:t>
            </w:r>
            <w:r>
              <w:rPr>
                <w:rFonts w:cs="Arial"/>
                <w:szCs w:val="20"/>
              </w:rPr>
              <w:t>.</w:t>
            </w:r>
          </w:p>
          <w:p w14:paraId="486E945A" w14:textId="77777777" w:rsidR="000C08CA" w:rsidRPr="00605612" w:rsidRDefault="000C08CA" w:rsidP="00FE328D">
            <w:pPr>
              <w:spacing w:line="276" w:lineRule="auto"/>
              <w:jc w:val="both"/>
              <w:rPr>
                <w:rFonts w:cs="Arial"/>
                <w:szCs w:val="20"/>
              </w:rPr>
            </w:pPr>
          </w:p>
          <w:p w14:paraId="553E27B9" w14:textId="77777777" w:rsidR="000C08CA" w:rsidRPr="00605612" w:rsidRDefault="000C08CA" w:rsidP="00FE328D">
            <w:pPr>
              <w:spacing w:line="276" w:lineRule="auto"/>
              <w:jc w:val="both"/>
              <w:rPr>
                <w:rFonts w:cs="Arial"/>
                <w:szCs w:val="20"/>
              </w:rPr>
            </w:pPr>
            <w:r w:rsidRPr="00605612">
              <w:rPr>
                <w:rFonts w:cs="Arial"/>
                <w:szCs w:val="20"/>
              </w:rPr>
              <w:t xml:space="preserve">Posebna opredelitev izraza čisti </w:t>
            </w:r>
            <w:r w:rsidRPr="0034131C">
              <w:rPr>
                <w:rFonts w:cs="Arial"/>
                <w:szCs w:val="20"/>
              </w:rPr>
              <w:t>prihodk</w:t>
            </w:r>
            <w:r>
              <w:rPr>
                <w:rFonts w:cs="Arial"/>
                <w:szCs w:val="20"/>
              </w:rPr>
              <w:t>i</w:t>
            </w:r>
            <w:r w:rsidRPr="0034131C">
              <w:rPr>
                <w:rFonts w:cs="Arial"/>
                <w:szCs w:val="20"/>
              </w:rPr>
              <w:t xml:space="preserve"> od prodaje </w:t>
            </w:r>
            <w:r w:rsidRPr="00605612">
              <w:rPr>
                <w:rFonts w:cs="Arial"/>
                <w:szCs w:val="20"/>
              </w:rPr>
              <w:t xml:space="preserve">za </w:t>
            </w:r>
            <w:r>
              <w:rPr>
                <w:rFonts w:cs="Arial"/>
                <w:szCs w:val="20"/>
              </w:rPr>
              <w:t>nekatere</w:t>
            </w:r>
            <w:r w:rsidRPr="00605612">
              <w:rPr>
                <w:rFonts w:cs="Arial"/>
                <w:szCs w:val="20"/>
              </w:rPr>
              <w:t xml:space="preserve"> primere</w:t>
            </w:r>
            <w:r>
              <w:rPr>
                <w:rFonts w:cs="Arial"/>
                <w:szCs w:val="20"/>
              </w:rPr>
              <w:t>,</w:t>
            </w:r>
            <w:r w:rsidRPr="00605612">
              <w:rPr>
                <w:rFonts w:cs="Arial"/>
                <w:szCs w:val="20"/>
              </w:rPr>
              <w:t xml:space="preserve"> kot so kreditne institucije, zavarovalnice in družbe, zavezane </w:t>
            </w:r>
            <w:r>
              <w:rPr>
                <w:rFonts w:cs="Arial"/>
                <w:szCs w:val="20"/>
              </w:rPr>
              <w:t xml:space="preserve">v </w:t>
            </w:r>
            <w:r w:rsidRPr="00605612">
              <w:rPr>
                <w:rFonts w:cs="Arial"/>
                <w:szCs w:val="20"/>
              </w:rPr>
              <w:t>sklad</w:t>
            </w:r>
            <w:r>
              <w:rPr>
                <w:rFonts w:cs="Arial"/>
                <w:szCs w:val="20"/>
              </w:rPr>
              <w:t>u s</w:t>
            </w:r>
            <w:r w:rsidRPr="00605612">
              <w:rPr>
                <w:rFonts w:cs="Arial"/>
                <w:szCs w:val="20"/>
              </w:rPr>
              <w:t xml:space="preserve"> 70.d členom, ni primerna, da se umesti v ZGD-1, </w:t>
            </w:r>
            <w:r w:rsidRPr="00F22460">
              <w:rPr>
                <w:rFonts w:cs="Arial"/>
                <w:color w:val="000000" w:themeColor="text1"/>
                <w:szCs w:val="20"/>
              </w:rPr>
              <w:t xml:space="preserve">ampak </w:t>
            </w:r>
            <w:r w:rsidRPr="00F22460">
              <w:rPr>
                <w:rFonts w:cs="Arial"/>
                <w:color w:val="000000" w:themeColor="text1"/>
                <w:szCs w:val="20"/>
              </w:rPr>
              <w:lastRenderedPageBreak/>
              <w:t>je primerneje, da je v sektorski zakonodaji</w:t>
            </w:r>
            <w:r>
              <w:rPr>
                <w:rFonts w:cs="Arial"/>
                <w:color w:val="000000" w:themeColor="text1"/>
                <w:szCs w:val="20"/>
              </w:rPr>
              <w:t xml:space="preserve">. ZGD-1 namreč </w:t>
            </w:r>
            <w:r w:rsidRPr="00605612">
              <w:rPr>
                <w:rFonts w:cs="Arial"/>
                <w:szCs w:val="20"/>
              </w:rPr>
              <w:t>ne vsebuje</w:t>
            </w:r>
            <w:r>
              <w:rPr>
                <w:rFonts w:cs="Arial"/>
                <w:szCs w:val="20"/>
              </w:rPr>
              <w:t xml:space="preserve"> opredelitve izraza </w:t>
            </w:r>
            <w:r w:rsidRPr="00E91165">
              <w:rPr>
                <w:rFonts w:cs="Arial"/>
                <w:color w:val="000000" w:themeColor="text1"/>
                <w:szCs w:val="20"/>
              </w:rPr>
              <w:t>čist</w:t>
            </w:r>
            <w:r>
              <w:rPr>
                <w:rFonts w:cs="Arial"/>
                <w:color w:val="000000" w:themeColor="text1"/>
                <w:szCs w:val="20"/>
              </w:rPr>
              <w:t>i</w:t>
            </w:r>
            <w:r w:rsidRPr="00E91165">
              <w:rPr>
                <w:rFonts w:cs="Arial"/>
                <w:color w:val="000000" w:themeColor="text1"/>
                <w:szCs w:val="20"/>
              </w:rPr>
              <w:t xml:space="preserve"> prihod</w:t>
            </w:r>
            <w:r>
              <w:rPr>
                <w:rFonts w:cs="Arial"/>
                <w:color w:val="000000" w:themeColor="text1"/>
                <w:szCs w:val="20"/>
              </w:rPr>
              <w:t>ki od prodaje.</w:t>
            </w:r>
          </w:p>
          <w:p w14:paraId="4C86B4AE" w14:textId="77777777" w:rsidR="000C08CA" w:rsidRPr="00605612" w:rsidRDefault="000C08CA" w:rsidP="00FE328D">
            <w:pPr>
              <w:spacing w:line="276" w:lineRule="auto"/>
              <w:jc w:val="both"/>
              <w:rPr>
                <w:rFonts w:cs="Arial"/>
                <w:szCs w:val="20"/>
              </w:rPr>
            </w:pPr>
          </w:p>
          <w:p w14:paraId="66CE5432" w14:textId="77777777" w:rsidR="000C08CA" w:rsidRPr="00605612" w:rsidRDefault="000C08CA" w:rsidP="00FE328D">
            <w:pPr>
              <w:spacing w:line="276" w:lineRule="auto"/>
              <w:jc w:val="both"/>
              <w:rPr>
                <w:rFonts w:cs="Arial"/>
                <w:szCs w:val="20"/>
              </w:rPr>
            </w:pPr>
            <w:r w:rsidRPr="00605612">
              <w:rPr>
                <w:rFonts w:cs="Arial"/>
                <w:szCs w:val="20"/>
              </w:rPr>
              <w:t>Glede na to, da je v 70.c členu ZGD-1 podrobno določeno, kaj je poročilo o trajnostnosti, tudi ni potrebe po posebni opredelitvi izraza poročanje o trajnostnosti, saj se v ZGD-1 uporablja izraz poročilo o trajnostnosti</w:t>
            </w:r>
            <w:r>
              <w:rPr>
                <w:rFonts w:cs="Arial"/>
                <w:szCs w:val="20"/>
              </w:rPr>
              <w:t>, ne izraz poročanje o trajnostnosti (ta izraz se uporablja pri obrazložitvah k členom, kadar se nanaša na vsebino direktive, ki uporablja ta izraz)</w:t>
            </w:r>
            <w:r w:rsidRPr="00605612">
              <w:rPr>
                <w:rFonts w:cs="Arial"/>
                <w:szCs w:val="20"/>
              </w:rPr>
              <w:t xml:space="preserve">. </w:t>
            </w:r>
            <w:r>
              <w:rPr>
                <w:rFonts w:cs="Arial"/>
                <w:szCs w:val="20"/>
              </w:rPr>
              <w:t xml:space="preserve">Tudi </w:t>
            </w:r>
            <w:r w:rsidRPr="00605612">
              <w:rPr>
                <w:rFonts w:cs="Arial"/>
                <w:szCs w:val="20"/>
              </w:rPr>
              <w:t>ni potrebna opredelitev izraza neodvisnega ponudnika storitev dajanja zagotovil, saj se v ZGD-1 ni prenesla nova določba četrtega odstavka 34. člena Direktive 2013/34/EU, ki državam članicam</w:t>
            </w:r>
            <w:r>
              <w:rPr>
                <w:rFonts w:cs="Arial"/>
                <w:szCs w:val="20"/>
              </w:rPr>
              <w:t xml:space="preserve"> </w:t>
            </w:r>
            <w:r w:rsidRPr="00605612">
              <w:rPr>
                <w:rFonts w:cs="Arial"/>
                <w:szCs w:val="20"/>
              </w:rPr>
              <w:t>dopušča možnost, da bi poročilo o trajnostnosti namesto revizorja pregledal neodvisni ponudnik storitev dajanja zagotovil. Razlog za takšno odločitev v ZGD-1 je, da trenutno z zakonodajnimi ukrepi ni mogoče izenačiti položaja neodvisnega ponudnika storitev dajanja zagotovil z zakonitimi revizorji. Položaj bi namreč moral biti izenačen tako na regulatorni kot na nadzorni ravni, da bi se zagotovil primerljiv in ustrezen pregled poročil o trajnostnosti.</w:t>
            </w:r>
          </w:p>
          <w:p w14:paraId="1480EBF7" w14:textId="77777777" w:rsidR="000C08CA" w:rsidRPr="00605612" w:rsidRDefault="000C08CA" w:rsidP="00FE328D">
            <w:pPr>
              <w:spacing w:line="276" w:lineRule="auto"/>
              <w:jc w:val="both"/>
              <w:rPr>
                <w:rFonts w:cs="Arial"/>
                <w:szCs w:val="20"/>
              </w:rPr>
            </w:pPr>
          </w:p>
          <w:p w14:paraId="30E9287D" w14:textId="77777777" w:rsidR="000C08CA" w:rsidRPr="00605612" w:rsidRDefault="000C08CA" w:rsidP="00FE328D">
            <w:pPr>
              <w:spacing w:line="276" w:lineRule="auto"/>
              <w:jc w:val="both"/>
              <w:rPr>
                <w:rFonts w:cs="Arial"/>
                <w:b/>
                <w:bCs/>
                <w:szCs w:val="20"/>
              </w:rPr>
            </w:pPr>
            <w:r w:rsidRPr="00605612">
              <w:rPr>
                <w:rFonts w:cs="Arial"/>
                <w:b/>
                <w:bCs/>
                <w:szCs w:val="20"/>
              </w:rPr>
              <w:t xml:space="preserve">K </w:t>
            </w:r>
            <w:r>
              <w:rPr>
                <w:rFonts w:cs="Arial"/>
                <w:b/>
                <w:bCs/>
                <w:szCs w:val="20"/>
              </w:rPr>
              <w:t>6</w:t>
            </w:r>
            <w:r w:rsidRPr="00605612">
              <w:rPr>
                <w:rFonts w:cs="Arial"/>
                <w:b/>
                <w:bCs/>
                <w:szCs w:val="20"/>
              </w:rPr>
              <w:t>. členu</w:t>
            </w:r>
            <w:r w:rsidRPr="00605612">
              <w:rPr>
                <w:rFonts w:cs="Arial"/>
                <w:szCs w:val="20"/>
              </w:rPr>
              <w:t xml:space="preserve">    </w:t>
            </w:r>
          </w:p>
          <w:p w14:paraId="7BC3215E" w14:textId="77777777" w:rsidR="000C08CA" w:rsidRDefault="000C08CA" w:rsidP="00FE328D">
            <w:pPr>
              <w:spacing w:line="276" w:lineRule="auto"/>
              <w:jc w:val="both"/>
              <w:rPr>
                <w:rFonts w:cs="Arial"/>
                <w:szCs w:val="20"/>
              </w:rPr>
            </w:pPr>
          </w:p>
          <w:p w14:paraId="07E40AD0" w14:textId="77777777" w:rsidR="000C08CA" w:rsidRDefault="000C08CA" w:rsidP="00FE328D">
            <w:pPr>
              <w:spacing w:line="276" w:lineRule="auto"/>
              <w:jc w:val="both"/>
              <w:rPr>
                <w:rFonts w:cs="Arial"/>
                <w:szCs w:val="20"/>
              </w:rPr>
            </w:pPr>
            <w:r w:rsidRPr="002F3597">
              <w:rPr>
                <w:rFonts w:cs="Arial"/>
                <w:szCs w:val="20"/>
              </w:rPr>
              <w:t>S spremembo 5</w:t>
            </w:r>
            <w:r>
              <w:rPr>
                <w:rFonts w:cs="Arial"/>
                <w:szCs w:val="20"/>
              </w:rPr>
              <w:t>5</w:t>
            </w:r>
            <w:r w:rsidRPr="002F3597">
              <w:rPr>
                <w:rFonts w:cs="Arial"/>
                <w:szCs w:val="20"/>
              </w:rPr>
              <w:t>. člena ZGD-1 se prenaša</w:t>
            </w:r>
            <w:r>
              <w:rPr>
                <w:rFonts w:cs="Arial"/>
                <w:szCs w:val="20"/>
              </w:rPr>
              <w:t>jo določbe dveh</w:t>
            </w:r>
            <w:r w:rsidRPr="002F3597">
              <w:rPr>
                <w:rFonts w:cs="Arial"/>
                <w:szCs w:val="20"/>
              </w:rPr>
              <w:t xml:space="preserve"> direktiv</w:t>
            </w:r>
            <w:r>
              <w:rPr>
                <w:rFonts w:cs="Arial"/>
                <w:szCs w:val="20"/>
              </w:rPr>
              <w:t xml:space="preserve"> ter se dopolnjujejo določbe glede na izkušnje pri izvajanju dosedanjih določb v praksi</w:t>
            </w:r>
            <w:r w:rsidRPr="002F3597">
              <w:rPr>
                <w:rFonts w:cs="Arial"/>
                <w:szCs w:val="20"/>
              </w:rPr>
              <w:t>.</w:t>
            </w:r>
            <w:r>
              <w:rPr>
                <w:rFonts w:cs="Arial"/>
                <w:szCs w:val="20"/>
              </w:rPr>
              <w:t xml:space="preserve"> </w:t>
            </w:r>
          </w:p>
          <w:p w14:paraId="527F842F" w14:textId="77777777" w:rsidR="000C08CA" w:rsidRDefault="000C08CA" w:rsidP="00FE328D">
            <w:pPr>
              <w:spacing w:line="276" w:lineRule="auto"/>
              <w:jc w:val="both"/>
              <w:rPr>
                <w:rFonts w:cs="Arial"/>
                <w:szCs w:val="20"/>
              </w:rPr>
            </w:pPr>
          </w:p>
          <w:p w14:paraId="00FEE8E1" w14:textId="77777777" w:rsidR="000C08CA" w:rsidRDefault="000C08CA" w:rsidP="00FE328D">
            <w:pPr>
              <w:spacing w:line="276" w:lineRule="auto"/>
              <w:jc w:val="both"/>
              <w:rPr>
                <w:rFonts w:cs="Arial"/>
                <w:szCs w:val="20"/>
              </w:rPr>
            </w:pPr>
            <w:r w:rsidRPr="0080136A">
              <w:rPr>
                <w:rFonts w:cs="Arial"/>
                <w:szCs w:val="20"/>
              </w:rPr>
              <w:t xml:space="preserve">S spremembo drugega, tretjega in četrtega odstavka </w:t>
            </w:r>
            <w:r>
              <w:rPr>
                <w:rFonts w:cs="Arial"/>
                <w:szCs w:val="20"/>
              </w:rPr>
              <w:t>se prenaša</w:t>
            </w:r>
            <w:r w:rsidRPr="00605612">
              <w:rPr>
                <w:rFonts w:cs="Arial"/>
                <w:szCs w:val="20"/>
              </w:rPr>
              <w:t xml:space="preserve"> z </w:t>
            </w:r>
            <w:r w:rsidRPr="00E765CD">
              <w:rPr>
                <w:rFonts w:cs="Arial"/>
                <w:szCs w:val="20"/>
              </w:rPr>
              <w:t>Direktiv</w:t>
            </w:r>
            <w:r>
              <w:rPr>
                <w:rFonts w:cs="Arial"/>
                <w:szCs w:val="20"/>
              </w:rPr>
              <w:t>o</w:t>
            </w:r>
            <w:r w:rsidRPr="00E765CD">
              <w:rPr>
                <w:rFonts w:cs="Arial"/>
                <w:szCs w:val="20"/>
              </w:rPr>
              <w:t xml:space="preserve"> 2023/2775/EU</w:t>
            </w:r>
            <w:r w:rsidRPr="00605612">
              <w:rPr>
                <w:rFonts w:cs="Arial"/>
                <w:szCs w:val="20"/>
              </w:rPr>
              <w:t xml:space="preserve"> </w:t>
            </w:r>
            <w:r w:rsidRPr="00FF2DFA">
              <w:rPr>
                <w:rFonts w:cs="Arial"/>
                <w:szCs w:val="20"/>
              </w:rPr>
              <w:t xml:space="preserve">spremenjena določba </w:t>
            </w:r>
            <w:r>
              <w:rPr>
                <w:rFonts w:cs="Arial"/>
                <w:szCs w:val="20"/>
              </w:rPr>
              <w:t>3.</w:t>
            </w:r>
            <w:r w:rsidRPr="00FF2DFA">
              <w:rPr>
                <w:rFonts w:cs="Arial"/>
                <w:szCs w:val="20"/>
              </w:rPr>
              <w:t xml:space="preserve"> člena Direktive 2013/34/EU</w:t>
            </w:r>
            <w:r>
              <w:rPr>
                <w:rFonts w:cs="Arial"/>
                <w:szCs w:val="20"/>
              </w:rPr>
              <w:t>, ki ob upoštevanju vpliva inflacije predvideva povišanje</w:t>
            </w:r>
            <w:r w:rsidRPr="00605612">
              <w:rPr>
                <w:rFonts w:cs="Arial"/>
                <w:szCs w:val="20"/>
              </w:rPr>
              <w:t xml:space="preserve"> </w:t>
            </w:r>
            <w:r>
              <w:rPr>
                <w:rFonts w:cs="Arial"/>
                <w:szCs w:val="20"/>
              </w:rPr>
              <w:t>meril</w:t>
            </w:r>
            <w:r w:rsidRPr="00605612">
              <w:rPr>
                <w:rFonts w:cs="Arial"/>
                <w:szCs w:val="20"/>
              </w:rPr>
              <w:t xml:space="preserve"> za določitev kategorije velikosti podjetja, saj t</w:t>
            </w:r>
            <w:r>
              <w:rPr>
                <w:rFonts w:cs="Arial"/>
                <w:szCs w:val="20"/>
              </w:rPr>
              <w:t xml:space="preserve">a merila </w:t>
            </w:r>
            <w:r w:rsidRPr="00605612">
              <w:rPr>
                <w:rFonts w:cs="Arial"/>
                <w:szCs w:val="20"/>
              </w:rPr>
              <w:t>niso bil</w:t>
            </w:r>
            <w:r>
              <w:rPr>
                <w:rFonts w:cs="Arial"/>
                <w:szCs w:val="20"/>
              </w:rPr>
              <w:t>a</w:t>
            </w:r>
            <w:r w:rsidRPr="00605612">
              <w:rPr>
                <w:rFonts w:cs="Arial"/>
                <w:szCs w:val="20"/>
              </w:rPr>
              <w:t xml:space="preserve"> spremenjen</w:t>
            </w:r>
            <w:r>
              <w:rPr>
                <w:rFonts w:cs="Arial"/>
                <w:szCs w:val="20"/>
              </w:rPr>
              <w:t>a</w:t>
            </w:r>
            <w:r w:rsidRPr="00605612">
              <w:rPr>
                <w:rFonts w:cs="Arial"/>
                <w:szCs w:val="20"/>
              </w:rPr>
              <w:t xml:space="preserve"> </w:t>
            </w:r>
            <w:r>
              <w:rPr>
                <w:rFonts w:cs="Arial"/>
                <w:szCs w:val="20"/>
              </w:rPr>
              <w:t xml:space="preserve">že </w:t>
            </w:r>
            <w:r w:rsidRPr="00605612">
              <w:rPr>
                <w:rFonts w:cs="Arial"/>
                <w:szCs w:val="20"/>
              </w:rPr>
              <w:t>od leta 2013.</w:t>
            </w:r>
            <w:r>
              <w:rPr>
                <w:rFonts w:cs="Arial"/>
                <w:szCs w:val="20"/>
              </w:rPr>
              <w:t xml:space="preserve"> Merila</w:t>
            </w:r>
            <w:r w:rsidRPr="00605612">
              <w:rPr>
                <w:rFonts w:cs="Arial"/>
                <w:szCs w:val="20"/>
              </w:rPr>
              <w:t xml:space="preserve"> za določitev </w:t>
            </w:r>
            <w:r>
              <w:rPr>
                <w:rFonts w:cs="Arial"/>
                <w:szCs w:val="20"/>
              </w:rPr>
              <w:t>velikosti družbe</w:t>
            </w:r>
            <w:r w:rsidRPr="00605612">
              <w:rPr>
                <w:rFonts w:cs="Arial"/>
                <w:szCs w:val="20"/>
              </w:rPr>
              <w:t xml:space="preserve"> določajo drugi, tretji in četrti ter posredno peti odstavek 55. člena ZGD-1, </w:t>
            </w:r>
            <w:r>
              <w:rPr>
                <w:rFonts w:cs="Arial"/>
                <w:szCs w:val="20"/>
              </w:rPr>
              <w:t>ki ga je treba</w:t>
            </w:r>
            <w:r w:rsidRPr="00605612">
              <w:rPr>
                <w:rFonts w:cs="Arial"/>
                <w:szCs w:val="20"/>
              </w:rPr>
              <w:t xml:space="preserve"> uskladiti z evropskim pravnim redom. Za mikro družbo se predlaga</w:t>
            </w:r>
            <w:r>
              <w:rPr>
                <w:rFonts w:cs="Arial"/>
                <w:szCs w:val="20"/>
              </w:rPr>
              <w:t>ta</w:t>
            </w:r>
            <w:r w:rsidRPr="00605612">
              <w:rPr>
                <w:rFonts w:cs="Arial"/>
                <w:szCs w:val="20"/>
              </w:rPr>
              <w:t xml:space="preserve"> novi merili, in sicer da čisti prihodki od prodaje ne presegajo 875.000 </w:t>
            </w:r>
            <w:r>
              <w:rPr>
                <w:rFonts w:cs="Arial"/>
                <w:szCs w:val="20"/>
              </w:rPr>
              <w:t>EUR</w:t>
            </w:r>
            <w:r w:rsidRPr="00605612">
              <w:rPr>
                <w:rFonts w:cs="Arial"/>
                <w:szCs w:val="20"/>
              </w:rPr>
              <w:t xml:space="preserve"> in da vrednost aktive ne presega 437.500 </w:t>
            </w:r>
            <w:r>
              <w:rPr>
                <w:rFonts w:cs="Arial"/>
                <w:szCs w:val="20"/>
              </w:rPr>
              <w:t>EUR</w:t>
            </w:r>
            <w:r w:rsidRPr="00605612">
              <w:rPr>
                <w:rFonts w:cs="Arial"/>
                <w:szCs w:val="20"/>
              </w:rPr>
              <w:t>. Za majhno družbo se predlaga</w:t>
            </w:r>
            <w:r>
              <w:rPr>
                <w:rFonts w:cs="Arial"/>
                <w:szCs w:val="20"/>
              </w:rPr>
              <w:t>ta</w:t>
            </w:r>
            <w:r w:rsidRPr="00605612">
              <w:rPr>
                <w:rFonts w:cs="Arial"/>
                <w:szCs w:val="20"/>
              </w:rPr>
              <w:t xml:space="preserve"> novi merili, da čisti prihodki od prodaje ne presegajo 10</w:t>
            </w:r>
            <w:r w:rsidRPr="00605612" w:rsidDel="00CB4EBD">
              <w:rPr>
                <w:rFonts w:cs="Arial"/>
                <w:szCs w:val="20"/>
              </w:rPr>
              <w:t>.</w:t>
            </w:r>
            <w:r w:rsidRPr="00605612">
              <w:rPr>
                <w:rFonts w:cs="Arial"/>
                <w:szCs w:val="20"/>
              </w:rPr>
              <w:t xml:space="preserve">000.000 </w:t>
            </w:r>
            <w:r>
              <w:rPr>
                <w:rFonts w:cs="Arial"/>
                <w:szCs w:val="20"/>
              </w:rPr>
              <w:t>EUR</w:t>
            </w:r>
            <w:r w:rsidRPr="00605612">
              <w:rPr>
                <w:rFonts w:cs="Arial"/>
                <w:szCs w:val="20"/>
              </w:rPr>
              <w:t xml:space="preserve"> in da vrednost aktive ne presega 5</w:t>
            </w:r>
            <w:r w:rsidRPr="00605612" w:rsidDel="00CB4EBD">
              <w:rPr>
                <w:rFonts w:cs="Arial"/>
                <w:szCs w:val="20"/>
              </w:rPr>
              <w:t>.</w:t>
            </w:r>
            <w:r w:rsidRPr="00605612">
              <w:rPr>
                <w:rFonts w:cs="Arial"/>
                <w:szCs w:val="20"/>
              </w:rPr>
              <w:t xml:space="preserve">000.000 </w:t>
            </w:r>
            <w:r>
              <w:rPr>
                <w:rFonts w:cs="Arial"/>
                <w:szCs w:val="20"/>
              </w:rPr>
              <w:t>EUR</w:t>
            </w:r>
            <w:r w:rsidRPr="00605612">
              <w:rPr>
                <w:rFonts w:cs="Arial"/>
                <w:szCs w:val="20"/>
              </w:rPr>
              <w:t>. Predlagani sta tudi novi merili za srednjo družbo, in sicer da čisti prihodki od prodaje ne presegajo 50</w:t>
            </w:r>
            <w:r w:rsidRPr="00605612" w:rsidDel="00CB4EBD">
              <w:rPr>
                <w:rFonts w:cs="Arial"/>
                <w:szCs w:val="20"/>
              </w:rPr>
              <w:t>.</w:t>
            </w:r>
            <w:r w:rsidRPr="00605612">
              <w:rPr>
                <w:rFonts w:cs="Arial"/>
                <w:szCs w:val="20"/>
              </w:rPr>
              <w:t xml:space="preserve">000.000 </w:t>
            </w:r>
            <w:r>
              <w:rPr>
                <w:rFonts w:cs="Arial"/>
                <w:szCs w:val="20"/>
              </w:rPr>
              <w:t>EUR</w:t>
            </w:r>
            <w:r w:rsidRPr="00605612">
              <w:rPr>
                <w:rFonts w:cs="Arial"/>
                <w:szCs w:val="20"/>
              </w:rPr>
              <w:t xml:space="preserve"> in da vrednost aktive ne presega 25</w:t>
            </w:r>
            <w:r w:rsidRPr="00605612" w:rsidDel="00CB4EBD">
              <w:rPr>
                <w:rFonts w:cs="Arial"/>
                <w:szCs w:val="20"/>
              </w:rPr>
              <w:t>.</w:t>
            </w:r>
            <w:r w:rsidRPr="00605612">
              <w:rPr>
                <w:rFonts w:cs="Arial"/>
                <w:szCs w:val="20"/>
              </w:rPr>
              <w:t xml:space="preserve">000.000 </w:t>
            </w:r>
            <w:r>
              <w:rPr>
                <w:rFonts w:cs="Arial"/>
                <w:szCs w:val="20"/>
              </w:rPr>
              <w:t>EUR</w:t>
            </w:r>
            <w:r w:rsidRPr="00605612">
              <w:rPr>
                <w:rFonts w:cs="Arial"/>
                <w:szCs w:val="20"/>
              </w:rPr>
              <w:t xml:space="preserve">. </w:t>
            </w:r>
            <w:r>
              <w:rPr>
                <w:rFonts w:cs="Arial"/>
                <w:szCs w:val="20"/>
              </w:rPr>
              <w:t>N</w:t>
            </w:r>
            <w:r w:rsidRPr="00605612">
              <w:rPr>
                <w:rFonts w:cs="Arial"/>
                <w:szCs w:val="20"/>
              </w:rPr>
              <w:t xml:space="preserve">ova merila bodo veljala tudi za določitev velike družbe. </w:t>
            </w:r>
          </w:p>
          <w:p w14:paraId="4E389F22" w14:textId="77777777" w:rsidR="000C08CA" w:rsidRPr="00605612" w:rsidRDefault="000C08CA" w:rsidP="00FE328D">
            <w:pPr>
              <w:spacing w:line="276" w:lineRule="auto"/>
              <w:jc w:val="both"/>
              <w:rPr>
                <w:rFonts w:cs="Arial"/>
                <w:szCs w:val="20"/>
              </w:rPr>
            </w:pPr>
          </w:p>
          <w:p w14:paraId="6D3DB94F" w14:textId="77777777" w:rsidR="000C08CA" w:rsidRPr="00605612" w:rsidRDefault="000C08CA" w:rsidP="00FE328D">
            <w:pPr>
              <w:spacing w:line="276" w:lineRule="auto"/>
              <w:jc w:val="both"/>
              <w:rPr>
                <w:rFonts w:cs="Arial"/>
                <w:szCs w:val="20"/>
              </w:rPr>
            </w:pPr>
            <w:r w:rsidRPr="00605612">
              <w:rPr>
                <w:rFonts w:cs="Arial"/>
                <w:szCs w:val="20"/>
              </w:rPr>
              <w:t xml:space="preserve">S spremembo osmega odstavka 55. člena ZGD-1 se </w:t>
            </w:r>
            <w:r>
              <w:rPr>
                <w:rFonts w:cs="Arial"/>
                <w:szCs w:val="20"/>
              </w:rPr>
              <w:t xml:space="preserve">rešujejo </w:t>
            </w:r>
            <w:r w:rsidRPr="00CB4EBD">
              <w:rPr>
                <w:rFonts w:cs="Arial"/>
                <w:szCs w:val="20"/>
              </w:rPr>
              <w:t xml:space="preserve">nekatere </w:t>
            </w:r>
            <w:r w:rsidRPr="003B6F2E">
              <w:rPr>
                <w:rFonts w:cs="Arial"/>
                <w:szCs w:val="20"/>
              </w:rPr>
              <w:t>težave, ki se pojavljajo v praksi</w:t>
            </w:r>
            <w:r>
              <w:rPr>
                <w:rFonts w:cs="Arial"/>
                <w:szCs w:val="20"/>
              </w:rPr>
              <w:t xml:space="preserve">, </w:t>
            </w:r>
            <w:r w:rsidRPr="00CB4EBD">
              <w:rPr>
                <w:rFonts w:cs="Arial"/>
                <w:szCs w:val="20"/>
              </w:rPr>
              <w:t>poleg tega</w:t>
            </w:r>
            <w:r>
              <w:rPr>
                <w:rFonts w:cs="Arial"/>
                <w:szCs w:val="20"/>
              </w:rPr>
              <w:t xml:space="preserve"> se prenaša z </w:t>
            </w:r>
            <w:r w:rsidRPr="00FF2DFA">
              <w:rPr>
                <w:rFonts w:cs="Arial"/>
                <w:szCs w:val="20"/>
              </w:rPr>
              <w:t>Direktivo 2022/2464/EU spremenjena določba 19</w:t>
            </w:r>
            <w:r w:rsidRPr="00FF2DFA" w:rsidDel="00CB4EBD">
              <w:rPr>
                <w:rFonts w:cs="Arial"/>
                <w:szCs w:val="20"/>
              </w:rPr>
              <w:t>.</w:t>
            </w:r>
            <w:r w:rsidRPr="00FF2DFA">
              <w:rPr>
                <w:rFonts w:cs="Arial"/>
                <w:szCs w:val="20"/>
              </w:rPr>
              <w:t xml:space="preserve">a </w:t>
            </w:r>
            <w:r w:rsidRPr="00FF2DFA" w:rsidDel="00CB4EBD">
              <w:rPr>
                <w:rFonts w:cs="Arial"/>
                <w:szCs w:val="20"/>
              </w:rPr>
              <w:t xml:space="preserve">člena </w:t>
            </w:r>
            <w:r w:rsidRPr="00FF2DFA">
              <w:rPr>
                <w:rFonts w:cs="Arial"/>
                <w:szCs w:val="20"/>
              </w:rPr>
              <w:t>Direktive 2013/34/EU</w:t>
            </w:r>
            <w:r>
              <w:rPr>
                <w:rFonts w:cs="Arial"/>
                <w:szCs w:val="20"/>
              </w:rPr>
              <w:t>.</w:t>
            </w:r>
          </w:p>
          <w:p w14:paraId="73FB0ED2" w14:textId="77777777" w:rsidR="000C08CA" w:rsidRPr="00605612" w:rsidRDefault="000C08CA" w:rsidP="00FE328D">
            <w:pPr>
              <w:spacing w:line="276" w:lineRule="auto"/>
              <w:jc w:val="both"/>
              <w:rPr>
                <w:rFonts w:cs="Arial"/>
                <w:szCs w:val="20"/>
              </w:rPr>
            </w:pPr>
          </w:p>
          <w:p w14:paraId="017489B3" w14:textId="77777777" w:rsidR="000C08CA" w:rsidRPr="00605612" w:rsidRDefault="000C08CA" w:rsidP="00FE328D">
            <w:pPr>
              <w:spacing w:line="276" w:lineRule="auto"/>
              <w:jc w:val="both"/>
              <w:rPr>
                <w:rFonts w:cs="Arial"/>
                <w:szCs w:val="20"/>
              </w:rPr>
            </w:pPr>
            <w:r w:rsidRPr="00605612">
              <w:rPr>
                <w:rFonts w:cs="Arial"/>
                <w:szCs w:val="20"/>
              </w:rPr>
              <w:t xml:space="preserve">V </w:t>
            </w:r>
            <w:r>
              <w:rPr>
                <w:rFonts w:cs="Arial"/>
                <w:szCs w:val="20"/>
              </w:rPr>
              <w:t xml:space="preserve">veljavnem </w:t>
            </w:r>
            <w:r w:rsidRPr="00605612">
              <w:rPr>
                <w:rFonts w:cs="Arial"/>
                <w:szCs w:val="20"/>
              </w:rPr>
              <w:t xml:space="preserve">osmem odstavku 55. člena ZGD-1 so za namene poglavja Poslovne knjige in letno poročilo, </w:t>
            </w:r>
            <w:r>
              <w:rPr>
                <w:rFonts w:cs="Arial"/>
                <w:szCs w:val="20"/>
              </w:rPr>
              <w:t>v katero</w:t>
            </w:r>
            <w:r w:rsidRPr="00605612">
              <w:rPr>
                <w:rFonts w:cs="Arial"/>
                <w:szCs w:val="20"/>
              </w:rPr>
              <w:t xml:space="preserve"> spada tudi poročilo o trajnostnosti, v vsakem primeru </w:t>
            </w:r>
            <w:r>
              <w:rPr>
                <w:rFonts w:cs="Arial"/>
                <w:szCs w:val="20"/>
              </w:rPr>
              <w:t>velike družbe tudi</w:t>
            </w:r>
            <w:r w:rsidRPr="00605612">
              <w:rPr>
                <w:rFonts w:cs="Arial"/>
                <w:szCs w:val="20"/>
              </w:rPr>
              <w:t>:</w:t>
            </w:r>
          </w:p>
          <w:p w14:paraId="6ED351CB" w14:textId="77777777" w:rsidR="000C08CA" w:rsidRPr="00605612" w:rsidRDefault="000C08CA" w:rsidP="00FE328D">
            <w:pPr>
              <w:pStyle w:val="Alineazaodstavkom"/>
              <w:numPr>
                <w:ilvl w:val="0"/>
                <w:numId w:val="32"/>
              </w:numPr>
              <w:spacing w:line="276" w:lineRule="auto"/>
              <w:rPr>
                <w:sz w:val="20"/>
                <w:szCs w:val="20"/>
              </w:rPr>
            </w:pPr>
            <w:r w:rsidRPr="00605612">
              <w:rPr>
                <w:sz w:val="20"/>
                <w:szCs w:val="20"/>
              </w:rPr>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p>
          <w:p w14:paraId="3BF5DAAC" w14:textId="77777777" w:rsidR="000C08CA" w:rsidRPr="00605612" w:rsidRDefault="000C08CA" w:rsidP="00FE328D">
            <w:pPr>
              <w:pStyle w:val="Alineazaodstavkom"/>
              <w:numPr>
                <w:ilvl w:val="0"/>
                <w:numId w:val="32"/>
              </w:numPr>
              <w:spacing w:line="276" w:lineRule="auto"/>
              <w:rPr>
                <w:sz w:val="20"/>
                <w:szCs w:val="20"/>
              </w:rPr>
            </w:pPr>
            <w:r w:rsidRPr="00605612">
              <w:rPr>
                <w:sz w:val="20"/>
                <w:szCs w:val="20"/>
              </w:rPr>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p>
          <w:p w14:paraId="61D2DC83" w14:textId="77777777" w:rsidR="000C08CA" w:rsidRPr="00605612" w:rsidRDefault="000C08CA" w:rsidP="00FE328D">
            <w:pPr>
              <w:pStyle w:val="Alineazaodstavkom"/>
              <w:numPr>
                <w:ilvl w:val="0"/>
                <w:numId w:val="32"/>
              </w:numPr>
              <w:spacing w:line="276" w:lineRule="auto"/>
              <w:rPr>
                <w:sz w:val="20"/>
                <w:szCs w:val="20"/>
              </w:rPr>
            </w:pPr>
            <w:r w:rsidRPr="00605612">
              <w:rPr>
                <w:sz w:val="20"/>
                <w:szCs w:val="20"/>
              </w:rPr>
              <w:t>borza vrednostnih papirjev,</w:t>
            </w:r>
          </w:p>
          <w:p w14:paraId="71627A3C" w14:textId="77777777" w:rsidR="000C08CA" w:rsidRDefault="000C08CA" w:rsidP="00FE328D">
            <w:pPr>
              <w:pStyle w:val="Alineazaodstavkom"/>
              <w:numPr>
                <w:ilvl w:val="0"/>
                <w:numId w:val="32"/>
              </w:numPr>
              <w:spacing w:line="276" w:lineRule="auto"/>
              <w:rPr>
                <w:sz w:val="20"/>
                <w:szCs w:val="20"/>
              </w:rPr>
            </w:pPr>
            <w:r w:rsidRPr="00605612">
              <w:rPr>
                <w:sz w:val="20"/>
                <w:szCs w:val="20"/>
              </w:rPr>
              <w:t>družba, ki mora po 56. členu tega zakona pripraviti konsolidirano letno poročilo.</w:t>
            </w:r>
          </w:p>
          <w:p w14:paraId="69F8382B" w14:textId="77777777" w:rsidR="000C08CA" w:rsidRDefault="000C08CA" w:rsidP="00FE328D">
            <w:pPr>
              <w:pStyle w:val="Alineazaodstavkom"/>
              <w:numPr>
                <w:ilvl w:val="0"/>
                <w:numId w:val="0"/>
              </w:numPr>
              <w:spacing w:line="276" w:lineRule="auto"/>
              <w:ind w:left="1428" w:hanging="360"/>
              <w:rPr>
                <w:sz w:val="20"/>
                <w:szCs w:val="20"/>
              </w:rPr>
            </w:pPr>
          </w:p>
          <w:p w14:paraId="728FCADF" w14:textId="77777777" w:rsidR="000C08CA" w:rsidRDefault="000C08CA" w:rsidP="00FE328D">
            <w:pPr>
              <w:pStyle w:val="Alineazaodstavkom"/>
              <w:numPr>
                <w:ilvl w:val="0"/>
                <w:numId w:val="0"/>
              </w:numPr>
              <w:spacing w:line="276" w:lineRule="auto"/>
              <w:rPr>
                <w:sz w:val="20"/>
                <w:szCs w:val="20"/>
              </w:rPr>
            </w:pPr>
            <w:r>
              <w:rPr>
                <w:sz w:val="20"/>
                <w:szCs w:val="20"/>
              </w:rPr>
              <w:t xml:space="preserve">V praksi so </w:t>
            </w:r>
            <w:r w:rsidRPr="00CB4EBD">
              <w:rPr>
                <w:sz w:val="20"/>
                <w:szCs w:val="20"/>
              </w:rPr>
              <w:t>nekatere</w:t>
            </w:r>
            <w:r>
              <w:rPr>
                <w:sz w:val="20"/>
                <w:szCs w:val="20"/>
              </w:rPr>
              <w:t xml:space="preserve"> nejasnosti, kaj določba </w:t>
            </w:r>
            <w:r w:rsidRPr="00F00979">
              <w:rPr>
                <w:sz w:val="20"/>
                <w:szCs w:val="20"/>
              </w:rPr>
              <w:t>osm</w:t>
            </w:r>
            <w:r>
              <w:rPr>
                <w:sz w:val="20"/>
                <w:szCs w:val="20"/>
              </w:rPr>
              <w:t>ega</w:t>
            </w:r>
            <w:r w:rsidRPr="00F00979">
              <w:rPr>
                <w:sz w:val="20"/>
                <w:szCs w:val="20"/>
              </w:rPr>
              <w:t xml:space="preserve"> odstavk</w:t>
            </w:r>
            <w:r>
              <w:rPr>
                <w:sz w:val="20"/>
                <w:szCs w:val="20"/>
              </w:rPr>
              <w:t>a</w:t>
            </w:r>
            <w:r w:rsidRPr="00F00979">
              <w:rPr>
                <w:sz w:val="20"/>
                <w:szCs w:val="20"/>
              </w:rPr>
              <w:t xml:space="preserve"> 55. člena ZGD-1 </w:t>
            </w:r>
            <w:r>
              <w:rPr>
                <w:sz w:val="20"/>
                <w:szCs w:val="20"/>
              </w:rPr>
              <w:t xml:space="preserve">dejansko pomeni. Dopušča namreč različne razlage. Določbo lahko razumemo, da je družba, ki po velikosti dosega merila za majhno družbo in </w:t>
            </w:r>
            <w:r w:rsidRPr="003A61AB">
              <w:rPr>
                <w:sz w:val="20"/>
                <w:szCs w:val="20"/>
              </w:rPr>
              <w:t xml:space="preserve">ki </w:t>
            </w:r>
            <w:r>
              <w:rPr>
                <w:sz w:val="20"/>
                <w:szCs w:val="20"/>
              </w:rPr>
              <w:t xml:space="preserve">kotira </w:t>
            </w:r>
            <w:r w:rsidRPr="003A61AB">
              <w:rPr>
                <w:sz w:val="20"/>
                <w:szCs w:val="20"/>
              </w:rPr>
              <w:t>na borzi (s kater</w:t>
            </w:r>
            <w:r>
              <w:rPr>
                <w:sz w:val="20"/>
                <w:szCs w:val="20"/>
              </w:rPr>
              <w:t>e</w:t>
            </w:r>
            <w:r w:rsidRPr="003A61AB">
              <w:rPr>
                <w:sz w:val="20"/>
                <w:szCs w:val="20"/>
              </w:rPr>
              <w:t xml:space="preserve"> vrednostni papirji se trguje na organiziranem trgu vrednostnih papirjev)</w:t>
            </w:r>
            <w:r>
              <w:rPr>
                <w:sz w:val="20"/>
                <w:szCs w:val="20"/>
              </w:rPr>
              <w:t xml:space="preserve">, v nekaterih primerih (za potrebe osmega poglavja </w:t>
            </w:r>
            <w:r w:rsidRPr="00795DD3">
              <w:rPr>
                <w:sz w:val="20"/>
                <w:szCs w:val="20"/>
              </w:rPr>
              <w:t xml:space="preserve">Poslovne knjige in letno </w:t>
            </w:r>
            <w:r w:rsidRPr="00795DD3">
              <w:rPr>
                <w:sz w:val="20"/>
                <w:szCs w:val="20"/>
              </w:rPr>
              <w:lastRenderedPageBreak/>
              <w:t>poročilo</w:t>
            </w:r>
            <w:r>
              <w:rPr>
                <w:sz w:val="20"/>
                <w:szCs w:val="20"/>
              </w:rPr>
              <w:t xml:space="preserve"> ZGD-1) velika družba, za druge primere pa majhna družba. Navedena razlaga povzroča zmedo in nedoslednost, saj se družba v nekaterih primerih šteje kot velika, v drugih pa kot majhna. Težava se med drugim pojavi pri prekrških, saj bi lahko na podlagi takšne razlage takšni družbi za prekrške iz osmega poglavja ZGD-1 izrekli globo kot za veliko družbo, v primeru prekrška iz nekega drugega poglavja pa globo kot za majhno družbo, kar pomeni nedoslednost. Nadaljnja težava nastaja, ker AJPES označi neko družbo v Poslovnem registru kot majhno, srednjo ali veliko. Navedeno pomeni, da je družba, ki </w:t>
            </w:r>
            <w:r w:rsidRPr="00661303">
              <w:rPr>
                <w:sz w:val="20"/>
                <w:szCs w:val="20"/>
              </w:rPr>
              <w:t>dosega merila za majhno družbo</w:t>
            </w:r>
            <w:r>
              <w:rPr>
                <w:sz w:val="20"/>
                <w:szCs w:val="20"/>
              </w:rPr>
              <w:t xml:space="preserve"> in</w:t>
            </w:r>
            <w:r w:rsidRPr="00661303">
              <w:rPr>
                <w:sz w:val="20"/>
                <w:szCs w:val="20"/>
              </w:rPr>
              <w:t xml:space="preserve"> </w:t>
            </w:r>
            <w:r>
              <w:rPr>
                <w:sz w:val="20"/>
                <w:szCs w:val="20"/>
              </w:rPr>
              <w:t xml:space="preserve">kotira na borzi, običajno zabeležena kot velika družba, saj so za AJPES pomembni podatki iz osmega poglavja ZGD-1. Glede na to, da večina drugih evidenc temelji na podatkih, ki jih ima AJPES, se napačen podatek o velikosti družbe širi tudi v druge evidence, kar otežuje pridobivanje resničnih podatkov. </w:t>
            </w:r>
            <w:r w:rsidRPr="00F11A63">
              <w:rPr>
                <w:sz w:val="20"/>
                <w:szCs w:val="20"/>
              </w:rPr>
              <w:t>Navedeno</w:t>
            </w:r>
            <w:r w:rsidRPr="00F11A63" w:rsidDel="00CB4EBD">
              <w:rPr>
                <w:sz w:val="20"/>
                <w:szCs w:val="20"/>
              </w:rPr>
              <w:t xml:space="preserve"> </w:t>
            </w:r>
            <w:r w:rsidRPr="00F11A63">
              <w:rPr>
                <w:sz w:val="20"/>
                <w:szCs w:val="20"/>
              </w:rPr>
              <w:t>ni povsem skladno z določbo osmega odstavka 55. člena ZGD-1, ki takšno opredelitev določa le za potrebe osmega poglavja ZGD-1</w:t>
            </w:r>
            <w:r>
              <w:rPr>
                <w:sz w:val="20"/>
                <w:szCs w:val="20"/>
              </w:rPr>
              <w:t>,</w:t>
            </w:r>
            <w:r w:rsidRPr="00F11A63">
              <w:rPr>
                <w:sz w:val="20"/>
                <w:szCs w:val="20"/>
              </w:rPr>
              <w:t xml:space="preserve"> in ne pomeni, da je takšna družba dejansko velika družba. </w:t>
            </w:r>
            <w:r>
              <w:rPr>
                <w:sz w:val="20"/>
                <w:szCs w:val="20"/>
              </w:rPr>
              <w:t>Glede na navedeno očitno nekateri določbo osmega odstavka 55. člena razlagajo tako, da je takšna družba velika družba (za vse potrebe).</w:t>
            </w:r>
          </w:p>
          <w:p w14:paraId="1166B384" w14:textId="77777777" w:rsidR="000C08CA" w:rsidRDefault="000C08CA" w:rsidP="00FE328D">
            <w:pPr>
              <w:pStyle w:val="Alineazaodstavkom"/>
              <w:numPr>
                <w:ilvl w:val="0"/>
                <w:numId w:val="0"/>
              </w:numPr>
              <w:spacing w:line="276" w:lineRule="auto"/>
              <w:rPr>
                <w:sz w:val="20"/>
                <w:szCs w:val="20"/>
              </w:rPr>
            </w:pPr>
          </w:p>
          <w:p w14:paraId="2C019503" w14:textId="77777777" w:rsidR="000C08CA" w:rsidRDefault="000C08CA" w:rsidP="00FE328D">
            <w:pPr>
              <w:pStyle w:val="Alineazaodstavkom"/>
              <w:numPr>
                <w:ilvl w:val="0"/>
                <w:numId w:val="0"/>
              </w:numPr>
              <w:spacing w:line="276" w:lineRule="auto"/>
              <w:rPr>
                <w:sz w:val="20"/>
                <w:szCs w:val="20"/>
              </w:rPr>
            </w:pPr>
            <w:r>
              <w:rPr>
                <w:sz w:val="20"/>
                <w:szCs w:val="20"/>
              </w:rPr>
              <w:t xml:space="preserve">Pri razlagi določbe je pomemben namen določbe, ta pa je, da morajo za takšno družbo veljati tiste obveznosti iz osmega </w:t>
            </w:r>
            <w:r w:rsidRPr="00795DD3">
              <w:rPr>
                <w:sz w:val="20"/>
                <w:szCs w:val="20"/>
              </w:rPr>
              <w:t xml:space="preserve">poglavja </w:t>
            </w:r>
            <w:r>
              <w:rPr>
                <w:sz w:val="20"/>
                <w:szCs w:val="20"/>
              </w:rPr>
              <w:t>ZGD-1, ki veljajo za velike družbe. Vsekakor ni namen določbe osmega odstavka 55. člena ZGD-1, da</w:t>
            </w:r>
            <w:r w:rsidDel="00874E58">
              <w:rPr>
                <w:sz w:val="20"/>
                <w:szCs w:val="20"/>
              </w:rPr>
              <w:t xml:space="preserve"> </w:t>
            </w:r>
            <w:r>
              <w:rPr>
                <w:sz w:val="20"/>
                <w:szCs w:val="20"/>
              </w:rPr>
              <w:t xml:space="preserve">v </w:t>
            </w:r>
            <w:r w:rsidRPr="00874E58">
              <w:rPr>
                <w:sz w:val="20"/>
                <w:szCs w:val="20"/>
              </w:rPr>
              <w:t>nekater</w:t>
            </w:r>
            <w:r>
              <w:rPr>
                <w:sz w:val="20"/>
                <w:szCs w:val="20"/>
              </w:rPr>
              <w:t>ih</w:t>
            </w:r>
            <w:r w:rsidRPr="00874E58">
              <w:rPr>
                <w:sz w:val="20"/>
                <w:szCs w:val="20"/>
              </w:rPr>
              <w:t xml:space="preserve"> </w:t>
            </w:r>
            <w:r>
              <w:rPr>
                <w:sz w:val="20"/>
                <w:szCs w:val="20"/>
              </w:rPr>
              <w:t xml:space="preserve">primerih neko družbo opredeli kot veliko, v </w:t>
            </w:r>
            <w:r w:rsidRPr="00874E58">
              <w:rPr>
                <w:sz w:val="20"/>
                <w:szCs w:val="20"/>
              </w:rPr>
              <w:t>nekater</w:t>
            </w:r>
            <w:r>
              <w:rPr>
                <w:sz w:val="20"/>
                <w:szCs w:val="20"/>
              </w:rPr>
              <w:t>ih</w:t>
            </w:r>
            <w:r w:rsidRPr="00874E58">
              <w:rPr>
                <w:sz w:val="20"/>
                <w:szCs w:val="20"/>
              </w:rPr>
              <w:t xml:space="preserve"> </w:t>
            </w:r>
            <w:r>
              <w:rPr>
                <w:sz w:val="20"/>
                <w:szCs w:val="20"/>
              </w:rPr>
              <w:t>pa kot majhno, saj to povzroča zmedo na trgu in zmedo pri ugotavljanju statistike v Republiki Sloveniji. Ker je treba nejasnost odpraviti, se</w:t>
            </w:r>
            <w:r w:rsidDel="000B0CA9">
              <w:rPr>
                <w:sz w:val="20"/>
                <w:szCs w:val="20"/>
              </w:rPr>
              <w:t xml:space="preserve"> </w:t>
            </w:r>
            <w:r>
              <w:rPr>
                <w:sz w:val="20"/>
                <w:szCs w:val="20"/>
              </w:rPr>
              <w:t>besedilo</w:t>
            </w:r>
            <w:r w:rsidRPr="00795DD3">
              <w:rPr>
                <w:sz w:val="20"/>
                <w:szCs w:val="20"/>
              </w:rPr>
              <w:t xml:space="preserve"> </w:t>
            </w:r>
            <w:r>
              <w:rPr>
                <w:sz w:val="20"/>
                <w:szCs w:val="20"/>
              </w:rPr>
              <w:t>»</w:t>
            </w:r>
            <w:r w:rsidRPr="00414DA1">
              <w:rPr>
                <w:sz w:val="20"/>
                <w:szCs w:val="20"/>
              </w:rPr>
              <w:t>Za namene 8. poglavja je velika družba</w:t>
            </w:r>
            <w:r>
              <w:rPr>
                <w:sz w:val="20"/>
                <w:szCs w:val="20"/>
              </w:rPr>
              <w:t>«</w:t>
            </w:r>
            <w:r w:rsidRPr="00414DA1">
              <w:rPr>
                <w:sz w:val="20"/>
                <w:szCs w:val="20"/>
              </w:rPr>
              <w:t xml:space="preserve"> </w:t>
            </w:r>
            <w:r>
              <w:rPr>
                <w:sz w:val="20"/>
                <w:szCs w:val="20"/>
              </w:rPr>
              <w:t>nadomesti z besedilom</w:t>
            </w:r>
            <w:r w:rsidRPr="00414DA1">
              <w:rPr>
                <w:sz w:val="20"/>
                <w:szCs w:val="20"/>
              </w:rPr>
              <w:t xml:space="preserve"> </w:t>
            </w:r>
            <w:r>
              <w:rPr>
                <w:sz w:val="20"/>
                <w:szCs w:val="20"/>
              </w:rPr>
              <w:t>»D</w:t>
            </w:r>
            <w:r w:rsidRPr="00414DA1">
              <w:rPr>
                <w:sz w:val="20"/>
                <w:szCs w:val="20"/>
              </w:rPr>
              <w:t>oločbe tega poglavja, ki veljajo za velike družbe, veljajo za</w:t>
            </w:r>
            <w:r>
              <w:rPr>
                <w:sz w:val="20"/>
                <w:szCs w:val="20"/>
              </w:rPr>
              <w:t xml:space="preserve">:«. Navedeno bo jasno določilo, da takšna družba še vedno ostane majhna družba, vendar zanjo veljajo </w:t>
            </w:r>
            <w:r w:rsidRPr="00874E58">
              <w:rPr>
                <w:sz w:val="20"/>
                <w:szCs w:val="20"/>
              </w:rPr>
              <w:t xml:space="preserve">nekatere </w:t>
            </w:r>
            <w:r>
              <w:rPr>
                <w:sz w:val="20"/>
                <w:szCs w:val="20"/>
              </w:rPr>
              <w:t>obveznosti iz osmega poglavja ZGD-1 kot za velike družbe.</w:t>
            </w:r>
          </w:p>
          <w:p w14:paraId="53BE678F" w14:textId="77777777" w:rsidR="000C08CA" w:rsidRDefault="000C08CA" w:rsidP="00FE328D">
            <w:pPr>
              <w:pStyle w:val="Alineazaodstavkom"/>
              <w:numPr>
                <w:ilvl w:val="0"/>
                <w:numId w:val="0"/>
              </w:numPr>
              <w:spacing w:line="276" w:lineRule="auto"/>
              <w:rPr>
                <w:sz w:val="20"/>
                <w:szCs w:val="20"/>
              </w:rPr>
            </w:pPr>
          </w:p>
          <w:p w14:paraId="4A97C020" w14:textId="77777777" w:rsidR="000C08CA" w:rsidRPr="00605612" w:rsidRDefault="000C08CA" w:rsidP="00FE328D">
            <w:pPr>
              <w:spacing w:line="276" w:lineRule="auto"/>
              <w:jc w:val="both"/>
              <w:rPr>
                <w:rFonts w:cs="Arial"/>
                <w:szCs w:val="20"/>
              </w:rPr>
            </w:pPr>
            <w:r>
              <w:rPr>
                <w:szCs w:val="20"/>
              </w:rPr>
              <w:t>Nadaljnja sprememba v osmem odstavku 55. člena ZGD-1 je potrebna, da se določi, da</w:t>
            </w:r>
            <w:r w:rsidRPr="00C120A6">
              <w:rPr>
                <w:szCs w:val="20"/>
              </w:rPr>
              <w:t xml:space="preserve"> velja obveznost priprave poročila o trajnostnosti</w:t>
            </w:r>
            <w:r>
              <w:rPr>
                <w:szCs w:val="20"/>
              </w:rPr>
              <w:t xml:space="preserve"> le</w:t>
            </w:r>
            <w:r w:rsidRPr="00C120A6">
              <w:rPr>
                <w:szCs w:val="20"/>
              </w:rPr>
              <w:t xml:space="preserve"> za </w:t>
            </w:r>
            <w:r>
              <w:rPr>
                <w:szCs w:val="20"/>
              </w:rPr>
              <w:t xml:space="preserve">tiste </w:t>
            </w:r>
            <w:r w:rsidRPr="00C120A6">
              <w:rPr>
                <w:szCs w:val="20"/>
              </w:rPr>
              <w:t xml:space="preserve">družbe, ki izpolnjujejo merilo velikosti </w:t>
            </w:r>
            <w:r>
              <w:rPr>
                <w:szCs w:val="20"/>
              </w:rPr>
              <w:t xml:space="preserve">za velike družbe </w:t>
            </w:r>
            <w:r w:rsidRPr="00C120A6">
              <w:rPr>
                <w:szCs w:val="20"/>
              </w:rPr>
              <w:t>iz petega odstavka 55. člena ZGD-1.</w:t>
            </w:r>
            <w:r>
              <w:rPr>
                <w:szCs w:val="20"/>
              </w:rPr>
              <w:t xml:space="preserve"> S tem se prenaša </w:t>
            </w:r>
            <w:r w:rsidRPr="00C120A6">
              <w:rPr>
                <w:szCs w:val="20"/>
              </w:rPr>
              <w:t>z Direktivo 2022/2464/EU spremenjena določba 19</w:t>
            </w:r>
            <w:r w:rsidRPr="00C120A6" w:rsidDel="00874E58">
              <w:rPr>
                <w:szCs w:val="20"/>
              </w:rPr>
              <w:t>.</w:t>
            </w:r>
            <w:r w:rsidRPr="00C120A6">
              <w:rPr>
                <w:szCs w:val="20"/>
              </w:rPr>
              <w:t xml:space="preserve">a </w:t>
            </w:r>
            <w:r w:rsidRPr="00C120A6" w:rsidDel="00874E58">
              <w:rPr>
                <w:szCs w:val="20"/>
              </w:rPr>
              <w:t xml:space="preserve">člena </w:t>
            </w:r>
            <w:r w:rsidRPr="00C120A6">
              <w:rPr>
                <w:szCs w:val="20"/>
              </w:rPr>
              <w:t>Direktive 2013/34/EU.</w:t>
            </w:r>
            <w:r>
              <w:rPr>
                <w:szCs w:val="20"/>
              </w:rPr>
              <w:t xml:space="preserve"> Ta opredeljuje</w:t>
            </w:r>
            <w:r w:rsidRPr="00605612">
              <w:rPr>
                <w:rFonts w:cs="Arial"/>
                <w:szCs w:val="20"/>
              </w:rPr>
              <w:t xml:space="preserve"> obveznost priprave poročila o trajnostnosti za vse velike </w:t>
            </w:r>
            <w:r w:rsidRPr="00157E8D">
              <w:rPr>
                <w:rFonts w:cs="Arial"/>
                <w:szCs w:val="20"/>
              </w:rPr>
              <w:t>družbe</w:t>
            </w:r>
            <w:r w:rsidRPr="00605612">
              <w:rPr>
                <w:rFonts w:cs="Arial"/>
                <w:szCs w:val="20"/>
              </w:rPr>
              <w:t xml:space="preserve"> ter vse srednje in majhne družbe, ki </w:t>
            </w:r>
            <w:r>
              <w:rPr>
                <w:rFonts w:cs="Arial"/>
                <w:szCs w:val="20"/>
              </w:rPr>
              <w:t>kotirajo</w:t>
            </w:r>
            <w:r w:rsidRPr="00605612">
              <w:rPr>
                <w:rFonts w:cs="Arial"/>
                <w:szCs w:val="20"/>
              </w:rPr>
              <w:t xml:space="preserve"> na borzi</w:t>
            </w:r>
            <w:r>
              <w:rPr>
                <w:rFonts w:cs="Arial"/>
                <w:szCs w:val="20"/>
              </w:rPr>
              <w:t xml:space="preserve">. </w:t>
            </w:r>
            <w:r w:rsidRPr="00605612">
              <w:rPr>
                <w:rFonts w:cs="Arial"/>
                <w:szCs w:val="20"/>
              </w:rPr>
              <w:t>Velike družbe so skladno s četrtim odstavkom 3. člena Direktive 2013/34/EU opredeljene enako kot v petem odstavku 55. člena ZGD-1, in sicer so to tiste družbe, ki presegajo vsaj dve od naslednjih treh meril</w:t>
            </w:r>
            <w:r>
              <w:rPr>
                <w:rFonts w:cs="Arial"/>
                <w:szCs w:val="20"/>
              </w:rPr>
              <w:t xml:space="preserve"> (ob upoštevanju novih meril velikosti)</w:t>
            </w:r>
            <w:r w:rsidRPr="00605612">
              <w:rPr>
                <w:rFonts w:cs="Arial"/>
                <w:szCs w:val="20"/>
              </w:rPr>
              <w:t>:</w:t>
            </w:r>
          </w:p>
          <w:p w14:paraId="3AB26A09" w14:textId="77777777" w:rsidR="000C08CA" w:rsidRPr="00605612" w:rsidRDefault="000C08CA" w:rsidP="00FE328D">
            <w:pPr>
              <w:spacing w:line="276" w:lineRule="auto"/>
              <w:jc w:val="both"/>
              <w:rPr>
                <w:rFonts w:cs="Arial"/>
                <w:szCs w:val="20"/>
              </w:rPr>
            </w:pPr>
            <w:r w:rsidRPr="00605612">
              <w:rPr>
                <w:rFonts w:cs="Arial"/>
                <w:szCs w:val="20"/>
              </w:rPr>
              <w:t>(a) vrednost aktive: 2</w:t>
            </w:r>
            <w:r>
              <w:rPr>
                <w:rFonts w:cs="Arial"/>
                <w:szCs w:val="20"/>
              </w:rPr>
              <w:t>5.</w:t>
            </w:r>
            <w:r w:rsidRPr="00605612">
              <w:rPr>
                <w:rFonts w:cs="Arial"/>
                <w:szCs w:val="20"/>
              </w:rPr>
              <w:t>000</w:t>
            </w:r>
            <w:r>
              <w:rPr>
                <w:rFonts w:cs="Arial"/>
                <w:szCs w:val="20"/>
              </w:rPr>
              <w:t>.</w:t>
            </w:r>
            <w:r w:rsidRPr="00605612">
              <w:rPr>
                <w:rFonts w:cs="Arial"/>
                <w:szCs w:val="20"/>
              </w:rPr>
              <w:t xml:space="preserve">000 </w:t>
            </w:r>
            <w:r>
              <w:rPr>
                <w:rFonts w:cs="Arial"/>
                <w:szCs w:val="20"/>
              </w:rPr>
              <w:t>EUR</w:t>
            </w:r>
            <w:r w:rsidRPr="00605612">
              <w:rPr>
                <w:rFonts w:cs="Arial"/>
                <w:szCs w:val="20"/>
              </w:rPr>
              <w:t>,</w:t>
            </w:r>
          </w:p>
          <w:p w14:paraId="699AB003" w14:textId="77777777" w:rsidR="000C08CA" w:rsidRPr="00605612" w:rsidRDefault="000C08CA" w:rsidP="00FE328D">
            <w:pPr>
              <w:spacing w:line="276" w:lineRule="auto"/>
              <w:jc w:val="both"/>
              <w:rPr>
                <w:rFonts w:cs="Arial"/>
                <w:szCs w:val="20"/>
              </w:rPr>
            </w:pPr>
            <w:r w:rsidRPr="00605612">
              <w:rPr>
                <w:rFonts w:cs="Arial"/>
                <w:szCs w:val="20"/>
              </w:rPr>
              <w:t>(b) čisti prihod</w:t>
            </w:r>
            <w:r>
              <w:rPr>
                <w:rFonts w:cs="Arial"/>
                <w:szCs w:val="20"/>
              </w:rPr>
              <w:t>ki</w:t>
            </w:r>
            <w:r w:rsidRPr="00605612">
              <w:rPr>
                <w:rFonts w:cs="Arial"/>
                <w:szCs w:val="20"/>
              </w:rPr>
              <w:t xml:space="preserve"> od prodaje: </w:t>
            </w:r>
            <w:r>
              <w:rPr>
                <w:rFonts w:cs="Arial"/>
                <w:szCs w:val="20"/>
              </w:rPr>
              <w:t>5</w:t>
            </w:r>
            <w:r w:rsidRPr="00605612">
              <w:rPr>
                <w:rFonts w:cs="Arial"/>
                <w:szCs w:val="20"/>
              </w:rPr>
              <w:t>0</w:t>
            </w:r>
            <w:r>
              <w:rPr>
                <w:rFonts w:cs="Arial"/>
                <w:szCs w:val="20"/>
              </w:rPr>
              <w:t>.</w:t>
            </w:r>
            <w:r w:rsidRPr="00605612">
              <w:rPr>
                <w:rFonts w:cs="Arial"/>
                <w:szCs w:val="20"/>
              </w:rPr>
              <w:t>000</w:t>
            </w:r>
            <w:r>
              <w:rPr>
                <w:rFonts w:cs="Arial"/>
                <w:szCs w:val="20"/>
              </w:rPr>
              <w:t>.</w:t>
            </w:r>
            <w:r w:rsidRPr="00605612">
              <w:rPr>
                <w:rFonts w:cs="Arial"/>
                <w:szCs w:val="20"/>
              </w:rPr>
              <w:t xml:space="preserve">000 </w:t>
            </w:r>
            <w:r>
              <w:rPr>
                <w:rFonts w:cs="Arial"/>
                <w:szCs w:val="20"/>
              </w:rPr>
              <w:t>EUR</w:t>
            </w:r>
            <w:r w:rsidRPr="00605612">
              <w:rPr>
                <w:rFonts w:cs="Arial"/>
                <w:szCs w:val="20"/>
              </w:rPr>
              <w:t xml:space="preserve">, </w:t>
            </w:r>
          </w:p>
          <w:p w14:paraId="6E5F4DA3" w14:textId="77777777" w:rsidR="000C08CA" w:rsidRPr="00605612" w:rsidRDefault="000C08CA" w:rsidP="00FE328D">
            <w:pPr>
              <w:spacing w:line="276" w:lineRule="auto"/>
              <w:jc w:val="both"/>
            </w:pPr>
            <w:r w:rsidRPr="4DB7FD0D">
              <w:rPr>
                <w:rFonts w:cs="Arial"/>
              </w:rPr>
              <w:t>(c) povprečno število delavcev v poslovnem letu: 250.</w:t>
            </w:r>
          </w:p>
          <w:p w14:paraId="7BA6ECF8" w14:textId="3454783F" w:rsidR="4DB7FD0D" w:rsidRDefault="4DB7FD0D" w:rsidP="4DB7FD0D">
            <w:pPr>
              <w:pStyle w:val="Alineazaodstavkom"/>
              <w:numPr>
                <w:ilvl w:val="0"/>
                <w:numId w:val="0"/>
              </w:numPr>
              <w:spacing w:line="276" w:lineRule="auto"/>
              <w:rPr>
                <w:sz w:val="20"/>
                <w:szCs w:val="20"/>
              </w:rPr>
            </w:pPr>
          </w:p>
          <w:p w14:paraId="59324B4B" w14:textId="77777777" w:rsidR="000C08CA" w:rsidRDefault="000C08CA" w:rsidP="00FE328D">
            <w:pPr>
              <w:pStyle w:val="Alineazaodstavkom"/>
              <w:numPr>
                <w:ilvl w:val="0"/>
                <w:numId w:val="0"/>
              </w:numPr>
              <w:spacing w:line="276" w:lineRule="auto"/>
              <w:rPr>
                <w:sz w:val="20"/>
                <w:szCs w:val="20"/>
              </w:rPr>
            </w:pPr>
            <w:r w:rsidRPr="00605612">
              <w:rPr>
                <w:sz w:val="20"/>
                <w:szCs w:val="20"/>
              </w:rPr>
              <w:t>V 17. uvodni izjavi Direktive 2022/2464/EU je pojasnjeno, da za namene uporabe zahtev glede poročanja o trajnostnosti subjekti javnega interesa ne bi smeli biti obravnavani kot velike družbe. Glede na to, da je</w:t>
            </w:r>
            <w:r>
              <w:rPr>
                <w:sz w:val="20"/>
                <w:szCs w:val="20"/>
              </w:rPr>
              <w:t xml:space="preserve"> torej</w:t>
            </w:r>
            <w:r w:rsidRPr="00605612">
              <w:rPr>
                <w:sz w:val="20"/>
                <w:szCs w:val="20"/>
              </w:rPr>
              <w:t xml:space="preserve"> skladno z direktivo namen, da se v obvezno poročanje o trajnostnosti vključi</w:t>
            </w:r>
            <w:r>
              <w:rPr>
                <w:sz w:val="20"/>
                <w:szCs w:val="20"/>
              </w:rPr>
              <w:t>jo</w:t>
            </w:r>
            <w:r w:rsidRPr="00605612">
              <w:rPr>
                <w:sz w:val="20"/>
                <w:szCs w:val="20"/>
              </w:rPr>
              <w:t xml:space="preserve"> le tiste velike družbe, ki izpolnjujejo </w:t>
            </w:r>
            <w:r>
              <w:rPr>
                <w:sz w:val="20"/>
                <w:szCs w:val="20"/>
              </w:rPr>
              <w:t>merilo</w:t>
            </w:r>
            <w:r w:rsidRPr="00605612">
              <w:rPr>
                <w:sz w:val="20"/>
                <w:szCs w:val="20"/>
              </w:rPr>
              <w:t xml:space="preserve"> velikosti, se ustrezno popravi začetek stavka v osmem odstavku 55. člena ZGD-1 tako, da iz določbe jasno izhaja, da </w:t>
            </w:r>
            <w:r>
              <w:rPr>
                <w:sz w:val="20"/>
                <w:szCs w:val="20"/>
              </w:rPr>
              <w:t>za</w:t>
            </w:r>
            <w:r w:rsidRPr="00605612">
              <w:rPr>
                <w:sz w:val="20"/>
                <w:szCs w:val="20"/>
              </w:rPr>
              <w:t xml:space="preserve"> naštete družbe</w:t>
            </w:r>
            <w:r>
              <w:rPr>
                <w:sz w:val="20"/>
                <w:szCs w:val="20"/>
              </w:rPr>
              <w:t>, za katere</w:t>
            </w:r>
            <w:r w:rsidRPr="00605612">
              <w:rPr>
                <w:sz w:val="20"/>
                <w:szCs w:val="20"/>
              </w:rPr>
              <w:t xml:space="preserve"> za namene </w:t>
            </w:r>
            <w:r>
              <w:rPr>
                <w:sz w:val="20"/>
                <w:szCs w:val="20"/>
              </w:rPr>
              <w:t>osmega</w:t>
            </w:r>
            <w:r w:rsidRPr="00605612">
              <w:rPr>
                <w:sz w:val="20"/>
                <w:szCs w:val="20"/>
              </w:rPr>
              <w:t xml:space="preserve"> poglavja Poslovne knjige in letno poročilo </w:t>
            </w:r>
            <w:r>
              <w:rPr>
                <w:sz w:val="20"/>
                <w:szCs w:val="20"/>
              </w:rPr>
              <w:t>veljajo obveznosti kot</w:t>
            </w:r>
            <w:r w:rsidRPr="00605612">
              <w:rPr>
                <w:sz w:val="20"/>
                <w:szCs w:val="20"/>
              </w:rPr>
              <w:t xml:space="preserve"> za velike družbe</w:t>
            </w:r>
            <w:r>
              <w:rPr>
                <w:sz w:val="20"/>
                <w:szCs w:val="20"/>
              </w:rPr>
              <w:t xml:space="preserve">, ne velja </w:t>
            </w:r>
            <w:r w:rsidRPr="00605612">
              <w:rPr>
                <w:sz w:val="20"/>
                <w:szCs w:val="20"/>
              </w:rPr>
              <w:t>obveznost priprave poročila o trajnostnosti iz 70.c do 70.d člena tega zakona.</w:t>
            </w:r>
          </w:p>
          <w:p w14:paraId="797F576E" w14:textId="77777777" w:rsidR="000C08CA" w:rsidRDefault="000C08CA" w:rsidP="00FE328D">
            <w:pPr>
              <w:rPr>
                <w:szCs w:val="20"/>
              </w:rPr>
            </w:pPr>
          </w:p>
          <w:p w14:paraId="254A1957" w14:textId="77777777" w:rsidR="000C08CA" w:rsidRDefault="000C08CA" w:rsidP="00FE328D">
            <w:pPr>
              <w:pStyle w:val="Alineazaodstavkom"/>
              <w:numPr>
                <w:ilvl w:val="0"/>
                <w:numId w:val="0"/>
              </w:numPr>
              <w:spacing w:line="276" w:lineRule="auto"/>
              <w:rPr>
                <w:sz w:val="20"/>
                <w:szCs w:val="20"/>
              </w:rPr>
            </w:pPr>
            <w:r>
              <w:rPr>
                <w:sz w:val="20"/>
                <w:szCs w:val="20"/>
              </w:rPr>
              <w:t xml:space="preserve">Zadnji popravek </w:t>
            </w:r>
            <w:r w:rsidRPr="006448E0">
              <w:rPr>
                <w:sz w:val="20"/>
                <w:szCs w:val="20"/>
              </w:rPr>
              <w:t>osme</w:t>
            </w:r>
            <w:r>
              <w:rPr>
                <w:sz w:val="20"/>
                <w:szCs w:val="20"/>
              </w:rPr>
              <w:t>ga</w:t>
            </w:r>
            <w:r w:rsidRPr="006448E0">
              <w:rPr>
                <w:sz w:val="20"/>
                <w:szCs w:val="20"/>
              </w:rPr>
              <w:t xml:space="preserve"> odstavk</w:t>
            </w:r>
            <w:r>
              <w:rPr>
                <w:sz w:val="20"/>
                <w:szCs w:val="20"/>
              </w:rPr>
              <w:t>a</w:t>
            </w:r>
            <w:r w:rsidRPr="006448E0">
              <w:rPr>
                <w:sz w:val="20"/>
                <w:szCs w:val="20"/>
              </w:rPr>
              <w:t xml:space="preserve"> 55. člena ZGD-1 </w:t>
            </w:r>
            <w:r>
              <w:rPr>
                <w:sz w:val="20"/>
                <w:szCs w:val="20"/>
              </w:rPr>
              <w:t xml:space="preserve">pa je potreben zaradi poenostavljanja in večje jasnosti, in sicer se besedilo: </w:t>
            </w:r>
          </w:p>
          <w:p w14:paraId="26BAD42E" w14:textId="77777777" w:rsidR="000C08CA" w:rsidRDefault="000C08CA" w:rsidP="00FE328D">
            <w:pPr>
              <w:pStyle w:val="Alineazaodstavkom"/>
              <w:numPr>
                <w:ilvl w:val="0"/>
                <w:numId w:val="0"/>
              </w:numPr>
              <w:spacing w:line="276" w:lineRule="auto"/>
              <w:rPr>
                <w:sz w:val="20"/>
                <w:szCs w:val="20"/>
              </w:rPr>
            </w:pPr>
            <w:r>
              <w:rPr>
                <w:sz w:val="20"/>
                <w:szCs w:val="20"/>
              </w:rPr>
              <w:t xml:space="preserve">»‒ </w:t>
            </w:r>
            <w:r w:rsidRPr="0029037C">
              <w:rPr>
                <w:sz w:val="20"/>
                <w:szCs w:val="20"/>
              </w:rPr>
              <w:tab/>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p>
          <w:p w14:paraId="686ABDAD" w14:textId="77777777" w:rsidR="000C08CA" w:rsidRDefault="000C08CA" w:rsidP="00FE328D">
            <w:pPr>
              <w:pStyle w:val="Alineazaodstavkom"/>
              <w:numPr>
                <w:ilvl w:val="0"/>
                <w:numId w:val="0"/>
              </w:numPr>
              <w:spacing w:line="276" w:lineRule="auto"/>
              <w:rPr>
                <w:sz w:val="20"/>
                <w:szCs w:val="20"/>
              </w:rPr>
            </w:pPr>
            <w:r>
              <w:rPr>
                <w:sz w:val="20"/>
                <w:szCs w:val="20"/>
              </w:rPr>
              <w:t>‒</w:t>
            </w:r>
            <w:r w:rsidRPr="0029037C">
              <w:rPr>
                <w:sz w:val="20"/>
                <w:szCs w:val="20"/>
              </w:rPr>
              <w:tab/>
              <w:t xml:space="preserve">subjekt javnega interesa, če gre za družbo, ki je zavezana k reviziji na podlagi prvega odstavka 57. člena tega zakona, ker izpolnjuje merila za srednje ali velike družbe iz četrtega do </w:t>
            </w:r>
            <w:r w:rsidRPr="0029037C">
              <w:rPr>
                <w:sz w:val="20"/>
                <w:szCs w:val="20"/>
              </w:rPr>
              <w:lastRenderedPageBreak/>
              <w:t>šestega odstavka tega člena, in v kateri imajo država ali občine</w:t>
            </w:r>
            <w:r w:rsidRPr="0029037C" w:rsidDel="00E354C1">
              <w:rPr>
                <w:sz w:val="20"/>
                <w:szCs w:val="20"/>
              </w:rPr>
              <w:t>,</w:t>
            </w:r>
            <w:r w:rsidRPr="0029037C">
              <w:rPr>
                <w:sz w:val="20"/>
                <w:szCs w:val="20"/>
              </w:rPr>
              <w:t xml:space="preserve"> skupaj ali samostojno, neposredno ali posredno</w:t>
            </w:r>
            <w:r w:rsidRPr="0029037C" w:rsidDel="00E354C1">
              <w:rPr>
                <w:sz w:val="20"/>
                <w:szCs w:val="20"/>
              </w:rPr>
              <w:t>,</w:t>
            </w:r>
            <w:r w:rsidRPr="0029037C">
              <w:rPr>
                <w:sz w:val="20"/>
                <w:szCs w:val="20"/>
              </w:rPr>
              <w:t xml:space="preserve"> večinski lastniški delež,</w:t>
            </w:r>
            <w:r>
              <w:rPr>
                <w:sz w:val="20"/>
                <w:szCs w:val="20"/>
              </w:rPr>
              <w:t>«</w:t>
            </w:r>
          </w:p>
          <w:p w14:paraId="61FB954D" w14:textId="77777777" w:rsidR="000C08CA" w:rsidRDefault="000C08CA" w:rsidP="00FE328D">
            <w:pPr>
              <w:pStyle w:val="Alineazaodstavkom"/>
              <w:numPr>
                <w:ilvl w:val="0"/>
                <w:numId w:val="0"/>
              </w:numPr>
              <w:spacing w:line="276" w:lineRule="auto"/>
              <w:rPr>
                <w:sz w:val="20"/>
                <w:szCs w:val="20"/>
              </w:rPr>
            </w:pPr>
            <w:r>
              <w:rPr>
                <w:sz w:val="20"/>
                <w:szCs w:val="20"/>
              </w:rPr>
              <w:t>spremeni tako, da ostane zgolj besedilo: »‒</w:t>
            </w:r>
            <w:r w:rsidRPr="003B237A">
              <w:rPr>
                <w:sz w:val="20"/>
                <w:szCs w:val="20"/>
              </w:rPr>
              <w:t xml:space="preserve"> subjekt javnega interesa</w:t>
            </w:r>
            <w:r>
              <w:t xml:space="preserve"> </w:t>
            </w:r>
            <w:r w:rsidRPr="00133336">
              <w:rPr>
                <w:sz w:val="20"/>
                <w:szCs w:val="20"/>
              </w:rPr>
              <w:t>iz prvega stavka desete alineje osmega odstavka 3. člena tega zakona,</w:t>
            </w:r>
            <w:r>
              <w:rPr>
                <w:sz w:val="20"/>
                <w:szCs w:val="20"/>
              </w:rPr>
              <w:t>«. Navedena sprememba s sklicem na prvi stavek desete alineje osmega odstavka 3. člena ZGD-1</w:t>
            </w:r>
            <w:r w:rsidDel="00870AE6">
              <w:rPr>
                <w:sz w:val="20"/>
                <w:szCs w:val="20"/>
              </w:rPr>
              <w:t xml:space="preserve"> </w:t>
            </w:r>
            <w:r>
              <w:rPr>
                <w:sz w:val="20"/>
                <w:szCs w:val="20"/>
              </w:rPr>
              <w:t xml:space="preserve">poenostavi zapis, ki pa se vsebinsko ne spremeni. Še vedno so iz te določbe namreč izvzeti subjekti javnega interesa iz drugega stavka </w:t>
            </w:r>
            <w:r w:rsidRPr="00592493">
              <w:rPr>
                <w:sz w:val="20"/>
                <w:szCs w:val="20"/>
              </w:rPr>
              <w:t>desete alineje osmega odstavka 3. člena tega zakona</w:t>
            </w:r>
            <w:r>
              <w:rPr>
                <w:sz w:val="20"/>
                <w:szCs w:val="20"/>
              </w:rPr>
              <w:t>, to so »</w:t>
            </w:r>
            <w:r w:rsidRPr="00812DB3">
              <w:rPr>
                <w:sz w:val="20"/>
                <w:szCs w:val="20"/>
              </w:rPr>
              <w:t>drug</w:t>
            </w:r>
            <w:r>
              <w:rPr>
                <w:sz w:val="20"/>
                <w:szCs w:val="20"/>
              </w:rPr>
              <w:t>e</w:t>
            </w:r>
            <w:r w:rsidRPr="00812DB3">
              <w:rPr>
                <w:sz w:val="20"/>
                <w:szCs w:val="20"/>
              </w:rPr>
              <w:t xml:space="preserve"> družb</w:t>
            </w:r>
            <w:r>
              <w:rPr>
                <w:sz w:val="20"/>
                <w:szCs w:val="20"/>
              </w:rPr>
              <w:t>e</w:t>
            </w:r>
            <w:r w:rsidRPr="00812DB3">
              <w:rPr>
                <w:sz w:val="20"/>
                <w:szCs w:val="20"/>
              </w:rPr>
              <w:t>, zavezan</w:t>
            </w:r>
            <w:r>
              <w:rPr>
                <w:sz w:val="20"/>
                <w:szCs w:val="20"/>
              </w:rPr>
              <w:t>e</w:t>
            </w:r>
            <w:r w:rsidRPr="00812DB3">
              <w:rPr>
                <w:sz w:val="20"/>
                <w:szCs w:val="20"/>
              </w:rPr>
              <w:t xml:space="preserve"> k obvezni reviziji, če je tako določeno z drugim zakonom</w:t>
            </w:r>
            <w:r>
              <w:rPr>
                <w:sz w:val="20"/>
                <w:szCs w:val="20"/>
              </w:rPr>
              <w:t>«, kot je to veljalo do zdaj</w:t>
            </w:r>
            <w:r w:rsidRPr="00812DB3">
              <w:rPr>
                <w:sz w:val="20"/>
                <w:szCs w:val="20"/>
              </w:rPr>
              <w:t>.</w:t>
            </w:r>
          </w:p>
          <w:p w14:paraId="0B9B83B1" w14:textId="77777777" w:rsidR="000C08CA" w:rsidRPr="00605612" w:rsidRDefault="000C08CA" w:rsidP="00FE328D">
            <w:pPr>
              <w:spacing w:line="276" w:lineRule="auto"/>
              <w:jc w:val="both"/>
              <w:rPr>
                <w:rFonts w:cs="Arial"/>
                <w:szCs w:val="20"/>
              </w:rPr>
            </w:pPr>
          </w:p>
          <w:p w14:paraId="6817D32C" w14:textId="77777777" w:rsidR="000C08CA" w:rsidRPr="00605612" w:rsidRDefault="000C08CA" w:rsidP="00FE328D">
            <w:pPr>
              <w:spacing w:line="276" w:lineRule="auto"/>
              <w:jc w:val="both"/>
              <w:rPr>
                <w:rFonts w:cs="Arial"/>
                <w:b/>
                <w:bCs/>
                <w:szCs w:val="20"/>
              </w:rPr>
            </w:pPr>
            <w:r w:rsidRPr="00605612">
              <w:rPr>
                <w:rFonts w:cs="Arial"/>
                <w:b/>
                <w:bCs/>
                <w:szCs w:val="20"/>
              </w:rPr>
              <w:t xml:space="preserve">K </w:t>
            </w:r>
            <w:r>
              <w:rPr>
                <w:rFonts w:cs="Arial"/>
                <w:b/>
                <w:bCs/>
                <w:szCs w:val="20"/>
              </w:rPr>
              <w:t>7</w:t>
            </w:r>
            <w:r w:rsidRPr="00605612">
              <w:rPr>
                <w:rFonts w:cs="Arial"/>
                <w:b/>
                <w:bCs/>
                <w:szCs w:val="20"/>
              </w:rPr>
              <w:t>. členu</w:t>
            </w:r>
          </w:p>
          <w:p w14:paraId="750D2FD3" w14:textId="77777777" w:rsidR="000C08CA" w:rsidRPr="00605612" w:rsidRDefault="000C08CA" w:rsidP="00FE328D">
            <w:pPr>
              <w:spacing w:line="276" w:lineRule="auto"/>
              <w:jc w:val="both"/>
              <w:rPr>
                <w:rFonts w:cs="Arial"/>
                <w:b/>
                <w:bCs/>
                <w:szCs w:val="20"/>
              </w:rPr>
            </w:pPr>
          </w:p>
          <w:p w14:paraId="15F0A0A0" w14:textId="77777777" w:rsidR="000C08CA" w:rsidRPr="00CC75FD" w:rsidRDefault="000C08CA" w:rsidP="00FE328D">
            <w:pPr>
              <w:spacing w:line="276" w:lineRule="auto"/>
              <w:jc w:val="both"/>
              <w:rPr>
                <w:rFonts w:cs="Arial"/>
                <w:szCs w:val="20"/>
              </w:rPr>
            </w:pPr>
            <w:r w:rsidRPr="00441565">
              <w:rPr>
                <w:rFonts w:cs="Arial"/>
                <w:szCs w:val="20"/>
              </w:rPr>
              <w:t xml:space="preserve">S spremembo </w:t>
            </w:r>
            <w:r>
              <w:rPr>
                <w:rFonts w:cs="Arial"/>
                <w:szCs w:val="20"/>
              </w:rPr>
              <w:t>petega odstavka 56. člena ZGD-1 se zaradi večje jasnosti dopolnjuje besedilo, ki pa ne pomeni nobenih vsebinskih sprememb pravil. 56. člen ZGD-1 določa pravila za konsolidacijo letnih poročil. V petem odstavku je določeno, da o</w:t>
            </w:r>
            <w:r w:rsidRPr="00543ADE">
              <w:t xml:space="preserve">bvladujoča družba, ki skupaj z odvisnimi družbami ne dosega pogojev za velike družbe iz petega odstavka 55. člena tega zakona, pri čemer se merili čistih prihodkov od prodaje in vrednosti aktive </w:t>
            </w:r>
            <w:r w:rsidRPr="00543ADE" w:rsidDel="005A6084">
              <w:t xml:space="preserve">povečata </w:t>
            </w:r>
            <w:r w:rsidRPr="00543ADE">
              <w:t xml:space="preserve">za 20 %, ni dolžna izdelati konsolidiranega letnega poročila. To ne velja, če je obvladujoča družba ali katera od odvisnih družb subjekt javnega interesa. </w:t>
            </w:r>
            <w:r>
              <w:t xml:space="preserve">Glede na to, da se v 70.č člen ZGD-1 s tem zakonom dodajo pravila za ugotavljanje obveznosti priprave konsolidiranega poročila o trajnostnosti, ki so smiselno podobna kot pri konsolidaciji letnega poročila, se zaradi </w:t>
            </w:r>
            <w:r>
              <w:rPr>
                <w:rFonts w:cs="Arial"/>
                <w:szCs w:val="20"/>
              </w:rPr>
              <w:t>jasnosti tudi v peti odstavek 56. člena ZGD-1 dodaja besedilo, da o</w:t>
            </w:r>
            <w:r w:rsidRPr="00A5588F">
              <w:rPr>
                <w:rFonts w:cs="Arial"/>
                <w:szCs w:val="20"/>
              </w:rPr>
              <w:t>bvladujoča družba pri ugotavljanju čistih prihodkov od prodaje in vrednosti aktive ne upošteva prilagoditev, potrebnih za pripravo konsolidiranih računovodskih izkazov.</w:t>
            </w:r>
            <w:r>
              <w:rPr>
                <w:rFonts w:cs="Arial"/>
                <w:szCs w:val="20"/>
              </w:rPr>
              <w:t xml:space="preserve"> Navedeno izhaja iz osmega odstavka 3. člena </w:t>
            </w:r>
            <w:r w:rsidRPr="009E5D34">
              <w:rPr>
                <w:rFonts w:cs="Arial"/>
                <w:szCs w:val="20"/>
              </w:rPr>
              <w:t>Direktive 2013/34/EU</w:t>
            </w:r>
            <w:r>
              <w:rPr>
                <w:rFonts w:cs="Arial"/>
                <w:szCs w:val="20"/>
              </w:rPr>
              <w:t xml:space="preserve">, ki določa, da </w:t>
            </w:r>
            <w:r w:rsidRPr="00CC75FD">
              <w:rPr>
                <w:rFonts w:cs="Arial"/>
                <w:szCs w:val="20"/>
              </w:rPr>
              <w:t>se</w:t>
            </w:r>
            <w:r>
              <w:rPr>
                <w:rFonts w:cs="Arial"/>
                <w:szCs w:val="20"/>
              </w:rPr>
              <w:t xml:space="preserve">, kadar se pri ugotavljanju obveznosti priprave konsolidiranega letnega poročila </w:t>
            </w:r>
            <w:r w:rsidRPr="00CC75FD">
              <w:rPr>
                <w:rFonts w:cs="Arial"/>
                <w:szCs w:val="20"/>
              </w:rPr>
              <w:t>meje meril za bilančno vsoto in čisti prihodek povečajo za 20 %</w:t>
            </w:r>
            <w:r>
              <w:rPr>
                <w:rFonts w:cs="Arial"/>
                <w:szCs w:val="20"/>
              </w:rPr>
              <w:t xml:space="preserve">, pobot iz tretjega odstavka 24. člena in izločitev iz sedmega odstavka 24. člena </w:t>
            </w:r>
            <w:r w:rsidRPr="00956554">
              <w:rPr>
                <w:rFonts w:cs="Arial"/>
                <w:szCs w:val="20"/>
              </w:rPr>
              <w:t>Direktive 2013/34/EU</w:t>
            </w:r>
            <w:r>
              <w:rPr>
                <w:rFonts w:cs="Arial"/>
                <w:szCs w:val="20"/>
              </w:rPr>
              <w:t xml:space="preserve"> ne opravita. Kot omenjeno, dodatno besedilo ne spreminja veljavnega pravila v 56. členu, vendar zgolj bolj podrobno pojasni to pravilo glede načina ugotavljanja obveznosti</w:t>
            </w:r>
            <w:r>
              <w:t xml:space="preserve"> </w:t>
            </w:r>
            <w:r w:rsidRPr="002C79DB">
              <w:rPr>
                <w:rFonts w:cs="Arial"/>
                <w:szCs w:val="20"/>
              </w:rPr>
              <w:t>priprave konsolidiranega letnega poročila</w:t>
            </w:r>
            <w:r>
              <w:rPr>
                <w:rFonts w:cs="Arial"/>
                <w:szCs w:val="20"/>
              </w:rPr>
              <w:t>.</w:t>
            </w:r>
          </w:p>
          <w:p w14:paraId="4B4ECE0D" w14:textId="77777777" w:rsidR="000C08CA" w:rsidRDefault="000C08CA" w:rsidP="00FE328D">
            <w:pPr>
              <w:spacing w:line="276" w:lineRule="auto"/>
              <w:jc w:val="both"/>
              <w:rPr>
                <w:rFonts w:cs="Arial"/>
                <w:szCs w:val="20"/>
              </w:rPr>
            </w:pPr>
          </w:p>
          <w:p w14:paraId="29439DD8" w14:textId="77777777" w:rsidR="000C08CA" w:rsidRPr="00605612" w:rsidRDefault="000C08CA" w:rsidP="00FE328D">
            <w:pPr>
              <w:spacing w:line="276" w:lineRule="auto"/>
              <w:jc w:val="both"/>
              <w:rPr>
                <w:rFonts w:cs="Arial"/>
                <w:szCs w:val="20"/>
              </w:rPr>
            </w:pPr>
            <w:r w:rsidRPr="00605612">
              <w:rPr>
                <w:rFonts w:cs="Arial"/>
                <w:szCs w:val="20"/>
              </w:rPr>
              <w:t>V dvanajstem odstavku 56. člena ZGD-1 je določeno, da mora konsolidirano poslovno poročilo subjekta javnega interesa, katerega povprečno število zaposlenih v poslovnem letu je na bilančni presečni dan na ravni skupine večje od 500, vsebovati tudi konsolidirano izjavo o nefinančnem poslovanju. Ker je izjavo o nefinančnem poslovanju nadomestilo poročilo o trajnostnosti, posebne določbe o konsolidiranem poročilu o trajnostnosti pa se na novo urejajo v 70.č členu ZGD-1, je treba črtati dvanajsti odstavek 56. člena ZGD-1.</w:t>
            </w:r>
          </w:p>
          <w:p w14:paraId="220B2822" w14:textId="77777777" w:rsidR="000C08CA" w:rsidRPr="00605612" w:rsidRDefault="000C08CA" w:rsidP="00FE328D">
            <w:pPr>
              <w:spacing w:line="276" w:lineRule="auto"/>
              <w:jc w:val="both"/>
              <w:rPr>
                <w:rFonts w:cs="Arial"/>
                <w:b/>
                <w:bCs/>
                <w:szCs w:val="20"/>
              </w:rPr>
            </w:pPr>
          </w:p>
          <w:p w14:paraId="210F70D4" w14:textId="77777777" w:rsidR="000C08CA" w:rsidRPr="00605612" w:rsidRDefault="000C08CA" w:rsidP="00FE328D">
            <w:pPr>
              <w:spacing w:line="276" w:lineRule="auto"/>
              <w:jc w:val="both"/>
              <w:rPr>
                <w:rFonts w:cs="Arial"/>
                <w:b/>
                <w:bCs/>
                <w:szCs w:val="20"/>
              </w:rPr>
            </w:pPr>
            <w:r w:rsidRPr="00605612">
              <w:rPr>
                <w:rFonts w:cs="Arial"/>
                <w:b/>
                <w:bCs/>
                <w:szCs w:val="20"/>
              </w:rPr>
              <w:t xml:space="preserve">K </w:t>
            </w:r>
            <w:r>
              <w:rPr>
                <w:rFonts w:cs="Arial"/>
                <w:b/>
                <w:bCs/>
                <w:szCs w:val="20"/>
              </w:rPr>
              <w:t>8</w:t>
            </w:r>
            <w:r w:rsidRPr="00605612">
              <w:rPr>
                <w:rFonts w:cs="Arial"/>
                <w:b/>
                <w:bCs/>
                <w:szCs w:val="20"/>
              </w:rPr>
              <w:t>. členu</w:t>
            </w:r>
          </w:p>
          <w:p w14:paraId="68682BA3" w14:textId="77777777" w:rsidR="000C08CA" w:rsidRPr="00605612" w:rsidRDefault="000C08CA" w:rsidP="00FE328D">
            <w:pPr>
              <w:spacing w:line="276" w:lineRule="auto"/>
              <w:jc w:val="both"/>
              <w:rPr>
                <w:rFonts w:cs="Arial"/>
                <w:b/>
                <w:bCs/>
                <w:szCs w:val="20"/>
              </w:rPr>
            </w:pPr>
          </w:p>
          <w:p w14:paraId="7F5EF603" w14:textId="77777777" w:rsidR="000C08CA" w:rsidRPr="00605612" w:rsidRDefault="000C08CA" w:rsidP="00FE328D">
            <w:pPr>
              <w:spacing w:line="276" w:lineRule="auto"/>
              <w:jc w:val="both"/>
              <w:rPr>
                <w:rFonts w:cs="Arial"/>
                <w:szCs w:val="20"/>
              </w:rPr>
            </w:pPr>
            <w:r w:rsidRPr="00605612">
              <w:rPr>
                <w:rFonts w:cs="Arial"/>
                <w:szCs w:val="20"/>
              </w:rPr>
              <w:t>S spremembo prvega, dopolnitvijo drugega in spremembo tretjega odstavka 57. člena ZGD-1 se prenaša</w:t>
            </w:r>
            <w:r>
              <w:rPr>
                <w:rFonts w:cs="Arial"/>
                <w:szCs w:val="20"/>
              </w:rPr>
              <w:t>jo številne</w:t>
            </w:r>
            <w:r w:rsidRPr="00605612" w:rsidDel="005A6084">
              <w:rPr>
                <w:rFonts w:cs="Arial"/>
                <w:szCs w:val="20"/>
              </w:rPr>
              <w:t xml:space="preserve"> </w:t>
            </w:r>
            <w:r w:rsidRPr="00605612">
              <w:rPr>
                <w:rFonts w:cs="Arial"/>
                <w:szCs w:val="20"/>
              </w:rPr>
              <w:t>določb</w:t>
            </w:r>
            <w:r>
              <w:rPr>
                <w:rFonts w:cs="Arial"/>
                <w:szCs w:val="20"/>
              </w:rPr>
              <w:t>e</w:t>
            </w:r>
            <w:r w:rsidRPr="00605612">
              <w:rPr>
                <w:rFonts w:cs="Arial"/>
                <w:szCs w:val="20"/>
              </w:rPr>
              <w:t xml:space="preserve"> </w:t>
            </w:r>
            <w:r>
              <w:rPr>
                <w:rFonts w:cs="Arial"/>
                <w:szCs w:val="20"/>
              </w:rPr>
              <w:t xml:space="preserve">več </w:t>
            </w:r>
            <w:r w:rsidRPr="00605612">
              <w:rPr>
                <w:rFonts w:cs="Arial"/>
                <w:szCs w:val="20"/>
              </w:rPr>
              <w:t>direktiv.</w:t>
            </w:r>
          </w:p>
          <w:p w14:paraId="7910BD35" w14:textId="77777777" w:rsidR="000C08CA" w:rsidRPr="00605612" w:rsidRDefault="000C08CA" w:rsidP="00FE328D">
            <w:pPr>
              <w:spacing w:line="276" w:lineRule="auto"/>
              <w:jc w:val="both"/>
              <w:rPr>
                <w:rFonts w:cs="Arial"/>
                <w:szCs w:val="20"/>
              </w:rPr>
            </w:pPr>
          </w:p>
          <w:p w14:paraId="12379EA8" w14:textId="77777777" w:rsidR="000C08CA" w:rsidRPr="00605612" w:rsidRDefault="000C08CA" w:rsidP="00FE328D">
            <w:pPr>
              <w:spacing w:line="276" w:lineRule="auto"/>
              <w:jc w:val="both"/>
              <w:rPr>
                <w:rFonts w:cs="Arial"/>
                <w:szCs w:val="20"/>
              </w:rPr>
            </w:pPr>
            <w:r w:rsidRPr="00605612">
              <w:rPr>
                <w:rFonts w:cs="Arial"/>
                <w:szCs w:val="20"/>
              </w:rPr>
              <w:t>Prvi odstavek 57. člena ZGD-1 določa, da letna poročila velikih in srednjih kapitalskih družb ter dvojnih družb pregleda revizor na način in pod pogoji, določenimi z zakonom, ki ureja revidiranje. Določa tudi, da mora revizor:</w:t>
            </w:r>
          </w:p>
          <w:p w14:paraId="7ACE4501"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revidirati računovodsko poročilo ter pregledati poslovno poročilo v obsegu, potrebnem, da preveri, ali je njegova vsebina v skladu z drugimi sestavinami letnega poročila,</w:t>
            </w:r>
          </w:p>
          <w:p w14:paraId="563A3D7C"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preveriti, ali poslovno poročilo vsebuje izjavo o upravljanju družbe in izjavo o nefinančnem poslovanju</w:t>
            </w:r>
            <w:r>
              <w:rPr>
                <w:rFonts w:cs="Arial"/>
                <w:szCs w:val="20"/>
              </w:rPr>
              <w:t>,</w:t>
            </w:r>
            <w:r w:rsidRPr="00605612">
              <w:rPr>
                <w:rFonts w:cs="Arial"/>
                <w:szCs w:val="20"/>
              </w:rPr>
              <w:t xml:space="preserve"> ter pregleda</w:t>
            </w:r>
            <w:r>
              <w:rPr>
                <w:rFonts w:cs="Arial"/>
                <w:szCs w:val="20"/>
              </w:rPr>
              <w:t>ti</w:t>
            </w:r>
            <w:r w:rsidRPr="00605612">
              <w:rPr>
                <w:rFonts w:cs="Arial"/>
                <w:szCs w:val="20"/>
              </w:rPr>
              <w:t xml:space="preserve"> njuno formalno popolnost, vsebinsko pa se v mnenju omeji na pregled podatkov iz 3. in 4. točke petega odstavka 70. člena tega zakona. </w:t>
            </w:r>
          </w:p>
          <w:p w14:paraId="13559D49" w14:textId="77777777" w:rsidR="000C08CA" w:rsidRPr="00605612" w:rsidRDefault="000C08CA" w:rsidP="00FE328D">
            <w:pPr>
              <w:spacing w:line="276" w:lineRule="auto"/>
              <w:jc w:val="both"/>
              <w:rPr>
                <w:rFonts w:cs="Arial"/>
                <w:szCs w:val="20"/>
              </w:rPr>
            </w:pPr>
            <w:r w:rsidRPr="00605612">
              <w:rPr>
                <w:rFonts w:cs="Arial"/>
                <w:szCs w:val="20"/>
              </w:rPr>
              <w:t>Vse to velja tudi za konsolidirana letna poročila.</w:t>
            </w:r>
          </w:p>
          <w:p w14:paraId="567FA7D3" w14:textId="77777777" w:rsidR="000C08CA" w:rsidRPr="00605612" w:rsidRDefault="000C08CA" w:rsidP="00FE328D">
            <w:pPr>
              <w:spacing w:line="276" w:lineRule="auto"/>
              <w:jc w:val="both"/>
              <w:rPr>
                <w:rFonts w:cs="Arial"/>
                <w:szCs w:val="20"/>
              </w:rPr>
            </w:pPr>
          </w:p>
          <w:p w14:paraId="7A562D3B" w14:textId="77777777" w:rsidR="000C08CA" w:rsidRPr="00605612" w:rsidRDefault="000C08CA" w:rsidP="00FE328D">
            <w:pPr>
              <w:spacing w:line="276" w:lineRule="auto"/>
              <w:jc w:val="both"/>
              <w:rPr>
                <w:rFonts w:cs="Arial"/>
                <w:szCs w:val="20"/>
              </w:rPr>
            </w:pPr>
            <w:r w:rsidRPr="00605612">
              <w:rPr>
                <w:rFonts w:cs="Arial"/>
                <w:szCs w:val="20"/>
              </w:rPr>
              <w:lastRenderedPageBreak/>
              <w:t xml:space="preserve">Z </w:t>
            </w:r>
            <w:r w:rsidRPr="00605612">
              <w:rPr>
                <w:rFonts w:cs="Arial"/>
                <w:szCs w:val="20"/>
                <w:u w:val="single"/>
              </w:rPr>
              <w:t>Direktivo 2022/2464/EU</w:t>
            </w:r>
            <w:r w:rsidRPr="00605612">
              <w:rPr>
                <w:rFonts w:cs="Arial"/>
                <w:szCs w:val="20"/>
              </w:rPr>
              <w:t xml:space="preserve"> spremenjena določba prvega odstavka 34. člena Direktive 2013/34/EU določa, da mora revizor podati mnenje glede skladnosti poročanja o trajnostnosti z zahtevami direktive.</w:t>
            </w:r>
            <w:r w:rsidRPr="00605612" w:rsidDel="005A6084">
              <w:rPr>
                <w:rFonts w:cs="Arial"/>
                <w:szCs w:val="20"/>
              </w:rPr>
              <w:t xml:space="preserve"> </w:t>
            </w:r>
            <w:r w:rsidRPr="00605612">
              <w:rPr>
                <w:rFonts w:cs="Arial"/>
                <w:szCs w:val="20"/>
              </w:rPr>
              <w:t xml:space="preserve">Prvi odstavek 57. člena ZGD-1 se tako spreminja zaradi nove obveznosti revizorja, in sicer da </w:t>
            </w:r>
            <w:r>
              <w:rPr>
                <w:rFonts w:cs="Arial"/>
                <w:szCs w:val="20"/>
              </w:rPr>
              <w:t>pregleda</w:t>
            </w:r>
            <w:r w:rsidRPr="00605612">
              <w:rPr>
                <w:rFonts w:cs="Arial"/>
                <w:szCs w:val="20"/>
              </w:rPr>
              <w:t xml:space="preserve"> poročilo o trajnostnosti, kadar ga je družba dolžna pripraviti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s 70.c ali 70.č členom. Gre za novo obveznost revizorja, ki je bil doslej dolžan preveriti zgolj, ali poslovno poročilo vsebuje izjavo o nefinančnem poslovanju</w:t>
            </w:r>
            <w:r>
              <w:rPr>
                <w:rFonts w:cs="Arial"/>
                <w:szCs w:val="20"/>
              </w:rPr>
              <w:t>,</w:t>
            </w:r>
            <w:r w:rsidRPr="00605612">
              <w:rPr>
                <w:rFonts w:cs="Arial"/>
                <w:szCs w:val="20"/>
              </w:rPr>
              <w:t xml:space="preserve"> </w:t>
            </w:r>
            <w:r>
              <w:rPr>
                <w:rFonts w:cs="Arial"/>
                <w:szCs w:val="20"/>
              </w:rPr>
              <w:t>in</w:t>
            </w:r>
            <w:r w:rsidRPr="00605612">
              <w:rPr>
                <w:rFonts w:cs="Arial"/>
                <w:szCs w:val="20"/>
              </w:rPr>
              <w:t xml:space="preserve"> pregledati njeno formalno popolnost. Glede na to, da se s predlogom zakona spreminja določba 70.c člena, ki namesto </w:t>
            </w:r>
            <w:r w:rsidRPr="00292635">
              <w:rPr>
                <w:rFonts w:cs="Arial"/>
                <w:szCs w:val="20"/>
              </w:rPr>
              <w:t>obveznosti priprave izjave o nefinančnem poslovanju določa obveznost priprave poročila o trajnostnosti (več v obrazložitvi k 1</w:t>
            </w:r>
            <w:r>
              <w:rPr>
                <w:rFonts w:cs="Arial"/>
                <w:szCs w:val="20"/>
              </w:rPr>
              <w:t>4</w:t>
            </w:r>
            <w:r w:rsidRPr="00292635">
              <w:rPr>
                <w:rFonts w:cs="Arial"/>
                <w:szCs w:val="20"/>
              </w:rPr>
              <w:t xml:space="preserve">. členu tega predloga zakona), je treba črtati besedilo, ki se nanaša na to izjavo. </w:t>
            </w:r>
            <w:r>
              <w:rPr>
                <w:rFonts w:cs="Arial"/>
                <w:szCs w:val="20"/>
              </w:rPr>
              <w:t>Ob tem</w:t>
            </w:r>
            <w:r w:rsidRPr="00292635">
              <w:rPr>
                <w:rFonts w:cs="Arial"/>
                <w:szCs w:val="20"/>
              </w:rPr>
              <w:t xml:space="preserve"> je treba dodati besedilo, da poročilo o trajnostnosti lahko pregleda tudi revizor, ki ni isti kot tisti, ki opravlja pregled preostalih delov letnega poročila, saj se s tem družbi zagotovi več fleksibilnosti</w:t>
            </w:r>
            <w:r w:rsidRPr="00605612">
              <w:rPr>
                <w:rFonts w:cs="Arial"/>
                <w:szCs w:val="20"/>
              </w:rPr>
              <w:t xml:space="preserve"> glede izbire revizorja. Družba bo tako imela izbiro, ali ji bo revizor (ta izraz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določbo sedme alineje osmega odstavka 3. člena</w:t>
            </w:r>
            <w:r w:rsidRPr="00605612" w:rsidDel="00B774C2">
              <w:rPr>
                <w:rFonts w:cs="Arial"/>
                <w:szCs w:val="20"/>
              </w:rPr>
              <w:t xml:space="preserve"> </w:t>
            </w:r>
            <w:r>
              <w:rPr>
                <w:rFonts w:cs="Arial"/>
                <w:szCs w:val="20"/>
              </w:rPr>
              <w:t>pomeni</w:t>
            </w:r>
            <w:r w:rsidRPr="00605612">
              <w:rPr>
                <w:rFonts w:cs="Arial"/>
                <w:szCs w:val="20"/>
              </w:rPr>
              <w:t xml:space="preserve"> revizijsko družbo, ki ima po zakonu, ki ureja revidiranje, dovoljenje za opravljanje revidiranja) opravil pregled celotnega letnega poročila ali pa bo poročilo o trajnostnosti pregledal drug revizor, skladno z zakonom, ki ureja revidiranje. S tem se prenaša z Direktivo 2022/2464/EU spremenjena določba tretjega odstavka 34. člena Direktive 2013/34/EU, ki dovoljuje to možnost. </w:t>
            </w:r>
          </w:p>
          <w:p w14:paraId="571219A2" w14:textId="77777777" w:rsidR="000C08CA" w:rsidRPr="00605612" w:rsidRDefault="000C08CA" w:rsidP="00FE328D">
            <w:pPr>
              <w:spacing w:line="276" w:lineRule="auto"/>
              <w:jc w:val="both"/>
              <w:rPr>
                <w:rFonts w:cs="Arial"/>
                <w:szCs w:val="20"/>
              </w:rPr>
            </w:pPr>
          </w:p>
          <w:p w14:paraId="6C6E3696" w14:textId="77777777" w:rsidR="000C08CA" w:rsidRPr="00605612" w:rsidRDefault="000C08CA" w:rsidP="00FE328D">
            <w:pPr>
              <w:spacing w:line="276" w:lineRule="auto"/>
              <w:jc w:val="both"/>
              <w:rPr>
                <w:rFonts w:cs="Arial"/>
                <w:szCs w:val="20"/>
              </w:rPr>
            </w:pPr>
            <w:r w:rsidRPr="00605612">
              <w:rPr>
                <w:rFonts w:cs="Arial"/>
                <w:szCs w:val="20"/>
              </w:rPr>
              <w:t xml:space="preserve">S spremembo prvega odstavka 57. člena ZGD-1 se v nacionalno zakonodajo prenaša tudi določba </w:t>
            </w:r>
            <w:r w:rsidRPr="00605612">
              <w:rPr>
                <w:rFonts w:cs="Arial"/>
                <w:szCs w:val="20"/>
                <w:u w:val="single"/>
              </w:rPr>
              <w:t>48</w:t>
            </w:r>
            <w:r w:rsidDel="00B774C2">
              <w:rPr>
                <w:rFonts w:cs="Arial"/>
                <w:szCs w:val="20"/>
                <w:u w:val="single"/>
              </w:rPr>
              <w:t>.</w:t>
            </w:r>
            <w:r w:rsidRPr="00605612">
              <w:rPr>
                <w:rFonts w:cs="Arial"/>
                <w:szCs w:val="20"/>
                <w:u w:val="single"/>
              </w:rPr>
              <w:t xml:space="preserve">f </w:t>
            </w:r>
            <w:r w:rsidRPr="00605612" w:rsidDel="00B774C2">
              <w:rPr>
                <w:rFonts w:cs="Arial"/>
                <w:szCs w:val="20"/>
                <w:u w:val="single"/>
              </w:rPr>
              <w:t xml:space="preserve">člena </w:t>
            </w:r>
            <w:r w:rsidRPr="00605612">
              <w:rPr>
                <w:rFonts w:cs="Arial"/>
                <w:szCs w:val="20"/>
                <w:u w:val="single"/>
              </w:rPr>
              <w:t>iz Direktive 2021/2101/EU</w:t>
            </w:r>
            <w:r w:rsidRPr="00605612">
              <w:rPr>
                <w:rFonts w:cs="Arial"/>
                <w:szCs w:val="20"/>
              </w:rPr>
              <w:t xml:space="preserve"> (ki dopolnjuje Direktiv</w:t>
            </w:r>
            <w:r>
              <w:rPr>
                <w:rFonts w:cs="Arial"/>
                <w:szCs w:val="20"/>
              </w:rPr>
              <w:t>o</w:t>
            </w:r>
            <w:r w:rsidRPr="00605612">
              <w:rPr>
                <w:rFonts w:cs="Arial"/>
                <w:szCs w:val="20"/>
              </w:rPr>
              <w:t xml:space="preserve"> 2013/34/EU), ki določa, da države članice zahtevajo, da se, k</w:t>
            </w:r>
            <w:r>
              <w:rPr>
                <w:rFonts w:cs="Arial"/>
                <w:szCs w:val="20"/>
              </w:rPr>
              <w:t>adar</w:t>
            </w:r>
            <w:r w:rsidRPr="00605612">
              <w:rPr>
                <w:rFonts w:cs="Arial"/>
                <w:szCs w:val="20"/>
              </w:rPr>
              <w:t xml:space="preserve"> računovodske izkaze </w:t>
            </w:r>
            <w:r>
              <w:rPr>
                <w:rFonts w:cs="Arial"/>
                <w:szCs w:val="20"/>
              </w:rPr>
              <w:t>družbe</w:t>
            </w:r>
            <w:r w:rsidRPr="00605612">
              <w:rPr>
                <w:rFonts w:cs="Arial"/>
                <w:szCs w:val="20"/>
              </w:rPr>
              <w:t xml:space="preserve"> </w:t>
            </w:r>
            <w:r>
              <w:rPr>
                <w:rFonts w:cs="Arial"/>
                <w:szCs w:val="20"/>
              </w:rPr>
              <w:t>pregled</w:t>
            </w:r>
            <w:r w:rsidRPr="00605612">
              <w:rPr>
                <w:rFonts w:cs="Arial"/>
                <w:szCs w:val="20"/>
              </w:rPr>
              <w:t>a eden ali več zakonitih revizorjev ali revizijskih podjetij, v revizijskem poročilu navede, ali je moral</w:t>
            </w:r>
            <w:r>
              <w:rPr>
                <w:rFonts w:cs="Arial"/>
                <w:szCs w:val="20"/>
              </w:rPr>
              <w:t>a</w:t>
            </w:r>
            <w:r w:rsidRPr="00605612" w:rsidDel="00584959">
              <w:rPr>
                <w:rFonts w:cs="Arial"/>
                <w:szCs w:val="20"/>
              </w:rPr>
              <w:t xml:space="preserve"> </w:t>
            </w:r>
            <w:r>
              <w:rPr>
                <w:rFonts w:cs="Arial"/>
                <w:szCs w:val="20"/>
              </w:rPr>
              <w:t>družba</w:t>
            </w:r>
            <w:r w:rsidRPr="00605612">
              <w:rPr>
                <w:rFonts w:cs="Arial"/>
                <w:szCs w:val="20"/>
              </w:rPr>
              <w:t xml:space="preserve"> za poslovno leto pred poslovnim letom, za katero so bili pripravljeni računovodski izkazi, ki se revidirajo, objaviti poročilo o davčnih informacijah v zvezi z dohodki in če da, ali je bilo poročilo ustrezno objavljeno.</w:t>
            </w:r>
          </w:p>
          <w:p w14:paraId="5B31176B" w14:textId="77777777" w:rsidR="000C08CA" w:rsidRPr="00605612" w:rsidRDefault="000C08CA" w:rsidP="00FE328D">
            <w:pPr>
              <w:spacing w:line="276" w:lineRule="auto"/>
              <w:jc w:val="both"/>
              <w:rPr>
                <w:rFonts w:cs="Arial"/>
                <w:szCs w:val="20"/>
              </w:rPr>
            </w:pPr>
          </w:p>
          <w:p w14:paraId="055C58B0" w14:textId="77777777" w:rsidR="000C08CA" w:rsidRPr="00605612" w:rsidRDefault="000C08CA" w:rsidP="00FE328D">
            <w:pPr>
              <w:spacing w:line="276" w:lineRule="auto"/>
              <w:jc w:val="both"/>
              <w:rPr>
                <w:rFonts w:cs="Arial"/>
                <w:szCs w:val="20"/>
              </w:rPr>
            </w:pPr>
            <w:r w:rsidRPr="00605612">
              <w:rPr>
                <w:rFonts w:cs="Arial"/>
                <w:szCs w:val="20"/>
              </w:rPr>
              <w:t xml:space="preserve">Revizorju se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w:t>
            </w:r>
            <w:r>
              <w:rPr>
                <w:rFonts w:cs="Arial"/>
                <w:szCs w:val="20"/>
              </w:rPr>
              <w:t>z</w:t>
            </w:r>
            <w:r w:rsidRPr="00605612">
              <w:rPr>
                <w:rFonts w:cs="Arial"/>
                <w:szCs w:val="20"/>
              </w:rPr>
              <w:t xml:space="preserve"> 48</w:t>
            </w:r>
            <w:r w:rsidDel="00B774C2">
              <w:rPr>
                <w:rFonts w:cs="Arial"/>
                <w:szCs w:val="20"/>
              </w:rPr>
              <w:t>.</w:t>
            </w:r>
            <w:r w:rsidRPr="00605612">
              <w:rPr>
                <w:rFonts w:cs="Arial"/>
                <w:szCs w:val="20"/>
              </w:rPr>
              <w:t>f člen</w:t>
            </w:r>
            <w:r>
              <w:rPr>
                <w:rFonts w:cs="Arial"/>
                <w:szCs w:val="20"/>
              </w:rPr>
              <w:t>om</w:t>
            </w:r>
            <w:r w:rsidRPr="00605612" w:rsidDel="00B774C2">
              <w:rPr>
                <w:rFonts w:cs="Arial"/>
                <w:szCs w:val="20"/>
              </w:rPr>
              <w:t xml:space="preserve"> </w:t>
            </w:r>
            <w:r w:rsidRPr="00605612">
              <w:rPr>
                <w:rFonts w:cs="Arial"/>
                <w:szCs w:val="20"/>
              </w:rPr>
              <w:t xml:space="preserve">Direktive 2013/34/EU, dopolnjene z Direktivo 2021/2101/EU, dodatno naloži obveznost, da preveri, ali je bila družba, katere letno poročilo revidira, za poslovno leto pred poslovnim letom, za katero so bili pripravljeni računovodski izkazi, ki se revidirajo, dolžna objaviti poročilo o </w:t>
            </w:r>
            <w:r>
              <w:rPr>
                <w:rFonts w:cs="Arial"/>
                <w:color w:val="000000" w:themeColor="text1"/>
                <w:szCs w:val="20"/>
              </w:rPr>
              <w:t xml:space="preserve">davčnih informacijah </w:t>
            </w:r>
            <w:r w:rsidRPr="00605612">
              <w:rPr>
                <w:rFonts w:cs="Arial"/>
                <w:szCs w:val="20"/>
              </w:rPr>
              <w:t xml:space="preserve">v zvezi z dohodki. </w:t>
            </w:r>
            <w:r w:rsidRPr="001F34FD">
              <w:rPr>
                <w:rFonts w:cs="Arial"/>
                <w:szCs w:val="20"/>
              </w:rPr>
              <w:t>Zakon o revidiranju</w:t>
            </w:r>
            <w:r>
              <w:rPr>
                <w:rFonts w:cs="Arial"/>
                <w:szCs w:val="20"/>
              </w:rPr>
              <w:t xml:space="preserve"> (</w:t>
            </w:r>
            <w:r w:rsidRPr="001F34FD">
              <w:rPr>
                <w:rFonts w:cs="Arial"/>
                <w:szCs w:val="20"/>
              </w:rPr>
              <w:t>Uradni list RS, št. 65/08, 63/13 – ZS-K, 84/18 in 115/21</w:t>
            </w:r>
            <w:r>
              <w:rPr>
                <w:rFonts w:cs="Arial"/>
                <w:szCs w:val="20"/>
              </w:rPr>
              <w:t>) v 4. členu določa, da r</w:t>
            </w:r>
            <w:r w:rsidRPr="00F802D7">
              <w:rPr>
                <w:rFonts w:cs="Arial"/>
                <w:szCs w:val="20"/>
              </w:rPr>
              <w:t xml:space="preserve">evidiranje poteka na način, </w:t>
            </w:r>
            <w:r>
              <w:rPr>
                <w:rFonts w:cs="Arial"/>
                <w:szCs w:val="20"/>
              </w:rPr>
              <w:t>ki ga določajo Zakon o revidiranju</w:t>
            </w:r>
            <w:r w:rsidRPr="00F802D7">
              <w:rPr>
                <w:rFonts w:cs="Arial"/>
                <w:szCs w:val="20"/>
              </w:rPr>
              <w:t>, Mednarodni</w:t>
            </w:r>
            <w:r>
              <w:rPr>
                <w:rFonts w:cs="Arial"/>
                <w:szCs w:val="20"/>
              </w:rPr>
              <w:t xml:space="preserve"> </w:t>
            </w:r>
            <w:r w:rsidRPr="00F802D7">
              <w:rPr>
                <w:rFonts w:cs="Arial"/>
                <w:szCs w:val="20"/>
              </w:rPr>
              <w:t>revizijski standardi in drug</w:t>
            </w:r>
            <w:r>
              <w:rPr>
                <w:rFonts w:cs="Arial"/>
                <w:szCs w:val="20"/>
              </w:rPr>
              <w:t>a</w:t>
            </w:r>
            <w:r w:rsidRPr="00F802D7">
              <w:rPr>
                <w:rFonts w:cs="Arial"/>
                <w:szCs w:val="20"/>
              </w:rPr>
              <w:t xml:space="preserve"> pravil</w:t>
            </w:r>
            <w:r>
              <w:rPr>
                <w:rFonts w:cs="Arial"/>
                <w:szCs w:val="20"/>
              </w:rPr>
              <w:t>a</w:t>
            </w:r>
            <w:r w:rsidRPr="00F802D7">
              <w:rPr>
                <w:rFonts w:cs="Arial"/>
                <w:szCs w:val="20"/>
              </w:rPr>
              <w:t xml:space="preserve"> revidiranja, ki jih sprejema Agencija</w:t>
            </w:r>
            <w:r w:rsidRPr="00A63304">
              <w:rPr>
                <w:rFonts w:cs="Arial"/>
                <w:szCs w:val="20"/>
              </w:rPr>
              <w:t xml:space="preserve"> za javni nadzor nad revidiranjem</w:t>
            </w:r>
            <w:r>
              <w:rPr>
                <w:rFonts w:cs="Arial"/>
                <w:szCs w:val="20"/>
              </w:rPr>
              <w:t>,</w:t>
            </w:r>
            <w:r w:rsidRPr="00F802D7">
              <w:rPr>
                <w:rFonts w:cs="Arial"/>
                <w:szCs w:val="20"/>
              </w:rPr>
              <w:t xml:space="preserve"> ter drugi zakoni, ki urejajo revidiranje pravnih oseb ali druge oblike revizije, in predpisi, izdani na njihovi podlagi.</w:t>
            </w:r>
            <w:r>
              <w:rPr>
                <w:rFonts w:cs="Arial"/>
                <w:szCs w:val="20"/>
              </w:rPr>
              <w:t xml:space="preserve"> </w:t>
            </w:r>
            <w:r w:rsidRPr="00605612">
              <w:rPr>
                <w:rFonts w:cs="Arial"/>
                <w:szCs w:val="20"/>
              </w:rPr>
              <w:t xml:space="preserve">Če ugotovi, da </w:t>
            </w:r>
            <w:r>
              <w:rPr>
                <w:rFonts w:cs="Arial"/>
                <w:szCs w:val="20"/>
              </w:rPr>
              <w:t>ima</w:t>
            </w:r>
            <w:r w:rsidRPr="00605612">
              <w:rPr>
                <w:rFonts w:cs="Arial"/>
                <w:szCs w:val="20"/>
              </w:rPr>
              <w:t xml:space="preserve"> družb</w:t>
            </w:r>
            <w:r>
              <w:rPr>
                <w:rFonts w:cs="Arial"/>
                <w:szCs w:val="20"/>
              </w:rPr>
              <w:t>a</w:t>
            </w:r>
            <w:r w:rsidRPr="00605612">
              <w:rPr>
                <w:rFonts w:cs="Arial"/>
                <w:szCs w:val="20"/>
              </w:rPr>
              <w:t xml:space="preserve"> </w:t>
            </w:r>
            <w:r>
              <w:rPr>
                <w:rFonts w:cs="Arial"/>
                <w:szCs w:val="20"/>
              </w:rPr>
              <w:t>to obveznost</w:t>
            </w:r>
            <w:r w:rsidRPr="00605612">
              <w:rPr>
                <w:rFonts w:cs="Arial"/>
                <w:szCs w:val="20"/>
              </w:rPr>
              <w:t>,</w:t>
            </w:r>
            <w:r w:rsidRPr="00605612" w:rsidDel="00B774C2">
              <w:rPr>
                <w:rFonts w:cs="Arial"/>
                <w:szCs w:val="20"/>
              </w:rPr>
              <w:t xml:space="preserve"> </w:t>
            </w:r>
            <w:r w:rsidRPr="00605612">
              <w:rPr>
                <w:rFonts w:cs="Arial"/>
                <w:szCs w:val="20"/>
              </w:rPr>
              <w:t xml:space="preserve">preveri, ali je bilo poročilo objavljeno v skladu z določbami ZGD-1, ki urejajo javno objavo in objavo poročila </w:t>
            </w:r>
            <w:r>
              <w:rPr>
                <w:rFonts w:cs="Arial"/>
                <w:color w:val="000000" w:themeColor="text1"/>
                <w:szCs w:val="20"/>
              </w:rPr>
              <w:t xml:space="preserve">o davčnih informacijah </w:t>
            </w:r>
            <w:r w:rsidRPr="00605612">
              <w:rPr>
                <w:rFonts w:cs="Arial"/>
                <w:szCs w:val="20"/>
              </w:rPr>
              <w:t xml:space="preserve">v zvezi z dohodki na spletni strani družbe. To pomeni, da preveri, ali je bilo poročilo </w:t>
            </w:r>
            <w:r>
              <w:rPr>
                <w:rFonts w:cs="Arial"/>
                <w:color w:val="000000" w:themeColor="text1"/>
                <w:szCs w:val="20"/>
              </w:rPr>
              <w:t xml:space="preserve">o davčnih informacijah </w:t>
            </w:r>
            <w:r w:rsidRPr="00605612">
              <w:rPr>
                <w:rFonts w:cs="Arial"/>
                <w:szCs w:val="20"/>
              </w:rPr>
              <w:t xml:space="preserve">v zvezi z dohodki objavljeno </w:t>
            </w:r>
            <w:r>
              <w:rPr>
                <w:rFonts w:cs="Arial"/>
                <w:szCs w:val="20"/>
              </w:rPr>
              <w:t>pri</w:t>
            </w:r>
            <w:r w:rsidRPr="00605612">
              <w:rPr>
                <w:rFonts w:cs="Arial"/>
                <w:szCs w:val="20"/>
              </w:rPr>
              <w:t xml:space="preserve"> AJPES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58. členom ZGD-1 </w:t>
            </w:r>
            <w:r>
              <w:rPr>
                <w:rFonts w:cs="Arial"/>
                <w:szCs w:val="20"/>
              </w:rPr>
              <w:t>in</w:t>
            </w:r>
            <w:r w:rsidRPr="00605612">
              <w:rPr>
                <w:rFonts w:cs="Arial"/>
                <w:szCs w:val="20"/>
              </w:rPr>
              <w:t xml:space="preserve"> ali je družba poročilo </w:t>
            </w:r>
            <w:r>
              <w:rPr>
                <w:rFonts w:cs="Arial"/>
                <w:color w:val="000000" w:themeColor="text1"/>
                <w:szCs w:val="20"/>
              </w:rPr>
              <w:t xml:space="preserve">o davčnih informacijah </w:t>
            </w:r>
            <w:r w:rsidRPr="00605612">
              <w:rPr>
                <w:rFonts w:cs="Arial"/>
                <w:szCs w:val="20"/>
              </w:rPr>
              <w:t xml:space="preserve">v zvezi z dohodki objavila na svoji javnosti dostopni spletni strani, kjer je vsakemu dosegljivo in brezplačno dostopno najmanj pet zaporednih let. Revizorju se tudi naloži obveznost, da v svoje poročilo vključi navedbo, ali je družba dolžna objaviti poročilo </w:t>
            </w:r>
            <w:r>
              <w:rPr>
                <w:rFonts w:cs="Arial"/>
                <w:color w:val="000000" w:themeColor="text1"/>
                <w:szCs w:val="20"/>
              </w:rPr>
              <w:t>o davčnih informacijah</w:t>
            </w:r>
            <w:r w:rsidRPr="00605612">
              <w:rPr>
                <w:rFonts w:cs="Arial"/>
                <w:szCs w:val="20"/>
              </w:rPr>
              <w:t xml:space="preserve"> v zvezi z dohodki</w:t>
            </w:r>
            <w:r>
              <w:rPr>
                <w:rFonts w:cs="Arial"/>
                <w:szCs w:val="20"/>
              </w:rPr>
              <w:t>,</w:t>
            </w:r>
            <w:r w:rsidRPr="00605612">
              <w:rPr>
                <w:rFonts w:cs="Arial"/>
                <w:szCs w:val="20"/>
              </w:rPr>
              <w:t xml:space="preserve"> in če ugotovi, da bi ga morala objaviti, tudi navedbo, ali je bilo poročilo </w:t>
            </w:r>
            <w:r>
              <w:rPr>
                <w:rFonts w:cs="Arial"/>
                <w:szCs w:val="20"/>
              </w:rPr>
              <w:t xml:space="preserve">predloženo </w:t>
            </w:r>
            <w:r w:rsidRPr="00605612">
              <w:rPr>
                <w:rFonts w:cs="Arial"/>
                <w:szCs w:val="20"/>
              </w:rPr>
              <w:t xml:space="preserve">v skladu z določbami tega zakona, ki urejajo javno objavo in objavo poročila </w:t>
            </w:r>
            <w:r>
              <w:rPr>
                <w:rFonts w:cs="Arial"/>
                <w:color w:val="000000" w:themeColor="text1"/>
                <w:szCs w:val="20"/>
              </w:rPr>
              <w:t xml:space="preserve">o davčnih informacijah </w:t>
            </w:r>
            <w:r w:rsidRPr="00605612">
              <w:rPr>
                <w:rFonts w:cs="Arial"/>
                <w:szCs w:val="20"/>
              </w:rPr>
              <w:t>v zvezi z dohodki na spletni strani družbe.</w:t>
            </w:r>
            <w:r>
              <w:rPr>
                <w:rFonts w:cs="Arial"/>
                <w:szCs w:val="20"/>
              </w:rPr>
              <w:t xml:space="preserve"> </w:t>
            </w:r>
          </w:p>
          <w:p w14:paraId="42C3123B" w14:textId="77777777" w:rsidR="000C08CA" w:rsidRPr="00605612" w:rsidRDefault="000C08CA" w:rsidP="00FE328D">
            <w:pPr>
              <w:spacing w:line="276" w:lineRule="auto"/>
              <w:jc w:val="both"/>
              <w:rPr>
                <w:rFonts w:cs="Arial"/>
                <w:szCs w:val="20"/>
              </w:rPr>
            </w:pPr>
          </w:p>
          <w:p w14:paraId="509F4769" w14:textId="77777777" w:rsidR="000C08CA" w:rsidRPr="00605612" w:rsidRDefault="000C08CA" w:rsidP="00FE328D">
            <w:pPr>
              <w:spacing w:line="276" w:lineRule="auto"/>
              <w:jc w:val="both"/>
              <w:rPr>
                <w:rFonts w:cs="Arial"/>
                <w:szCs w:val="20"/>
              </w:rPr>
            </w:pPr>
            <w:r w:rsidRPr="00605612">
              <w:rPr>
                <w:rFonts w:cs="Arial"/>
                <w:szCs w:val="20"/>
              </w:rPr>
              <w:t>Zaradi večje preglednosti se stavki v prvem odstavku združijo in navedejo po alinejah</w:t>
            </w:r>
            <w:r>
              <w:rPr>
                <w:rFonts w:cs="Arial"/>
                <w:szCs w:val="20"/>
              </w:rPr>
              <w:t>. Zaradi s tem zakonom spremenjenega 70. člena (dodan je nov tretji odstavek) je potreben popravek besedila »</w:t>
            </w:r>
            <w:r w:rsidRPr="00BA70CF">
              <w:rPr>
                <w:rFonts w:cs="Arial"/>
                <w:szCs w:val="20"/>
              </w:rPr>
              <w:t xml:space="preserve">omeji na pregled podatkov iz 3. in 4. točke </w:t>
            </w:r>
            <w:r>
              <w:rPr>
                <w:rFonts w:cs="Arial"/>
                <w:szCs w:val="20"/>
              </w:rPr>
              <w:t>petega odstavka 70. člena tega zakona«,</w:t>
            </w:r>
            <w:r w:rsidDel="00B774C2">
              <w:rPr>
                <w:rFonts w:cs="Arial"/>
                <w:szCs w:val="20"/>
              </w:rPr>
              <w:t xml:space="preserve"> </w:t>
            </w:r>
            <w:r>
              <w:rPr>
                <w:rFonts w:cs="Arial"/>
                <w:szCs w:val="20"/>
              </w:rPr>
              <w:t>pri čemer se popravi besedilo »petega« na besedilo »šestega«.</w:t>
            </w:r>
            <w:r w:rsidRPr="00605612">
              <w:rPr>
                <w:rFonts w:cs="Arial"/>
                <w:szCs w:val="20"/>
              </w:rPr>
              <w:t xml:space="preserve"> </w:t>
            </w:r>
            <w:r>
              <w:rPr>
                <w:rFonts w:cs="Arial"/>
                <w:szCs w:val="20"/>
              </w:rPr>
              <w:t>Preostala</w:t>
            </w:r>
            <w:r w:rsidRPr="00605612">
              <w:rPr>
                <w:rFonts w:cs="Arial"/>
                <w:szCs w:val="20"/>
              </w:rPr>
              <w:t xml:space="preserve"> vsebina </w:t>
            </w:r>
            <w:r>
              <w:rPr>
                <w:rFonts w:cs="Arial"/>
                <w:szCs w:val="20"/>
              </w:rPr>
              <w:t xml:space="preserve">prvega odstavka </w:t>
            </w:r>
            <w:r w:rsidRPr="00605612">
              <w:rPr>
                <w:rFonts w:cs="Arial"/>
                <w:szCs w:val="20"/>
              </w:rPr>
              <w:t>pa se razen zgoraj omenjenega ne spreminja.</w:t>
            </w:r>
          </w:p>
          <w:p w14:paraId="09836928" w14:textId="77777777" w:rsidR="000C08CA" w:rsidRPr="00605612" w:rsidRDefault="000C08CA" w:rsidP="00FE328D">
            <w:pPr>
              <w:spacing w:line="276" w:lineRule="auto"/>
              <w:jc w:val="both"/>
              <w:rPr>
                <w:rFonts w:cs="Arial"/>
                <w:szCs w:val="20"/>
              </w:rPr>
            </w:pPr>
          </w:p>
          <w:p w14:paraId="1165C720" w14:textId="77777777" w:rsidR="000C08CA" w:rsidRPr="00605612" w:rsidRDefault="000C08CA" w:rsidP="00FE328D">
            <w:pPr>
              <w:spacing w:line="276" w:lineRule="auto"/>
              <w:jc w:val="both"/>
              <w:rPr>
                <w:rFonts w:cs="Arial"/>
                <w:szCs w:val="20"/>
              </w:rPr>
            </w:pPr>
            <w:r w:rsidRPr="00605612">
              <w:rPr>
                <w:rFonts w:cs="Arial"/>
                <w:szCs w:val="20"/>
              </w:rPr>
              <w:t xml:space="preserve">Drugi odstavek 57. člena ZGD-1 določa pisno obliko revizorjevega poročila </w:t>
            </w:r>
            <w:r>
              <w:rPr>
                <w:rFonts w:cs="Arial"/>
                <w:szCs w:val="20"/>
              </w:rPr>
              <w:t>in</w:t>
            </w:r>
            <w:r w:rsidRPr="00605612">
              <w:rPr>
                <w:rFonts w:cs="Arial"/>
                <w:szCs w:val="20"/>
              </w:rPr>
              <w:t xml:space="preserve"> njegovo obvezno vsebino. Revizorjevo poročilo mora med drugim vsebovati opis obsega revizije, opis uporabljenih revizijskih standardov, revizijsko mnenje glede tega ali letni računovodski izkazi izpolnjujejo zakonske </w:t>
            </w:r>
            <w:r w:rsidRPr="00605612">
              <w:rPr>
                <w:rFonts w:cs="Arial"/>
                <w:szCs w:val="20"/>
              </w:rPr>
              <w:lastRenderedPageBreak/>
              <w:t>zahteve ter mnenje o tem</w:t>
            </w:r>
            <w:r>
              <w:rPr>
                <w:rFonts w:cs="Arial"/>
                <w:szCs w:val="20"/>
              </w:rPr>
              <w:t>,</w:t>
            </w:r>
            <w:r w:rsidRPr="00605612">
              <w:rPr>
                <w:rFonts w:cs="Arial"/>
                <w:szCs w:val="20"/>
              </w:rPr>
              <w:t xml:space="preserve"> ali je poslovno poročilo skladno z računovodskimi izkazi istega poslovnega leta in ali je bilo poslovno poročilo pripravljeno v skladu z veljavnimi pravnimi zahtevami.</w:t>
            </w:r>
          </w:p>
          <w:p w14:paraId="0894D4D2" w14:textId="77777777" w:rsidR="000C08CA" w:rsidRPr="00605612" w:rsidRDefault="000C08CA" w:rsidP="00FE328D">
            <w:pPr>
              <w:spacing w:line="276" w:lineRule="auto"/>
              <w:jc w:val="both"/>
              <w:rPr>
                <w:rFonts w:cs="Arial"/>
                <w:szCs w:val="20"/>
              </w:rPr>
            </w:pPr>
          </w:p>
          <w:p w14:paraId="50B5269F" w14:textId="77777777" w:rsidR="000C08CA" w:rsidRPr="00605612" w:rsidRDefault="000C08CA" w:rsidP="00FE328D">
            <w:pPr>
              <w:spacing w:line="276" w:lineRule="auto"/>
              <w:jc w:val="both"/>
              <w:rPr>
                <w:rFonts w:cs="Arial"/>
                <w:szCs w:val="20"/>
              </w:rPr>
            </w:pPr>
            <w:r w:rsidRPr="00605612">
              <w:rPr>
                <w:rFonts w:cs="Arial"/>
                <w:szCs w:val="20"/>
              </w:rPr>
              <w:t xml:space="preserve">Dopolnitev drugega in sprememba tretjega odstavka 57. člena ZGD-1 sta potrebni iz že prej pojasnjenega razloga, in sicer zaradi z </w:t>
            </w:r>
            <w:r w:rsidRPr="00605612">
              <w:rPr>
                <w:rFonts w:cs="Arial"/>
                <w:szCs w:val="20"/>
                <w:u w:val="single"/>
              </w:rPr>
              <w:t>Direktivo 2022/2464/EU</w:t>
            </w:r>
            <w:r w:rsidRPr="00605612">
              <w:rPr>
                <w:rFonts w:cs="Arial"/>
                <w:szCs w:val="20"/>
              </w:rPr>
              <w:t xml:space="preserve"> spremenjene določbe prvega odstavka 34. člena Direktive 2013/34/EU, ki določa, da mora revizor podati mnenje glede skladnosti poročanja o trajnostnosti z zahtevami direktive. To mnenje bo vključeno v</w:t>
            </w:r>
            <w:r w:rsidRPr="00605612" w:rsidDel="00162BD9">
              <w:rPr>
                <w:rFonts w:cs="Arial"/>
                <w:szCs w:val="20"/>
              </w:rPr>
              <w:t xml:space="preserve"> </w:t>
            </w:r>
            <w:r>
              <w:rPr>
                <w:rFonts w:cs="Arial"/>
                <w:szCs w:val="20"/>
              </w:rPr>
              <w:t xml:space="preserve">revizorjevo </w:t>
            </w:r>
            <w:r w:rsidRPr="00605612">
              <w:rPr>
                <w:rFonts w:cs="Arial"/>
                <w:szCs w:val="20"/>
              </w:rPr>
              <w:t xml:space="preserve">poročilo </w:t>
            </w:r>
            <w:r w:rsidRPr="00162BD9">
              <w:rPr>
                <w:rFonts w:cs="Arial"/>
                <w:szCs w:val="20"/>
              </w:rPr>
              <w:t xml:space="preserve">o dajanju zagotovil o </w:t>
            </w:r>
            <w:r w:rsidRPr="00605612" w:rsidDel="00162BD9">
              <w:rPr>
                <w:rFonts w:cs="Arial"/>
                <w:szCs w:val="20"/>
              </w:rPr>
              <w:t>trajnostnosti</w:t>
            </w:r>
            <w:r w:rsidRPr="00605612">
              <w:rPr>
                <w:rFonts w:cs="Arial"/>
                <w:szCs w:val="20"/>
              </w:rPr>
              <w:t xml:space="preserve">. Posledično se v drugem odstavku dodaja besedilo, da se ta odstavek nanaša le </w:t>
            </w:r>
            <w:r>
              <w:rPr>
                <w:rFonts w:cs="Arial"/>
                <w:szCs w:val="20"/>
              </w:rPr>
              <w:t>na</w:t>
            </w:r>
            <w:r w:rsidRPr="00605612">
              <w:rPr>
                <w:rFonts w:cs="Arial"/>
                <w:szCs w:val="20"/>
              </w:rPr>
              <w:t xml:space="preserve"> t. i. revizorjevo poročilo o</w:t>
            </w:r>
            <w:r w:rsidRPr="00605612" w:rsidDel="00E955A0">
              <w:rPr>
                <w:rFonts w:cs="Arial"/>
                <w:szCs w:val="20"/>
              </w:rPr>
              <w:t xml:space="preserve"> </w:t>
            </w:r>
            <w:r w:rsidRPr="00605612">
              <w:rPr>
                <w:rFonts w:cs="Arial"/>
                <w:szCs w:val="20"/>
              </w:rPr>
              <w:t>računovodskih izkazih, ki vključuje vse dosedanje obveznosti revizorja pri pripravi poročila.</w:t>
            </w:r>
            <w:r w:rsidRPr="00605612" w:rsidDel="00B774C2">
              <w:rPr>
                <w:rFonts w:cs="Arial"/>
                <w:szCs w:val="20"/>
              </w:rPr>
              <w:t xml:space="preserve"> </w:t>
            </w:r>
            <w:r>
              <w:rPr>
                <w:rFonts w:cs="Arial"/>
                <w:szCs w:val="20"/>
              </w:rPr>
              <w:t>Revizorjevo p</w:t>
            </w:r>
            <w:r w:rsidRPr="00605612">
              <w:rPr>
                <w:rFonts w:cs="Arial"/>
                <w:szCs w:val="20"/>
              </w:rPr>
              <w:t xml:space="preserve">oročilo </w:t>
            </w:r>
            <w:r w:rsidRPr="001554E4">
              <w:rPr>
                <w:rFonts w:cs="Arial"/>
                <w:szCs w:val="20"/>
              </w:rPr>
              <w:t xml:space="preserve">o dajanju zagotovil o trajnostnosti </w:t>
            </w:r>
            <w:r w:rsidRPr="00605612">
              <w:rPr>
                <w:rFonts w:cs="Arial"/>
                <w:szCs w:val="20"/>
              </w:rPr>
              <w:t>se zdaj ureja v novem tretjem odstavku, zanj se določa</w:t>
            </w:r>
            <w:r>
              <w:rPr>
                <w:rFonts w:cs="Arial"/>
                <w:szCs w:val="20"/>
              </w:rPr>
              <w:t>ta</w:t>
            </w:r>
            <w:r w:rsidRPr="00605612">
              <w:rPr>
                <w:rFonts w:cs="Arial"/>
                <w:szCs w:val="20"/>
              </w:rPr>
              <w:t xml:space="preserve"> pisna oblika in minimalna vsebina tega poročila:</w:t>
            </w:r>
          </w:p>
          <w:p w14:paraId="509793A7" w14:textId="77777777" w:rsidR="000C08CA" w:rsidRPr="00551F00" w:rsidRDefault="000C08CA" w:rsidP="00FE328D">
            <w:pPr>
              <w:pStyle w:val="ListParagraph"/>
              <w:numPr>
                <w:ilvl w:val="0"/>
                <w:numId w:val="91"/>
              </w:numPr>
              <w:spacing w:line="276" w:lineRule="auto"/>
              <w:jc w:val="both"/>
              <w:rPr>
                <w:rFonts w:ascii="Arial" w:hAnsi="Arial" w:cs="Arial"/>
                <w:sz w:val="20"/>
                <w:szCs w:val="20"/>
              </w:rPr>
            </w:pPr>
            <w:r w:rsidRPr="00551F00">
              <w:rPr>
                <w:rFonts w:ascii="Arial" w:hAnsi="Arial" w:cs="Arial"/>
                <w:sz w:val="20"/>
                <w:szCs w:val="20"/>
              </w:rPr>
              <w:t>opredelitev družbe, katere poročilo o trajnostnosti ali konsolidirano poročilo o trajnostnosti je predmet pregleda, navedbo poročila o trajnostnosti ali konsolidiranega poročila o trajnostnosti, datuma in obdobja, ki ga zajema, ter opredelitev okvira poročanja o trajnostnosti, uporabljenega pri njegovi pripravi;</w:t>
            </w:r>
          </w:p>
          <w:p w14:paraId="62084B1A" w14:textId="77777777" w:rsidR="000C08CA" w:rsidRPr="00D32D88" w:rsidRDefault="000C08CA" w:rsidP="00FE328D">
            <w:pPr>
              <w:pStyle w:val="ListParagraph"/>
              <w:numPr>
                <w:ilvl w:val="0"/>
                <w:numId w:val="91"/>
              </w:numPr>
              <w:spacing w:line="276" w:lineRule="auto"/>
              <w:jc w:val="both"/>
              <w:rPr>
                <w:rFonts w:ascii="Arial" w:hAnsi="Arial" w:cs="Arial"/>
                <w:sz w:val="20"/>
                <w:szCs w:val="20"/>
              </w:rPr>
            </w:pPr>
            <w:r>
              <w:rPr>
                <w:rFonts w:ascii="Arial" w:hAnsi="Arial" w:cs="Arial"/>
                <w:sz w:val="20"/>
                <w:szCs w:val="20"/>
              </w:rPr>
              <w:t>opis obsega</w:t>
            </w:r>
            <w:r w:rsidRPr="00D32D88">
              <w:rPr>
                <w:rFonts w:ascii="Arial" w:hAnsi="Arial" w:cs="Arial"/>
                <w:sz w:val="20"/>
                <w:szCs w:val="20"/>
              </w:rPr>
              <w:t xml:space="preserve"> dajanja zagotovil o trajnostnosti, v katerem se opredelijo vsaj standardi dajanja zagotovil, v skladu s katerimi je bil izveden pregled;</w:t>
            </w:r>
          </w:p>
          <w:p w14:paraId="733611B0" w14:textId="77777777" w:rsidR="000C08CA" w:rsidRPr="00551F00" w:rsidRDefault="000C08CA" w:rsidP="00FE328D">
            <w:pPr>
              <w:pStyle w:val="ListParagraph"/>
              <w:numPr>
                <w:ilvl w:val="0"/>
                <w:numId w:val="91"/>
              </w:numPr>
              <w:spacing w:line="276" w:lineRule="auto"/>
              <w:jc w:val="both"/>
              <w:rPr>
                <w:rFonts w:ascii="Arial" w:hAnsi="Arial" w:cs="Arial"/>
                <w:sz w:val="20"/>
                <w:szCs w:val="20"/>
              </w:rPr>
            </w:pPr>
            <w:r w:rsidRPr="00551F00">
              <w:rPr>
                <w:rFonts w:ascii="Arial" w:hAnsi="Arial" w:cs="Arial"/>
                <w:sz w:val="20"/>
                <w:szCs w:val="20"/>
              </w:rPr>
              <w:t>revizorjev sklep ali mnenje o tem</w:t>
            </w:r>
            <w:r>
              <w:rPr>
                <w:rFonts w:ascii="Arial" w:hAnsi="Arial" w:cs="Arial"/>
                <w:sz w:val="20"/>
                <w:szCs w:val="20"/>
              </w:rPr>
              <w:t>,</w:t>
            </w:r>
            <w:r w:rsidRPr="00551F00">
              <w:rPr>
                <w:rFonts w:ascii="Arial" w:hAnsi="Arial" w:cs="Arial"/>
                <w:sz w:val="20"/>
                <w:szCs w:val="20"/>
              </w:rPr>
              <w:t xml:space="preserve"> ali je poročilo o trajnostnosti ali konsolidirano poročilo o trajnostnosti skladno z zahtevami tega zakona ter 8. člena Uredbe 2020/852/EU;</w:t>
            </w:r>
          </w:p>
          <w:p w14:paraId="7C5186B1" w14:textId="77777777" w:rsidR="000C08CA" w:rsidRPr="00551F00" w:rsidRDefault="000C08CA" w:rsidP="00FE328D">
            <w:pPr>
              <w:pStyle w:val="ListParagraph"/>
              <w:numPr>
                <w:ilvl w:val="0"/>
                <w:numId w:val="91"/>
              </w:numPr>
              <w:spacing w:line="276" w:lineRule="auto"/>
              <w:jc w:val="both"/>
              <w:rPr>
                <w:rFonts w:ascii="Arial" w:hAnsi="Arial" w:cs="Arial"/>
                <w:sz w:val="20"/>
                <w:szCs w:val="20"/>
              </w:rPr>
            </w:pPr>
            <w:r w:rsidRPr="00551F00">
              <w:rPr>
                <w:rFonts w:ascii="Arial" w:hAnsi="Arial" w:cs="Arial"/>
                <w:sz w:val="20"/>
                <w:szCs w:val="20"/>
              </w:rPr>
              <w:t>navedbo sedeža revizorja ali revizijske družbe;</w:t>
            </w:r>
          </w:p>
          <w:p w14:paraId="5EA93AF2" w14:textId="77777777" w:rsidR="000C08CA" w:rsidRPr="00605612" w:rsidRDefault="000C08CA" w:rsidP="00FE328D">
            <w:pPr>
              <w:pStyle w:val="ListParagraph"/>
              <w:numPr>
                <w:ilvl w:val="0"/>
                <w:numId w:val="91"/>
              </w:numPr>
              <w:spacing w:line="276" w:lineRule="auto"/>
              <w:jc w:val="both"/>
              <w:rPr>
                <w:rFonts w:ascii="Arial" w:hAnsi="Arial" w:cs="Arial"/>
                <w:sz w:val="20"/>
                <w:szCs w:val="20"/>
              </w:rPr>
            </w:pPr>
            <w:r w:rsidRPr="00551F00">
              <w:rPr>
                <w:rFonts w:ascii="Arial" w:hAnsi="Arial" w:cs="Arial"/>
                <w:sz w:val="20"/>
                <w:szCs w:val="20"/>
              </w:rPr>
              <w:t>datum in revizorjev podpis.</w:t>
            </w:r>
          </w:p>
          <w:p w14:paraId="1D473F7E" w14:textId="77777777" w:rsidR="000C08CA" w:rsidRDefault="000C08CA" w:rsidP="00FE328D">
            <w:pPr>
              <w:spacing w:line="276" w:lineRule="auto"/>
              <w:jc w:val="both"/>
              <w:rPr>
                <w:rFonts w:cs="Arial"/>
                <w:szCs w:val="20"/>
              </w:rPr>
            </w:pPr>
            <w:r>
              <w:rPr>
                <w:rFonts w:cs="Arial"/>
                <w:szCs w:val="20"/>
              </w:rPr>
              <w:t>Revizorjevo p</w:t>
            </w:r>
            <w:r w:rsidRPr="007B1974">
              <w:rPr>
                <w:rFonts w:cs="Arial"/>
                <w:szCs w:val="20"/>
              </w:rPr>
              <w:t>oročilo o dajanju zagotovil o trajnostnosti</w:t>
            </w:r>
            <w:r>
              <w:rPr>
                <w:rFonts w:cs="Arial"/>
                <w:szCs w:val="20"/>
              </w:rPr>
              <w:t xml:space="preserve"> je v </w:t>
            </w:r>
            <w:r w:rsidRPr="004B4456">
              <w:rPr>
                <w:rFonts w:cs="Arial"/>
                <w:szCs w:val="20"/>
              </w:rPr>
              <w:t>Direktiv</w:t>
            </w:r>
            <w:r>
              <w:rPr>
                <w:rFonts w:cs="Arial"/>
                <w:szCs w:val="20"/>
              </w:rPr>
              <w:t>i</w:t>
            </w:r>
            <w:r w:rsidRPr="004B4456">
              <w:rPr>
                <w:rFonts w:cs="Arial"/>
                <w:szCs w:val="20"/>
              </w:rPr>
              <w:t xml:space="preserve"> 2022/2464/EU</w:t>
            </w:r>
            <w:r>
              <w:rPr>
                <w:rFonts w:cs="Arial"/>
                <w:szCs w:val="20"/>
              </w:rPr>
              <w:t xml:space="preserve"> poimenovano v osemnajstem odstavku 3. člena (ki</w:t>
            </w:r>
            <w:r w:rsidDel="00434D28">
              <w:rPr>
                <w:rFonts w:cs="Arial"/>
                <w:szCs w:val="20"/>
              </w:rPr>
              <w:t xml:space="preserve"> </w:t>
            </w:r>
            <w:r>
              <w:rPr>
                <w:rFonts w:cs="Arial"/>
                <w:szCs w:val="20"/>
              </w:rPr>
              <w:t>dodaja nov 28</w:t>
            </w:r>
            <w:r w:rsidDel="00960D04">
              <w:rPr>
                <w:rFonts w:cs="Arial"/>
                <w:szCs w:val="20"/>
              </w:rPr>
              <w:t>.</w:t>
            </w:r>
            <w:r>
              <w:rPr>
                <w:rFonts w:cs="Arial"/>
                <w:szCs w:val="20"/>
              </w:rPr>
              <w:t xml:space="preserve">a </w:t>
            </w:r>
            <w:r w:rsidDel="00960D04">
              <w:rPr>
                <w:rFonts w:cs="Arial"/>
                <w:szCs w:val="20"/>
              </w:rPr>
              <w:t xml:space="preserve">člen </w:t>
            </w:r>
            <w:r w:rsidRPr="00D76F16">
              <w:rPr>
                <w:rFonts w:cs="Arial"/>
                <w:szCs w:val="20"/>
              </w:rPr>
              <w:t>Direktive 2006/43/ES</w:t>
            </w:r>
            <w:r>
              <w:rPr>
                <w:rFonts w:cs="Arial"/>
                <w:szCs w:val="20"/>
              </w:rPr>
              <w:t>), in sicer kot p</w:t>
            </w:r>
            <w:r w:rsidRPr="00057BF9">
              <w:rPr>
                <w:rFonts w:cs="Arial"/>
                <w:szCs w:val="20"/>
              </w:rPr>
              <w:t>oročilo o zanesljivosti poročanja o trajnostnosti</w:t>
            </w:r>
            <w:r>
              <w:rPr>
                <w:rFonts w:cs="Arial"/>
                <w:szCs w:val="20"/>
              </w:rPr>
              <w:t>. Vendar ZRev-2, ki</w:t>
            </w:r>
            <w:r w:rsidDel="00960D04">
              <w:rPr>
                <w:rFonts w:cs="Arial"/>
                <w:szCs w:val="20"/>
              </w:rPr>
              <w:t xml:space="preserve"> </w:t>
            </w:r>
            <w:r>
              <w:rPr>
                <w:rFonts w:cs="Arial"/>
                <w:szCs w:val="20"/>
              </w:rPr>
              <w:t xml:space="preserve">tudi prenaša del določb </w:t>
            </w:r>
            <w:r w:rsidRPr="00706ABC">
              <w:rPr>
                <w:rFonts w:cs="Arial"/>
                <w:szCs w:val="20"/>
              </w:rPr>
              <w:t>Direktiv</w:t>
            </w:r>
            <w:r>
              <w:rPr>
                <w:rFonts w:cs="Arial"/>
                <w:szCs w:val="20"/>
              </w:rPr>
              <w:t>e</w:t>
            </w:r>
            <w:r w:rsidRPr="00706ABC">
              <w:rPr>
                <w:rFonts w:cs="Arial"/>
                <w:szCs w:val="20"/>
              </w:rPr>
              <w:t xml:space="preserve"> 2022/2464/EU</w:t>
            </w:r>
            <w:r>
              <w:rPr>
                <w:rFonts w:cs="Arial"/>
                <w:szCs w:val="20"/>
              </w:rPr>
              <w:t>, poimenuje to poročilo kot revizorjevo p</w:t>
            </w:r>
            <w:r w:rsidRPr="003552DB">
              <w:rPr>
                <w:rFonts w:cs="Arial"/>
                <w:szCs w:val="20"/>
              </w:rPr>
              <w:t>oročilo o dajanju zagotovil o trajnostnosti</w:t>
            </w:r>
            <w:r>
              <w:rPr>
                <w:rFonts w:cs="Arial"/>
                <w:szCs w:val="20"/>
              </w:rPr>
              <w:t xml:space="preserve">, ki je po mnenju revizijske stroke primernejši izraz, zato je tudi v ZGD-1 uporabljen ta izraz. Glede na novi izraz je bila potrebna sprememba naslova, ki poleg izraza revidiranje vključuje tudi </w:t>
            </w:r>
            <w:r w:rsidRPr="00E36AE7">
              <w:rPr>
                <w:rFonts w:cs="Arial"/>
                <w:szCs w:val="20"/>
              </w:rPr>
              <w:t>dajanje zagotovil o trajnostnosti</w:t>
            </w:r>
            <w:r>
              <w:rPr>
                <w:rFonts w:cs="Arial"/>
                <w:szCs w:val="20"/>
              </w:rPr>
              <w:t>. Navedeni izraz se uporablja le v 57. členu ZGD-1, kadar revizor pregleda poročilo o trajnostnosti na podlagi nacionalne zakonodaje. V vseh preostalih primerih (osmi odstavek 70.c člena, 70.d člen in 683.b člen ZGD-1) pa se uporablja izraz »</w:t>
            </w:r>
            <w:r w:rsidRPr="00F7226F">
              <w:rPr>
                <w:rFonts w:cs="Arial"/>
                <w:szCs w:val="20"/>
              </w:rPr>
              <w:t>mnenje o skladnosti poročila o trajnostnosti s pravili trajnostnega poročanja</w:t>
            </w:r>
            <w:r>
              <w:rPr>
                <w:rFonts w:cs="Arial"/>
                <w:szCs w:val="20"/>
              </w:rPr>
              <w:t>«, saj je takšno mnenje lahko podano na podlagi drugačnih predpisov, kot so nacionalni. Takšno mnenje lahko izrazi tudi neodvisni ponudnik storitev dajanja zagotovil, če tuji predpisi to dopuščajo, zato je zaradi večje jasnosti primernejše, da se uporabi drugačen izraz.</w:t>
            </w:r>
          </w:p>
          <w:p w14:paraId="515B75A0" w14:textId="77777777" w:rsidR="000C08CA" w:rsidRPr="007B1974" w:rsidRDefault="000C08CA" w:rsidP="00FE328D">
            <w:pPr>
              <w:spacing w:line="276" w:lineRule="auto"/>
              <w:jc w:val="both"/>
              <w:rPr>
                <w:rFonts w:cs="Arial"/>
                <w:szCs w:val="20"/>
              </w:rPr>
            </w:pPr>
          </w:p>
          <w:p w14:paraId="3CBC6573" w14:textId="77777777" w:rsidR="000C08CA" w:rsidRPr="00605612" w:rsidRDefault="000C08CA" w:rsidP="00FE328D">
            <w:pPr>
              <w:spacing w:line="276" w:lineRule="auto"/>
              <w:jc w:val="both"/>
              <w:rPr>
                <w:rFonts w:cs="Arial"/>
                <w:szCs w:val="20"/>
              </w:rPr>
            </w:pPr>
            <w:r w:rsidRPr="00605612">
              <w:rPr>
                <w:rFonts w:cs="Arial"/>
                <w:szCs w:val="20"/>
              </w:rPr>
              <w:t>Kot je pojasnjeno v prejšnjem odstavku</w:t>
            </w:r>
            <w:r>
              <w:rPr>
                <w:rFonts w:cs="Arial"/>
                <w:szCs w:val="20"/>
              </w:rPr>
              <w:t>,</w:t>
            </w:r>
            <w:r w:rsidRPr="00605612">
              <w:rPr>
                <w:rFonts w:cs="Arial"/>
                <w:szCs w:val="20"/>
              </w:rPr>
              <w:t xml:space="preserve"> mora revizor podati mnenje, ali je poročilo o trajnostnosti pripravljeno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s tem zakonom </w:t>
            </w:r>
            <w:r>
              <w:rPr>
                <w:rFonts w:cs="Arial"/>
                <w:szCs w:val="20"/>
              </w:rPr>
              <w:t>in</w:t>
            </w:r>
            <w:r w:rsidRPr="00605612">
              <w:rPr>
                <w:rFonts w:cs="Arial"/>
                <w:szCs w:val="20"/>
              </w:rPr>
              <w:t xml:space="preserve"> 8. členom Uredbe 2020/852/EU. Ta določa, da družba, za katero velja obveznost objave nefinančnih informacij na podlagi 19</w:t>
            </w:r>
            <w:r w:rsidRPr="00605612" w:rsidDel="00960D04">
              <w:rPr>
                <w:rFonts w:cs="Arial"/>
                <w:szCs w:val="20"/>
              </w:rPr>
              <w:t>.</w:t>
            </w:r>
            <w:r w:rsidRPr="00605612">
              <w:rPr>
                <w:rFonts w:cs="Arial"/>
                <w:szCs w:val="20"/>
              </w:rPr>
              <w:t>a ali 29</w:t>
            </w:r>
            <w:r w:rsidRPr="00605612" w:rsidDel="00960D04">
              <w:rPr>
                <w:rFonts w:cs="Arial"/>
                <w:szCs w:val="20"/>
              </w:rPr>
              <w:t>.</w:t>
            </w:r>
            <w:r w:rsidRPr="00605612">
              <w:rPr>
                <w:rFonts w:cs="Arial"/>
                <w:szCs w:val="20"/>
              </w:rPr>
              <w:t xml:space="preserve">a </w:t>
            </w:r>
            <w:r w:rsidRPr="00605612" w:rsidDel="00960D04">
              <w:rPr>
                <w:rFonts w:cs="Arial"/>
                <w:szCs w:val="20"/>
              </w:rPr>
              <w:t xml:space="preserve">člena </w:t>
            </w:r>
            <w:r w:rsidRPr="00605612">
              <w:rPr>
                <w:rFonts w:cs="Arial"/>
                <w:szCs w:val="20"/>
              </w:rPr>
              <w:t>Direktive 2013/34/EU, v izjavo o nefinančnem poslovanju ali konsolidirano izjavo o nefinančnem poslovanju vključi informacije o tem, kako in kolik</w:t>
            </w:r>
            <w:r>
              <w:rPr>
                <w:rFonts w:cs="Arial"/>
                <w:szCs w:val="20"/>
              </w:rPr>
              <w:t>o</w:t>
            </w:r>
            <w:r w:rsidRPr="00605612">
              <w:rPr>
                <w:rFonts w:cs="Arial"/>
                <w:szCs w:val="20"/>
              </w:rPr>
              <w:t xml:space="preserve"> so dejavnosti družbe povezane z gospodarskimi dejavnostmi, ki se štejejo kot okoljsko trajnostne v skladu s 3. in 9. členom </w:t>
            </w:r>
            <w:r>
              <w:rPr>
                <w:rFonts w:cs="Arial"/>
                <w:szCs w:val="20"/>
              </w:rPr>
              <w:t>navedene</w:t>
            </w:r>
            <w:r w:rsidRPr="00605612">
              <w:rPr>
                <w:rFonts w:cs="Arial"/>
                <w:szCs w:val="20"/>
              </w:rPr>
              <w:t xml:space="preserve"> uredbe. Ker </w:t>
            </w:r>
            <w:r>
              <w:rPr>
                <w:rFonts w:cs="Arial"/>
                <w:szCs w:val="20"/>
              </w:rPr>
              <w:t>se</w:t>
            </w:r>
            <w:r w:rsidRPr="00605612">
              <w:rPr>
                <w:rFonts w:cs="Arial"/>
                <w:szCs w:val="20"/>
              </w:rPr>
              <w:t xml:space="preserve"> uredb</w:t>
            </w:r>
            <w:r>
              <w:rPr>
                <w:rFonts w:cs="Arial"/>
                <w:szCs w:val="20"/>
              </w:rPr>
              <w:t>a uporablja</w:t>
            </w:r>
            <w:r w:rsidRPr="00605612">
              <w:rPr>
                <w:rFonts w:cs="Arial"/>
                <w:szCs w:val="20"/>
              </w:rPr>
              <w:t xml:space="preserve"> neposredno, obveznost iz 8. člena Uredbe 2020/852/EU ni izrecno opredeljena v tem zakonu, treba pa je določiti obveznost revizorja, da pregleda (tudi) to dolžnost družb. </w:t>
            </w:r>
            <w:r w:rsidRPr="00605612" w:rsidDel="00A1031A">
              <w:rPr>
                <w:rFonts w:cs="Arial"/>
                <w:szCs w:val="20"/>
              </w:rPr>
              <w:t xml:space="preserve">8. člen Uredbe 2020/852/EU </w:t>
            </w:r>
            <w:r w:rsidRPr="00605612">
              <w:rPr>
                <w:rFonts w:cs="Arial"/>
                <w:szCs w:val="20"/>
              </w:rPr>
              <w:t>se sklicuje na objavo nefinančnih informacij na podlagi 19</w:t>
            </w:r>
            <w:r w:rsidRPr="00605612" w:rsidDel="00960D04">
              <w:rPr>
                <w:rFonts w:cs="Arial"/>
                <w:szCs w:val="20"/>
              </w:rPr>
              <w:t>.</w:t>
            </w:r>
            <w:r w:rsidRPr="00605612">
              <w:rPr>
                <w:rFonts w:cs="Arial"/>
                <w:szCs w:val="20"/>
              </w:rPr>
              <w:t>a ali 29</w:t>
            </w:r>
            <w:r w:rsidRPr="00605612" w:rsidDel="00960D04">
              <w:rPr>
                <w:rFonts w:cs="Arial"/>
                <w:szCs w:val="20"/>
              </w:rPr>
              <w:t>.</w:t>
            </w:r>
            <w:r w:rsidRPr="00605612">
              <w:rPr>
                <w:rFonts w:cs="Arial"/>
                <w:szCs w:val="20"/>
              </w:rPr>
              <w:t xml:space="preserve">a </w:t>
            </w:r>
            <w:r w:rsidRPr="00605612" w:rsidDel="00960D04">
              <w:rPr>
                <w:rFonts w:cs="Arial"/>
                <w:szCs w:val="20"/>
              </w:rPr>
              <w:t xml:space="preserve">člena </w:t>
            </w:r>
            <w:r w:rsidRPr="00605612">
              <w:rPr>
                <w:rFonts w:cs="Arial"/>
                <w:szCs w:val="20"/>
              </w:rPr>
              <w:t>Direktive 2013/34/EU</w:t>
            </w:r>
            <w:r w:rsidRPr="00605612" w:rsidDel="00960D04">
              <w:rPr>
                <w:rFonts w:cs="Arial"/>
                <w:szCs w:val="20"/>
              </w:rPr>
              <w:t>«</w:t>
            </w:r>
            <w:r w:rsidRPr="00605612">
              <w:rPr>
                <w:rFonts w:cs="Arial"/>
                <w:szCs w:val="20"/>
              </w:rPr>
              <w:t>, vendar Direktiva 2022/2464/EU spreminja določbe 19</w:t>
            </w:r>
            <w:r w:rsidRPr="00605612" w:rsidDel="00960D04">
              <w:rPr>
                <w:rFonts w:cs="Arial"/>
                <w:szCs w:val="20"/>
              </w:rPr>
              <w:t>.</w:t>
            </w:r>
            <w:r w:rsidRPr="00605612">
              <w:rPr>
                <w:rFonts w:cs="Arial"/>
                <w:szCs w:val="20"/>
              </w:rPr>
              <w:t>a in 29</w:t>
            </w:r>
            <w:r w:rsidRPr="00605612" w:rsidDel="00960D04">
              <w:rPr>
                <w:rFonts w:cs="Arial"/>
                <w:szCs w:val="20"/>
              </w:rPr>
              <w:t>.</w:t>
            </w:r>
            <w:r w:rsidRPr="00605612">
              <w:rPr>
                <w:rFonts w:cs="Arial"/>
                <w:szCs w:val="20"/>
              </w:rPr>
              <w:t xml:space="preserve">a </w:t>
            </w:r>
            <w:r w:rsidRPr="00605612" w:rsidDel="00960D04">
              <w:rPr>
                <w:rFonts w:cs="Arial"/>
                <w:szCs w:val="20"/>
              </w:rPr>
              <w:t xml:space="preserve">člena </w:t>
            </w:r>
            <w:r w:rsidRPr="00605612">
              <w:rPr>
                <w:rFonts w:cs="Arial"/>
                <w:szCs w:val="20"/>
              </w:rPr>
              <w:t>Direktive 2013/34/EU tako</w:t>
            </w:r>
            <w:r>
              <w:rPr>
                <w:rFonts w:cs="Arial"/>
                <w:szCs w:val="20"/>
              </w:rPr>
              <w:t>,</w:t>
            </w:r>
            <w:r w:rsidRPr="00605612">
              <w:rPr>
                <w:rFonts w:cs="Arial"/>
                <w:szCs w:val="20"/>
              </w:rPr>
              <w:t xml:space="preserve"> da »izjavo o nefinančnem poslovanju« nadomesti  </w:t>
            </w:r>
            <w:r w:rsidRPr="00605612" w:rsidDel="00127AD9">
              <w:rPr>
                <w:rFonts w:cs="Arial"/>
                <w:szCs w:val="20"/>
              </w:rPr>
              <w:t>s</w:t>
            </w:r>
            <w:r w:rsidRPr="00605612">
              <w:rPr>
                <w:rFonts w:cs="Arial"/>
                <w:szCs w:val="20"/>
              </w:rPr>
              <w:t xml:space="preserve"> »</w:t>
            </w:r>
            <w:r>
              <w:rPr>
                <w:rFonts w:cs="Arial"/>
                <w:szCs w:val="20"/>
              </w:rPr>
              <w:t>poročanjem</w:t>
            </w:r>
            <w:r w:rsidRPr="00605612">
              <w:rPr>
                <w:rFonts w:cs="Arial"/>
                <w:szCs w:val="20"/>
              </w:rPr>
              <w:t xml:space="preserve"> o trajnostnosti«. Skladno z navedenim je treba določbe uredbe razumeti v smislu, da se nanašajo na poročilo o trajnostnosti.</w:t>
            </w:r>
            <w:r>
              <w:t xml:space="preserve"> </w:t>
            </w:r>
          </w:p>
          <w:p w14:paraId="228CBCF4" w14:textId="77777777" w:rsidR="000C08CA" w:rsidRPr="00605612" w:rsidRDefault="000C08CA" w:rsidP="00FE328D">
            <w:pPr>
              <w:spacing w:line="276" w:lineRule="auto"/>
              <w:jc w:val="both"/>
              <w:rPr>
                <w:rFonts w:cs="Arial"/>
                <w:b/>
                <w:bCs/>
                <w:szCs w:val="20"/>
              </w:rPr>
            </w:pPr>
          </w:p>
          <w:p w14:paraId="0C399DC2" w14:textId="77777777" w:rsidR="000C08CA" w:rsidRPr="00605612" w:rsidRDefault="000C08CA" w:rsidP="00FE328D">
            <w:pPr>
              <w:spacing w:line="276" w:lineRule="auto"/>
              <w:jc w:val="both"/>
              <w:rPr>
                <w:rFonts w:cs="Arial"/>
                <w:b/>
                <w:bCs/>
                <w:szCs w:val="20"/>
              </w:rPr>
            </w:pPr>
            <w:r w:rsidRPr="00605612">
              <w:rPr>
                <w:rFonts w:cs="Arial"/>
                <w:b/>
                <w:bCs/>
                <w:szCs w:val="20"/>
              </w:rPr>
              <w:t xml:space="preserve">K </w:t>
            </w:r>
            <w:r>
              <w:rPr>
                <w:rFonts w:cs="Arial"/>
                <w:b/>
                <w:bCs/>
                <w:szCs w:val="20"/>
              </w:rPr>
              <w:t>9</w:t>
            </w:r>
            <w:r w:rsidRPr="00605612">
              <w:rPr>
                <w:rFonts w:cs="Arial"/>
                <w:b/>
                <w:bCs/>
                <w:szCs w:val="20"/>
              </w:rPr>
              <w:t>. členu</w:t>
            </w:r>
          </w:p>
          <w:p w14:paraId="1965C909" w14:textId="77777777" w:rsidR="000C08CA" w:rsidRPr="00605612" w:rsidRDefault="000C08CA" w:rsidP="00FE328D">
            <w:pPr>
              <w:spacing w:line="276" w:lineRule="auto"/>
              <w:jc w:val="both"/>
              <w:rPr>
                <w:rFonts w:cs="Arial"/>
                <w:b/>
                <w:bCs/>
                <w:szCs w:val="20"/>
              </w:rPr>
            </w:pPr>
          </w:p>
          <w:p w14:paraId="70DE2287" w14:textId="77777777" w:rsidR="000C08CA" w:rsidRDefault="000C08CA" w:rsidP="00FE328D">
            <w:pPr>
              <w:spacing w:line="276" w:lineRule="auto"/>
              <w:jc w:val="both"/>
              <w:rPr>
                <w:rFonts w:cs="Arial"/>
                <w:szCs w:val="20"/>
              </w:rPr>
            </w:pPr>
            <w:r>
              <w:rPr>
                <w:rFonts w:cs="Arial"/>
                <w:szCs w:val="20"/>
              </w:rPr>
              <w:t>Zaradi nomotehničnih pravil je spremenjeno besedilo celotnega 58. člena ZGD-1. Na novo je dodan nov drugi odstavek, zato se preštevilčijo preostali odstavki in se popravijo sklici v celotnem besedilu.</w:t>
            </w:r>
          </w:p>
          <w:p w14:paraId="14DF8118" w14:textId="77777777" w:rsidR="000C08CA" w:rsidRDefault="000C08CA" w:rsidP="00FE328D">
            <w:pPr>
              <w:spacing w:line="276" w:lineRule="auto"/>
              <w:jc w:val="both"/>
              <w:rPr>
                <w:rFonts w:cs="Arial"/>
                <w:szCs w:val="20"/>
              </w:rPr>
            </w:pPr>
          </w:p>
          <w:p w14:paraId="5D68267F" w14:textId="77777777" w:rsidR="000C08CA" w:rsidRPr="00605612" w:rsidRDefault="000C08CA" w:rsidP="00FE328D">
            <w:pPr>
              <w:spacing w:line="276" w:lineRule="auto"/>
              <w:jc w:val="both"/>
              <w:rPr>
                <w:rFonts w:cs="Arial"/>
                <w:szCs w:val="20"/>
              </w:rPr>
            </w:pPr>
            <w:r w:rsidRPr="00605612">
              <w:rPr>
                <w:rFonts w:cs="Arial"/>
                <w:szCs w:val="20"/>
              </w:rPr>
              <w:t xml:space="preserve">Z novim drugim odstavkom 58. člena ZGD-1 se določa obvezna oblika poslovnega poročila za družbe, ki so zavezane pripraviti poročilo o trajnostnosti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w:t>
            </w:r>
            <w:r>
              <w:rPr>
                <w:rFonts w:cs="Arial"/>
                <w:szCs w:val="20"/>
              </w:rPr>
              <w:t>s</w:t>
            </w:r>
            <w:r w:rsidRPr="00605612">
              <w:rPr>
                <w:rFonts w:cs="Arial"/>
                <w:szCs w:val="20"/>
              </w:rPr>
              <w:t xml:space="preserve"> 70.c ali 70.č člen</w:t>
            </w:r>
            <w:r>
              <w:rPr>
                <w:rFonts w:cs="Arial"/>
                <w:szCs w:val="20"/>
              </w:rPr>
              <w:t>om</w:t>
            </w:r>
            <w:r w:rsidRPr="00605612">
              <w:rPr>
                <w:rFonts w:cs="Arial"/>
                <w:szCs w:val="20"/>
              </w:rPr>
              <w:t xml:space="preserve"> tega zakona. Z novo</w:t>
            </w:r>
            <w:r w:rsidRPr="00605612" w:rsidDel="00434D28">
              <w:rPr>
                <w:rFonts w:cs="Arial"/>
                <w:szCs w:val="20"/>
              </w:rPr>
              <w:t xml:space="preserve"> </w:t>
            </w:r>
            <w:r w:rsidRPr="00605612">
              <w:rPr>
                <w:rFonts w:cs="Arial"/>
                <w:szCs w:val="20"/>
              </w:rPr>
              <w:t>določb</w:t>
            </w:r>
            <w:r>
              <w:rPr>
                <w:rFonts w:cs="Arial"/>
                <w:szCs w:val="20"/>
              </w:rPr>
              <w:t>o</w:t>
            </w:r>
            <w:r w:rsidRPr="00605612">
              <w:rPr>
                <w:rFonts w:cs="Arial"/>
                <w:szCs w:val="20"/>
              </w:rPr>
              <w:t xml:space="preserve"> se prenaša</w:t>
            </w:r>
            <w:r>
              <w:rPr>
                <w:rFonts w:cs="Arial"/>
                <w:szCs w:val="20"/>
              </w:rPr>
              <w:t>ta</w:t>
            </w:r>
            <w:r w:rsidRPr="00605612">
              <w:rPr>
                <w:rFonts w:cs="Arial"/>
                <w:szCs w:val="20"/>
              </w:rPr>
              <w:t xml:space="preserve"> z Direktivo 2022/2464/EU dodana določba 29</w:t>
            </w:r>
            <w:r w:rsidRPr="00605612" w:rsidDel="00960D04">
              <w:rPr>
                <w:rFonts w:cs="Arial"/>
                <w:szCs w:val="20"/>
              </w:rPr>
              <w:t>.</w:t>
            </w:r>
            <w:r w:rsidRPr="00605612">
              <w:rPr>
                <w:rFonts w:cs="Arial"/>
                <w:szCs w:val="20"/>
              </w:rPr>
              <w:t xml:space="preserve">d </w:t>
            </w:r>
            <w:r w:rsidRPr="00605612" w:rsidDel="00960D04">
              <w:rPr>
                <w:rFonts w:cs="Arial"/>
                <w:szCs w:val="20"/>
              </w:rPr>
              <w:t xml:space="preserve">člena </w:t>
            </w:r>
            <w:r w:rsidRPr="00605612">
              <w:rPr>
                <w:rFonts w:cs="Arial"/>
                <w:szCs w:val="20"/>
              </w:rPr>
              <w:t xml:space="preserve">in dopolnjena določba 30. člena Direktive 2013/34/EU. </w:t>
            </w:r>
          </w:p>
          <w:p w14:paraId="7F99B97D" w14:textId="77777777" w:rsidR="000C08CA" w:rsidRPr="00605612" w:rsidRDefault="000C08CA" w:rsidP="00FE328D">
            <w:pPr>
              <w:spacing w:line="276" w:lineRule="auto"/>
              <w:jc w:val="both"/>
              <w:rPr>
                <w:rFonts w:cs="Arial"/>
                <w:szCs w:val="20"/>
              </w:rPr>
            </w:pPr>
          </w:p>
          <w:p w14:paraId="476DEB11" w14:textId="77777777" w:rsidR="000C08CA" w:rsidRPr="00605612" w:rsidRDefault="000C08CA" w:rsidP="00FE328D">
            <w:pPr>
              <w:spacing w:line="276" w:lineRule="auto"/>
              <w:jc w:val="both"/>
              <w:rPr>
                <w:rFonts w:cs="Arial"/>
                <w:szCs w:val="20"/>
              </w:rPr>
            </w:pPr>
            <w:r w:rsidRPr="00605612">
              <w:rPr>
                <w:rFonts w:cs="Arial"/>
                <w:szCs w:val="20"/>
              </w:rPr>
              <w:t>Nov</w:t>
            </w:r>
            <w:r>
              <w:rPr>
                <w:rFonts w:cs="Arial"/>
                <w:szCs w:val="20"/>
              </w:rPr>
              <w:t>i</w:t>
            </w:r>
            <w:r w:rsidRPr="00605612">
              <w:rPr>
                <w:rFonts w:cs="Arial"/>
                <w:szCs w:val="20"/>
              </w:rPr>
              <w:t xml:space="preserve"> 29</w:t>
            </w:r>
            <w:r w:rsidRPr="00605612" w:rsidDel="00960D04">
              <w:rPr>
                <w:rFonts w:cs="Arial"/>
                <w:szCs w:val="20"/>
              </w:rPr>
              <w:t>.</w:t>
            </w:r>
            <w:r w:rsidRPr="00605612">
              <w:rPr>
                <w:rFonts w:cs="Arial"/>
                <w:szCs w:val="20"/>
              </w:rPr>
              <w:t xml:space="preserve">d </w:t>
            </w:r>
            <w:r w:rsidRPr="00605612" w:rsidDel="00960D04">
              <w:rPr>
                <w:rFonts w:cs="Arial"/>
                <w:szCs w:val="20"/>
              </w:rPr>
              <w:t xml:space="preserve">člen </w:t>
            </w:r>
            <w:r w:rsidRPr="00605612">
              <w:rPr>
                <w:rFonts w:cs="Arial"/>
                <w:szCs w:val="20"/>
              </w:rPr>
              <w:t xml:space="preserve">Direktive 2013/34/EU določa enotno elektronsko obliko poročanja. Družbe, ki so zavezane poročati skladno </w:t>
            </w:r>
            <w:r w:rsidRPr="00605612" w:rsidDel="00960D04">
              <w:rPr>
                <w:rFonts w:cs="Arial"/>
                <w:szCs w:val="20"/>
              </w:rPr>
              <w:t>z</w:t>
            </w:r>
            <w:r w:rsidRPr="00605612">
              <w:rPr>
                <w:rFonts w:cs="Arial"/>
                <w:szCs w:val="20"/>
              </w:rPr>
              <w:t xml:space="preserve"> 19</w:t>
            </w:r>
            <w:r w:rsidRPr="00605612" w:rsidDel="00960D04">
              <w:rPr>
                <w:rFonts w:cs="Arial"/>
                <w:szCs w:val="20"/>
              </w:rPr>
              <w:t>.</w:t>
            </w:r>
            <w:r w:rsidRPr="00605612">
              <w:rPr>
                <w:rFonts w:cs="Arial"/>
                <w:szCs w:val="20"/>
              </w:rPr>
              <w:t>a oziroma 29</w:t>
            </w:r>
            <w:r w:rsidRPr="00605612" w:rsidDel="00960D04">
              <w:rPr>
                <w:rFonts w:cs="Arial"/>
                <w:szCs w:val="20"/>
              </w:rPr>
              <w:t>.</w:t>
            </w:r>
            <w:r w:rsidRPr="00605612">
              <w:rPr>
                <w:rFonts w:cs="Arial"/>
                <w:szCs w:val="20"/>
              </w:rPr>
              <w:t xml:space="preserve">a </w:t>
            </w:r>
            <w:r w:rsidRPr="00605612" w:rsidDel="00960D04">
              <w:rPr>
                <w:rFonts w:cs="Arial"/>
                <w:szCs w:val="20"/>
              </w:rPr>
              <w:t xml:space="preserve">členom </w:t>
            </w:r>
            <w:r w:rsidRPr="00605612">
              <w:rPr>
                <w:rFonts w:cs="Arial"/>
                <w:szCs w:val="20"/>
              </w:rPr>
              <w:t>Direktive 2013/34/EU, morajo pripraviti poslovno poročilo oziroma konsolidirano poslovno poročilo v elektronski obliki poročanja, določeni v 3. členu Delegirane uredbe Komisije 2019/815/EU</w:t>
            </w:r>
            <w:r>
              <w:rPr>
                <w:rFonts w:cs="Arial"/>
                <w:szCs w:val="20"/>
              </w:rPr>
              <w:t>,</w:t>
            </w:r>
            <w:r w:rsidRPr="00605612">
              <w:rPr>
                <w:rFonts w:cs="Arial"/>
                <w:szCs w:val="20"/>
              </w:rPr>
              <w:t xml:space="preserve"> ter </w:t>
            </w:r>
            <w:r w:rsidRPr="00605612" w:rsidDel="00960D04">
              <w:rPr>
                <w:rFonts w:cs="Arial"/>
                <w:szCs w:val="20"/>
              </w:rPr>
              <w:t xml:space="preserve">svoje </w:t>
            </w:r>
            <w:r w:rsidRPr="00605612">
              <w:rPr>
                <w:rFonts w:cs="Arial"/>
                <w:szCs w:val="20"/>
              </w:rPr>
              <w:t>poročanje o trajnostnosti, vključno z informacijami, ki jih je treba razkriti v skladu z 8. členom Uredbe 2020/852/EU, opremiti z oznakami v skladu z elektronsko obliko poročanja, določeno v navedeni delegirani uredbi. Dopolnjen</w:t>
            </w:r>
            <w:r>
              <w:rPr>
                <w:rFonts w:cs="Arial"/>
                <w:szCs w:val="20"/>
              </w:rPr>
              <w:t>i</w:t>
            </w:r>
            <w:r w:rsidRPr="00605612">
              <w:rPr>
                <w:rFonts w:cs="Arial"/>
                <w:szCs w:val="20"/>
              </w:rPr>
              <w:t xml:space="preserve"> 30. člen Direktive 2013/34/EU</w:t>
            </w:r>
            <w:r w:rsidRPr="00605612" w:rsidDel="00960D04">
              <w:rPr>
                <w:rFonts w:cs="Arial"/>
                <w:szCs w:val="20"/>
              </w:rPr>
              <w:t xml:space="preserve"> </w:t>
            </w:r>
            <w:r w:rsidRPr="00605612">
              <w:rPr>
                <w:rFonts w:cs="Arial"/>
                <w:szCs w:val="20"/>
              </w:rPr>
              <w:t>določa</w:t>
            </w:r>
            <w:r>
              <w:rPr>
                <w:rFonts w:cs="Arial"/>
                <w:szCs w:val="20"/>
              </w:rPr>
              <w:t xml:space="preserve"> še</w:t>
            </w:r>
            <w:r w:rsidRPr="00605612">
              <w:rPr>
                <w:rFonts w:cs="Arial"/>
                <w:szCs w:val="20"/>
              </w:rPr>
              <w:t xml:space="preserve">, da morajo biti ustrezno potrjeni letni računovodski izkazi in poslovno poročilo v elektronski obliki poročanja iz 29.d </w:t>
            </w:r>
            <w:r>
              <w:rPr>
                <w:rFonts w:cs="Arial"/>
                <w:szCs w:val="20"/>
              </w:rPr>
              <w:t>naveden</w:t>
            </w:r>
            <w:r w:rsidRPr="00605612">
              <w:rPr>
                <w:rFonts w:cs="Arial"/>
                <w:szCs w:val="20"/>
              </w:rPr>
              <w:t>e direktive, kadar je ustrezno, skupaj z mnenji in izkazi, ki jih predloži zakoniti revizor ali revizijsko podjetje, tudi objavljeni.</w:t>
            </w:r>
          </w:p>
          <w:p w14:paraId="5EDFD25A" w14:textId="77777777" w:rsidR="000C08CA" w:rsidRPr="00605612" w:rsidRDefault="000C08CA" w:rsidP="00FE328D">
            <w:pPr>
              <w:spacing w:line="276" w:lineRule="auto"/>
              <w:jc w:val="both"/>
              <w:rPr>
                <w:rFonts w:cs="Arial"/>
                <w:szCs w:val="20"/>
              </w:rPr>
            </w:pPr>
          </w:p>
          <w:p w14:paraId="4B95A51B" w14:textId="77777777" w:rsidR="000C08CA" w:rsidRPr="00605612" w:rsidRDefault="000C08CA" w:rsidP="00FE328D">
            <w:pPr>
              <w:spacing w:line="276" w:lineRule="auto"/>
              <w:jc w:val="both"/>
              <w:rPr>
                <w:rFonts w:cs="Arial"/>
                <w:szCs w:val="20"/>
              </w:rPr>
            </w:pPr>
            <w:r w:rsidRPr="00605612">
              <w:rPr>
                <w:rFonts w:cs="Arial"/>
                <w:szCs w:val="20"/>
              </w:rPr>
              <w:t xml:space="preserve">Prvi odstavek 58. člena ZGD-1 določa, da morajo biti letna poročila družb, za katere velja obveznost revidiranja, in družb, pri katerih opravi revizor preiskavo letnih računovodskih izkazov, ter konsolidirana letna poročila zaradi javne objave skupaj z revizorjevim poročilom v elektronski obliki predložena AJPES v osmih mesecih po koncu poslovnega leta. </w:t>
            </w:r>
          </w:p>
          <w:p w14:paraId="46EBD18D" w14:textId="77777777" w:rsidR="000C08CA" w:rsidRPr="00605612" w:rsidRDefault="000C08CA" w:rsidP="00FE328D">
            <w:pPr>
              <w:spacing w:line="276" w:lineRule="auto"/>
              <w:jc w:val="both"/>
              <w:rPr>
                <w:rFonts w:cs="Arial"/>
                <w:szCs w:val="20"/>
              </w:rPr>
            </w:pPr>
          </w:p>
          <w:p w14:paraId="5FD2F8C5" w14:textId="77777777" w:rsidR="000C08CA" w:rsidRPr="00605612" w:rsidRDefault="000C08CA" w:rsidP="00FE328D">
            <w:pPr>
              <w:spacing w:line="276" w:lineRule="auto"/>
              <w:jc w:val="both"/>
              <w:rPr>
                <w:rFonts w:cs="Arial"/>
                <w:szCs w:val="20"/>
              </w:rPr>
            </w:pPr>
            <w:r w:rsidRPr="00605612">
              <w:rPr>
                <w:rFonts w:cs="Arial"/>
                <w:szCs w:val="20"/>
              </w:rPr>
              <w:t>Nov</w:t>
            </w:r>
            <w:r>
              <w:rPr>
                <w:rFonts w:cs="Arial"/>
                <w:szCs w:val="20"/>
              </w:rPr>
              <w:t>i</w:t>
            </w:r>
            <w:r w:rsidRPr="00605612">
              <w:rPr>
                <w:rFonts w:cs="Arial"/>
                <w:szCs w:val="20"/>
              </w:rPr>
              <w:t xml:space="preserve"> drugi odstavek 58. člena ZGD-1 dopolnjuje prvi odstavek, saj določa, da mora družba, za katero velja 70.c ali 70.č člen tega zakona, </w:t>
            </w:r>
            <w:r>
              <w:rPr>
                <w:rFonts w:cs="Arial"/>
                <w:szCs w:val="20"/>
              </w:rPr>
              <w:t xml:space="preserve">v </w:t>
            </w:r>
            <w:r w:rsidRPr="0012712D">
              <w:rPr>
                <w:rFonts w:cs="Arial"/>
                <w:szCs w:val="20"/>
              </w:rPr>
              <w:t>sklad</w:t>
            </w:r>
            <w:r>
              <w:rPr>
                <w:rFonts w:cs="Arial"/>
                <w:szCs w:val="20"/>
              </w:rPr>
              <w:t>u</w:t>
            </w:r>
            <w:r w:rsidRPr="0012712D">
              <w:rPr>
                <w:rFonts w:cs="Arial"/>
                <w:szCs w:val="20"/>
              </w:rPr>
              <w:t xml:space="preserve"> s </w:t>
            </w:r>
            <w:r>
              <w:rPr>
                <w:rFonts w:cs="Arial"/>
                <w:szCs w:val="20"/>
              </w:rPr>
              <w:t xml:space="preserve">prvim </w:t>
            </w:r>
            <w:r w:rsidRPr="0012712D">
              <w:rPr>
                <w:rFonts w:cs="Arial"/>
                <w:szCs w:val="20"/>
              </w:rPr>
              <w:t>odstavkom predloži</w:t>
            </w:r>
            <w:r>
              <w:rPr>
                <w:rFonts w:cs="Arial"/>
                <w:szCs w:val="20"/>
              </w:rPr>
              <w:t xml:space="preserve">ti </w:t>
            </w:r>
            <w:r w:rsidRPr="00605612">
              <w:rPr>
                <w:rFonts w:cs="Arial"/>
                <w:szCs w:val="20"/>
              </w:rPr>
              <w:t>letn</w:t>
            </w:r>
            <w:r>
              <w:rPr>
                <w:rFonts w:cs="Arial"/>
                <w:szCs w:val="20"/>
              </w:rPr>
              <w:t>o</w:t>
            </w:r>
            <w:r w:rsidRPr="00605612">
              <w:rPr>
                <w:rFonts w:cs="Arial"/>
                <w:szCs w:val="20"/>
              </w:rPr>
              <w:t xml:space="preserve"> poročil</w:t>
            </w:r>
            <w:r>
              <w:rPr>
                <w:rFonts w:cs="Arial"/>
                <w:szCs w:val="20"/>
              </w:rPr>
              <w:t>o</w:t>
            </w:r>
            <w:r w:rsidRPr="00605612">
              <w:rPr>
                <w:rFonts w:cs="Arial"/>
                <w:szCs w:val="20"/>
              </w:rPr>
              <w:t xml:space="preserve"> oziroma konsolidiran</w:t>
            </w:r>
            <w:r>
              <w:rPr>
                <w:rFonts w:cs="Arial"/>
                <w:szCs w:val="20"/>
              </w:rPr>
              <w:t>o</w:t>
            </w:r>
            <w:r w:rsidRPr="00605612">
              <w:rPr>
                <w:rFonts w:cs="Arial"/>
                <w:szCs w:val="20"/>
              </w:rPr>
              <w:t xml:space="preserve"> letn</w:t>
            </w:r>
            <w:r>
              <w:rPr>
                <w:rFonts w:cs="Arial"/>
                <w:szCs w:val="20"/>
              </w:rPr>
              <w:t>o</w:t>
            </w:r>
            <w:r w:rsidRPr="00605612">
              <w:rPr>
                <w:rFonts w:cs="Arial"/>
                <w:szCs w:val="20"/>
              </w:rPr>
              <w:t xml:space="preserve"> poročil</w:t>
            </w:r>
            <w:r>
              <w:rPr>
                <w:rFonts w:cs="Arial"/>
                <w:szCs w:val="20"/>
              </w:rPr>
              <w:t>o</w:t>
            </w:r>
            <w:r w:rsidRPr="00605612">
              <w:rPr>
                <w:rFonts w:cs="Arial"/>
                <w:szCs w:val="20"/>
              </w:rPr>
              <w:t xml:space="preserve"> AJPES v enotni elektronski obliki, ki jo določa 3. člen Delegirane uredbe Komisije 2019/815/EU, ter svoje poročilo o trajnostnosti, vključno z informacijami, ki jih je treba razkriti v skladu z 8. členom Uredbe 2020/852/EU, opremiti z oznakami v </w:t>
            </w:r>
            <w:r w:rsidRPr="008563DA">
              <w:rPr>
                <w:rFonts w:cs="Arial"/>
                <w:szCs w:val="20"/>
              </w:rPr>
              <w:t>skladu z elektronsko obliko poročanja, določeno v navedeni delegirani uredbi</w:t>
            </w:r>
            <w:r w:rsidRPr="00605612">
              <w:rPr>
                <w:rFonts w:cs="Arial"/>
                <w:szCs w:val="20"/>
              </w:rPr>
              <w:t>. Navedena ureditev je podobna ureditvi iz četrtega odstavka 134. člena ZTFI-1 glede objave letnih poročil za javne družbe. Kot je pojasnjeno zgoraj, 29</w:t>
            </w:r>
            <w:r w:rsidRPr="00605612" w:rsidDel="00960D04">
              <w:rPr>
                <w:rFonts w:cs="Arial"/>
                <w:szCs w:val="20"/>
              </w:rPr>
              <w:t>.</w:t>
            </w:r>
            <w:r w:rsidRPr="00605612">
              <w:rPr>
                <w:rFonts w:cs="Arial"/>
                <w:szCs w:val="20"/>
              </w:rPr>
              <w:t xml:space="preserve">d </w:t>
            </w:r>
            <w:r w:rsidRPr="00605612" w:rsidDel="00960D04">
              <w:rPr>
                <w:rFonts w:cs="Arial"/>
                <w:szCs w:val="20"/>
              </w:rPr>
              <w:t xml:space="preserve">člen </w:t>
            </w:r>
            <w:r w:rsidRPr="00605612">
              <w:rPr>
                <w:rFonts w:cs="Arial"/>
                <w:szCs w:val="20"/>
              </w:rPr>
              <w:t>Direktive 2013/34/EU določa enotno elektronsko obliko za družbe, ki so zavezane poročati</w:t>
            </w:r>
            <w:r>
              <w:rPr>
                <w:rFonts w:cs="Arial"/>
                <w:szCs w:val="20"/>
              </w:rPr>
              <w:t xml:space="preserve"> o trajnostnosti</w:t>
            </w:r>
            <w:r w:rsidRPr="00605612">
              <w:rPr>
                <w:rFonts w:cs="Arial"/>
                <w:szCs w:val="20"/>
              </w:rPr>
              <w:t>, vendar zgolj za poslovno poročilo oziroma konsolidirano poslovno poročilo. Letno poročilo pa je s svojimi sestavnimi deli, kot ga opredeljuje ZGD-1 v 60. členu, enovit dokument, iz katerega je mogoče izločiti in drugje objaviti le tiste dele, ki jih ZGD-1 posebej navaja (npr. izjavo o upravljanju družbe). Če bi se družbe zavezal</w:t>
            </w:r>
            <w:r>
              <w:rPr>
                <w:rFonts w:cs="Arial"/>
                <w:szCs w:val="20"/>
              </w:rPr>
              <w:t>e</w:t>
            </w:r>
            <w:r w:rsidRPr="00605612">
              <w:rPr>
                <w:rFonts w:cs="Arial"/>
                <w:szCs w:val="20"/>
              </w:rPr>
              <w:t xml:space="preserve"> k spoštovanju delegirane uredbe in uporabi formata XHTML le za poslovno poročilo, obstaja bojazen, da bi družbe to razumele kot objavo posameznih sestavnih delov letnega poročila v različnih elektronskih formatih, kar pa ne bi več zagotavljalo celovitosti letnega poročila. Zato se po zgledu četrtega odstavka 134. člena ZTFI-1 družbe zaveže</w:t>
            </w:r>
            <w:r>
              <w:rPr>
                <w:rFonts w:cs="Arial"/>
                <w:szCs w:val="20"/>
              </w:rPr>
              <w:t>jo</w:t>
            </w:r>
            <w:r w:rsidRPr="00605612">
              <w:rPr>
                <w:rFonts w:cs="Arial"/>
                <w:szCs w:val="20"/>
              </w:rPr>
              <w:t xml:space="preserve"> k pripravi celotnega letnega poročila v enotni elektronski obliki (kar v praksi pomeni zgolj uporabo istega elektronskega formata za celotno letno poročilo, pri čemer se bo označevalo le tiste dele letnega poročila, ki jih bo zahtevala delegirana uredba).</w:t>
            </w:r>
            <w:r>
              <w:rPr>
                <w:rFonts w:cs="Arial"/>
                <w:szCs w:val="20"/>
              </w:rPr>
              <w:t xml:space="preserve"> Če odvisna družba ni zavezana pripraviti poročila o trajnostnosti v skladu z osmim odstavkom 70.c člena tega zakona, je vseeno dolžna pripraviti letno poročilo v tej obliki. </w:t>
            </w:r>
          </w:p>
          <w:p w14:paraId="3B9E82A5" w14:textId="77777777" w:rsidR="000C08CA" w:rsidRDefault="000C08CA" w:rsidP="00FE328D">
            <w:pPr>
              <w:spacing w:line="276" w:lineRule="auto"/>
              <w:jc w:val="both"/>
              <w:rPr>
                <w:rFonts w:cs="Arial"/>
                <w:szCs w:val="20"/>
              </w:rPr>
            </w:pPr>
          </w:p>
          <w:p w14:paraId="4B06CF0E" w14:textId="77777777" w:rsidR="000C08CA" w:rsidRPr="00605612" w:rsidRDefault="000C08CA" w:rsidP="00FE328D">
            <w:pPr>
              <w:spacing w:line="276" w:lineRule="auto"/>
              <w:jc w:val="both"/>
              <w:rPr>
                <w:rFonts w:cs="Arial"/>
                <w:szCs w:val="20"/>
              </w:rPr>
            </w:pPr>
            <w:r>
              <w:rPr>
                <w:rFonts w:cs="Arial"/>
                <w:szCs w:val="20"/>
              </w:rPr>
              <w:t xml:space="preserve">V dosedanjem trinajstem odstavku, ki postane dvanajsti odstavek, se dopolni prva točka, saj Direktiva 2021/2101/EU predvideva, da bo Komisija z izvedbenim aktom določila skupno predlogo in elektronske oblike poročanja, ob tem je treba predvideti, da se bodo z izvršilnim predpisom uredila vprašanja o načinu predložitve poročila o davčnih informacijah v zvezi z dohodki in da se podajo morebitne izjave iz 70.j in 683.c člena tega zakona. </w:t>
            </w:r>
          </w:p>
          <w:p w14:paraId="5F422121" w14:textId="77777777" w:rsidR="000C08CA" w:rsidRPr="00605612" w:rsidRDefault="000C08CA" w:rsidP="00FE328D">
            <w:pPr>
              <w:spacing w:line="276" w:lineRule="auto"/>
              <w:jc w:val="both"/>
              <w:rPr>
                <w:rFonts w:cs="Arial"/>
                <w:szCs w:val="20"/>
              </w:rPr>
            </w:pPr>
          </w:p>
          <w:p w14:paraId="06FDCF0D" w14:textId="77777777" w:rsidR="000C08CA" w:rsidRPr="00605612" w:rsidRDefault="000C08CA" w:rsidP="00FE328D">
            <w:pPr>
              <w:spacing w:line="276" w:lineRule="auto"/>
              <w:jc w:val="both"/>
              <w:rPr>
                <w:rFonts w:cs="Arial"/>
                <w:strike/>
                <w:szCs w:val="20"/>
              </w:rPr>
            </w:pPr>
            <w:r w:rsidRPr="00605612">
              <w:rPr>
                <w:rFonts w:cs="Arial"/>
                <w:szCs w:val="20"/>
              </w:rPr>
              <w:t xml:space="preserve">Ker je dodan nov drugi odstavek, se preštevilčijo dosedanji drugi do štirinajsti odstavek, ki postanejo tretji do </w:t>
            </w:r>
            <w:r>
              <w:rPr>
                <w:rFonts w:cs="Arial"/>
                <w:szCs w:val="20"/>
              </w:rPr>
              <w:t xml:space="preserve">trinajsti </w:t>
            </w:r>
            <w:r w:rsidRPr="00605612">
              <w:rPr>
                <w:rFonts w:cs="Arial"/>
                <w:szCs w:val="20"/>
              </w:rPr>
              <w:t>odstavek.</w:t>
            </w:r>
          </w:p>
          <w:p w14:paraId="51FCD3F4" w14:textId="77777777" w:rsidR="000C08CA" w:rsidRPr="00605612" w:rsidRDefault="000C08CA" w:rsidP="00FE328D">
            <w:pPr>
              <w:spacing w:line="276" w:lineRule="auto"/>
              <w:jc w:val="both"/>
              <w:rPr>
                <w:rFonts w:cs="Arial"/>
                <w:b/>
                <w:bCs/>
                <w:szCs w:val="20"/>
              </w:rPr>
            </w:pPr>
          </w:p>
          <w:p w14:paraId="14B56616" w14:textId="77777777" w:rsidR="00E47655" w:rsidRDefault="00E47655" w:rsidP="00FE328D">
            <w:pPr>
              <w:spacing w:line="276" w:lineRule="auto"/>
              <w:jc w:val="both"/>
              <w:rPr>
                <w:rFonts w:cs="Arial"/>
                <w:b/>
                <w:bCs/>
                <w:szCs w:val="20"/>
              </w:rPr>
            </w:pPr>
          </w:p>
          <w:p w14:paraId="6B5C1440" w14:textId="67B48DEB" w:rsidR="000C08CA" w:rsidRPr="00605612" w:rsidRDefault="000C08CA" w:rsidP="00FE328D">
            <w:pPr>
              <w:spacing w:line="276" w:lineRule="auto"/>
              <w:jc w:val="both"/>
              <w:rPr>
                <w:rFonts w:cs="Arial"/>
                <w:b/>
                <w:bCs/>
                <w:szCs w:val="20"/>
              </w:rPr>
            </w:pPr>
            <w:r w:rsidRPr="00605612">
              <w:rPr>
                <w:rFonts w:cs="Arial"/>
                <w:b/>
                <w:bCs/>
                <w:szCs w:val="20"/>
              </w:rPr>
              <w:lastRenderedPageBreak/>
              <w:t xml:space="preserve">K </w:t>
            </w:r>
            <w:r>
              <w:rPr>
                <w:rFonts w:cs="Arial"/>
                <w:b/>
                <w:bCs/>
                <w:szCs w:val="20"/>
              </w:rPr>
              <w:t>10</w:t>
            </w:r>
            <w:r w:rsidRPr="00605612">
              <w:rPr>
                <w:rFonts w:cs="Arial"/>
                <w:b/>
                <w:bCs/>
                <w:szCs w:val="20"/>
              </w:rPr>
              <w:t>. členu</w:t>
            </w:r>
          </w:p>
          <w:p w14:paraId="4681C892" w14:textId="77777777" w:rsidR="000C08CA" w:rsidRPr="00605612" w:rsidRDefault="000C08CA" w:rsidP="00FE328D">
            <w:pPr>
              <w:spacing w:line="276" w:lineRule="auto"/>
              <w:jc w:val="both"/>
              <w:rPr>
                <w:rFonts w:cs="Arial"/>
                <w:b/>
                <w:bCs/>
                <w:szCs w:val="20"/>
              </w:rPr>
            </w:pPr>
          </w:p>
          <w:p w14:paraId="7BF86379" w14:textId="77777777" w:rsidR="000C08CA" w:rsidRPr="00605612" w:rsidRDefault="000C08CA" w:rsidP="00FE328D">
            <w:pPr>
              <w:spacing w:line="276" w:lineRule="auto"/>
              <w:jc w:val="both"/>
              <w:rPr>
                <w:rFonts w:cs="Arial"/>
                <w:szCs w:val="20"/>
              </w:rPr>
            </w:pPr>
            <w:r w:rsidRPr="00605612">
              <w:rPr>
                <w:rFonts w:cs="Arial"/>
                <w:szCs w:val="20"/>
              </w:rPr>
              <w:t>Popravek v 59. členu je potreben zaradi preštevilčenja odstavkov 58. člena, pojasnjenega v obrazložitvi k prejšnjem</w:t>
            </w:r>
            <w:r>
              <w:rPr>
                <w:rFonts w:cs="Arial"/>
                <w:szCs w:val="20"/>
              </w:rPr>
              <w:t>u</w:t>
            </w:r>
            <w:r w:rsidRPr="00605612">
              <w:rPr>
                <w:rFonts w:cs="Arial"/>
                <w:szCs w:val="20"/>
              </w:rPr>
              <w:t xml:space="preserve"> členu. V 59. členu se zato v tretjem odstavku beseda »štirinajstega« nadomesti z besedo »</w:t>
            </w:r>
            <w:r>
              <w:rPr>
                <w:rFonts w:cs="Arial"/>
                <w:szCs w:val="20"/>
              </w:rPr>
              <w:t>trinajstega</w:t>
            </w:r>
            <w:r w:rsidRPr="00605612">
              <w:rPr>
                <w:rFonts w:cs="Arial"/>
                <w:szCs w:val="20"/>
              </w:rPr>
              <w:t>«.</w:t>
            </w:r>
          </w:p>
          <w:p w14:paraId="030D2261" w14:textId="77777777" w:rsidR="000C08CA" w:rsidRPr="00605612" w:rsidRDefault="000C08CA" w:rsidP="00FE328D">
            <w:pPr>
              <w:spacing w:line="276" w:lineRule="auto"/>
              <w:jc w:val="both"/>
              <w:rPr>
                <w:rFonts w:cs="Arial"/>
                <w:b/>
                <w:bCs/>
                <w:szCs w:val="20"/>
              </w:rPr>
            </w:pPr>
          </w:p>
          <w:p w14:paraId="29EC9BD0" w14:textId="77777777" w:rsidR="000C08CA" w:rsidRPr="00605612" w:rsidRDefault="000C08CA" w:rsidP="00FE328D">
            <w:pPr>
              <w:spacing w:line="276" w:lineRule="auto"/>
              <w:jc w:val="both"/>
              <w:rPr>
                <w:rFonts w:cs="Arial"/>
                <w:b/>
                <w:bCs/>
                <w:szCs w:val="20"/>
              </w:rPr>
            </w:pPr>
            <w:r w:rsidRPr="00605612">
              <w:rPr>
                <w:rFonts w:cs="Arial"/>
                <w:b/>
                <w:bCs/>
                <w:szCs w:val="20"/>
              </w:rPr>
              <w:t xml:space="preserve">K </w:t>
            </w:r>
            <w:r>
              <w:rPr>
                <w:rFonts w:cs="Arial"/>
                <w:b/>
                <w:bCs/>
                <w:szCs w:val="20"/>
              </w:rPr>
              <w:t>11</w:t>
            </w:r>
            <w:r w:rsidRPr="00605612">
              <w:rPr>
                <w:rFonts w:cs="Arial"/>
                <w:b/>
                <w:bCs/>
                <w:szCs w:val="20"/>
              </w:rPr>
              <w:t>. členu</w:t>
            </w:r>
          </w:p>
          <w:p w14:paraId="7522335C" w14:textId="77777777" w:rsidR="000C08CA" w:rsidRPr="00605612" w:rsidRDefault="000C08CA" w:rsidP="00FE328D">
            <w:pPr>
              <w:spacing w:line="276" w:lineRule="auto"/>
              <w:jc w:val="both"/>
              <w:rPr>
                <w:rFonts w:cs="Arial"/>
                <w:b/>
                <w:bCs/>
                <w:szCs w:val="20"/>
              </w:rPr>
            </w:pPr>
          </w:p>
          <w:p w14:paraId="3C193520" w14:textId="77777777" w:rsidR="000C08CA" w:rsidRPr="00605612" w:rsidRDefault="000C08CA" w:rsidP="00FE328D">
            <w:pPr>
              <w:spacing w:line="276" w:lineRule="auto"/>
              <w:jc w:val="both"/>
              <w:rPr>
                <w:rFonts w:cs="Arial"/>
                <w:szCs w:val="20"/>
              </w:rPr>
            </w:pPr>
            <w:r w:rsidRPr="00605612">
              <w:rPr>
                <w:rFonts w:cs="Arial"/>
                <w:szCs w:val="20"/>
              </w:rPr>
              <w:t>Z dopolnitvijo prvega in novim drugim odstavkom 60.a člena ZGD-1 se prenaša</w:t>
            </w:r>
            <w:r>
              <w:rPr>
                <w:rFonts w:cs="Arial"/>
                <w:szCs w:val="20"/>
              </w:rPr>
              <w:t>jo številne</w:t>
            </w:r>
            <w:r w:rsidRPr="00605612" w:rsidDel="006675B3">
              <w:rPr>
                <w:rFonts w:cs="Arial"/>
                <w:szCs w:val="20"/>
              </w:rPr>
              <w:t xml:space="preserve"> </w:t>
            </w:r>
            <w:r w:rsidRPr="00605612">
              <w:rPr>
                <w:rFonts w:cs="Arial"/>
                <w:szCs w:val="20"/>
              </w:rPr>
              <w:t>določb</w:t>
            </w:r>
            <w:r>
              <w:rPr>
                <w:rFonts w:cs="Arial"/>
                <w:szCs w:val="20"/>
              </w:rPr>
              <w:t>e</w:t>
            </w:r>
            <w:r w:rsidRPr="00605612">
              <w:rPr>
                <w:rFonts w:cs="Arial"/>
                <w:szCs w:val="20"/>
              </w:rPr>
              <w:t xml:space="preserve"> </w:t>
            </w:r>
            <w:r>
              <w:rPr>
                <w:rFonts w:cs="Arial"/>
                <w:szCs w:val="20"/>
              </w:rPr>
              <w:t>več</w:t>
            </w:r>
            <w:r w:rsidRPr="00605612">
              <w:rPr>
                <w:rFonts w:cs="Arial"/>
                <w:szCs w:val="20"/>
              </w:rPr>
              <w:t xml:space="preserve"> direktiv.</w:t>
            </w:r>
          </w:p>
          <w:p w14:paraId="2E17EB43" w14:textId="77777777" w:rsidR="000C08CA" w:rsidRPr="00605612" w:rsidRDefault="000C08CA" w:rsidP="00FE328D">
            <w:pPr>
              <w:spacing w:line="276" w:lineRule="auto"/>
              <w:jc w:val="both"/>
              <w:rPr>
                <w:rFonts w:cs="Arial"/>
                <w:szCs w:val="20"/>
              </w:rPr>
            </w:pPr>
          </w:p>
          <w:p w14:paraId="66A92CA0" w14:textId="77777777" w:rsidR="000C08CA" w:rsidRPr="00605612" w:rsidRDefault="000C08CA" w:rsidP="00FE328D">
            <w:pPr>
              <w:spacing w:line="276" w:lineRule="auto"/>
              <w:jc w:val="both"/>
              <w:rPr>
                <w:rFonts w:cs="Arial"/>
                <w:szCs w:val="20"/>
              </w:rPr>
            </w:pPr>
            <w:r w:rsidRPr="00605612">
              <w:rPr>
                <w:rFonts w:cs="Arial"/>
                <w:szCs w:val="20"/>
              </w:rPr>
              <w:t>Skupna obveznost članov organov vodenja in nadzora družbe</w:t>
            </w:r>
            <w:r>
              <w:rPr>
                <w:rFonts w:cs="Arial"/>
                <w:szCs w:val="20"/>
              </w:rPr>
              <w:t xml:space="preserve"> za</w:t>
            </w:r>
            <w:r w:rsidRPr="00605612">
              <w:rPr>
                <w:rFonts w:cs="Arial"/>
                <w:szCs w:val="20"/>
              </w:rPr>
              <w:t xml:space="preserve"> zagotavljanj</w:t>
            </w:r>
            <w:r>
              <w:rPr>
                <w:rFonts w:cs="Arial"/>
                <w:szCs w:val="20"/>
              </w:rPr>
              <w:t>e</w:t>
            </w:r>
            <w:r w:rsidRPr="00605612">
              <w:rPr>
                <w:rFonts w:cs="Arial"/>
                <w:szCs w:val="20"/>
              </w:rPr>
              <w:t xml:space="preserve"> sestave in objave letnih poročil je v veljavnem ZGD-1 že </w:t>
            </w:r>
            <w:r>
              <w:rPr>
                <w:rFonts w:cs="Arial"/>
                <w:szCs w:val="20"/>
              </w:rPr>
              <w:t>navedena</w:t>
            </w:r>
            <w:r w:rsidRPr="00605612">
              <w:rPr>
                <w:rFonts w:cs="Arial"/>
                <w:szCs w:val="20"/>
              </w:rPr>
              <w:t>. Prvi odstavek 60.a člena ZGD-1 določa, da morajo člani organov vodenja in nadzora družbe skupno zagotavljati, da so letna poročila z vsemi sestavnimi deli, vključno z izjavo o upravljanju družbe in izjavo o nefinančnem poslovanju, sestavljena in objavljena v skladu z ZGD-1, slovenskimi računovodskimi standardi ali mednarodnimi standardi računovodskega poročanja ter da pri tem ravnajo v skladu s pristojnostmi, skrbnostjo in odgovornostmi, kakor jih za posamezno obliko družbe določa ta zakon. Določba</w:t>
            </w:r>
            <w:r w:rsidRPr="00605612" w:rsidDel="006675B3">
              <w:rPr>
                <w:rFonts w:cs="Arial"/>
                <w:szCs w:val="20"/>
              </w:rPr>
              <w:t xml:space="preserve"> </w:t>
            </w:r>
            <w:r>
              <w:rPr>
                <w:rFonts w:cs="Arial"/>
                <w:szCs w:val="20"/>
              </w:rPr>
              <w:t>pomeni</w:t>
            </w:r>
            <w:r w:rsidRPr="00605612">
              <w:rPr>
                <w:rFonts w:cs="Arial"/>
                <w:szCs w:val="20"/>
              </w:rPr>
              <w:t xml:space="preserve"> prenos 33. člena Direktive 2013/34/EU, ki določa kolektivno odgovornost članov organov vodenja in nadzora za skladnost z zahtevami iz </w:t>
            </w:r>
            <w:r>
              <w:rPr>
                <w:rFonts w:cs="Arial"/>
                <w:szCs w:val="20"/>
              </w:rPr>
              <w:t>navedene</w:t>
            </w:r>
            <w:r w:rsidRPr="00605612">
              <w:rPr>
                <w:rFonts w:cs="Arial"/>
                <w:szCs w:val="20"/>
              </w:rPr>
              <w:t xml:space="preserve"> direktive in, kadar je ustrezno, z mednarodnimi računovodskimi standardi, sprejetimi na podlagi Uredbe (ES) št. 1606/2002, </w:t>
            </w:r>
            <w:r>
              <w:rPr>
                <w:rFonts w:cs="Arial"/>
                <w:szCs w:val="20"/>
              </w:rPr>
              <w:t xml:space="preserve">in z </w:t>
            </w:r>
            <w:r w:rsidRPr="00605612">
              <w:rPr>
                <w:rFonts w:cs="Arial"/>
                <w:szCs w:val="20"/>
              </w:rPr>
              <w:t xml:space="preserve">Delegirano uredbo (EU) 2019/815 ter </w:t>
            </w:r>
            <w:r>
              <w:rPr>
                <w:rFonts w:cs="Arial"/>
                <w:szCs w:val="20"/>
              </w:rPr>
              <w:t xml:space="preserve">za </w:t>
            </w:r>
            <w:r w:rsidRPr="00605612">
              <w:rPr>
                <w:rFonts w:cs="Arial"/>
                <w:szCs w:val="20"/>
              </w:rPr>
              <w:t xml:space="preserve">objavo letnih računovodskih izkazov, poslovnega poročila in izjave o upravljanju, če se predloži ločeno (oziroma konsolidiranih dokumentov, kadar so ti potrebni). </w:t>
            </w:r>
          </w:p>
          <w:p w14:paraId="0321D450" w14:textId="77777777" w:rsidR="000C08CA" w:rsidRPr="00605612" w:rsidRDefault="000C08CA" w:rsidP="00FE328D">
            <w:pPr>
              <w:spacing w:line="276" w:lineRule="auto"/>
              <w:jc w:val="both"/>
              <w:rPr>
                <w:rFonts w:cs="Arial"/>
                <w:szCs w:val="20"/>
              </w:rPr>
            </w:pPr>
          </w:p>
          <w:p w14:paraId="43DAC0E7" w14:textId="77777777" w:rsidR="000C08CA" w:rsidRPr="00605612" w:rsidRDefault="000C08CA" w:rsidP="00FE328D">
            <w:pPr>
              <w:spacing w:line="276" w:lineRule="auto"/>
              <w:jc w:val="both"/>
              <w:rPr>
                <w:rFonts w:cs="Arial"/>
                <w:szCs w:val="20"/>
              </w:rPr>
            </w:pPr>
            <w:r w:rsidRPr="00605612">
              <w:rPr>
                <w:rFonts w:cs="Arial"/>
                <w:szCs w:val="20"/>
              </w:rPr>
              <w:t xml:space="preserve">Kot </w:t>
            </w:r>
            <w:r w:rsidRPr="00605612" w:rsidDel="00026D1F">
              <w:rPr>
                <w:rFonts w:cs="Arial"/>
                <w:szCs w:val="20"/>
              </w:rPr>
              <w:t xml:space="preserve">že </w:t>
            </w:r>
            <w:r w:rsidRPr="00605612">
              <w:rPr>
                <w:rFonts w:cs="Arial"/>
                <w:szCs w:val="20"/>
              </w:rPr>
              <w:t>omenjeno</w:t>
            </w:r>
            <w:r>
              <w:rPr>
                <w:rFonts w:cs="Arial"/>
                <w:szCs w:val="20"/>
              </w:rPr>
              <w:t>,</w:t>
            </w:r>
            <w:r w:rsidRPr="00292635" w:rsidDel="00026D1F">
              <w:rPr>
                <w:rFonts w:cs="Arial"/>
                <w:szCs w:val="20"/>
              </w:rPr>
              <w:t xml:space="preserve"> </w:t>
            </w:r>
            <w:r w:rsidRPr="00292635">
              <w:rPr>
                <w:rFonts w:cs="Arial"/>
                <w:szCs w:val="20"/>
              </w:rPr>
              <w:t>predlog zakona spreminja določbo 70.c člena ZGD-1, saj z Direktivo 2022/2464/EU spremenjena določba 19</w:t>
            </w:r>
            <w:r w:rsidRPr="00292635" w:rsidDel="006675B3">
              <w:rPr>
                <w:rFonts w:cs="Arial"/>
                <w:szCs w:val="20"/>
              </w:rPr>
              <w:t>.</w:t>
            </w:r>
            <w:r w:rsidRPr="00292635">
              <w:rPr>
                <w:rFonts w:cs="Arial"/>
                <w:szCs w:val="20"/>
              </w:rPr>
              <w:t xml:space="preserve">a </w:t>
            </w:r>
            <w:r w:rsidRPr="00292635" w:rsidDel="006675B3">
              <w:rPr>
                <w:rFonts w:cs="Arial"/>
                <w:szCs w:val="20"/>
              </w:rPr>
              <w:t xml:space="preserve">člena </w:t>
            </w:r>
            <w:r w:rsidRPr="00292635">
              <w:rPr>
                <w:rFonts w:cs="Arial"/>
                <w:szCs w:val="20"/>
              </w:rPr>
              <w:t xml:space="preserve">Direktive 2013/34/EU namesto obveznosti </w:t>
            </w:r>
            <w:r w:rsidRPr="000858D7">
              <w:rPr>
                <w:rFonts w:cs="Arial"/>
                <w:szCs w:val="20"/>
              </w:rPr>
              <w:t>priprave izjave o nefinančnem poslovanju določa obveznost priprave poročila o trajnostnosti (več v obrazložitvi k 1</w:t>
            </w:r>
            <w:r>
              <w:rPr>
                <w:rFonts w:cs="Arial"/>
                <w:szCs w:val="20"/>
              </w:rPr>
              <w:t>4</w:t>
            </w:r>
            <w:r w:rsidRPr="000858D7">
              <w:rPr>
                <w:rFonts w:cs="Arial"/>
                <w:szCs w:val="20"/>
              </w:rPr>
              <w:t>. členu</w:t>
            </w:r>
            <w:r w:rsidRPr="00292635">
              <w:rPr>
                <w:rFonts w:cs="Arial"/>
                <w:szCs w:val="20"/>
              </w:rPr>
              <w:t xml:space="preserve"> tega predloga zakona). Glede na navedeno je treba</w:t>
            </w:r>
            <w:r w:rsidRPr="00605612">
              <w:rPr>
                <w:rFonts w:cs="Arial"/>
                <w:szCs w:val="20"/>
              </w:rPr>
              <w:t xml:space="preserve"> </w:t>
            </w:r>
            <w:r w:rsidRPr="00292635">
              <w:rPr>
                <w:rFonts w:cs="Arial"/>
                <w:szCs w:val="20"/>
              </w:rPr>
              <w:t xml:space="preserve">v prvem odstavku 60.a člena ZGD-1 </w:t>
            </w:r>
            <w:r w:rsidRPr="00605612">
              <w:rPr>
                <w:rFonts w:cs="Arial"/>
                <w:szCs w:val="20"/>
              </w:rPr>
              <w:t xml:space="preserve">besedilo »izjavo o nefinančnem poslovanju« nadomestiti z besedilom »poročilom o trajnostnosti«. </w:t>
            </w:r>
          </w:p>
          <w:p w14:paraId="3A272E78" w14:textId="77777777" w:rsidR="000C08CA" w:rsidRPr="00605612" w:rsidRDefault="000C08CA" w:rsidP="00FE328D">
            <w:pPr>
              <w:spacing w:line="276" w:lineRule="auto"/>
              <w:jc w:val="both"/>
              <w:rPr>
                <w:rFonts w:cs="Arial"/>
                <w:szCs w:val="20"/>
              </w:rPr>
            </w:pPr>
          </w:p>
          <w:p w14:paraId="0C2E8631" w14:textId="77777777" w:rsidR="000C08CA" w:rsidRPr="00605612" w:rsidRDefault="000C08CA" w:rsidP="00FE328D">
            <w:pPr>
              <w:spacing w:line="276" w:lineRule="auto"/>
              <w:jc w:val="both"/>
              <w:rPr>
                <w:rFonts w:cs="Arial"/>
                <w:szCs w:val="20"/>
              </w:rPr>
            </w:pPr>
            <w:r w:rsidRPr="00605612">
              <w:rPr>
                <w:rFonts w:cs="Arial"/>
                <w:szCs w:val="20"/>
              </w:rPr>
              <w:t>Direktiva 2022/2464/EU spreminja tudi 33. člen Direktive 2013/34/EU, da se članom organov vodenja in nadzora naloži tudi odgovornost za skladnost s standardi poročanja o trajnostnosti iz 29</w:t>
            </w:r>
            <w:r w:rsidRPr="00605612" w:rsidDel="006675B3">
              <w:rPr>
                <w:rFonts w:cs="Arial"/>
                <w:szCs w:val="20"/>
              </w:rPr>
              <w:t>.</w:t>
            </w:r>
            <w:r w:rsidRPr="00605612">
              <w:rPr>
                <w:rFonts w:cs="Arial"/>
                <w:szCs w:val="20"/>
              </w:rPr>
              <w:t>b ali 29</w:t>
            </w:r>
            <w:r w:rsidRPr="00605612" w:rsidDel="006675B3">
              <w:rPr>
                <w:rFonts w:cs="Arial"/>
                <w:szCs w:val="20"/>
              </w:rPr>
              <w:t>.</w:t>
            </w:r>
            <w:r w:rsidRPr="00605612">
              <w:rPr>
                <w:rFonts w:cs="Arial"/>
                <w:szCs w:val="20"/>
              </w:rPr>
              <w:t xml:space="preserve">c </w:t>
            </w:r>
            <w:r w:rsidRPr="006675B3">
              <w:rPr>
                <w:rFonts w:cs="Arial"/>
                <w:szCs w:val="20"/>
              </w:rPr>
              <w:t xml:space="preserve">navedene </w:t>
            </w:r>
            <w:r w:rsidRPr="00605612">
              <w:rPr>
                <w:rFonts w:cs="Arial"/>
                <w:szCs w:val="20"/>
              </w:rPr>
              <w:t>direktive in</w:t>
            </w:r>
            <w:r>
              <w:rPr>
                <w:rFonts w:cs="Arial"/>
                <w:szCs w:val="20"/>
              </w:rPr>
              <w:t xml:space="preserve"> z</w:t>
            </w:r>
            <w:r w:rsidRPr="00605612">
              <w:rPr>
                <w:rFonts w:cs="Arial"/>
                <w:szCs w:val="20"/>
              </w:rPr>
              <w:t xml:space="preserve"> zahtevami iz 29</w:t>
            </w:r>
            <w:r w:rsidRPr="00605612" w:rsidDel="006675B3">
              <w:rPr>
                <w:rFonts w:cs="Arial"/>
                <w:szCs w:val="20"/>
              </w:rPr>
              <w:t>.</w:t>
            </w:r>
            <w:r w:rsidRPr="00605612">
              <w:rPr>
                <w:rFonts w:cs="Arial"/>
                <w:szCs w:val="20"/>
              </w:rPr>
              <w:t xml:space="preserve">d </w:t>
            </w:r>
            <w:r w:rsidRPr="00605612" w:rsidDel="006675B3">
              <w:rPr>
                <w:rFonts w:cs="Arial"/>
                <w:szCs w:val="20"/>
              </w:rPr>
              <w:t xml:space="preserve">člena </w:t>
            </w:r>
            <w:r w:rsidRPr="006675B3">
              <w:rPr>
                <w:rFonts w:cs="Arial"/>
                <w:szCs w:val="20"/>
              </w:rPr>
              <w:t>navedene</w:t>
            </w:r>
            <w:r w:rsidRPr="00605612">
              <w:rPr>
                <w:rFonts w:cs="Arial"/>
                <w:szCs w:val="20"/>
              </w:rPr>
              <w:t xml:space="preserve"> direktive glede oblike poročanja. Zaradi tega je potrebna nadaljnja dopolnitev v prvem odstavku 60</w:t>
            </w:r>
            <w:r>
              <w:rPr>
                <w:rFonts w:cs="Arial"/>
                <w:szCs w:val="20"/>
              </w:rPr>
              <w:t>.</w:t>
            </w:r>
            <w:r w:rsidRPr="00605612">
              <w:rPr>
                <w:rFonts w:cs="Arial"/>
                <w:szCs w:val="20"/>
              </w:rPr>
              <w:t xml:space="preserve">a člena ZGD-1, ki nalaga članom organov vodenja in nadzora družbe poleg skladnosti s slovenskimi računovodskimi standardi ali mednarodnimi standardi računovodskega poročanja tudi skladnost s standardi poročanja o trajnostnosti. Na tem mestu niso navedeni zgolj evropski standardi poročanja o trajnostnosti, saj lahko družba v </w:t>
            </w:r>
            <w:r w:rsidRPr="006675B3">
              <w:rPr>
                <w:rFonts w:cs="Arial"/>
                <w:szCs w:val="20"/>
              </w:rPr>
              <w:t>nekater</w:t>
            </w:r>
            <w:r>
              <w:rPr>
                <w:rFonts w:cs="Arial"/>
                <w:szCs w:val="20"/>
              </w:rPr>
              <w:t>ih</w:t>
            </w:r>
            <w:r w:rsidRPr="006675B3">
              <w:rPr>
                <w:rFonts w:cs="Arial"/>
                <w:szCs w:val="20"/>
              </w:rPr>
              <w:t xml:space="preserve"> </w:t>
            </w:r>
            <w:r w:rsidRPr="00605612">
              <w:rPr>
                <w:rFonts w:cs="Arial"/>
                <w:szCs w:val="20"/>
              </w:rPr>
              <w:t>primerih poroča tudi skladno s standardi poročanja o trajnostnosti za</w:t>
            </w:r>
            <w:r w:rsidRPr="001F117D">
              <w:rPr>
                <w:rFonts w:cs="Arial"/>
                <w:szCs w:val="20"/>
              </w:rPr>
              <w:t xml:space="preserve"> tuja podjetja iz tretjih držav</w:t>
            </w:r>
            <w:r w:rsidRPr="00605612">
              <w:rPr>
                <w:rFonts w:cs="Arial"/>
                <w:szCs w:val="20"/>
              </w:rPr>
              <w:t xml:space="preserve"> oziroma na način, ki je enakovreden evropskim standardom poročanja o trajnostnosti, kot je določeno v skladu z izvedbenim aktom o enakovrednosti standardov poročanja o trajnostnosti, sprejetim na podlagi tretjega pododstavka četrtega odstavka 23. člena Direktive 2004/109/ES. Spremenjen</w:t>
            </w:r>
            <w:r>
              <w:rPr>
                <w:rFonts w:cs="Arial"/>
                <w:szCs w:val="20"/>
              </w:rPr>
              <w:t>i</w:t>
            </w:r>
            <w:r w:rsidRPr="00605612">
              <w:rPr>
                <w:rFonts w:cs="Arial"/>
                <w:szCs w:val="20"/>
              </w:rPr>
              <w:t xml:space="preserve"> 33. člen Direktive 2013/34/EU</w:t>
            </w:r>
            <w:r w:rsidRPr="00605612" w:rsidDel="006675B3">
              <w:rPr>
                <w:rFonts w:cs="Arial"/>
                <w:szCs w:val="20"/>
              </w:rPr>
              <w:t xml:space="preserve"> </w:t>
            </w:r>
            <w:r w:rsidRPr="00605612">
              <w:rPr>
                <w:rFonts w:cs="Arial"/>
                <w:szCs w:val="20"/>
              </w:rPr>
              <w:t xml:space="preserve">omenja tudi skladnost </w:t>
            </w:r>
            <w:r w:rsidRPr="00605612" w:rsidDel="006675B3">
              <w:rPr>
                <w:rFonts w:cs="Arial"/>
                <w:szCs w:val="20"/>
              </w:rPr>
              <w:t>z</w:t>
            </w:r>
            <w:r w:rsidRPr="00605612">
              <w:rPr>
                <w:rFonts w:cs="Arial"/>
                <w:szCs w:val="20"/>
              </w:rPr>
              <w:t xml:space="preserve"> 29</w:t>
            </w:r>
            <w:r w:rsidRPr="00605612" w:rsidDel="006675B3">
              <w:rPr>
                <w:rFonts w:cs="Arial"/>
                <w:szCs w:val="20"/>
              </w:rPr>
              <w:t>.</w:t>
            </w:r>
            <w:r w:rsidRPr="00605612">
              <w:rPr>
                <w:rFonts w:cs="Arial"/>
                <w:szCs w:val="20"/>
              </w:rPr>
              <w:t xml:space="preserve">c </w:t>
            </w:r>
            <w:r w:rsidRPr="00605612" w:rsidDel="006675B3">
              <w:rPr>
                <w:rFonts w:cs="Arial"/>
                <w:szCs w:val="20"/>
              </w:rPr>
              <w:t xml:space="preserve">členom </w:t>
            </w:r>
            <w:r w:rsidRPr="006675B3">
              <w:rPr>
                <w:rFonts w:cs="Arial"/>
                <w:szCs w:val="20"/>
              </w:rPr>
              <w:t>navedene</w:t>
            </w:r>
            <w:r w:rsidRPr="00605612">
              <w:rPr>
                <w:rFonts w:cs="Arial"/>
                <w:szCs w:val="20"/>
              </w:rPr>
              <w:t xml:space="preserve"> direktive glede oblike poročanja. Ker</w:t>
            </w:r>
            <w:r w:rsidRPr="00605612" w:rsidDel="006675B3">
              <w:rPr>
                <w:rFonts w:cs="Arial"/>
                <w:szCs w:val="20"/>
              </w:rPr>
              <w:t xml:space="preserve"> </w:t>
            </w:r>
            <w:r w:rsidRPr="00605612">
              <w:rPr>
                <w:rFonts w:cs="Arial"/>
                <w:szCs w:val="20"/>
              </w:rPr>
              <w:t>prvi odstavek 60.a člena ZGD-1 že nalaga obveznost skladnosti z ZGD-1,</w:t>
            </w:r>
            <w:r w:rsidRPr="00605612" w:rsidDel="006675B3">
              <w:rPr>
                <w:rFonts w:cs="Arial"/>
                <w:szCs w:val="20"/>
              </w:rPr>
              <w:t xml:space="preserve"> </w:t>
            </w:r>
            <w:r w:rsidRPr="00605612">
              <w:rPr>
                <w:rFonts w:cs="Arial"/>
                <w:szCs w:val="20"/>
              </w:rPr>
              <w:t xml:space="preserve">oblika pri poročanju o trajnostnosti pa je določena v drugem odstavku 58. člena tega zakona, tega dela ni treba prenesti. </w:t>
            </w:r>
          </w:p>
          <w:p w14:paraId="6FDEBC0C" w14:textId="77777777" w:rsidR="000C08CA" w:rsidRPr="00605612" w:rsidRDefault="000C08CA" w:rsidP="00FE328D">
            <w:pPr>
              <w:spacing w:line="276" w:lineRule="auto"/>
              <w:jc w:val="both"/>
              <w:rPr>
                <w:rFonts w:cs="Arial"/>
                <w:szCs w:val="20"/>
              </w:rPr>
            </w:pPr>
          </w:p>
          <w:p w14:paraId="4EE105AE" w14:textId="77777777" w:rsidR="000C08CA" w:rsidRPr="00605612" w:rsidRDefault="000C08CA" w:rsidP="00FE328D">
            <w:pPr>
              <w:spacing w:line="276" w:lineRule="auto"/>
              <w:jc w:val="both"/>
              <w:rPr>
                <w:rFonts w:cs="Arial"/>
                <w:szCs w:val="20"/>
              </w:rPr>
            </w:pPr>
            <w:r w:rsidRPr="00605612">
              <w:rPr>
                <w:rFonts w:cs="Arial"/>
                <w:szCs w:val="20"/>
              </w:rPr>
              <w:t xml:space="preserve">Zaradi novih obveznosti družb, in sicer obveznosti priprave poročila o trajnostnosti in poročila </w:t>
            </w:r>
            <w:r>
              <w:rPr>
                <w:rFonts w:cs="Arial"/>
                <w:color w:val="000000" w:themeColor="text1"/>
                <w:szCs w:val="20"/>
              </w:rPr>
              <w:t xml:space="preserve">o davčnih informacijah </w:t>
            </w:r>
            <w:r w:rsidRPr="00605612">
              <w:rPr>
                <w:rFonts w:cs="Arial"/>
                <w:szCs w:val="20"/>
              </w:rPr>
              <w:t xml:space="preserve">v zvezi z dohodki, kadar </w:t>
            </w:r>
            <w:r>
              <w:rPr>
                <w:rFonts w:cs="Arial"/>
                <w:szCs w:val="20"/>
              </w:rPr>
              <w:t>ima tuje podjetje iz tretje države</w:t>
            </w:r>
            <w:r w:rsidRPr="00605612">
              <w:rPr>
                <w:rFonts w:cs="Arial"/>
                <w:szCs w:val="20"/>
              </w:rPr>
              <w:t xml:space="preserve"> odvisn</w:t>
            </w:r>
            <w:r>
              <w:rPr>
                <w:rFonts w:cs="Arial"/>
                <w:szCs w:val="20"/>
              </w:rPr>
              <w:t>o</w:t>
            </w:r>
            <w:r w:rsidRPr="00605612">
              <w:rPr>
                <w:rFonts w:cs="Arial"/>
                <w:szCs w:val="20"/>
              </w:rPr>
              <w:t xml:space="preserve"> družb</w:t>
            </w:r>
            <w:r>
              <w:rPr>
                <w:rFonts w:cs="Arial"/>
                <w:szCs w:val="20"/>
              </w:rPr>
              <w:t xml:space="preserve">o </w:t>
            </w:r>
            <w:r w:rsidRPr="00605612">
              <w:rPr>
                <w:rFonts w:cs="Arial"/>
                <w:szCs w:val="20"/>
              </w:rPr>
              <w:t xml:space="preserve"> </w:t>
            </w:r>
            <w:r>
              <w:rPr>
                <w:rFonts w:cs="Arial"/>
                <w:szCs w:val="20"/>
              </w:rPr>
              <w:t>s sedežem v Republiki Sloveniji</w:t>
            </w:r>
            <w:r w:rsidRPr="00605612">
              <w:rPr>
                <w:rFonts w:cs="Arial"/>
                <w:szCs w:val="20"/>
              </w:rPr>
              <w:t xml:space="preserve">, je potreben nov drugi odstavek 60.a člena ZGD-1. </w:t>
            </w:r>
          </w:p>
          <w:p w14:paraId="29A3BEA7" w14:textId="77777777" w:rsidR="000C08CA" w:rsidRPr="00605612" w:rsidRDefault="000C08CA" w:rsidP="00FE328D">
            <w:pPr>
              <w:spacing w:line="276" w:lineRule="auto"/>
              <w:jc w:val="both"/>
              <w:rPr>
                <w:rFonts w:cs="Arial"/>
                <w:szCs w:val="20"/>
              </w:rPr>
            </w:pPr>
          </w:p>
          <w:p w14:paraId="09D5C95D" w14:textId="77777777" w:rsidR="000C08CA" w:rsidRPr="007B0D3D" w:rsidRDefault="000C08CA" w:rsidP="00FE328D">
            <w:pPr>
              <w:spacing w:line="276" w:lineRule="auto"/>
              <w:jc w:val="both"/>
              <w:rPr>
                <w:rFonts w:cs="Arial"/>
                <w:szCs w:val="20"/>
              </w:rPr>
            </w:pPr>
            <w:r w:rsidRPr="00605612">
              <w:rPr>
                <w:rFonts w:cs="Arial"/>
                <w:szCs w:val="20"/>
              </w:rPr>
              <w:t>S predlogom zakona se</w:t>
            </w:r>
            <w:r w:rsidRPr="00605612" w:rsidDel="006675B3">
              <w:rPr>
                <w:rFonts w:cs="Arial"/>
                <w:szCs w:val="20"/>
              </w:rPr>
              <w:t xml:space="preserve"> </w:t>
            </w:r>
            <w:r w:rsidRPr="00605612">
              <w:rPr>
                <w:rFonts w:cs="Arial"/>
                <w:szCs w:val="20"/>
              </w:rPr>
              <w:t xml:space="preserve">60.a člen ZGD-1 dopolnjuje tako, da se določi, da se obveznost iz prvega odstavka 60.a člena ZGD-1 smiselno uporablja tudi za člane organov vodenja in nadzora odvisnih </w:t>
            </w:r>
            <w:r w:rsidRPr="00605612">
              <w:rPr>
                <w:rFonts w:cs="Arial"/>
                <w:szCs w:val="20"/>
              </w:rPr>
              <w:lastRenderedPageBreak/>
              <w:t>družb</w:t>
            </w:r>
            <w:r>
              <w:rPr>
                <w:rFonts w:cs="Arial"/>
                <w:szCs w:val="20"/>
              </w:rPr>
              <w:t xml:space="preserve"> s sedežem v Republiki Sloveniji</w:t>
            </w:r>
            <w:r w:rsidRPr="00605612">
              <w:rPr>
                <w:rFonts w:cs="Arial"/>
                <w:szCs w:val="20"/>
              </w:rPr>
              <w:t xml:space="preserve">, </w:t>
            </w:r>
            <w:r>
              <w:rPr>
                <w:rFonts w:cs="Arial"/>
                <w:szCs w:val="20"/>
              </w:rPr>
              <w:t>ki jih ima tuje podjetje iz tretje države,</w:t>
            </w:r>
            <w:r w:rsidRPr="007B0D3D">
              <w:rPr>
                <w:rFonts w:cs="Arial"/>
                <w:szCs w:val="20"/>
              </w:rPr>
              <w:t xml:space="preserve"> ter </w:t>
            </w:r>
            <w:r>
              <w:rPr>
                <w:rFonts w:cs="Arial"/>
                <w:szCs w:val="20"/>
              </w:rPr>
              <w:t xml:space="preserve">za </w:t>
            </w:r>
            <w:r w:rsidRPr="007B0D3D">
              <w:rPr>
                <w:rFonts w:cs="Arial"/>
                <w:szCs w:val="20"/>
              </w:rPr>
              <w:t>zastopnike tujega podjetja iz tretje države glede:</w:t>
            </w:r>
          </w:p>
          <w:p w14:paraId="699AAD34" w14:textId="77777777" w:rsidR="000C08CA" w:rsidRPr="00605612" w:rsidRDefault="000C08CA" w:rsidP="00FE328D">
            <w:pPr>
              <w:spacing w:line="276" w:lineRule="auto"/>
              <w:jc w:val="both"/>
              <w:rPr>
                <w:rFonts w:cs="Arial"/>
                <w:szCs w:val="20"/>
              </w:rPr>
            </w:pPr>
            <w:r>
              <w:rPr>
                <w:rFonts w:cs="Arial"/>
                <w:szCs w:val="20"/>
              </w:rPr>
              <w:t>‒</w:t>
            </w:r>
            <w:r w:rsidRPr="007B0D3D">
              <w:rPr>
                <w:rFonts w:cs="Arial"/>
                <w:szCs w:val="20"/>
              </w:rPr>
              <w:t xml:space="preserve"> priprave poročila</w:t>
            </w:r>
            <w:r w:rsidRPr="007B0D3D">
              <w:rPr>
                <w:rFonts w:cs="Arial"/>
                <w:color w:val="000000" w:themeColor="text1"/>
                <w:szCs w:val="20"/>
              </w:rPr>
              <w:t xml:space="preserve"> o davčnih informacijah</w:t>
            </w:r>
            <w:r w:rsidRPr="007B0D3D">
              <w:rPr>
                <w:rFonts w:cs="Arial"/>
                <w:szCs w:val="20"/>
              </w:rPr>
              <w:t xml:space="preserve"> v zvezi z dohodki, ki se nanaša na </w:t>
            </w:r>
            <w:r>
              <w:rPr>
                <w:rFonts w:cs="Arial"/>
                <w:szCs w:val="20"/>
              </w:rPr>
              <w:t>tuje podjetje</w:t>
            </w:r>
            <w:r w:rsidRPr="007B0D3D">
              <w:rPr>
                <w:rFonts w:cs="Arial"/>
                <w:szCs w:val="20"/>
              </w:rPr>
              <w:t xml:space="preserve"> iz tretje države</w:t>
            </w:r>
            <w:r>
              <w:rPr>
                <w:rFonts w:cs="Arial"/>
                <w:szCs w:val="20"/>
              </w:rPr>
              <w:t>, in njegove predložitve</w:t>
            </w:r>
            <w:r w:rsidRPr="003B2A0D">
              <w:rPr>
                <w:rFonts w:cs="Arial"/>
                <w:szCs w:val="20"/>
              </w:rPr>
              <w:t xml:space="preserve"> in </w:t>
            </w:r>
            <w:r w:rsidRPr="00774A2C">
              <w:rPr>
                <w:rFonts w:cs="Arial"/>
                <w:color w:val="000000" w:themeColor="text1"/>
                <w:szCs w:val="20"/>
              </w:rPr>
              <w:t>objav</w:t>
            </w:r>
            <w:r>
              <w:rPr>
                <w:rFonts w:cs="Arial"/>
                <w:color w:val="000000" w:themeColor="text1"/>
                <w:szCs w:val="20"/>
              </w:rPr>
              <w:t>e</w:t>
            </w:r>
            <w:r w:rsidRPr="00774A2C">
              <w:rPr>
                <w:rFonts w:cs="Arial"/>
                <w:color w:val="000000" w:themeColor="text1"/>
                <w:szCs w:val="20"/>
              </w:rPr>
              <w:t xml:space="preserve"> na spletni strani</w:t>
            </w:r>
            <w:r w:rsidRPr="007B0D3D">
              <w:rPr>
                <w:rFonts w:cs="Arial"/>
                <w:szCs w:val="20"/>
              </w:rPr>
              <w:t>,</w:t>
            </w:r>
          </w:p>
          <w:p w14:paraId="6DF39B79"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predložitve poročila o trajnostnosti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s 70.d členom tega zakona in poročila o trajnostnosti </w:t>
            </w:r>
            <w:r>
              <w:rPr>
                <w:rFonts w:cs="Arial"/>
                <w:szCs w:val="20"/>
              </w:rPr>
              <w:t xml:space="preserve">v </w:t>
            </w:r>
            <w:r w:rsidRPr="00605612">
              <w:rPr>
                <w:rFonts w:cs="Arial"/>
                <w:szCs w:val="20"/>
              </w:rPr>
              <w:t>sklad</w:t>
            </w:r>
            <w:r>
              <w:rPr>
                <w:rFonts w:cs="Arial"/>
                <w:szCs w:val="20"/>
              </w:rPr>
              <w:t xml:space="preserve">u </w:t>
            </w:r>
            <w:r w:rsidRPr="00605612">
              <w:rPr>
                <w:rFonts w:cs="Arial"/>
                <w:szCs w:val="20"/>
              </w:rPr>
              <w:t>s prvim in drugim odstavkom 58. člena tega zakona.</w:t>
            </w:r>
          </w:p>
          <w:p w14:paraId="35A06D44" w14:textId="77777777" w:rsidR="000C08CA" w:rsidRPr="00605612" w:rsidRDefault="000C08CA" w:rsidP="00FE328D">
            <w:pPr>
              <w:spacing w:line="276" w:lineRule="auto"/>
              <w:jc w:val="both"/>
              <w:rPr>
                <w:rFonts w:cs="Arial"/>
                <w:szCs w:val="20"/>
              </w:rPr>
            </w:pPr>
          </w:p>
          <w:p w14:paraId="668C8A5D" w14:textId="77777777" w:rsidR="000C08CA" w:rsidRPr="00605612" w:rsidRDefault="000C08CA" w:rsidP="00FE328D">
            <w:pPr>
              <w:spacing w:line="276" w:lineRule="auto"/>
              <w:jc w:val="both"/>
              <w:rPr>
                <w:rFonts w:cs="Arial"/>
                <w:szCs w:val="20"/>
              </w:rPr>
            </w:pPr>
            <w:r w:rsidRPr="00605612">
              <w:rPr>
                <w:rFonts w:cs="Arial"/>
                <w:szCs w:val="20"/>
              </w:rPr>
              <w:t xml:space="preserve">Glede na to, da </w:t>
            </w:r>
            <w:r>
              <w:rPr>
                <w:rFonts w:cs="Arial"/>
                <w:szCs w:val="20"/>
              </w:rPr>
              <w:t>morda</w:t>
            </w:r>
            <w:r w:rsidRPr="00605612">
              <w:rPr>
                <w:rFonts w:cs="Arial"/>
                <w:szCs w:val="20"/>
              </w:rPr>
              <w:t xml:space="preserve"> člani upravnih, poslovodnih in nadzornih organov odvisnih družb, ki imajo sedež v Evropski uniji in ki jih nadzira obvladujoč</w:t>
            </w:r>
            <w:r>
              <w:rPr>
                <w:rFonts w:cs="Arial"/>
                <w:szCs w:val="20"/>
              </w:rPr>
              <w:t>e</w:t>
            </w:r>
            <w:r w:rsidRPr="00605612">
              <w:rPr>
                <w:rFonts w:cs="Arial"/>
                <w:szCs w:val="20"/>
              </w:rPr>
              <w:t xml:space="preserve"> </w:t>
            </w:r>
            <w:r>
              <w:rPr>
                <w:rFonts w:cs="Arial"/>
                <w:szCs w:val="20"/>
              </w:rPr>
              <w:t>tuje podjetje</w:t>
            </w:r>
            <w:r w:rsidRPr="00605612">
              <w:rPr>
                <w:rFonts w:cs="Arial"/>
                <w:szCs w:val="20"/>
              </w:rPr>
              <w:t xml:space="preserve"> s sedežem zunaj Evropske unije (odvisnih družb, ki jih obvladuje </w:t>
            </w:r>
            <w:r>
              <w:rPr>
                <w:rFonts w:cs="Arial"/>
                <w:szCs w:val="20"/>
              </w:rPr>
              <w:t>tuje podjetje</w:t>
            </w:r>
            <w:r w:rsidRPr="00605612">
              <w:rPr>
                <w:rFonts w:cs="Arial"/>
                <w:szCs w:val="20"/>
              </w:rPr>
              <w:t xml:space="preserve"> iz tretje države), ali osebe, odgovorne za izvajanje formalnosti v zvezi z razkritjem za podružnico (zastopniki tujega podjetja), le omejeno poznajo vsebino poročila o trajnostnosti oziroma poročila </w:t>
            </w:r>
            <w:r>
              <w:rPr>
                <w:rFonts w:cs="Arial"/>
                <w:color w:val="000000" w:themeColor="text1"/>
                <w:szCs w:val="20"/>
              </w:rPr>
              <w:t xml:space="preserve">o davčnih informacijah </w:t>
            </w:r>
            <w:r w:rsidRPr="00605612">
              <w:rPr>
                <w:rFonts w:cs="Arial"/>
                <w:szCs w:val="20"/>
              </w:rPr>
              <w:t>v zvezi z dohodki, ki ju pripravi družba s sedežem v tretji državi, ali imajo le omejeno možnost prejeti take informacije ali poročilo od družbe iz tujine, so lahko ti člani ali te osebe odgovorni (le) za zagotovitev, da je bilo poročilo družbe s sedežem v tretji državi po njihovem najboljšem vedenju in sposobnostih pripravljeno in objavljeno na način, kot ga določa predlog zakona</w:t>
            </w:r>
            <w:r>
              <w:rPr>
                <w:rFonts w:cs="Arial"/>
                <w:szCs w:val="20"/>
              </w:rPr>
              <w:t>,</w:t>
            </w:r>
            <w:r w:rsidRPr="00605612">
              <w:rPr>
                <w:rFonts w:cs="Arial"/>
                <w:szCs w:val="20"/>
              </w:rPr>
              <w:t xml:space="preserve"> oziroma da je odvisna družba ali podružnica pripravila in predložila zaradi javne objave AJPES vse informacije, ki jih ima na voljo, jih je prejela ali pridobila od matične družbe iz tretje države. Če so informacije ali poročilo nepopolni, se odgovornost teh članov </w:t>
            </w:r>
            <w:r w:rsidRPr="00DD6F9A">
              <w:rPr>
                <w:rFonts w:cs="Arial"/>
                <w:szCs w:val="20"/>
              </w:rPr>
              <w:t>ali oseb razširi na objavo izjave, v kateri se navede, da tuje podjetje iz tretje države, ki obvladuje družbo v državi članici (obvladujoče</w:t>
            </w:r>
            <w:r w:rsidRPr="00DD6F9A" w:rsidDel="00A5702F">
              <w:rPr>
                <w:rFonts w:cs="Arial"/>
                <w:szCs w:val="20"/>
              </w:rPr>
              <w:t xml:space="preserve"> </w:t>
            </w:r>
            <w:r w:rsidRPr="00DD6F9A">
              <w:rPr>
                <w:rFonts w:cs="Arial"/>
                <w:szCs w:val="20"/>
              </w:rPr>
              <w:t>tuje podjetje iz tretje države), ali tuje podjetje iz tretje države, ki je v Evropski uniji ustanovilo podružnico, ni dalo na voljo vseh potrebnih informacij.</w:t>
            </w:r>
            <w:r w:rsidRPr="00605612">
              <w:rPr>
                <w:rFonts w:cs="Arial"/>
                <w:szCs w:val="20"/>
              </w:rPr>
              <w:t xml:space="preserve"> </w:t>
            </w:r>
          </w:p>
          <w:p w14:paraId="38A5089F" w14:textId="77777777" w:rsidR="000C08CA" w:rsidRPr="00605612" w:rsidRDefault="000C08CA" w:rsidP="00FE328D">
            <w:pPr>
              <w:spacing w:line="276" w:lineRule="auto"/>
              <w:jc w:val="both"/>
              <w:rPr>
                <w:rFonts w:cs="Arial"/>
                <w:szCs w:val="20"/>
              </w:rPr>
            </w:pPr>
          </w:p>
          <w:p w14:paraId="2E4898C0" w14:textId="77777777" w:rsidR="000C08CA" w:rsidRPr="00605612" w:rsidRDefault="000C08CA" w:rsidP="00FE328D">
            <w:pPr>
              <w:spacing w:line="276" w:lineRule="auto"/>
              <w:jc w:val="both"/>
              <w:rPr>
                <w:rFonts w:cs="Arial"/>
                <w:szCs w:val="20"/>
              </w:rPr>
            </w:pPr>
            <w:r w:rsidRPr="00605612">
              <w:rPr>
                <w:rFonts w:cs="Arial"/>
                <w:szCs w:val="20"/>
              </w:rPr>
              <w:t>Kot že pojasnjeno</w:t>
            </w:r>
            <w:r>
              <w:rPr>
                <w:rFonts w:cs="Arial"/>
                <w:szCs w:val="20"/>
              </w:rPr>
              <w:t>,</w:t>
            </w:r>
            <w:r w:rsidRPr="00605612">
              <w:rPr>
                <w:rFonts w:cs="Arial"/>
                <w:szCs w:val="20"/>
              </w:rPr>
              <w:t xml:space="preserve"> se </w:t>
            </w:r>
            <w:r w:rsidRPr="00605612">
              <w:rPr>
                <w:rFonts w:cs="Arial"/>
                <w:szCs w:val="20"/>
                <w:u w:val="single"/>
              </w:rPr>
              <w:t>obveznost priprave poročila o trajnostnosti</w:t>
            </w:r>
            <w:r w:rsidRPr="00605612">
              <w:rPr>
                <w:rFonts w:cs="Arial"/>
                <w:szCs w:val="20"/>
              </w:rPr>
              <w:t xml:space="preserve"> družbam nalaga na podlagi z Direktivo 2022/2464/EU spremenjene določbe 19</w:t>
            </w:r>
            <w:r w:rsidRPr="00605612" w:rsidDel="00541F9C">
              <w:rPr>
                <w:rFonts w:cs="Arial"/>
                <w:szCs w:val="20"/>
              </w:rPr>
              <w:t>.</w:t>
            </w:r>
            <w:r w:rsidRPr="00605612">
              <w:rPr>
                <w:rFonts w:cs="Arial"/>
                <w:szCs w:val="20"/>
              </w:rPr>
              <w:t xml:space="preserve">a </w:t>
            </w:r>
            <w:r w:rsidRPr="00605612" w:rsidDel="00541F9C">
              <w:rPr>
                <w:rFonts w:cs="Arial"/>
                <w:szCs w:val="20"/>
              </w:rPr>
              <w:t xml:space="preserve">člena </w:t>
            </w:r>
            <w:r w:rsidRPr="00605612">
              <w:rPr>
                <w:rFonts w:cs="Arial"/>
                <w:szCs w:val="20"/>
              </w:rPr>
              <w:t>Direktive 2013/34/EU. Pomembni so tudi novi 40</w:t>
            </w:r>
            <w:r w:rsidRPr="00605612" w:rsidDel="00541F9C">
              <w:rPr>
                <w:rFonts w:cs="Arial"/>
                <w:szCs w:val="20"/>
              </w:rPr>
              <w:t>.</w:t>
            </w:r>
            <w:r w:rsidRPr="00605612">
              <w:rPr>
                <w:rFonts w:cs="Arial"/>
                <w:szCs w:val="20"/>
              </w:rPr>
              <w:t>a, 40</w:t>
            </w:r>
            <w:r w:rsidRPr="00605612" w:rsidDel="00541F9C">
              <w:rPr>
                <w:rFonts w:cs="Arial"/>
                <w:szCs w:val="20"/>
              </w:rPr>
              <w:t>.</w:t>
            </w:r>
            <w:r w:rsidRPr="00605612">
              <w:rPr>
                <w:rFonts w:cs="Arial"/>
                <w:szCs w:val="20"/>
              </w:rPr>
              <w:t>b, 40</w:t>
            </w:r>
            <w:r w:rsidRPr="00605612" w:rsidDel="00541F9C">
              <w:rPr>
                <w:rFonts w:cs="Arial"/>
                <w:szCs w:val="20"/>
              </w:rPr>
              <w:t>.</w:t>
            </w:r>
            <w:r w:rsidRPr="00605612">
              <w:rPr>
                <w:rFonts w:cs="Arial"/>
                <w:szCs w:val="20"/>
              </w:rPr>
              <w:t>c in 40</w:t>
            </w:r>
            <w:r w:rsidRPr="00605612" w:rsidDel="00541F9C">
              <w:rPr>
                <w:rFonts w:cs="Arial"/>
                <w:szCs w:val="20"/>
              </w:rPr>
              <w:t>.</w:t>
            </w:r>
            <w:r w:rsidRPr="00605612">
              <w:rPr>
                <w:rFonts w:cs="Arial"/>
                <w:szCs w:val="20"/>
              </w:rPr>
              <w:t xml:space="preserve">d </w:t>
            </w:r>
            <w:r w:rsidRPr="00605612" w:rsidDel="00541F9C">
              <w:rPr>
                <w:rFonts w:cs="Arial"/>
                <w:szCs w:val="20"/>
              </w:rPr>
              <w:t xml:space="preserve">členi </w:t>
            </w:r>
            <w:r w:rsidRPr="00605612">
              <w:rPr>
                <w:rFonts w:cs="Arial"/>
                <w:szCs w:val="20"/>
              </w:rPr>
              <w:t xml:space="preserve">Direktive 2013/34/EU, ki določajo obveznosti odvisne družbe, ki je zavezana pripraviti poročilo o trajnostnosti in ki jo obvladuje družba iz tretje države, kadar so izpolnjeni </w:t>
            </w:r>
            <w:r>
              <w:rPr>
                <w:rFonts w:cs="Arial"/>
                <w:szCs w:val="20"/>
              </w:rPr>
              <w:t>zadevni</w:t>
            </w:r>
            <w:r w:rsidRPr="00541F9C">
              <w:rPr>
                <w:rFonts w:cs="Arial"/>
                <w:szCs w:val="20"/>
              </w:rPr>
              <w:t xml:space="preserve"> </w:t>
            </w:r>
            <w:r w:rsidRPr="00605612">
              <w:rPr>
                <w:rFonts w:cs="Arial"/>
                <w:szCs w:val="20"/>
              </w:rPr>
              <w:t>pogoji (podrobnejše pojasnilo je v nadaljevanju pri obrazložitvi k 1</w:t>
            </w:r>
            <w:r>
              <w:rPr>
                <w:rFonts w:cs="Arial"/>
                <w:szCs w:val="20"/>
              </w:rPr>
              <w:t>5</w:t>
            </w:r>
            <w:r w:rsidRPr="00605612">
              <w:rPr>
                <w:rFonts w:cs="Arial"/>
                <w:szCs w:val="20"/>
              </w:rPr>
              <w:t>. členu pri pojasnilih glede novega 70.d člena ZGD-1)</w:t>
            </w:r>
            <w:r>
              <w:rPr>
                <w:rFonts w:cs="Arial"/>
                <w:szCs w:val="20"/>
              </w:rPr>
              <w:t>, saj mora pripraviti poročilo o trajnostnosti v zvezi s tujim podjetjem iz tretje države</w:t>
            </w:r>
            <w:r w:rsidRPr="00605612">
              <w:rPr>
                <w:rFonts w:cs="Arial"/>
                <w:szCs w:val="20"/>
              </w:rPr>
              <w:t>. 40</w:t>
            </w:r>
            <w:r w:rsidRPr="00605612" w:rsidDel="00541F9C">
              <w:rPr>
                <w:rFonts w:cs="Arial"/>
                <w:szCs w:val="20"/>
              </w:rPr>
              <w:t>.</w:t>
            </w:r>
            <w:r w:rsidRPr="00605612">
              <w:rPr>
                <w:rFonts w:cs="Arial"/>
                <w:szCs w:val="20"/>
              </w:rPr>
              <w:t xml:space="preserve">c </w:t>
            </w:r>
            <w:r w:rsidRPr="00605612" w:rsidDel="00541F9C">
              <w:rPr>
                <w:rFonts w:cs="Arial"/>
                <w:szCs w:val="20"/>
              </w:rPr>
              <w:t xml:space="preserve">člen </w:t>
            </w:r>
            <w:r w:rsidRPr="00605612">
              <w:rPr>
                <w:rFonts w:cs="Arial"/>
                <w:szCs w:val="20"/>
              </w:rPr>
              <w:t>določa skupno odgovornost članov administrativnih, upravnih in nadzornih organov odvisnih družb iz 40</w:t>
            </w:r>
            <w:r w:rsidRPr="00605612" w:rsidDel="00541F9C">
              <w:rPr>
                <w:rFonts w:cs="Arial"/>
                <w:szCs w:val="20"/>
              </w:rPr>
              <w:t>.</w:t>
            </w:r>
            <w:r w:rsidRPr="00605612">
              <w:rPr>
                <w:rFonts w:cs="Arial"/>
                <w:szCs w:val="20"/>
              </w:rPr>
              <w:t xml:space="preserve">a </w:t>
            </w:r>
            <w:r w:rsidRPr="00605612" w:rsidDel="00541F9C">
              <w:rPr>
                <w:rFonts w:cs="Arial"/>
                <w:szCs w:val="20"/>
              </w:rPr>
              <w:t xml:space="preserve">člena </w:t>
            </w:r>
            <w:r w:rsidRPr="00605612">
              <w:rPr>
                <w:rFonts w:cs="Arial"/>
                <w:szCs w:val="20"/>
              </w:rPr>
              <w:t>ter podružnic podjetij iz tretjih držav za zagotavljanje, da se njihovo poročilo o trajnostnosti po njihovem najboljšem védenju in zmožnosti pripravi v skladu s 40</w:t>
            </w:r>
            <w:r w:rsidRPr="00605612" w:rsidDel="00541F9C">
              <w:rPr>
                <w:rFonts w:cs="Arial"/>
                <w:szCs w:val="20"/>
              </w:rPr>
              <w:t>.</w:t>
            </w:r>
            <w:r w:rsidRPr="00605612">
              <w:rPr>
                <w:rFonts w:cs="Arial"/>
                <w:szCs w:val="20"/>
              </w:rPr>
              <w:t xml:space="preserve">a </w:t>
            </w:r>
            <w:r w:rsidRPr="00605612" w:rsidDel="00541F9C">
              <w:rPr>
                <w:rFonts w:cs="Arial"/>
                <w:szCs w:val="20"/>
              </w:rPr>
              <w:t xml:space="preserve">členom </w:t>
            </w:r>
            <w:r w:rsidRPr="00605612">
              <w:rPr>
                <w:rFonts w:cs="Arial"/>
                <w:szCs w:val="20"/>
              </w:rPr>
              <w:t>ter</w:t>
            </w:r>
            <w:r w:rsidRPr="00605612" w:rsidDel="00541F9C">
              <w:rPr>
                <w:rFonts w:cs="Arial"/>
                <w:szCs w:val="20"/>
              </w:rPr>
              <w:t xml:space="preserve"> </w:t>
            </w:r>
            <w:r w:rsidRPr="00605612">
              <w:rPr>
                <w:rFonts w:cs="Arial"/>
                <w:szCs w:val="20"/>
              </w:rPr>
              <w:t>se objavi in je dostop</w:t>
            </w:r>
            <w:r>
              <w:rPr>
                <w:rFonts w:cs="Arial"/>
                <w:szCs w:val="20"/>
              </w:rPr>
              <w:t>no</w:t>
            </w:r>
            <w:r w:rsidRPr="00605612">
              <w:rPr>
                <w:rFonts w:cs="Arial"/>
                <w:szCs w:val="20"/>
              </w:rPr>
              <w:t xml:space="preserve"> v skladu s 40</w:t>
            </w:r>
            <w:r w:rsidRPr="00605612" w:rsidDel="00541F9C">
              <w:rPr>
                <w:rFonts w:cs="Arial"/>
                <w:szCs w:val="20"/>
              </w:rPr>
              <w:t>.</w:t>
            </w:r>
            <w:r w:rsidRPr="00605612">
              <w:rPr>
                <w:rFonts w:cs="Arial"/>
                <w:szCs w:val="20"/>
              </w:rPr>
              <w:t>d</w:t>
            </w:r>
            <w:r w:rsidRPr="00605612" w:rsidDel="00541F9C">
              <w:rPr>
                <w:rFonts w:cs="Arial"/>
                <w:szCs w:val="20"/>
              </w:rPr>
              <w:t xml:space="preserve"> členom</w:t>
            </w:r>
            <w:r w:rsidRPr="00605612">
              <w:rPr>
                <w:rFonts w:cs="Arial"/>
                <w:szCs w:val="20"/>
              </w:rPr>
              <w:t xml:space="preserve">. Skladno z ZGD-1 je pri podružnicah tujega podjetja </w:t>
            </w:r>
            <w:r>
              <w:rPr>
                <w:rFonts w:cs="Arial"/>
                <w:szCs w:val="20"/>
              </w:rPr>
              <w:t xml:space="preserve">za to </w:t>
            </w:r>
            <w:r w:rsidRPr="00605612">
              <w:rPr>
                <w:rFonts w:cs="Arial"/>
                <w:szCs w:val="20"/>
              </w:rPr>
              <w:t>odgovor</w:t>
            </w:r>
            <w:r>
              <w:rPr>
                <w:rFonts w:cs="Arial"/>
                <w:szCs w:val="20"/>
              </w:rPr>
              <w:t>e</w:t>
            </w:r>
            <w:r w:rsidRPr="00605612">
              <w:rPr>
                <w:rFonts w:cs="Arial"/>
                <w:szCs w:val="20"/>
              </w:rPr>
              <w:t>n zastopnik tujega podjetja.</w:t>
            </w:r>
            <w:r>
              <w:rPr>
                <w:rFonts w:cs="Arial"/>
                <w:szCs w:val="20"/>
              </w:rPr>
              <w:t xml:space="preserve"> </w:t>
            </w:r>
          </w:p>
          <w:p w14:paraId="3218C130" w14:textId="77777777" w:rsidR="000C08CA" w:rsidRPr="00605612" w:rsidRDefault="000C08CA" w:rsidP="00FE328D">
            <w:pPr>
              <w:spacing w:line="276" w:lineRule="auto"/>
              <w:jc w:val="both"/>
              <w:rPr>
                <w:rFonts w:cs="Arial"/>
                <w:szCs w:val="20"/>
              </w:rPr>
            </w:pPr>
          </w:p>
          <w:p w14:paraId="7AB81431" w14:textId="77777777" w:rsidR="000C08CA" w:rsidRPr="00605612" w:rsidRDefault="000C08CA" w:rsidP="00FE328D">
            <w:pPr>
              <w:spacing w:line="276" w:lineRule="auto"/>
              <w:jc w:val="both"/>
              <w:rPr>
                <w:rFonts w:cs="Arial"/>
                <w:szCs w:val="20"/>
              </w:rPr>
            </w:pPr>
            <w:r w:rsidRPr="00605612">
              <w:rPr>
                <w:rFonts w:cs="Arial"/>
                <w:szCs w:val="20"/>
              </w:rPr>
              <w:t>Tudi 48</w:t>
            </w:r>
            <w:r w:rsidDel="00541F9C">
              <w:rPr>
                <w:rFonts w:cs="Arial"/>
                <w:szCs w:val="20"/>
              </w:rPr>
              <w:t>.</w:t>
            </w:r>
            <w:r w:rsidRPr="00605612">
              <w:rPr>
                <w:rFonts w:cs="Arial"/>
                <w:szCs w:val="20"/>
              </w:rPr>
              <w:t xml:space="preserve">e </w:t>
            </w:r>
            <w:r w:rsidRPr="00605612" w:rsidDel="00541F9C">
              <w:rPr>
                <w:rFonts w:cs="Arial"/>
                <w:szCs w:val="20"/>
              </w:rPr>
              <w:t xml:space="preserve">člen </w:t>
            </w:r>
            <w:r w:rsidRPr="00605612">
              <w:rPr>
                <w:rFonts w:cs="Arial"/>
                <w:szCs w:val="20"/>
              </w:rPr>
              <w:t xml:space="preserve">Direktive 2013/34/EU, dopolnjene z Direktivo 2021/2101/EU, določa odgovornost za pripravo, objavo in omogočanje dostopa do poročila </w:t>
            </w:r>
            <w:r>
              <w:rPr>
                <w:rFonts w:cs="Arial"/>
                <w:color w:val="000000" w:themeColor="text1"/>
                <w:szCs w:val="20"/>
              </w:rPr>
              <w:t xml:space="preserve">o davčnih informacijah </w:t>
            </w:r>
            <w:r w:rsidRPr="00605612">
              <w:rPr>
                <w:rFonts w:cs="Arial"/>
                <w:szCs w:val="20"/>
              </w:rPr>
              <w:t>v zvezi z dohodki.</w:t>
            </w:r>
          </w:p>
          <w:p w14:paraId="02EBA021" w14:textId="77777777" w:rsidR="000C08CA" w:rsidRPr="00605612" w:rsidRDefault="000C08CA" w:rsidP="00FE328D">
            <w:pPr>
              <w:spacing w:line="276" w:lineRule="auto"/>
              <w:jc w:val="both"/>
              <w:rPr>
                <w:rFonts w:cs="Arial"/>
                <w:szCs w:val="20"/>
              </w:rPr>
            </w:pPr>
          </w:p>
          <w:p w14:paraId="246ABD13" w14:textId="77777777" w:rsidR="000C08CA" w:rsidRPr="00605612" w:rsidRDefault="000C08CA" w:rsidP="00FE328D">
            <w:pPr>
              <w:spacing w:line="276" w:lineRule="auto"/>
              <w:jc w:val="both"/>
              <w:rPr>
                <w:rFonts w:cs="Arial"/>
                <w:szCs w:val="20"/>
              </w:rPr>
            </w:pPr>
            <w:r w:rsidRPr="00605612">
              <w:rPr>
                <w:rFonts w:cs="Arial"/>
                <w:szCs w:val="20"/>
              </w:rPr>
              <w:t xml:space="preserve">Navedeni člen direktive v drugem odstavku določa, da so člani upravnih, poslovodnih in nadzornih organov odvisnih družb in osebe, imenovane za izvajanje formalnosti v zvezi z razkritjem na podlagi 41. člena Direktive (EU) 2017/1132 za podružnice (skladno z ZGD-1 gre za zastopnika tujega podjetja), ki delujejo v okviru pristojnosti, ki jim jih podeljuje nacionalno pravo, skupno odgovorni za zagotovitev, da se poročilo o davčnih informacijah v zvezi z dohodki po njihovem najboljšem vedenju in sposobnostih pripravi na način, ki je skladen </w:t>
            </w:r>
            <w:r w:rsidRPr="00605612" w:rsidDel="00541F9C">
              <w:rPr>
                <w:rFonts w:cs="Arial"/>
                <w:szCs w:val="20"/>
              </w:rPr>
              <w:t xml:space="preserve">z </w:t>
            </w:r>
            <w:r w:rsidRPr="00605612">
              <w:rPr>
                <w:rFonts w:cs="Arial"/>
                <w:szCs w:val="20"/>
              </w:rPr>
              <w:t>48</w:t>
            </w:r>
            <w:r w:rsidDel="00541F9C">
              <w:rPr>
                <w:rFonts w:cs="Arial"/>
                <w:szCs w:val="20"/>
              </w:rPr>
              <w:t>.</w:t>
            </w:r>
            <w:r w:rsidRPr="00605612">
              <w:rPr>
                <w:rFonts w:cs="Arial"/>
                <w:szCs w:val="20"/>
              </w:rPr>
              <w:t>b in 48</w:t>
            </w:r>
            <w:r w:rsidDel="00541F9C">
              <w:rPr>
                <w:rFonts w:cs="Arial"/>
                <w:szCs w:val="20"/>
              </w:rPr>
              <w:t>.</w:t>
            </w:r>
            <w:r w:rsidRPr="00605612">
              <w:rPr>
                <w:rFonts w:cs="Arial"/>
                <w:szCs w:val="20"/>
              </w:rPr>
              <w:t>c</w:t>
            </w:r>
            <w:r w:rsidRPr="00605612" w:rsidDel="00541F9C">
              <w:rPr>
                <w:rFonts w:cs="Arial"/>
                <w:szCs w:val="20"/>
              </w:rPr>
              <w:t xml:space="preserve"> členom</w:t>
            </w:r>
            <w:r w:rsidRPr="00605612">
              <w:rPr>
                <w:rFonts w:cs="Arial"/>
                <w:szCs w:val="20"/>
              </w:rPr>
              <w:t>, in</w:t>
            </w:r>
            <w:r>
              <w:rPr>
                <w:rFonts w:cs="Arial"/>
                <w:szCs w:val="20"/>
              </w:rPr>
              <w:t xml:space="preserve"> se</w:t>
            </w:r>
            <w:r w:rsidRPr="00605612">
              <w:rPr>
                <w:rFonts w:cs="Arial"/>
                <w:szCs w:val="20"/>
              </w:rPr>
              <w:t xml:space="preserve"> objavi ter </w:t>
            </w:r>
            <w:r>
              <w:rPr>
                <w:rFonts w:cs="Arial"/>
                <w:szCs w:val="20"/>
              </w:rPr>
              <w:t xml:space="preserve">se </w:t>
            </w:r>
            <w:r w:rsidRPr="00605612">
              <w:rPr>
                <w:rFonts w:cs="Arial"/>
                <w:szCs w:val="20"/>
              </w:rPr>
              <w:t xml:space="preserve">do njega omogoči dostop v skladu </w:t>
            </w:r>
            <w:r w:rsidRPr="00605612" w:rsidDel="00541F9C">
              <w:rPr>
                <w:rFonts w:cs="Arial"/>
                <w:szCs w:val="20"/>
              </w:rPr>
              <w:t xml:space="preserve">z </w:t>
            </w:r>
            <w:r w:rsidRPr="00605612">
              <w:rPr>
                <w:rFonts w:cs="Arial"/>
                <w:szCs w:val="20"/>
              </w:rPr>
              <w:t>48</w:t>
            </w:r>
            <w:r w:rsidDel="00541F9C">
              <w:rPr>
                <w:rFonts w:cs="Arial"/>
                <w:szCs w:val="20"/>
              </w:rPr>
              <w:t>.</w:t>
            </w:r>
            <w:r w:rsidRPr="00605612">
              <w:rPr>
                <w:rFonts w:cs="Arial"/>
                <w:szCs w:val="20"/>
              </w:rPr>
              <w:t xml:space="preserve">d </w:t>
            </w:r>
            <w:r w:rsidRPr="00605612" w:rsidDel="00541F9C">
              <w:rPr>
                <w:rFonts w:cs="Arial"/>
                <w:szCs w:val="20"/>
              </w:rPr>
              <w:t xml:space="preserve">členom </w:t>
            </w:r>
            <w:r w:rsidRPr="00605612">
              <w:rPr>
                <w:rFonts w:cs="Arial"/>
                <w:szCs w:val="20"/>
              </w:rPr>
              <w:t>Direktive 2013/34/EU.</w:t>
            </w:r>
          </w:p>
          <w:p w14:paraId="2DE44664" w14:textId="77777777" w:rsidR="000C08CA" w:rsidRDefault="000C08CA" w:rsidP="00FE328D">
            <w:pPr>
              <w:spacing w:line="276" w:lineRule="auto"/>
              <w:jc w:val="both"/>
              <w:rPr>
                <w:rFonts w:cs="Arial"/>
                <w:szCs w:val="20"/>
              </w:rPr>
            </w:pPr>
          </w:p>
          <w:p w14:paraId="296D358F" w14:textId="77777777" w:rsidR="000C08CA" w:rsidRDefault="000C08CA" w:rsidP="00FE328D">
            <w:pPr>
              <w:spacing w:line="276" w:lineRule="auto"/>
              <w:jc w:val="both"/>
              <w:rPr>
                <w:rFonts w:cs="Arial"/>
                <w:b/>
                <w:szCs w:val="20"/>
              </w:rPr>
            </w:pPr>
            <w:r w:rsidRPr="00CD3E44">
              <w:rPr>
                <w:rFonts w:cs="Arial"/>
                <w:b/>
                <w:szCs w:val="20"/>
              </w:rPr>
              <w:t>K 1</w:t>
            </w:r>
            <w:r>
              <w:rPr>
                <w:rFonts w:cs="Arial"/>
                <w:b/>
                <w:szCs w:val="20"/>
              </w:rPr>
              <w:t>2</w:t>
            </w:r>
            <w:r w:rsidRPr="00CD3E44">
              <w:rPr>
                <w:rFonts w:cs="Arial"/>
                <w:b/>
                <w:szCs w:val="20"/>
              </w:rPr>
              <w:t>. členu</w:t>
            </w:r>
          </w:p>
          <w:p w14:paraId="5DAC7083" w14:textId="77777777" w:rsidR="000C08CA" w:rsidRDefault="000C08CA" w:rsidP="00FE328D">
            <w:pPr>
              <w:spacing w:line="276" w:lineRule="auto"/>
              <w:jc w:val="both"/>
              <w:rPr>
                <w:rFonts w:cs="Arial"/>
                <w:b/>
                <w:bCs/>
                <w:szCs w:val="20"/>
              </w:rPr>
            </w:pPr>
          </w:p>
          <w:p w14:paraId="3B6528F5" w14:textId="77777777" w:rsidR="000C08CA" w:rsidRPr="00605612" w:rsidRDefault="000C08CA" w:rsidP="00FE328D">
            <w:pPr>
              <w:spacing w:line="276" w:lineRule="auto"/>
              <w:jc w:val="both"/>
              <w:rPr>
                <w:rFonts w:cs="Arial"/>
                <w:szCs w:val="20"/>
              </w:rPr>
            </w:pPr>
            <w:r w:rsidRPr="00605612">
              <w:rPr>
                <w:rFonts w:cs="Arial"/>
                <w:szCs w:val="20"/>
              </w:rPr>
              <w:t>Z dopolnitvijo prvega odstavk</w:t>
            </w:r>
            <w:r>
              <w:rPr>
                <w:rFonts w:cs="Arial"/>
                <w:szCs w:val="20"/>
              </w:rPr>
              <w:t>a</w:t>
            </w:r>
            <w:r w:rsidRPr="00605612">
              <w:rPr>
                <w:rFonts w:cs="Arial"/>
                <w:szCs w:val="20"/>
              </w:rPr>
              <w:t xml:space="preserve"> 6</w:t>
            </w:r>
            <w:r>
              <w:rPr>
                <w:rFonts w:cs="Arial"/>
                <w:szCs w:val="20"/>
              </w:rPr>
              <w:t>1.</w:t>
            </w:r>
            <w:r w:rsidRPr="00605612">
              <w:rPr>
                <w:rFonts w:cs="Arial"/>
                <w:szCs w:val="20"/>
              </w:rPr>
              <w:t xml:space="preserve"> člena ZGD-1 se</w:t>
            </w:r>
            <w:r>
              <w:rPr>
                <w:rFonts w:cs="Arial"/>
                <w:szCs w:val="20"/>
              </w:rPr>
              <w:t xml:space="preserve"> </w:t>
            </w:r>
            <w:r w:rsidRPr="00605612">
              <w:rPr>
                <w:rFonts w:cs="Arial"/>
                <w:szCs w:val="20"/>
              </w:rPr>
              <w:t xml:space="preserve">prenaša </w:t>
            </w:r>
            <w:r>
              <w:rPr>
                <w:rFonts w:cs="Arial"/>
                <w:szCs w:val="20"/>
              </w:rPr>
              <w:t>člen 48e</w:t>
            </w:r>
            <w:r w:rsidRPr="00605612">
              <w:rPr>
                <w:rFonts w:cs="Arial"/>
                <w:szCs w:val="20"/>
              </w:rPr>
              <w:t xml:space="preserve"> Direktive 2013/34/EU, dopolnjen</w:t>
            </w:r>
            <w:r>
              <w:rPr>
                <w:rFonts w:cs="Arial"/>
                <w:szCs w:val="20"/>
              </w:rPr>
              <w:t>e</w:t>
            </w:r>
            <w:r w:rsidRPr="00605612">
              <w:rPr>
                <w:rFonts w:cs="Arial"/>
                <w:szCs w:val="20"/>
              </w:rPr>
              <w:t xml:space="preserve"> z Direktivo 2021/2101/EU</w:t>
            </w:r>
            <w:r>
              <w:rPr>
                <w:rFonts w:cs="Arial"/>
                <w:szCs w:val="20"/>
              </w:rPr>
              <w:t xml:space="preserve">, ki </w:t>
            </w:r>
            <w:r w:rsidRPr="00605612">
              <w:rPr>
                <w:rFonts w:cs="Arial"/>
                <w:szCs w:val="20"/>
              </w:rPr>
              <w:t>določa odgovornost za pripravo, objavo</w:t>
            </w:r>
            <w:r>
              <w:rPr>
                <w:rFonts w:cs="Arial"/>
                <w:szCs w:val="20"/>
              </w:rPr>
              <w:t xml:space="preserve"> </w:t>
            </w:r>
            <w:r w:rsidDel="00433945">
              <w:rPr>
                <w:rFonts w:cs="Arial"/>
                <w:szCs w:val="20"/>
              </w:rPr>
              <w:t xml:space="preserve">oziroma </w:t>
            </w:r>
            <w:r>
              <w:rPr>
                <w:rFonts w:cs="Arial"/>
                <w:color w:val="000000" w:themeColor="text1"/>
                <w:szCs w:val="20"/>
              </w:rPr>
              <w:t>predložitev</w:t>
            </w:r>
            <w:r w:rsidRPr="00605612">
              <w:rPr>
                <w:rFonts w:cs="Arial"/>
                <w:szCs w:val="20"/>
              </w:rPr>
              <w:t xml:space="preserve"> in omogočanje dostopa do poročila </w:t>
            </w:r>
            <w:r>
              <w:rPr>
                <w:rFonts w:cs="Arial"/>
                <w:color w:val="000000" w:themeColor="text1"/>
                <w:szCs w:val="20"/>
              </w:rPr>
              <w:t xml:space="preserve">o davčnih informacijah </w:t>
            </w:r>
            <w:r w:rsidRPr="00605612">
              <w:rPr>
                <w:rFonts w:cs="Arial"/>
                <w:szCs w:val="20"/>
              </w:rPr>
              <w:t>v zvezi z dohodki</w:t>
            </w:r>
            <w:r>
              <w:rPr>
                <w:rFonts w:cs="Arial"/>
                <w:color w:val="000000" w:themeColor="text1"/>
                <w:szCs w:val="20"/>
              </w:rPr>
              <w:t xml:space="preserve"> </w:t>
            </w:r>
            <w:r w:rsidDel="00433945">
              <w:rPr>
                <w:rFonts w:cs="Arial"/>
                <w:color w:val="000000" w:themeColor="text1"/>
                <w:szCs w:val="20"/>
              </w:rPr>
              <w:t xml:space="preserve">oziroma </w:t>
            </w:r>
            <w:r>
              <w:rPr>
                <w:rFonts w:cs="Arial"/>
                <w:color w:val="000000" w:themeColor="text1"/>
                <w:szCs w:val="20"/>
              </w:rPr>
              <w:t xml:space="preserve">njegovo </w:t>
            </w:r>
            <w:r w:rsidRPr="00774A2C">
              <w:rPr>
                <w:rFonts w:cs="Arial"/>
                <w:color w:val="000000" w:themeColor="text1"/>
                <w:szCs w:val="20"/>
              </w:rPr>
              <w:t>objav</w:t>
            </w:r>
            <w:r>
              <w:rPr>
                <w:rFonts w:cs="Arial"/>
                <w:color w:val="000000" w:themeColor="text1"/>
                <w:szCs w:val="20"/>
              </w:rPr>
              <w:t>o</w:t>
            </w:r>
            <w:r w:rsidRPr="00774A2C">
              <w:rPr>
                <w:rFonts w:cs="Arial"/>
                <w:color w:val="000000" w:themeColor="text1"/>
                <w:szCs w:val="20"/>
              </w:rPr>
              <w:t xml:space="preserve"> na spletni strani</w:t>
            </w:r>
            <w:r>
              <w:rPr>
                <w:rFonts w:cs="Arial"/>
                <w:szCs w:val="20"/>
              </w:rPr>
              <w:t>.</w:t>
            </w:r>
          </w:p>
          <w:p w14:paraId="32E110E7" w14:textId="77777777" w:rsidR="000C08CA" w:rsidRPr="00605612" w:rsidRDefault="000C08CA" w:rsidP="00FE328D">
            <w:pPr>
              <w:spacing w:line="276" w:lineRule="auto"/>
              <w:jc w:val="both"/>
              <w:rPr>
                <w:rFonts w:cs="Arial"/>
                <w:szCs w:val="20"/>
              </w:rPr>
            </w:pPr>
          </w:p>
          <w:p w14:paraId="7F5235D8" w14:textId="77777777" w:rsidR="000C08CA" w:rsidRPr="0073427C" w:rsidRDefault="000C08CA" w:rsidP="00FE328D">
            <w:pPr>
              <w:spacing w:line="276" w:lineRule="auto"/>
              <w:jc w:val="both"/>
              <w:rPr>
                <w:rFonts w:cs="Arial"/>
                <w:szCs w:val="20"/>
              </w:rPr>
            </w:pPr>
            <w:r w:rsidRPr="00605612">
              <w:rPr>
                <w:rFonts w:cs="Arial"/>
                <w:szCs w:val="20"/>
              </w:rPr>
              <w:lastRenderedPageBreak/>
              <w:t xml:space="preserve">Skupna obveznost zagotavljanja </w:t>
            </w:r>
            <w:r w:rsidRPr="00253A44">
              <w:rPr>
                <w:rFonts w:cs="Arial"/>
                <w:szCs w:val="20"/>
              </w:rPr>
              <w:t>jasn</w:t>
            </w:r>
            <w:r>
              <w:rPr>
                <w:rFonts w:cs="Arial"/>
                <w:szCs w:val="20"/>
              </w:rPr>
              <w:t>osti</w:t>
            </w:r>
            <w:r w:rsidRPr="00605612">
              <w:rPr>
                <w:rFonts w:cs="Arial"/>
                <w:szCs w:val="20"/>
              </w:rPr>
              <w:t xml:space="preserve"> in </w:t>
            </w:r>
            <w:r w:rsidRPr="00253A44">
              <w:rPr>
                <w:rFonts w:cs="Arial"/>
                <w:szCs w:val="20"/>
              </w:rPr>
              <w:t>pregledno</w:t>
            </w:r>
            <w:r>
              <w:rPr>
                <w:rFonts w:cs="Arial"/>
                <w:szCs w:val="20"/>
              </w:rPr>
              <w:t>sti</w:t>
            </w:r>
            <w:r w:rsidRPr="00605612">
              <w:rPr>
                <w:rFonts w:cs="Arial"/>
                <w:szCs w:val="20"/>
              </w:rPr>
              <w:t xml:space="preserve"> letn</w:t>
            </w:r>
            <w:r>
              <w:rPr>
                <w:rFonts w:cs="Arial"/>
                <w:szCs w:val="20"/>
              </w:rPr>
              <w:t>ega poročila</w:t>
            </w:r>
            <w:r w:rsidRPr="00605612">
              <w:rPr>
                <w:rFonts w:cs="Arial"/>
                <w:szCs w:val="20"/>
              </w:rPr>
              <w:t xml:space="preserve"> </w:t>
            </w:r>
            <w:r>
              <w:rPr>
                <w:rFonts w:cs="Arial"/>
                <w:szCs w:val="20"/>
              </w:rPr>
              <w:t>ter izkazovanja resničnosti in poštenosti</w:t>
            </w:r>
            <w:r w:rsidRPr="00605612">
              <w:rPr>
                <w:rFonts w:cs="Arial"/>
                <w:szCs w:val="20"/>
              </w:rPr>
              <w:t xml:space="preserve"> je v veljavnem ZGD-1 že </w:t>
            </w:r>
            <w:r>
              <w:rPr>
                <w:rFonts w:cs="Arial"/>
                <w:szCs w:val="20"/>
              </w:rPr>
              <w:t>navedena</w:t>
            </w:r>
            <w:r w:rsidRPr="00605612">
              <w:rPr>
                <w:rFonts w:cs="Arial"/>
                <w:szCs w:val="20"/>
              </w:rPr>
              <w:t xml:space="preserve">. </w:t>
            </w:r>
            <w:r>
              <w:rPr>
                <w:rFonts w:cs="Arial"/>
                <w:szCs w:val="20"/>
              </w:rPr>
              <w:t>Prvi odstavek 61. člena tako določa, da mora biti l</w:t>
            </w:r>
            <w:r w:rsidRPr="00253A44">
              <w:rPr>
                <w:rFonts w:cs="Arial"/>
                <w:szCs w:val="20"/>
              </w:rPr>
              <w:t>etno poročilo sestavljeno jasno in pregledno. Izkazovati mora resničen in pošten prikaz premoženja in obveznosti družbe, njenega finančnega položaja ter poslovnega izida.</w:t>
            </w:r>
            <w:r w:rsidRPr="00605612">
              <w:rPr>
                <w:rFonts w:cs="Arial"/>
                <w:szCs w:val="20"/>
              </w:rPr>
              <w:t xml:space="preserve"> Navedeni </w:t>
            </w:r>
            <w:r>
              <w:rPr>
                <w:rFonts w:cs="Arial"/>
                <w:szCs w:val="20"/>
              </w:rPr>
              <w:t>48.e</w:t>
            </w:r>
            <w:r w:rsidRPr="00605612">
              <w:rPr>
                <w:rFonts w:cs="Arial"/>
                <w:szCs w:val="20"/>
              </w:rPr>
              <w:t xml:space="preserve"> </w:t>
            </w:r>
            <w:r>
              <w:rPr>
                <w:rFonts w:cs="Arial"/>
                <w:szCs w:val="20"/>
              </w:rPr>
              <w:t>člen</w:t>
            </w:r>
            <w:r w:rsidRPr="00605612">
              <w:rPr>
                <w:rFonts w:cs="Arial"/>
                <w:szCs w:val="20"/>
              </w:rPr>
              <w:t xml:space="preserve"> Direktive 2013/34/EU, dopolnjene z Direktivo 2021/2101/EU</w:t>
            </w:r>
            <w:r>
              <w:rPr>
                <w:rFonts w:cs="Arial"/>
                <w:szCs w:val="20"/>
              </w:rPr>
              <w:t>,</w:t>
            </w:r>
            <w:r w:rsidRPr="00605612">
              <w:rPr>
                <w:rFonts w:cs="Arial"/>
                <w:szCs w:val="20"/>
              </w:rPr>
              <w:t xml:space="preserve"> v drugem odstavku določa, da so člani upravnih, poslovodnih in nadzornih organov odvisnih družb in osebe, imenovane za izvajanje formalnosti v zvezi z razkritjem na podlagi 41. člena Direktive (EU) 2017/1132 za podružnice (skladno z ZGD-1 gre za zastopnika tujega podjetja), ki delujejo v okviru pristojnosti, ki jim jih podeljuje nacionalno pravo, skupno odgovorni za zagotovitev, da se poročilo o davčnih informacijah v zvezi z dohodki po njihovem najboljšem vedenju in sposobnostih pripravi na način, ki je skladen </w:t>
            </w:r>
            <w:r w:rsidRPr="00605612" w:rsidDel="00433945">
              <w:rPr>
                <w:rFonts w:cs="Arial"/>
                <w:szCs w:val="20"/>
              </w:rPr>
              <w:t xml:space="preserve">z </w:t>
            </w:r>
            <w:r w:rsidRPr="00605612">
              <w:rPr>
                <w:rFonts w:cs="Arial"/>
                <w:szCs w:val="20"/>
              </w:rPr>
              <w:t>48</w:t>
            </w:r>
            <w:r w:rsidDel="00433945">
              <w:rPr>
                <w:rFonts w:cs="Arial"/>
                <w:szCs w:val="20"/>
              </w:rPr>
              <w:t>.</w:t>
            </w:r>
            <w:r w:rsidRPr="00605612">
              <w:rPr>
                <w:rFonts w:cs="Arial"/>
                <w:szCs w:val="20"/>
              </w:rPr>
              <w:t>b in 48</w:t>
            </w:r>
            <w:r w:rsidDel="00433945">
              <w:rPr>
                <w:rFonts w:cs="Arial"/>
                <w:szCs w:val="20"/>
              </w:rPr>
              <w:t>.</w:t>
            </w:r>
            <w:r w:rsidRPr="00605612">
              <w:rPr>
                <w:rFonts w:cs="Arial"/>
                <w:szCs w:val="20"/>
              </w:rPr>
              <w:t>c</w:t>
            </w:r>
            <w:r w:rsidRPr="00605612" w:rsidDel="00433945">
              <w:rPr>
                <w:rFonts w:cs="Arial"/>
                <w:szCs w:val="20"/>
              </w:rPr>
              <w:t xml:space="preserve"> členom</w:t>
            </w:r>
            <w:r w:rsidRPr="00605612">
              <w:rPr>
                <w:rFonts w:cs="Arial"/>
                <w:szCs w:val="20"/>
              </w:rPr>
              <w:t xml:space="preserve">, in </w:t>
            </w:r>
            <w:r>
              <w:rPr>
                <w:rFonts w:cs="Arial"/>
                <w:szCs w:val="20"/>
              </w:rPr>
              <w:t xml:space="preserve">se </w:t>
            </w:r>
            <w:r w:rsidRPr="00605612">
              <w:rPr>
                <w:rFonts w:cs="Arial"/>
                <w:szCs w:val="20"/>
              </w:rPr>
              <w:t xml:space="preserve">objavi ter </w:t>
            </w:r>
            <w:r>
              <w:rPr>
                <w:rFonts w:cs="Arial"/>
                <w:szCs w:val="20"/>
              </w:rPr>
              <w:t xml:space="preserve">se </w:t>
            </w:r>
            <w:r w:rsidRPr="00605612">
              <w:rPr>
                <w:rFonts w:cs="Arial"/>
                <w:szCs w:val="20"/>
              </w:rPr>
              <w:t xml:space="preserve">do njega omogoči dostop v skladu </w:t>
            </w:r>
            <w:r w:rsidRPr="00605612" w:rsidDel="00433945">
              <w:rPr>
                <w:rFonts w:cs="Arial"/>
                <w:szCs w:val="20"/>
              </w:rPr>
              <w:t xml:space="preserve">z </w:t>
            </w:r>
            <w:r w:rsidRPr="00605612">
              <w:rPr>
                <w:rFonts w:cs="Arial"/>
                <w:szCs w:val="20"/>
              </w:rPr>
              <w:t>48</w:t>
            </w:r>
            <w:r w:rsidDel="00433945">
              <w:rPr>
                <w:rFonts w:cs="Arial"/>
                <w:szCs w:val="20"/>
              </w:rPr>
              <w:t>.</w:t>
            </w:r>
            <w:r w:rsidRPr="00605612">
              <w:rPr>
                <w:rFonts w:cs="Arial"/>
                <w:szCs w:val="20"/>
              </w:rPr>
              <w:t xml:space="preserve">d </w:t>
            </w:r>
            <w:r w:rsidRPr="00605612" w:rsidDel="00433945">
              <w:rPr>
                <w:rFonts w:cs="Arial"/>
                <w:szCs w:val="20"/>
              </w:rPr>
              <w:t xml:space="preserve">členom </w:t>
            </w:r>
            <w:r w:rsidRPr="00605612">
              <w:rPr>
                <w:rFonts w:cs="Arial"/>
                <w:szCs w:val="20"/>
              </w:rPr>
              <w:t>Direktive 2013/34/EU.</w:t>
            </w:r>
            <w:r>
              <w:rPr>
                <w:rFonts w:cs="Arial"/>
                <w:szCs w:val="20"/>
              </w:rPr>
              <w:t xml:space="preserve"> Ker se bo</w:t>
            </w:r>
            <w:r w:rsidRPr="00605612">
              <w:rPr>
                <w:rFonts w:cs="Arial"/>
                <w:szCs w:val="20"/>
              </w:rPr>
              <w:t xml:space="preserve">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v zvezi z dohodki</w:t>
            </w:r>
            <w:r>
              <w:rPr>
                <w:rFonts w:cs="Arial"/>
                <w:szCs w:val="20"/>
              </w:rPr>
              <w:t xml:space="preserve"> pripravilo samostojno kot ločeno od letnega poročila, je namen predlagane dopolnitve, da se določba nanaša tudi na od letnega poročila ločeno </w:t>
            </w:r>
            <w:r w:rsidRPr="00605612">
              <w:rPr>
                <w:rFonts w:cs="Arial"/>
                <w:szCs w:val="20"/>
              </w:rPr>
              <w:t>poroči</w:t>
            </w:r>
            <w:r>
              <w:rPr>
                <w:rFonts w:cs="Arial"/>
                <w:szCs w:val="20"/>
              </w:rPr>
              <w:t>lo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v zvezi z dohodki</w:t>
            </w:r>
            <w:r>
              <w:rPr>
                <w:rFonts w:cs="Arial"/>
                <w:szCs w:val="20"/>
              </w:rPr>
              <w:t>.</w:t>
            </w:r>
          </w:p>
          <w:p w14:paraId="0FE8AE10" w14:textId="77777777" w:rsidR="000C08CA" w:rsidRPr="00605612" w:rsidRDefault="000C08CA" w:rsidP="00FE328D">
            <w:pPr>
              <w:spacing w:line="276" w:lineRule="auto"/>
              <w:jc w:val="both"/>
              <w:rPr>
                <w:rFonts w:cs="Arial"/>
                <w:szCs w:val="20"/>
              </w:rPr>
            </w:pPr>
          </w:p>
          <w:p w14:paraId="6C6A4266" w14:textId="77777777" w:rsidR="000C08CA" w:rsidRPr="00605612" w:rsidRDefault="000C08CA" w:rsidP="00FE328D">
            <w:pPr>
              <w:spacing w:line="276" w:lineRule="auto"/>
              <w:jc w:val="both"/>
              <w:rPr>
                <w:rFonts w:cs="Arial"/>
                <w:b/>
                <w:bCs/>
                <w:szCs w:val="20"/>
              </w:rPr>
            </w:pPr>
            <w:r w:rsidRPr="00605612">
              <w:rPr>
                <w:rFonts w:cs="Arial"/>
                <w:b/>
                <w:bCs/>
                <w:szCs w:val="20"/>
              </w:rPr>
              <w:t>K 1</w:t>
            </w:r>
            <w:r>
              <w:rPr>
                <w:rFonts w:cs="Arial"/>
                <w:b/>
                <w:bCs/>
                <w:szCs w:val="20"/>
              </w:rPr>
              <w:t>3</w:t>
            </w:r>
            <w:r w:rsidRPr="00605612">
              <w:rPr>
                <w:rFonts w:cs="Arial"/>
                <w:b/>
                <w:bCs/>
                <w:szCs w:val="20"/>
              </w:rPr>
              <w:t>. členu</w:t>
            </w:r>
          </w:p>
          <w:p w14:paraId="438231CC" w14:textId="77777777" w:rsidR="000C08CA" w:rsidRPr="00605612" w:rsidRDefault="000C08CA" w:rsidP="00FE328D">
            <w:pPr>
              <w:spacing w:line="276" w:lineRule="auto"/>
              <w:jc w:val="both"/>
              <w:rPr>
                <w:rFonts w:cs="Arial"/>
                <w:b/>
                <w:bCs/>
                <w:szCs w:val="20"/>
              </w:rPr>
            </w:pPr>
          </w:p>
          <w:p w14:paraId="74BD4AEE" w14:textId="77777777" w:rsidR="000C08CA" w:rsidRPr="00605612" w:rsidRDefault="000C08CA" w:rsidP="00FE328D">
            <w:pPr>
              <w:spacing w:line="276" w:lineRule="auto"/>
              <w:jc w:val="both"/>
              <w:rPr>
                <w:rFonts w:cs="Arial"/>
                <w:szCs w:val="20"/>
              </w:rPr>
            </w:pPr>
            <w:r w:rsidRPr="00605612">
              <w:rPr>
                <w:rFonts w:cs="Arial"/>
                <w:szCs w:val="20"/>
              </w:rPr>
              <w:t xml:space="preserve">Z novim tretjim odstavkom 70. člena ZGD-1 se prenaša z Direktivo 2022/2464/EU dodana določba v prvem odstavku 19. člena Direktive 2013/34/EU, ki velikim družbam ter majhnim in srednjim družbam, ki </w:t>
            </w:r>
            <w:r>
              <w:rPr>
                <w:rFonts w:cs="Arial"/>
                <w:szCs w:val="20"/>
              </w:rPr>
              <w:t>kotirajo</w:t>
            </w:r>
            <w:r w:rsidRPr="00605612">
              <w:rPr>
                <w:rFonts w:cs="Arial"/>
                <w:szCs w:val="20"/>
              </w:rPr>
              <w:t xml:space="preserve"> na borzi, nalaga, da v poslovnem poročilu poročajo tudi o ključnih neopredmetenih sredstvih </w:t>
            </w:r>
            <w:r>
              <w:rPr>
                <w:rFonts w:cs="Arial"/>
                <w:szCs w:val="20"/>
              </w:rPr>
              <w:t>ter</w:t>
            </w:r>
            <w:r w:rsidRPr="00605612">
              <w:rPr>
                <w:rFonts w:cs="Arial"/>
                <w:szCs w:val="20"/>
              </w:rPr>
              <w:t xml:space="preserve"> pojasnijo, kako je poslovni model družbe v osnovi odvisen od teh sredstev in kako ta sredstva pripomorejo k ustvarjanju vrednosti v družbi. Navedeni podatki so lahko del poročila o trajnostnosti, vendar </w:t>
            </w:r>
            <w:r>
              <w:rPr>
                <w:rFonts w:cs="Arial"/>
                <w:szCs w:val="20"/>
              </w:rPr>
              <w:t xml:space="preserve">to </w:t>
            </w:r>
            <w:r w:rsidRPr="00605612">
              <w:rPr>
                <w:rFonts w:cs="Arial"/>
                <w:szCs w:val="20"/>
              </w:rPr>
              <w:t xml:space="preserve">ni nujno, morajo pa biti del poslovnega poročila. </w:t>
            </w:r>
            <w:r>
              <w:rPr>
                <w:rFonts w:cs="Arial"/>
                <w:szCs w:val="20"/>
              </w:rPr>
              <w:t xml:space="preserve">Družbe morajo poročati tako o ključnih neopredmetenih sredstvih, ki so že zajeti v bilanci stanja, kot o vseh preostalih ključnih neopredmetenih sredstvih. </w:t>
            </w:r>
            <w:r w:rsidRPr="00A1031A">
              <w:rPr>
                <w:rFonts w:cs="Arial"/>
                <w:szCs w:val="20"/>
              </w:rPr>
              <w:t xml:space="preserve">V obrazložitvi k </w:t>
            </w:r>
            <w:r>
              <w:rPr>
                <w:rFonts w:cs="Arial"/>
                <w:szCs w:val="20"/>
              </w:rPr>
              <w:t>5</w:t>
            </w:r>
            <w:r w:rsidRPr="00A1031A">
              <w:rPr>
                <w:rFonts w:cs="Arial"/>
                <w:szCs w:val="20"/>
              </w:rPr>
              <w:t>. členu</w:t>
            </w:r>
            <w:r>
              <w:rPr>
                <w:rFonts w:cs="Arial"/>
                <w:szCs w:val="20"/>
              </w:rPr>
              <w:t xml:space="preserve"> je bolj podrobno pojasnjeno, da </w:t>
            </w:r>
            <w:r w:rsidRPr="00605612">
              <w:rPr>
                <w:rFonts w:cs="Arial"/>
                <w:szCs w:val="20"/>
              </w:rPr>
              <w:t>v nekaterih primerih ni mogoče razlikovati med informacijami o neopredmetenih sredstvih in informacijami o zadevah v zvezi s trajnostnostjo.</w:t>
            </w:r>
            <w:r>
              <w:rPr>
                <w:rFonts w:cs="Arial"/>
                <w:szCs w:val="20"/>
              </w:rPr>
              <w:t xml:space="preserve"> </w:t>
            </w:r>
          </w:p>
          <w:p w14:paraId="1CF074EA" w14:textId="77777777" w:rsidR="000C08CA" w:rsidRPr="00605612" w:rsidRDefault="000C08CA" w:rsidP="00FE328D">
            <w:pPr>
              <w:spacing w:line="276" w:lineRule="auto"/>
              <w:jc w:val="both"/>
              <w:rPr>
                <w:rFonts w:cs="Arial"/>
                <w:b/>
                <w:bCs/>
                <w:szCs w:val="20"/>
              </w:rPr>
            </w:pPr>
          </w:p>
          <w:p w14:paraId="4FC1F093" w14:textId="77777777" w:rsidR="000C08CA" w:rsidRPr="00605612" w:rsidRDefault="000C08CA" w:rsidP="00FE328D">
            <w:pPr>
              <w:spacing w:line="276" w:lineRule="auto"/>
              <w:jc w:val="both"/>
              <w:rPr>
                <w:rFonts w:cs="Arial"/>
                <w:szCs w:val="20"/>
              </w:rPr>
            </w:pPr>
            <w:r w:rsidRPr="00605612">
              <w:rPr>
                <w:rFonts w:cs="Arial"/>
                <w:szCs w:val="20"/>
              </w:rPr>
              <w:t>70. člen ZGD-1 določa sestavine poslovnega poročila. Člen se v novem tretjem odstavku dopolni z novo obveznostjo, da poslovno poročilo družbe iz prvega odstavka 70.c člena ZGD-1 vsebuje poleg preostalih obveznih sestavin tudi:</w:t>
            </w:r>
          </w:p>
          <w:p w14:paraId="5E3720C0"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poročilo o trajnostnosti, pripravljeno v skladu s 70.c členom, in</w:t>
            </w:r>
          </w:p>
          <w:p w14:paraId="03F04E6E"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informacije o ključnih neopredmetenih sredstvih ter pojasnilo, kako je poslovni model družbe v osnovi odvisen od teh sredstev </w:t>
            </w:r>
            <w:r>
              <w:rPr>
                <w:rFonts w:cs="Arial"/>
                <w:szCs w:val="20"/>
              </w:rPr>
              <w:t>in</w:t>
            </w:r>
            <w:r w:rsidRPr="00605612">
              <w:rPr>
                <w:rFonts w:cs="Arial"/>
                <w:szCs w:val="20"/>
              </w:rPr>
              <w:t xml:space="preserve"> kako ta sredstva pripomorejo k ustvarjanju vrednosti v družbi. Opredelitev izraza ključna neopredmetena sredstva je</w:t>
            </w:r>
            <w:r>
              <w:rPr>
                <w:rFonts w:cs="Arial"/>
                <w:szCs w:val="20"/>
              </w:rPr>
              <w:t>,</w:t>
            </w:r>
            <w:r w:rsidRPr="00605612">
              <w:rPr>
                <w:rFonts w:cs="Arial"/>
                <w:szCs w:val="20"/>
              </w:rPr>
              <w:t xml:space="preserve"> kot že omenjeno</w:t>
            </w:r>
            <w:r>
              <w:rPr>
                <w:rFonts w:cs="Arial"/>
                <w:szCs w:val="20"/>
              </w:rPr>
              <w:t>,</w:t>
            </w:r>
            <w:r w:rsidRPr="00605612">
              <w:rPr>
                <w:rFonts w:cs="Arial"/>
                <w:szCs w:val="20"/>
              </w:rPr>
              <w:t xml:space="preserve"> v </w:t>
            </w:r>
            <w:r>
              <w:rPr>
                <w:rFonts w:cs="Arial"/>
                <w:szCs w:val="20"/>
              </w:rPr>
              <w:t>5</w:t>
            </w:r>
            <w:r w:rsidRPr="00605612">
              <w:rPr>
                <w:rFonts w:cs="Arial"/>
                <w:szCs w:val="20"/>
              </w:rPr>
              <w:t xml:space="preserve">. členu predloga zakona, in sicer gre za sredstva brez fizičnega obstoja, od katerih je v osnovi odvisen poslovni model družbe in ki so vir ustvarjanja vrednosti v družbi. Primeri ključnih neopredmetenih sredstev so navedeni v </w:t>
            </w:r>
            <w:r>
              <w:rPr>
                <w:rFonts w:cs="Arial"/>
                <w:szCs w:val="20"/>
              </w:rPr>
              <w:t>obrazložitvi k 5. členu.</w:t>
            </w:r>
          </w:p>
          <w:p w14:paraId="34FD7BEC" w14:textId="77777777" w:rsidR="000C08CA" w:rsidRPr="00605612" w:rsidRDefault="000C08CA" w:rsidP="00FE328D">
            <w:pPr>
              <w:spacing w:line="276" w:lineRule="auto"/>
              <w:jc w:val="both"/>
              <w:rPr>
                <w:rFonts w:cs="Arial"/>
                <w:szCs w:val="20"/>
              </w:rPr>
            </w:pPr>
          </w:p>
          <w:p w14:paraId="7B87DBC8" w14:textId="77777777" w:rsidR="000C08CA" w:rsidRPr="00605612" w:rsidRDefault="000C08CA" w:rsidP="00FE328D">
            <w:pPr>
              <w:spacing w:line="276" w:lineRule="auto"/>
              <w:jc w:val="both"/>
              <w:rPr>
                <w:rFonts w:cs="Arial"/>
                <w:szCs w:val="20"/>
              </w:rPr>
            </w:pPr>
            <w:r w:rsidRPr="00605612">
              <w:rPr>
                <w:rFonts w:cs="Arial"/>
                <w:szCs w:val="20"/>
              </w:rPr>
              <w:t>Z Direktivo 2022/2464/EU je bil dopolnjen tudi 20. člen Direktive 2013/34/EU. V prvem odstavku je bila v točki (g) pri opisu politike raznolikosti posebej izpostavljana raznolikost v zvezi s spolom. Peti odstavek 70. člena ZGD-1 že določa, da družbe, ki so zavezane k reviziji, vključijo v svoje poslovno poročilo izjavo o upravljanju družbe, ki se vključi kot poseben oddelek poslovnega poročila. Določa tudi minimalni obseg izjave o upravljanju, in sicer med drugim tudi v 5. točki opis politike raznolikosti, ki se izvaja v zvezi z zastopanostjo v organih vodenja ali nadzora družbe z vidika spola in drugih vidikov, kot so na primer starost</w:t>
            </w:r>
            <w:r>
              <w:rPr>
                <w:rFonts w:cs="Arial"/>
                <w:szCs w:val="20"/>
              </w:rPr>
              <w:t>,</w:t>
            </w:r>
            <w:r w:rsidRPr="00605612" w:rsidDel="004B0E64">
              <w:rPr>
                <w:rFonts w:cs="Arial"/>
                <w:szCs w:val="20"/>
              </w:rPr>
              <w:t xml:space="preserve"> </w:t>
            </w:r>
            <w:r w:rsidRPr="00605612">
              <w:rPr>
                <w:rFonts w:cs="Arial"/>
                <w:szCs w:val="20"/>
              </w:rPr>
              <w:t xml:space="preserve">izobrazba </w:t>
            </w:r>
            <w:r>
              <w:rPr>
                <w:rFonts w:cs="Arial"/>
                <w:szCs w:val="20"/>
              </w:rPr>
              <w:t>ali</w:t>
            </w:r>
            <w:r w:rsidRPr="00605612">
              <w:rPr>
                <w:rFonts w:cs="Arial"/>
                <w:szCs w:val="20"/>
              </w:rPr>
              <w:t xml:space="preserve"> poklicne izkušnje, navedba ciljev, način izvajanja ter doseženi rezultat</w:t>
            </w:r>
            <w:r>
              <w:rPr>
                <w:rFonts w:cs="Arial"/>
                <w:szCs w:val="20"/>
              </w:rPr>
              <w:t>i</w:t>
            </w:r>
            <w:r w:rsidRPr="00605612">
              <w:rPr>
                <w:rFonts w:cs="Arial"/>
                <w:szCs w:val="20"/>
              </w:rPr>
              <w:t xml:space="preserve"> politike raznolikosti v obdobju poročanja. Glede na to, da je vidik spola pri izjavi o upravljanju že posebej izpostavljen, se ta določba ne spreminja.</w:t>
            </w:r>
          </w:p>
          <w:p w14:paraId="260779B3" w14:textId="77777777" w:rsidR="000C08CA" w:rsidRPr="00605612" w:rsidRDefault="000C08CA" w:rsidP="00FE328D">
            <w:pPr>
              <w:spacing w:line="276" w:lineRule="auto"/>
              <w:jc w:val="both"/>
              <w:rPr>
                <w:rFonts w:cs="Arial"/>
                <w:szCs w:val="20"/>
              </w:rPr>
            </w:pPr>
          </w:p>
          <w:p w14:paraId="07D48D31" w14:textId="77777777" w:rsidR="000C08CA" w:rsidRPr="00605612" w:rsidRDefault="000C08CA" w:rsidP="00FE328D">
            <w:pPr>
              <w:spacing w:line="276" w:lineRule="auto"/>
              <w:jc w:val="both"/>
              <w:rPr>
                <w:rFonts w:cs="Arial"/>
                <w:szCs w:val="20"/>
              </w:rPr>
            </w:pPr>
            <w:r>
              <w:rPr>
                <w:rFonts w:cs="Arial"/>
                <w:szCs w:val="20"/>
              </w:rPr>
              <w:t xml:space="preserve">Zaradi upoštevanja nomotehničnih pravil se del besedila veljavnega petega odstavka 70. člena ZGD-1, ki postane šesti odstavek, prenese v sedmi odstavek. Ta se dopolni tudi zato, ker je bil </w:t>
            </w:r>
            <w:r w:rsidRPr="00605612">
              <w:rPr>
                <w:rFonts w:cs="Arial"/>
                <w:szCs w:val="20"/>
              </w:rPr>
              <w:t xml:space="preserve">20. člen Direktive 2013/34/EU dopolnjen z novim pododstavkom, v katerem je določeno, da se za družbe, za </w:t>
            </w:r>
            <w:r w:rsidRPr="00605612">
              <w:rPr>
                <w:rFonts w:cs="Arial"/>
                <w:szCs w:val="20"/>
              </w:rPr>
              <w:lastRenderedPageBreak/>
              <w:t>katere se uporablja 19</w:t>
            </w:r>
            <w:r w:rsidRPr="00605612" w:rsidDel="004B0E64">
              <w:rPr>
                <w:rFonts w:cs="Arial"/>
                <w:szCs w:val="20"/>
              </w:rPr>
              <w:t>.</w:t>
            </w:r>
            <w:r w:rsidRPr="00605612">
              <w:rPr>
                <w:rFonts w:cs="Arial"/>
                <w:szCs w:val="20"/>
              </w:rPr>
              <w:t>a</w:t>
            </w:r>
            <w:r w:rsidRPr="00605612" w:rsidDel="004B0E64">
              <w:rPr>
                <w:rFonts w:cs="Arial"/>
                <w:szCs w:val="20"/>
              </w:rPr>
              <w:t xml:space="preserve"> člen</w:t>
            </w:r>
            <w:r w:rsidRPr="00605612">
              <w:rPr>
                <w:rFonts w:cs="Arial"/>
                <w:szCs w:val="20"/>
              </w:rPr>
              <w:t xml:space="preserve">, šteje, da so izpolnile obveznost </w:t>
            </w:r>
            <w:r>
              <w:rPr>
                <w:rFonts w:cs="Arial"/>
                <w:szCs w:val="20"/>
              </w:rPr>
              <w:t>glede</w:t>
            </w:r>
            <w:r w:rsidRPr="00605612">
              <w:rPr>
                <w:rFonts w:cs="Arial"/>
                <w:szCs w:val="20"/>
              </w:rPr>
              <w:t xml:space="preserve"> politik</w:t>
            </w:r>
            <w:r>
              <w:rPr>
                <w:rFonts w:cs="Arial"/>
                <w:szCs w:val="20"/>
              </w:rPr>
              <w:t>e</w:t>
            </w:r>
            <w:r w:rsidRPr="00605612">
              <w:rPr>
                <w:rFonts w:cs="Arial"/>
                <w:szCs w:val="20"/>
              </w:rPr>
              <w:t xml:space="preserve"> raznolikosti, kadar v svoje poročanje o trajnostnosti vključijo informacije, zahtevane pri opisu politike raznolikosti, in če v izjavo o upravljanju družbe vključijo sklic nanje. Glede na navedeno je v</w:t>
            </w:r>
            <w:r>
              <w:rPr>
                <w:rFonts w:cs="Arial"/>
                <w:szCs w:val="20"/>
              </w:rPr>
              <w:t xml:space="preserve"> zadnjem stavku</w:t>
            </w:r>
            <w:r w:rsidRPr="00605612">
              <w:rPr>
                <w:rFonts w:cs="Arial"/>
                <w:szCs w:val="20"/>
              </w:rPr>
              <w:t xml:space="preserve"> </w:t>
            </w:r>
            <w:r>
              <w:rPr>
                <w:rFonts w:cs="Arial"/>
                <w:szCs w:val="20"/>
              </w:rPr>
              <w:t>sedmega</w:t>
            </w:r>
            <w:r w:rsidRPr="00605612">
              <w:rPr>
                <w:rFonts w:cs="Arial"/>
                <w:szCs w:val="20"/>
              </w:rPr>
              <w:t xml:space="preserve"> odstav</w:t>
            </w:r>
            <w:r>
              <w:rPr>
                <w:rFonts w:cs="Arial"/>
                <w:szCs w:val="20"/>
              </w:rPr>
              <w:t>ka</w:t>
            </w:r>
            <w:r w:rsidRPr="00605612">
              <w:rPr>
                <w:rFonts w:cs="Arial"/>
                <w:szCs w:val="20"/>
              </w:rPr>
              <w:t xml:space="preserve"> 70. člena ZGD-1 dodana navedba, da se za družbe, za katere velja 70.c člen tega zakona, šteje, da so izpolnile obveznost predložitve opisa politike raznolikosti, če v poročilo o trajnostnosti vključijo informacije, ki se za ta opis zahtevajo, in če v izjavo o upravljanju družbe vključijo sklic nanje.</w:t>
            </w:r>
          </w:p>
          <w:p w14:paraId="00393705" w14:textId="77777777" w:rsidR="000C08CA" w:rsidRPr="00605612" w:rsidRDefault="000C08CA" w:rsidP="00FE328D">
            <w:pPr>
              <w:spacing w:line="276" w:lineRule="auto"/>
              <w:jc w:val="both"/>
              <w:rPr>
                <w:rFonts w:cs="Arial"/>
                <w:szCs w:val="20"/>
              </w:rPr>
            </w:pPr>
          </w:p>
          <w:p w14:paraId="2E00605B" w14:textId="77777777" w:rsidR="000C08CA" w:rsidRPr="00605612" w:rsidRDefault="000C08CA" w:rsidP="00FE328D">
            <w:pPr>
              <w:spacing w:line="276" w:lineRule="auto"/>
              <w:rPr>
                <w:rFonts w:cs="Arial"/>
                <w:b/>
                <w:bCs/>
                <w:szCs w:val="20"/>
              </w:rPr>
            </w:pPr>
            <w:r w:rsidRPr="00605612">
              <w:rPr>
                <w:rFonts w:cs="Arial"/>
                <w:b/>
                <w:bCs/>
                <w:szCs w:val="20"/>
              </w:rPr>
              <w:t>K 1</w:t>
            </w:r>
            <w:r>
              <w:rPr>
                <w:rFonts w:cs="Arial"/>
                <w:b/>
                <w:bCs/>
                <w:szCs w:val="20"/>
              </w:rPr>
              <w:t>4</w:t>
            </w:r>
            <w:r w:rsidRPr="00605612">
              <w:rPr>
                <w:rFonts w:cs="Arial"/>
                <w:b/>
                <w:bCs/>
                <w:szCs w:val="20"/>
              </w:rPr>
              <w:t>. členu</w:t>
            </w:r>
          </w:p>
          <w:p w14:paraId="5F7D5CF9" w14:textId="77777777" w:rsidR="000C08CA" w:rsidRPr="00605612" w:rsidRDefault="000C08CA" w:rsidP="00FE328D">
            <w:pPr>
              <w:spacing w:line="276" w:lineRule="auto"/>
              <w:rPr>
                <w:rFonts w:cs="Arial"/>
                <w:b/>
                <w:bCs/>
                <w:szCs w:val="20"/>
              </w:rPr>
            </w:pPr>
          </w:p>
          <w:p w14:paraId="6764A37B" w14:textId="77777777" w:rsidR="000C08CA" w:rsidRPr="00605612" w:rsidRDefault="000C08CA" w:rsidP="00FE328D">
            <w:pPr>
              <w:spacing w:line="276" w:lineRule="auto"/>
              <w:jc w:val="both"/>
              <w:rPr>
                <w:rFonts w:cs="Arial"/>
                <w:szCs w:val="20"/>
              </w:rPr>
            </w:pPr>
            <w:r w:rsidRPr="00605612">
              <w:rPr>
                <w:rFonts w:cs="Arial"/>
                <w:szCs w:val="20"/>
              </w:rPr>
              <w:t>S spremembo 70.c člena ZGD-1 se v nacionalno zakonodajo prenaša z Direktivo 2022/2464/EU spremenjen</w:t>
            </w:r>
            <w:r>
              <w:rPr>
                <w:rFonts w:cs="Arial"/>
                <w:szCs w:val="20"/>
              </w:rPr>
              <w:t>i</w:t>
            </w:r>
            <w:r w:rsidRPr="00605612">
              <w:rPr>
                <w:rFonts w:cs="Arial"/>
                <w:szCs w:val="20"/>
              </w:rPr>
              <w:t xml:space="preserve"> 19</w:t>
            </w:r>
            <w:r w:rsidRPr="00605612" w:rsidDel="004B0E64">
              <w:rPr>
                <w:rFonts w:cs="Arial"/>
                <w:szCs w:val="20"/>
              </w:rPr>
              <w:t>.</w:t>
            </w:r>
            <w:r w:rsidRPr="00605612">
              <w:rPr>
                <w:rFonts w:cs="Arial"/>
                <w:szCs w:val="20"/>
              </w:rPr>
              <w:t xml:space="preserve">a </w:t>
            </w:r>
            <w:r w:rsidRPr="00605612" w:rsidDel="004B0E64">
              <w:rPr>
                <w:rFonts w:cs="Arial"/>
                <w:szCs w:val="20"/>
              </w:rPr>
              <w:t xml:space="preserve">člena </w:t>
            </w:r>
            <w:r w:rsidRPr="00605612">
              <w:rPr>
                <w:rFonts w:cs="Arial"/>
                <w:szCs w:val="20"/>
              </w:rPr>
              <w:t xml:space="preserve">Direktive 2013/34/EU. </w:t>
            </w:r>
          </w:p>
          <w:p w14:paraId="1AE09C86" w14:textId="77777777" w:rsidR="000C08CA" w:rsidRDefault="000C08CA" w:rsidP="00FE328D">
            <w:pPr>
              <w:spacing w:line="276" w:lineRule="auto"/>
              <w:jc w:val="both"/>
              <w:rPr>
                <w:rFonts w:cs="Arial"/>
                <w:szCs w:val="20"/>
              </w:rPr>
            </w:pPr>
          </w:p>
          <w:p w14:paraId="35E1774E" w14:textId="77777777" w:rsidR="000C08CA" w:rsidRDefault="000C08CA" w:rsidP="00FE328D">
            <w:pPr>
              <w:spacing w:line="276" w:lineRule="auto"/>
              <w:jc w:val="both"/>
              <w:rPr>
                <w:rFonts w:cs="Arial"/>
                <w:szCs w:val="20"/>
              </w:rPr>
            </w:pPr>
            <w:r w:rsidRPr="005D43EE">
              <w:rPr>
                <w:rFonts w:cs="Arial"/>
                <w:szCs w:val="20"/>
              </w:rPr>
              <w:t xml:space="preserve">Kot je pojasnjeno že v </w:t>
            </w:r>
            <w:r>
              <w:rPr>
                <w:rFonts w:cs="Arial"/>
                <w:szCs w:val="20"/>
              </w:rPr>
              <w:t>uvodu</w:t>
            </w:r>
            <w:r w:rsidRPr="005D43EE">
              <w:rPr>
                <w:rFonts w:cs="Arial"/>
                <w:szCs w:val="20"/>
              </w:rPr>
              <w:t xml:space="preserve"> tega predloga, veljavna ureditev temelji na </w:t>
            </w:r>
            <w:r w:rsidRPr="005D43EE" w:rsidDel="004B0E64">
              <w:rPr>
                <w:rFonts w:cs="Arial"/>
                <w:szCs w:val="20"/>
              </w:rPr>
              <w:t xml:space="preserve">določbah </w:t>
            </w:r>
            <w:r w:rsidRPr="005D43EE">
              <w:rPr>
                <w:rFonts w:cs="Arial"/>
                <w:szCs w:val="20"/>
              </w:rPr>
              <w:t>Direktiv</w:t>
            </w:r>
            <w:r>
              <w:rPr>
                <w:rFonts w:cs="Arial"/>
                <w:szCs w:val="20"/>
              </w:rPr>
              <w:t>i</w:t>
            </w:r>
            <w:r w:rsidRPr="005D43EE">
              <w:rPr>
                <w:rFonts w:cs="Arial"/>
                <w:szCs w:val="20"/>
              </w:rPr>
              <w:t xml:space="preserve"> 2014/95/EU</w:t>
            </w:r>
            <w:r>
              <w:rPr>
                <w:rFonts w:cs="Arial"/>
                <w:szCs w:val="20"/>
              </w:rPr>
              <w:t xml:space="preserve"> (</w:t>
            </w:r>
            <w:r w:rsidRPr="005D43EE">
              <w:rPr>
                <w:rFonts w:cs="Arial"/>
                <w:szCs w:val="20"/>
              </w:rPr>
              <w:t xml:space="preserve">ki je </w:t>
            </w:r>
            <w:r>
              <w:rPr>
                <w:rFonts w:cs="Arial"/>
                <w:szCs w:val="20"/>
              </w:rPr>
              <w:t>spremenila 19</w:t>
            </w:r>
            <w:r w:rsidDel="004B0E64">
              <w:rPr>
                <w:rFonts w:cs="Arial"/>
                <w:szCs w:val="20"/>
              </w:rPr>
              <w:t>.</w:t>
            </w:r>
            <w:r>
              <w:rPr>
                <w:rFonts w:cs="Arial"/>
                <w:szCs w:val="20"/>
              </w:rPr>
              <w:t xml:space="preserve">a </w:t>
            </w:r>
            <w:r w:rsidDel="004B0E64">
              <w:rPr>
                <w:rFonts w:cs="Arial"/>
                <w:szCs w:val="20"/>
              </w:rPr>
              <w:t xml:space="preserve">člen </w:t>
            </w:r>
            <w:r w:rsidRPr="00B5648E">
              <w:rPr>
                <w:rFonts w:cs="Arial"/>
                <w:szCs w:val="20"/>
              </w:rPr>
              <w:t>Direktive 2013/34/EU</w:t>
            </w:r>
            <w:r>
              <w:rPr>
                <w:rFonts w:cs="Arial"/>
                <w:szCs w:val="20"/>
              </w:rPr>
              <w:t>)</w:t>
            </w:r>
            <w:r w:rsidRPr="005D43EE">
              <w:rPr>
                <w:rFonts w:cs="Arial"/>
                <w:szCs w:val="20"/>
              </w:rPr>
              <w:t xml:space="preserve">, ki je bila v naš pravni red prenesena z ZGD-1J. V 70.c členu ZGD-1 se je takrat na novo določila obveznost priprave izjave o nefinančnem poslovanju za vse družbe, ki so subjekti javnega interesa in katerih povprečno število zaposlenih je večje od 500, </w:t>
            </w:r>
            <w:r>
              <w:rPr>
                <w:rFonts w:cs="Arial"/>
                <w:szCs w:val="20"/>
              </w:rPr>
              <w:t>in</w:t>
            </w:r>
            <w:r w:rsidRPr="005D43EE">
              <w:rPr>
                <w:rFonts w:cs="Arial"/>
                <w:szCs w:val="20"/>
              </w:rPr>
              <w:t xml:space="preserve"> družbe, ki so zavezane k pripravi konsolidiranega letnega poročila in katerih povprečno število zaposlenih na konsolidirani ravni je večje od 500. </w:t>
            </w:r>
            <w:r>
              <w:rPr>
                <w:rFonts w:cs="Arial"/>
                <w:szCs w:val="20"/>
              </w:rPr>
              <w:t>Izjava o nefinančnem poslovanju</w:t>
            </w:r>
            <w:r w:rsidRPr="00605612">
              <w:rPr>
                <w:rFonts w:cs="Arial"/>
                <w:szCs w:val="20"/>
              </w:rPr>
              <w:t>, kolikor je potrebno za razumevanje razvoja, uspešnosti in položaja podjetja ter učinka njegovih dejavnosti, vseb</w:t>
            </w:r>
            <w:r>
              <w:rPr>
                <w:rFonts w:cs="Arial"/>
                <w:szCs w:val="20"/>
              </w:rPr>
              <w:t>uje</w:t>
            </w:r>
            <w:r w:rsidRPr="00605612">
              <w:rPr>
                <w:rFonts w:cs="Arial"/>
                <w:szCs w:val="20"/>
              </w:rPr>
              <w:t xml:space="preserve"> vsaj informacije o okoljskih, socialnih in kadrovskih zadevah, spoštovanju človekovih pravic ter zadevah v zvezi z bojem proti korupciji in podkupovanju. Če družba n</w:t>
            </w:r>
            <w:r>
              <w:rPr>
                <w:rFonts w:cs="Arial"/>
                <w:szCs w:val="20"/>
              </w:rPr>
              <w:t>e</w:t>
            </w:r>
            <w:r w:rsidRPr="00605612">
              <w:rPr>
                <w:rFonts w:cs="Arial"/>
                <w:szCs w:val="20"/>
              </w:rPr>
              <w:t xml:space="preserve"> izvaja politik v zvezi z eno ali več navedenimi zadevami, to jasno in utemeljeno obrazloži v izjavi o nefinančnem poslovanju. Družba lahko izjavo o nefinančnem poslovanju pod </w:t>
            </w:r>
            <w:r w:rsidRPr="004B0E64">
              <w:rPr>
                <w:rFonts w:cs="Arial"/>
                <w:szCs w:val="20"/>
              </w:rPr>
              <w:t>nekater</w:t>
            </w:r>
            <w:r>
              <w:rPr>
                <w:rFonts w:cs="Arial"/>
                <w:szCs w:val="20"/>
              </w:rPr>
              <w:t>imi</w:t>
            </w:r>
            <w:r w:rsidRPr="004B0E64">
              <w:rPr>
                <w:rFonts w:cs="Arial"/>
                <w:szCs w:val="20"/>
              </w:rPr>
              <w:t xml:space="preserve"> </w:t>
            </w:r>
            <w:r w:rsidRPr="00605612">
              <w:rPr>
                <w:rFonts w:cs="Arial"/>
                <w:szCs w:val="20"/>
              </w:rPr>
              <w:t xml:space="preserve">pogoji poda tudi ločeno, </w:t>
            </w:r>
            <w:r w:rsidRPr="00605612" w:rsidDel="004B0E64">
              <w:rPr>
                <w:rFonts w:cs="Arial"/>
                <w:szCs w:val="20"/>
              </w:rPr>
              <w:t xml:space="preserve">izven </w:t>
            </w:r>
            <w:r w:rsidRPr="00605612">
              <w:rPr>
                <w:rFonts w:cs="Arial"/>
                <w:szCs w:val="20"/>
              </w:rPr>
              <w:t xml:space="preserve">poslovnega poročila. </w:t>
            </w:r>
          </w:p>
          <w:p w14:paraId="25AAAEC6" w14:textId="77777777" w:rsidR="000C08CA" w:rsidRDefault="000C08CA" w:rsidP="00FE328D">
            <w:pPr>
              <w:spacing w:line="276" w:lineRule="auto"/>
              <w:jc w:val="both"/>
              <w:rPr>
                <w:rFonts w:cs="Arial"/>
                <w:szCs w:val="20"/>
              </w:rPr>
            </w:pPr>
          </w:p>
          <w:p w14:paraId="1FFFA7B1" w14:textId="77777777" w:rsidR="000C08CA" w:rsidRPr="00605612" w:rsidRDefault="000C08CA" w:rsidP="00FE328D">
            <w:pPr>
              <w:spacing w:line="276" w:lineRule="auto"/>
              <w:jc w:val="both"/>
              <w:rPr>
                <w:rFonts w:cs="Arial"/>
                <w:szCs w:val="20"/>
              </w:rPr>
            </w:pPr>
            <w:r w:rsidRPr="005D43EE">
              <w:rPr>
                <w:rFonts w:cs="Arial"/>
                <w:szCs w:val="20"/>
              </w:rPr>
              <w:t xml:space="preserve">ZGD-1J je krog zavezancev za pripravo izjave o nefinančnem poslovanju </w:t>
            </w:r>
            <w:r>
              <w:rPr>
                <w:rFonts w:cs="Arial"/>
                <w:szCs w:val="20"/>
              </w:rPr>
              <w:t xml:space="preserve">opredelil </w:t>
            </w:r>
            <w:r w:rsidRPr="005D43EE">
              <w:rPr>
                <w:rFonts w:cs="Arial"/>
                <w:szCs w:val="20"/>
              </w:rPr>
              <w:t>nekoliko drugače kot Direktiva 2014/95/EU</w:t>
            </w:r>
            <w:r>
              <w:rPr>
                <w:rFonts w:cs="Arial"/>
                <w:szCs w:val="20"/>
              </w:rPr>
              <w:t xml:space="preserve">, </w:t>
            </w:r>
            <w:r w:rsidRPr="005D43EE">
              <w:rPr>
                <w:rFonts w:cs="Arial"/>
                <w:szCs w:val="20"/>
              </w:rPr>
              <w:t xml:space="preserve">saj zavezancev ni omejil na pogoj, da mora družba izpolnjevati </w:t>
            </w:r>
            <w:r>
              <w:rPr>
                <w:rFonts w:cs="Arial"/>
                <w:szCs w:val="20"/>
              </w:rPr>
              <w:t>merila</w:t>
            </w:r>
            <w:r w:rsidRPr="005D43EE">
              <w:rPr>
                <w:rFonts w:cs="Arial"/>
                <w:szCs w:val="20"/>
              </w:rPr>
              <w:t xml:space="preserve"> za velike družbe (oziroma za velike skupine pri konsolidirani izjavi o nefinančnem poslovanju). Razlog je, da je že takrat ZGD-1 subjekte javnega interesa opredeljeval </w:t>
            </w:r>
            <w:r>
              <w:rPr>
                <w:rFonts w:cs="Arial"/>
                <w:szCs w:val="20"/>
              </w:rPr>
              <w:t>za potrebe osmega poglavja</w:t>
            </w:r>
            <w:r w:rsidDel="00A10337">
              <w:rPr>
                <w:rFonts w:cs="Arial"/>
                <w:szCs w:val="20"/>
              </w:rPr>
              <w:t xml:space="preserve"> </w:t>
            </w:r>
            <w:r w:rsidRPr="005D43EE">
              <w:rPr>
                <w:rFonts w:cs="Arial"/>
                <w:szCs w:val="20"/>
              </w:rPr>
              <w:t xml:space="preserve">kot velike družbe, zato se je </w:t>
            </w:r>
            <w:r>
              <w:rPr>
                <w:rFonts w:cs="Arial"/>
                <w:szCs w:val="20"/>
              </w:rPr>
              <w:t>menilo</w:t>
            </w:r>
            <w:r w:rsidRPr="005D43EE">
              <w:rPr>
                <w:rFonts w:cs="Arial"/>
                <w:szCs w:val="20"/>
              </w:rPr>
              <w:t xml:space="preserve">, da ni bilo potrebe po tem dodatku. Pomemben je tudi podatek, da je bila </w:t>
            </w:r>
            <w:r>
              <w:rPr>
                <w:rFonts w:cs="Arial"/>
                <w:szCs w:val="20"/>
              </w:rPr>
              <w:t>opredelitev</w:t>
            </w:r>
            <w:r w:rsidRPr="005D43EE">
              <w:rPr>
                <w:rFonts w:cs="Arial"/>
                <w:szCs w:val="20"/>
              </w:rPr>
              <w:t xml:space="preserve"> subjektov javnega interesa v času spreje</w:t>
            </w:r>
            <w:r>
              <w:rPr>
                <w:rFonts w:cs="Arial"/>
                <w:szCs w:val="20"/>
              </w:rPr>
              <w:t>tj</w:t>
            </w:r>
            <w:r w:rsidRPr="005D43EE">
              <w:rPr>
                <w:rFonts w:cs="Arial"/>
                <w:szCs w:val="20"/>
              </w:rPr>
              <w:t>a ZGD-1J veliko ožja</w:t>
            </w:r>
            <w:r>
              <w:rPr>
                <w:rFonts w:cs="Arial"/>
                <w:szCs w:val="20"/>
              </w:rPr>
              <w:t>,</w:t>
            </w:r>
            <w:r w:rsidRPr="005D43EE">
              <w:rPr>
                <w:rFonts w:cs="Arial"/>
                <w:szCs w:val="20"/>
              </w:rPr>
              <w:t xml:space="preserve"> kot je </w:t>
            </w:r>
            <w:r>
              <w:rPr>
                <w:rFonts w:cs="Arial"/>
                <w:szCs w:val="20"/>
              </w:rPr>
              <w:t>z</w:t>
            </w:r>
            <w:r w:rsidRPr="005D43EE">
              <w:rPr>
                <w:rFonts w:cs="Arial"/>
                <w:szCs w:val="20"/>
              </w:rPr>
              <w:t>daj, zato so se razmere od takrat nekoliko spremenile. Hkrati je treba</w:t>
            </w:r>
            <w:r w:rsidRPr="005D43EE" w:rsidDel="00F807E9">
              <w:rPr>
                <w:rFonts w:cs="Arial"/>
                <w:szCs w:val="20"/>
              </w:rPr>
              <w:t xml:space="preserve"> </w:t>
            </w:r>
            <w:r w:rsidRPr="005D43EE">
              <w:rPr>
                <w:rFonts w:cs="Arial"/>
                <w:szCs w:val="20"/>
              </w:rPr>
              <w:t xml:space="preserve">pojasniti še, da se v praksi redko pojavi družba, ki ima več kot 500 zaposlenih in ne bi hkrati tudi dosegla </w:t>
            </w:r>
            <w:r w:rsidRPr="005D43EE" w:rsidDel="00A10337">
              <w:rPr>
                <w:rFonts w:cs="Arial"/>
                <w:szCs w:val="20"/>
              </w:rPr>
              <w:t xml:space="preserve">številčnega </w:t>
            </w:r>
            <w:r>
              <w:rPr>
                <w:rFonts w:cs="Arial"/>
                <w:szCs w:val="20"/>
              </w:rPr>
              <w:t>merila</w:t>
            </w:r>
            <w:r w:rsidRPr="005D43EE">
              <w:rPr>
                <w:rFonts w:cs="Arial"/>
                <w:szCs w:val="20"/>
              </w:rPr>
              <w:t xml:space="preserve"> velikosti iz petega odstavka 55. člena ZGD-1 (saj potrebuje za toliko</w:t>
            </w:r>
            <w:r w:rsidRPr="005D43EE" w:rsidDel="00F807E9">
              <w:rPr>
                <w:rFonts w:cs="Arial"/>
                <w:szCs w:val="20"/>
              </w:rPr>
              <w:t xml:space="preserve"> </w:t>
            </w:r>
            <w:r w:rsidRPr="005D43EE">
              <w:rPr>
                <w:rFonts w:cs="Arial"/>
                <w:szCs w:val="20"/>
              </w:rPr>
              <w:t xml:space="preserve">zaposlenih tudi veliko sredstev). Po </w:t>
            </w:r>
            <w:r>
              <w:rPr>
                <w:rFonts w:cs="Arial"/>
                <w:szCs w:val="20"/>
              </w:rPr>
              <w:t>prejetih</w:t>
            </w:r>
            <w:r w:rsidRPr="005D43EE">
              <w:rPr>
                <w:rFonts w:cs="Arial"/>
                <w:szCs w:val="20"/>
              </w:rPr>
              <w:t xml:space="preserve"> podatkih takšn</w:t>
            </w:r>
            <w:r>
              <w:rPr>
                <w:rFonts w:cs="Arial"/>
                <w:szCs w:val="20"/>
              </w:rPr>
              <w:t>e</w:t>
            </w:r>
            <w:r w:rsidRPr="005D43EE">
              <w:rPr>
                <w:rFonts w:cs="Arial"/>
                <w:szCs w:val="20"/>
              </w:rPr>
              <w:t xml:space="preserve"> družb</w:t>
            </w:r>
            <w:r>
              <w:rPr>
                <w:rFonts w:cs="Arial"/>
                <w:szCs w:val="20"/>
              </w:rPr>
              <w:t>e</w:t>
            </w:r>
            <w:r w:rsidRPr="005D43EE">
              <w:rPr>
                <w:rFonts w:cs="Arial"/>
                <w:szCs w:val="20"/>
              </w:rPr>
              <w:t xml:space="preserve"> trenutno n</w:t>
            </w:r>
            <w:r>
              <w:rPr>
                <w:rFonts w:cs="Arial"/>
                <w:szCs w:val="20"/>
              </w:rPr>
              <w:t>i</w:t>
            </w:r>
            <w:r w:rsidRPr="005D43EE">
              <w:rPr>
                <w:rFonts w:cs="Arial"/>
                <w:szCs w:val="20"/>
              </w:rPr>
              <w:t xml:space="preserve">, tako da je možno, </w:t>
            </w:r>
            <w:r>
              <w:rPr>
                <w:rFonts w:cs="Arial"/>
                <w:szCs w:val="20"/>
              </w:rPr>
              <w:t>čeprav</w:t>
            </w:r>
            <w:r w:rsidRPr="005D43EE">
              <w:rPr>
                <w:rFonts w:cs="Arial"/>
                <w:szCs w:val="20"/>
              </w:rPr>
              <w:t xml:space="preserve"> je zakonski zapis ZGD-1J nekoliko drugače opredelil </w:t>
            </w:r>
            <w:r>
              <w:rPr>
                <w:rFonts w:cs="Arial"/>
                <w:szCs w:val="20"/>
              </w:rPr>
              <w:t>merila</w:t>
            </w:r>
            <w:r w:rsidRPr="005D43EE">
              <w:rPr>
                <w:rFonts w:cs="Arial"/>
                <w:szCs w:val="20"/>
              </w:rPr>
              <w:t xml:space="preserve"> za zavezance za pripravo izjave o nefinančnem poslovanju</w:t>
            </w:r>
            <w:r w:rsidRPr="005D43EE" w:rsidDel="00F807E9">
              <w:rPr>
                <w:rFonts w:cs="Arial"/>
                <w:szCs w:val="20"/>
              </w:rPr>
              <w:t xml:space="preserve">, </w:t>
            </w:r>
            <w:r w:rsidRPr="005D43EE">
              <w:rPr>
                <w:rFonts w:cs="Arial"/>
                <w:szCs w:val="20"/>
              </w:rPr>
              <w:t xml:space="preserve">da se obseg </w:t>
            </w:r>
            <w:r w:rsidRPr="00586165">
              <w:rPr>
                <w:rFonts w:cs="Arial"/>
                <w:szCs w:val="20"/>
              </w:rPr>
              <w:t xml:space="preserve">kroga </w:t>
            </w:r>
            <w:r w:rsidRPr="005D43EE">
              <w:rPr>
                <w:rFonts w:cs="Arial"/>
                <w:szCs w:val="20"/>
              </w:rPr>
              <w:t>zavezancev po ZGD-1 in Direktiv</w:t>
            </w:r>
            <w:r>
              <w:rPr>
                <w:rFonts w:cs="Arial"/>
                <w:szCs w:val="20"/>
              </w:rPr>
              <w:t>i</w:t>
            </w:r>
            <w:r w:rsidRPr="005D43EE">
              <w:rPr>
                <w:rFonts w:cs="Arial"/>
                <w:szCs w:val="20"/>
              </w:rPr>
              <w:t xml:space="preserve"> 2014/95/EU v praksi niti ni razlikoval.</w:t>
            </w:r>
          </w:p>
          <w:p w14:paraId="2DD0E8E6" w14:textId="77777777" w:rsidR="000C08CA" w:rsidRPr="00605612" w:rsidRDefault="000C08CA" w:rsidP="00FE328D">
            <w:pPr>
              <w:spacing w:line="276" w:lineRule="auto"/>
              <w:jc w:val="both"/>
              <w:rPr>
                <w:rFonts w:cs="Arial"/>
                <w:szCs w:val="20"/>
              </w:rPr>
            </w:pPr>
          </w:p>
          <w:p w14:paraId="428390DA" w14:textId="77777777" w:rsidR="000C08CA" w:rsidRPr="00605612" w:rsidRDefault="000C08CA" w:rsidP="00FE328D">
            <w:pPr>
              <w:spacing w:line="276" w:lineRule="auto"/>
              <w:jc w:val="both"/>
              <w:rPr>
                <w:rFonts w:cs="Arial"/>
                <w:szCs w:val="20"/>
              </w:rPr>
            </w:pPr>
            <w:r>
              <w:rPr>
                <w:rFonts w:cs="Arial"/>
                <w:szCs w:val="20"/>
              </w:rPr>
              <w:t xml:space="preserve">V praksi so se pojavile </w:t>
            </w:r>
            <w:r w:rsidRPr="00605612">
              <w:rPr>
                <w:rFonts w:cs="Arial"/>
                <w:szCs w:val="20"/>
              </w:rPr>
              <w:t>vse večje potrebe uporabnikov po informacijah o trajnostnosti</w:t>
            </w:r>
            <w:r>
              <w:rPr>
                <w:rFonts w:cs="Arial"/>
                <w:szCs w:val="20"/>
              </w:rPr>
              <w:t>. Zato je</w:t>
            </w:r>
            <w:r w:rsidRPr="00605612">
              <w:rPr>
                <w:rFonts w:cs="Arial"/>
                <w:szCs w:val="20"/>
              </w:rPr>
              <w:t xml:space="preserve"> </w:t>
            </w:r>
            <w:r w:rsidRPr="00CB1347">
              <w:rPr>
                <w:rFonts w:cs="Arial"/>
                <w:szCs w:val="20"/>
              </w:rPr>
              <w:t>z Direktivo 2022/2464/EU spremenjena določba 19</w:t>
            </w:r>
            <w:r w:rsidRPr="00CB1347" w:rsidDel="00F807E9">
              <w:rPr>
                <w:rFonts w:cs="Arial"/>
                <w:szCs w:val="20"/>
              </w:rPr>
              <w:t>.</w:t>
            </w:r>
            <w:r w:rsidRPr="00CB1347">
              <w:rPr>
                <w:rFonts w:cs="Arial"/>
                <w:szCs w:val="20"/>
              </w:rPr>
              <w:t xml:space="preserve">a </w:t>
            </w:r>
            <w:r w:rsidRPr="00CB1347" w:rsidDel="00F807E9">
              <w:rPr>
                <w:rFonts w:cs="Arial"/>
                <w:szCs w:val="20"/>
              </w:rPr>
              <w:t xml:space="preserve">člena </w:t>
            </w:r>
            <w:r w:rsidRPr="00CB1347">
              <w:rPr>
                <w:rFonts w:cs="Arial"/>
                <w:szCs w:val="20"/>
              </w:rPr>
              <w:t>Direktive 2013/34/EU</w:t>
            </w:r>
            <w:r w:rsidRPr="00605612">
              <w:rPr>
                <w:rFonts w:cs="Arial"/>
                <w:szCs w:val="20"/>
              </w:rPr>
              <w:t xml:space="preserve"> razširi</w:t>
            </w:r>
            <w:r>
              <w:rPr>
                <w:rFonts w:cs="Arial"/>
                <w:szCs w:val="20"/>
              </w:rPr>
              <w:t>la</w:t>
            </w:r>
            <w:r w:rsidRPr="00605612">
              <w:rPr>
                <w:rFonts w:cs="Arial"/>
                <w:szCs w:val="20"/>
              </w:rPr>
              <w:t xml:space="preserve"> </w:t>
            </w:r>
            <w:r w:rsidRPr="00586165">
              <w:rPr>
                <w:rFonts w:cs="Arial"/>
                <w:szCs w:val="20"/>
              </w:rPr>
              <w:t xml:space="preserve">krog </w:t>
            </w:r>
            <w:r w:rsidRPr="00605612">
              <w:rPr>
                <w:rFonts w:cs="Arial"/>
                <w:szCs w:val="20"/>
              </w:rPr>
              <w:t>zavezance</w:t>
            </w:r>
            <w:r>
              <w:rPr>
                <w:rFonts w:cs="Arial"/>
                <w:szCs w:val="20"/>
              </w:rPr>
              <w:t>v</w:t>
            </w:r>
            <w:r w:rsidRPr="00605612">
              <w:rPr>
                <w:rFonts w:cs="Arial"/>
                <w:szCs w:val="20"/>
              </w:rPr>
              <w:t xml:space="preserve"> za poročanje</w:t>
            </w:r>
            <w:r>
              <w:rPr>
                <w:rFonts w:cs="Arial"/>
                <w:szCs w:val="20"/>
              </w:rPr>
              <w:t>,</w:t>
            </w:r>
            <w:r w:rsidRPr="00605612">
              <w:rPr>
                <w:rFonts w:cs="Arial"/>
                <w:szCs w:val="20"/>
              </w:rPr>
              <w:t xml:space="preserve"> podrobneje opredeli</w:t>
            </w:r>
            <w:r>
              <w:rPr>
                <w:rFonts w:cs="Arial"/>
                <w:szCs w:val="20"/>
              </w:rPr>
              <w:t>la</w:t>
            </w:r>
            <w:r w:rsidRPr="00605612">
              <w:rPr>
                <w:rFonts w:cs="Arial"/>
                <w:szCs w:val="20"/>
              </w:rPr>
              <w:t xml:space="preserve"> poročilo (več o razlogih za spremembo je pojasnjeno v uvodu predloga zakona)</w:t>
            </w:r>
            <w:r>
              <w:rPr>
                <w:rFonts w:cs="Arial"/>
                <w:szCs w:val="20"/>
              </w:rPr>
              <w:t xml:space="preserve"> ter nadomestila </w:t>
            </w:r>
            <w:r w:rsidRPr="00605612">
              <w:rPr>
                <w:rFonts w:cs="Arial"/>
                <w:szCs w:val="20"/>
              </w:rPr>
              <w:t xml:space="preserve">obveznost priprave izjave o nefinančnem poslovanju </w:t>
            </w:r>
            <w:r>
              <w:rPr>
                <w:rFonts w:cs="Arial"/>
                <w:szCs w:val="20"/>
              </w:rPr>
              <w:t>z</w:t>
            </w:r>
            <w:r w:rsidRPr="00605612">
              <w:rPr>
                <w:rFonts w:cs="Arial"/>
                <w:szCs w:val="20"/>
              </w:rPr>
              <w:t xml:space="preserve"> obveznost</w:t>
            </w:r>
            <w:r>
              <w:rPr>
                <w:rFonts w:cs="Arial"/>
                <w:szCs w:val="20"/>
              </w:rPr>
              <w:t>jo</w:t>
            </w:r>
            <w:r w:rsidRPr="00605612">
              <w:rPr>
                <w:rFonts w:cs="Arial"/>
                <w:szCs w:val="20"/>
              </w:rPr>
              <w:t xml:space="preserve"> </w:t>
            </w:r>
            <w:r>
              <w:rPr>
                <w:rFonts w:cs="Arial"/>
                <w:szCs w:val="20"/>
              </w:rPr>
              <w:t>poročanja o trajnostnosti</w:t>
            </w:r>
            <w:r w:rsidRPr="00605612">
              <w:rPr>
                <w:rFonts w:cs="Arial"/>
                <w:szCs w:val="20"/>
              </w:rPr>
              <w:t>. Zaradi navedenega se je spremenil tudi naslov člena.</w:t>
            </w:r>
            <w:r>
              <w:t xml:space="preserve"> </w:t>
            </w:r>
            <w:r w:rsidRPr="00C1616C">
              <w:rPr>
                <w:rFonts w:cs="Arial"/>
                <w:szCs w:val="20"/>
              </w:rPr>
              <w:t>Direktiva 2022/2464/EU</w:t>
            </w:r>
            <w:r w:rsidRPr="00C1616C" w:rsidDel="007539E1">
              <w:rPr>
                <w:rFonts w:cs="Arial"/>
                <w:szCs w:val="20"/>
              </w:rPr>
              <w:t xml:space="preserve"> </w:t>
            </w:r>
            <w:r w:rsidRPr="00C1616C">
              <w:rPr>
                <w:rFonts w:cs="Arial"/>
                <w:szCs w:val="20"/>
              </w:rPr>
              <w:t xml:space="preserve">izrecno ne opredeljuje naziva poročanja o trajnostnosti, ESRS pa so določili, da je </w:t>
            </w:r>
            <w:r>
              <w:rPr>
                <w:rFonts w:cs="Arial"/>
                <w:szCs w:val="20"/>
              </w:rPr>
              <w:t>treba</w:t>
            </w:r>
            <w:r w:rsidRPr="00C1616C">
              <w:rPr>
                <w:rFonts w:cs="Arial"/>
                <w:szCs w:val="20"/>
              </w:rPr>
              <w:t xml:space="preserve"> pripraviti izjavo o trajnostnosti. Kljub temu se je v predlogu zakona določila obveznost priprave poročila o trajnostnosti, saj gre za zelo širok obseg informacij ter pomembnost</w:t>
            </w:r>
            <w:r>
              <w:rPr>
                <w:rFonts w:cs="Arial"/>
                <w:szCs w:val="20"/>
              </w:rPr>
              <w:t xml:space="preserve"> </w:t>
            </w:r>
            <w:r w:rsidRPr="00C1616C">
              <w:rPr>
                <w:rFonts w:cs="Arial"/>
                <w:szCs w:val="20"/>
              </w:rPr>
              <w:t xml:space="preserve">vsebine, </w:t>
            </w:r>
            <w:r>
              <w:rPr>
                <w:rFonts w:cs="Arial"/>
                <w:szCs w:val="20"/>
              </w:rPr>
              <w:t>poleg tega</w:t>
            </w:r>
            <w:r w:rsidRPr="00C1616C">
              <w:rPr>
                <w:rFonts w:cs="Arial"/>
                <w:szCs w:val="20"/>
              </w:rPr>
              <w:t xml:space="preserve"> je </w:t>
            </w:r>
            <w:r>
              <w:rPr>
                <w:rFonts w:cs="Arial"/>
                <w:szCs w:val="20"/>
              </w:rPr>
              <w:t>ta izraz</w:t>
            </w:r>
            <w:r w:rsidRPr="00C1616C">
              <w:rPr>
                <w:rFonts w:cs="Arial"/>
                <w:szCs w:val="20"/>
              </w:rPr>
              <w:t xml:space="preserve"> bolj sklad</w:t>
            </w:r>
            <w:r>
              <w:rPr>
                <w:rFonts w:cs="Arial"/>
                <w:szCs w:val="20"/>
              </w:rPr>
              <w:t>e</w:t>
            </w:r>
            <w:r w:rsidRPr="00C1616C">
              <w:rPr>
                <w:rFonts w:cs="Arial"/>
                <w:szCs w:val="20"/>
              </w:rPr>
              <w:t xml:space="preserve">n z ZGD-1 (tudi </w:t>
            </w:r>
            <w:r>
              <w:rPr>
                <w:rFonts w:cs="Arial"/>
                <w:szCs w:val="20"/>
              </w:rPr>
              <w:t xml:space="preserve">v </w:t>
            </w:r>
            <w:r w:rsidRPr="00C1616C">
              <w:rPr>
                <w:rFonts w:cs="Arial"/>
                <w:szCs w:val="20"/>
              </w:rPr>
              <w:t>70.b člen</w:t>
            </w:r>
            <w:r>
              <w:rPr>
                <w:rFonts w:cs="Arial"/>
                <w:szCs w:val="20"/>
              </w:rPr>
              <w:t>u je omenjeno</w:t>
            </w:r>
            <w:r w:rsidRPr="00C1616C" w:rsidDel="007539E1">
              <w:rPr>
                <w:rFonts w:cs="Arial"/>
                <w:szCs w:val="20"/>
              </w:rPr>
              <w:t xml:space="preserve"> </w:t>
            </w:r>
            <w:r w:rsidRPr="00C1616C">
              <w:rPr>
                <w:rFonts w:cs="Arial"/>
                <w:szCs w:val="20"/>
              </w:rPr>
              <w:t>poročil</w:t>
            </w:r>
            <w:r>
              <w:rPr>
                <w:rFonts w:cs="Arial"/>
                <w:szCs w:val="20"/>
              </w:rPr>
              <w:t>o</w:t>
            </w:r>
            <w:r w:rsidRPr="00C1616C">
              <w:rPr>
                <w:rFonts w:cs="Arial"/>
                <w:szCs w:val="20"/>
              </w:rPr>
              <w:t xml:space="preserve"> o plačilih vladam, s tem predlogom zakona </w:t>
            </w:r>
            <w:r>
              <w:rPr>
                <w:rFonts w:cs="Arial"/>
                <w:szCs w:val="20"/>
              </w:rPr>
              <w:t xml:space="preserve">pa je </w:t>
            </w:r>
            <w:r w:rsidRPr="00C1616C">
              <w:rPr>
                <w:rFonts w:cs="Arial"/>
                <w:szCs w:val="20"/>
              </w:rPr>
              <w:t>dodan 70.e člen</w:t>
            </w:r>
            <w:r>
              <w:rPr>
                <w:rFonts w:cs="Arial"/>
                <w:szCs w:val="20"/>
              </w:rPr>
              <w:t>, v katerem je omenjeno</w:t>
            </w:r>
            <w:r w:rsidRPr="00C1616C" w:rsidDel="007539E1">
              <w:rPr>
                <w:rFonts w:cs="Arial"/>
                <w:szCs w:val="20"/>
              </w:rPr>
              <w:t xml:space="preserve"> </w:t>
            </w:r>
            <w:r w:rsidRPr="00C1616C">
              <w:rPr>
                <w:rFonts w:cs="Arial"/>
                <w:szCs w:val="20"/>
              </w:rPr>
              <w:t>poročilo o davčnih informacijah v zvezi z dohodki).</w:t>
            </w:r>
          </w:p>
          <w:p w14:paraId="4C58D81B" w14:textId="77777777" w:rsidR="000C08CA" w:rsidRPr="00605612" w:rsidRDefault="000C08CA" w:rsidP="00FE328D">
            <w:pPr>
              <w:spacing w:line="276" w:lineRule="auto"/>
              <w:jc w:val="both"/>
              <w:rPr>
                <w:rFonts w:cs="Arial"/>
                <w:szCs w:val="20"/>
              </w:rPr>
            </w:pPr>
          </w:p>
          <w:p w14:paraId="076766A5" w14:textId="77777777" w:rsidR="000C08CA" w:rsidRPr="00605612" w:rsidRDefault="000C08CA" w:rsidP="00FE328D">
            <w:pPr>
              <w:spacing w:line="276" w:lineRule="auto"/>
              <w:jc w:val="both"/>
              <w:rPr>
                <w:rFonts w:cs="Arial"/>
                <w:szCs w:val="20"/>
                <w:highlight w:val="yellow"/>
              </w:rPr>
            </w:pPr>
            <w:r w:rsidRPr="00605612">
              <w:rPr>
                <w:rFonts w:cs="Arial"/>
                <w:szCs w:val="20"/>
              </w:rPr>
              <w:t xml:space="preserve">S spremenjenim prvim </w:t>
            </w:r>
            <w:r w:rsidRPr="005F66A3">
              <w:rPr>
                <w:rFonts w:cs="Arial"/>
                <w:szCs w:val="20"/>
              </w:rPr>
              <w:t>odstavkom 70.c člena ZGD-1 se določa</w:t>
            </w:r>
            <w:r>
              <w:rPr>
                <w:rFonts w:cs="Arial"/>
                <w:szCs w:val="20"/>
              </w:rPr>
              <w:t>jo</w:t>
            </w:r>
            <w:r w:rsidRPr="005F66A3">
              <w:rPr>
                <w:rFonts w:cs="Arial"/>
                <w:szCs w:val="20"/>
              </w:rPr>
              <w:t xml:space="preserve"> zavezanc</w:t>
            </w:r>
            <w:r>
              <w:rPr>
                <w:rFonts w:cs="Arial"/>
                <w:szCs w:val="20"/>
              </w:rPr>
              <w:t>i</w:t>
            </w:r>
            <w:r w:rsidRPr="005F66A3">
              <w:rPr>
                <w:rFonts w:cs="Arial"/>
                <w:szCs w:val="20"/>
              </w:rPr>
              <w:t xml:space="preserve"> za pripravo poročila o trajnostnosti, to so po novem vse velike družbe ter majhne in srednje družbe, </w:t>
            </w:r>
            <w:r>
              <w:rPr>
                <w:rFonts w:cs="Arial"/>
                <w:szCs w:val="20"/>
              </w:rPr>
              <w:t>z</w:t>
            </w:r>
            <w:r w:rsidRPr="005F66A3">
              <w:rPr>
                <w:rFonts w:cs="Arial"/>
                <w:szCs w:val="20"/>
              </w:rPr>
              <w:t xml:space="preserve"> vrednostnimi papirji </w:t>
            </w:r>
            <w:r>
              <w:rPr>
                <w:rFonts w:cs="Arial"/>
                <w:szCs w:val="20"/>
              </w:rPr>
              <w:lastRenderedPageBreak/>
              <w:t xml:space="preserve">katerih </w:t>
            </w:r>
            <w:r w:rsidRPr="005F66A3">
              <w:rPr>
                <w:rFonts w:cs="Arial"/>
                <w:szCs w:val="20"/>
              </w:rPr>
              <w:t xml:space="preserve">se trguje na organiziranem trgu. Določbo je </w:t>
            </w:r>
            <w:r>
              <w:rPr>
                <w:rFonts w:cs="Arial"/>
                <w:szCs w:val="20"/>
              </w:rPr>
              <w:t>treba</w:t>
            </w:r>
            <w:r w:rsidRPr="005F66A3">
              <w:rPr>
                <w:rFonts w:cs="Arial"/>
                <w:szCs w:val="20"/>
              </w:rPr>
              <w:t xml:space="preserve"> uporabljati skupaj s 53.</w:t>
            </w:r>
            <w:r>
              <w:rPr>
                <w:rFonts w:cs="Arial"/>
                <w:szCs w:val="20"/>
              </w:rPr>
              <w:t> </w:t>
            </w:r>
            <w:r w:rsidRPr="005F66A3">
              <w:rPr>
                <w:rFonts w:cs="Arial"/>
                <w:szCs w:val="20"/>
              </w:rPr>
              <w:t>členom ZGD-1, ki določa, da veljajo določbe le za kapitalske družbe in za tiste osebne družbe, pri katerih za njihove obveznosti ni neomejeno odgovorna nobena fizična oseba. Hkrati se s prvim odstavkom 70.c člena ZGD-1 določa</w:t>
            </w:r>
            <w:r w:rsidRPr="00605612">
              <w:rPr>
                <w:rFonts w:cs="Arial"/>
                <w:szCs w:val="20"/>
              </w:rPr>
              <w:t xml:space="preserve"> obveznost vključitve poročila o trajnostnosti v posebni oddelek poslovnega poročila, kar pomeni, da tega poročila ne bo več mogoče pripraviti ločeno (kot ločeno poročilo), kar je veljalo za izjavo o nefinančnem poslovanju. Poročilo o trajnostnosti mora vsebovati vse informacije, potrebne za razumevanje vplivov družbe na zadeve v zvezi s trajnostnostjo, in informacije, potrebne za razumevanje, kako zadeve v zvezi s trajnostnostjo vplivajo na razvoj, uspešnost in položaj družbe. To se imenuje vidik dvojne pomembnosti, pri katerem tako tveganja za družbo kot tudi vplivi družbe pomenijo vsak posebej svoj vidik pomembnosti. Družbe morajo vsak vidik pomembnosti obravnavati samostojno in razkriti informacije, ki so pomembne z obeh vidikov, ter informacije, ki so pomembne samo z enega vidika. Poročilo o trajnostnosti se vključi v poslovno poročilo kot poseben oddelek ter vsebuje tudi informacije, ki jih mora družba razkriti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8. členom Uredbe 2020/852/EU. Kot je že </w:t>
            </w:r>
            <w:r w:rsidRPr="00BB3B73">
              <w:rPr>
                <w:rFonts w:cs="Arial"/>
                <w:szCs w:val="20"/>
              </w:rPr>
              <w:t xml:space="preserve">pojasnjeno v obrazložitvi k </w:t>
            </w:r>
            <w:r>
              <w:rPr>
                <w:rFonts w:cs="Arial"/>
                <w:szCs w:val="20"/>
              </w:rPr>
              <w:t>8</w:t>
            </w:r>
            <w:r w:rsidRPr="00BB3B73">
              <w:rPr>
                <w:rFonts w:cs="Arial"/>
                <w:szCs w:val="20"/>
              </w:rPr>
              <w:t>. členu</w:t>
            </w:r>
            <w:r>
              <w:rPr>
                <w:rFonts w:cs="Arial"/>
                <w:szCs w:val="20"/>
              </w:rPr>
              <w:t>,</w:t>
            </w:r>
            <w:r w:rsidRPr="00BB3B73">
              <w:rPr>
                <w:rFonts w:cs="Arial"/>
                <w:szCs w:val="20"/>
              </w:rPr>
              <w:t xml:space="preserve"> 8. člen</w:t>
            </w:r>
            <w:r w:rsidRPr="00605612">
              <w:rPr>
                <w:rFonts w:cs="Arial"/>
                <w:szCs w:val="20"/>
              </w:rPr>
              <w:t xml:space="preserve"> Uredbe 2020/852/EU določa, da družba, za katero velja obveznost objave nefinančnih informacij na podlagi 19</w:t>
            </w:r>
            <w:r w:rsidRPr="00605612" w:rsidDel="0039063E">
              <w:rPr>
                <w:rFonts w:cs="Arial"/>
                <w:szCs w:val="20"/>
              </w:rPr>
              <w:t>.</w:t>
            </w:r>
            <w:r w:rsidRPr="00605612">
              <w:rPr>
                <w:rFonts w:cs="Arial"/>
                <w:szCs w:val="20"/>
              </w:rPr>
              <w:t>a ali 29</w:t>
            </w:r>
            <w:r w:rsidRPr="00605612" w:rsidDel="0039063E">
              <w:rPr>
                <w:rFonts w:cs="Arial"/>
                <w:szCs w:val="20"/>
              </w:rPr>
              <w:t>.</w:t>
            </w:r>
            <w:r w:rsidRPr="00605612">
              <w:rPr>
                <w:rFonts w:cs="Arial"/>
                <w:szCs w:val="20"/>
              </w:rPr>
              <w:t xml:space="preserve">a </w:t>
            </w:r>
            <w:r w:rsidRPr="00605612" w:rsidDel="0039063E">
              <w:rPr>
                <w:rFonts w:cs="Arial"/>
                <w:szCs w:val="20"/>
              </w:rPr>
              <w:t xml:space="preserve">člena </w:t>
            </w:r>
            <w:r w:rsidRPr="00605612">
              <w:rPr>
                <w:rFonts w:cs="Arial"/>
                <w:szCs w:val="20"/>
              </w:rPr>
              <w:t>Direktive 2013/34/EU, v izjavo o nefinančnem poslovanju ali konsolidirano izjavo o nefinančnem poslovanju vključi informacije o tem, kako in kolik</w:t>
            </w:r>
            <w:r>
              <w:rPr>
                <w:rFonts w:cs="Arial"/>
                <w:szCs w:val="20"/>
              </w:rPr>
              <w:t>o</w:t>
            </w:r>
            <w:r w:rsidRPr="00605612">
              <w:rPr>
                <w:rFonts w:cs="Arial"/>
                <w:szCs w:val="20"/>
              </w:rPr>
              <w:t xml:space="preserve"> so dejavnosti družbe povezane z gospodarskimi dejavnostmi, ki se štejejo kot okoljsko trajnostne v skladu s 3. in 9. členom </w:t>
            </w:r>
            <w:r w:rsidRPr="0039063E">
              <w:rPr>
                <w:rFonts w:cs="Arial"/>
                <w:szCs w:val="20"/>
              </w:rPr>
              <w:t>navedene</w:t>
            </w:r>
            <w:r w:rsidRPr="0039063E" w:rsidDel="0039063E">
              <w:rPr>
                <w:rFonts w:cs="Arial"/>
                <w:szCs w:val="20"/>
              </w:rPr>
              <w:t xml:space="preserve"> </w:t>
            </w:r>
            <w:r w:rsidRPr="00605612">
              <w:rPr>
                <w:rFonts w:cs="Arial"/>
                <w:szCs w:val="20"/>
              </w:rPr>
              <w:t xml:space="preserve">uredbe. Ker </w:t>
            </w:r>
            <w:r>
              <w:rPr>
                <w:rFonts w:cs="Arial"/>
                <w:szCs w:val="20"/>
              </w:rPr>
              <w:t>se</w:t>
            </w:r>
            <w:r w:rsidRPr="00605612">
              <w:rPr>
                <w:rFonts w:cs="Arial"/>
                <w:szCs w:val="20"/>
              </w:rPr>
              <w:t xml:space="preserve"> uredb</w:t>
            </w:r>
            <w:r>
              <w:rPr>
                <w:rFonts w:cs="Arial"/>
                <w:szCs w:val="20"/>
              </w:rPr>
              <w:t>a</w:t>
            </w:r>
            <w:r w:rsidRPr="00605612">
              <w:rPr>
                <w:rFonts w:cs="Arial"/>
                <w:szCs w:val="20"/>
              </w:rPr>
              <w:t xml:space="preserve"> uporablja neposredno, obveznost iz 8. člena Uredbe 2020/852/EU ni izrecno opredeljena v tem zakonu. Zaradi jasnosti pa je treba določiti, da mora poročilo o trajnostnosti vsebovati tudi te informacije. Kot že pojasnjeno</w:t>
            </w:r>
            <w:r>
              <w:rPr>
                <w:rFonts w:cs="Arial"/>
                <w:szCs w:val="20"/>
              </w:rPr>
              <w:t>,</w:t>
            </w:r>
            <w:r w:rsidRPr="00605612">
              <w:rPr>
                <w:rFonts w:cs="Arial"/>
                <w:szCs w:val="20"/>
              </w:rPr>
              <w:t xml:space="preserve"> se 8. člen Uredbe 2020/852/EU sklicuje na objavo nefinančnih informacij na podlagi 19</w:t>
            </w:r>
            <w:r w:rsidRPr="00605612" w:rsidDel="0039063E">
              <w:rPr>
                <w:rFonts w:cs="Arial"/>
                <w:szCs w:val="20"/>
              </w:rPr>
              <w:t>.</w:t>
            </w:r>
            <w:r w:rsidRPr="00605612">
              <w:rPr>
                <w:rFonts w:cs="Arial"/>
                <w:szCs w:val="20"/>
              </w:rPr>
              <w:t>a ali 29</w:t>
            </w:r>
            <w:r w:rsidRPr="00605612" w:rsidDel="0039063E">
              <w:rPr>
                <w:rFonts w:cs="Arial"/>
                <w:szCs w:val="20"/>
              </w:rPr>
              <w:t>.</w:t>
            </w:r>
            <w:r w:rsidRPr="00605612">
              <w:rPr>
                <w:rFonts w:cs="Arial"/>
                <w:szCs w:val="20"/>
              </w:rPr>
              <w:t xml:space="preserve">a </w:t>
            </w:r>
            <w:r w:rsidRPr="00605612" w:rsidDel="0039063E">
              <w:rPr>
                <w:rFonts w:cs="Arial"/>
                <w:szCs w:val="20"/>
              </w:rPr>
              <w:t xml:space="preserve">člena </w:t>
            </w:r>
            <w:r w:rsidRPr="00605612">
              <w:rPr>
                <w:rFonts w:cs="Arial"/>
                <w:szCs w:val="20"/>
              </w:rPr>
              <w:t>Direktive 2013/34/EU, vendar Direktiva 2022/2464/EU spreminja določbe 19</w:t>
            </w:r>
            <w:r w:rsidRPr="00605612" w:rsidDel="0039063E">
              <w:rPr>
                <w:rFonts w:cs="Arial"/>
                <w:szCs w:val="20"/>
              </w:rPr>
              <w:t>.</w:t>
            </w:r>
            <w:r w:rsidRPr="00605612">
              <w:rPr>
                <w:rFonts w:cs="Arial"/>
                <w:szCs w:val="20"/>
              </w:rPr>
              <w:t>a in 29</w:t>
            </w:r>
            <w:r w:rsidRPr="00605612" w:rsidDel="0039063E">
              <w:rPr>
                <w:rFonts w:cs="Arial"/>
                <w:szCs w:val="20"/>
              </w:rPr>
              <w:t>.</w:t>
            </w:r>
            <w:r w:rsidRPr="00605612">
              <w:rPr>
                <w:rFonts w:cs="Arial"/>
                <w:szCs w:val="20"/>
              </w:rPr>
              <w:t xml:space="preserve">a </w:t>
            </w:r>
            <w:r w:rsidRPr="00605612" w:rsidDel="0039063E">
              <w:rPr>
                <w:rFonts w:cs="Arial"/>
                <w:szCs w:val="20"/>
              </w:rPr>
              <w:t xml:space="preserve">člena </w:t>
            </w:r>
            <w:r w:rsidRPr="00605612">
              <w:rPr>
                <w:rFonts w:cs="Arial"/>
                <w:szCs w:val="20"/>
              </w:rPr>
              <w:t>Direktive 2013/34/EU, in sicer nadomešča izjavo o nefinančnem poslovanju s poročilom o trajnostnosti, zato je treba določbe uredbe razumeti v smislu, da se nanašajo na poročilo o trajnostnosti.</w:t>
            </w:r>
          </w:p>
          <w:p w14:paraId="24D96B76" w14:textId="77777777" w:rsidR="000C08CA" w:rsidRPr="00605612" w:rsidRDefault="000C08CA" w:rsidP="00FE328D">
            <w:pPr>
              <w:spacing w:line="276" w:lineRule="auto"/>
              <w:jc w:val="both"/>
              <w:rPr>
                <w:rFonts w:cs="Arial"/>
                <w:szCs w:val="20"/>
              </w:rPr>
            </w:pPr>
          </w:p>
          <w:p w14:paraId="43FC4517" w14:textId="77777777" w:rsidR="000C08CA" w:rsidRPr="00605612" w:rsidRDefault="000C08CA" w:rsidP="00FE328D">
            <w:pPr>
              <w:spacing w:line="276" w:lineRule="auto"/>
              <w:jc w:val="both"/>
              <w:rPr>
                <w:rFonts w:cs="Arial"/>
                <w:szCs w:val="20"/>
              </w:rPr>
            </w:pPr>
            <w:r w:rsidRPr="00605612">
              <w:rPr>
                <w:rFonts w:cs="Arial"/>
                <w:szCs w:val="20"/>
              </w:rPr>
              <w:t>S spremenjenim drugim odstavkom se določa minimalna vsebina poročila o trajnostnosti, pri čemer gre za prenos drugega odstavka 19</w:t>
            </w:r>
            <w:r w:rsidRPr="00605612" w:rsidDel="0039063E">
              <w:rPr>
                <w:rFonts w:cs="Arial"/>
                <w:szCs w:val="20"/>
              </w:rPr>
              <w:t>.</w:t>
            </w:r>
            <w:r w:rsidRPr="00605612">
              <w:rPr>
                <w:rFonts w:cs="Arial"/>
                <w:szCs w:val="20"/>
              </w:rPr>
              <w:t xml:space="preserve">a </w:t>
            </w:r>
            <w:r w:rsidRPr="00605612" w:rsidDel="0039063E">
              <w:rPr>
                <w:rFonts w:cs="Arial"/>
                <w:szCs w:val="20"/>
              </w:rPr>
              <w:t xml:space="preserve">člena </w:t>
            </w:r>
            <w:r w:rsidRPr="00605612">
              <w:rPr>
                <w:rFonts w:cs="Arial"/>
                <w:szCs w:val="20"/>
              </w:rPr>
              <w:t xml:space="preserve">Direktive 2013/34/EU. </w:t>
            </w:r>
          </w:p>
          <w:p w14:paraId="3FF3582D" w14:textId="77777777" w:rsidR="000C08CA" w:rsidRPr="00605612" w:rsidRDefault="000C08CA" w:rsidP="00FE328D">
            <w:pPr>
              <w:spacing w:line="276" w:lineRule="auto"/>
              <w:jc w:val="both"/>
              <w:rPr>
                <w:rFonts w:cs="Arial"/>
                <w:szCs w:val="20"/>
              </w:rPr>
            </w:pPr>
          </w:p>
          <w:p w14:paraId="758A817F" w14:textId="77777777" w:rsidR="000C08CA" w:rsidRPr="00605612" w:rsidRDefault="000C08CA" w:rsidP="00FE328D">
            <w:pPr>
              <w:spacing w:line="276" w:lineRule="auto"/>
              <w:jc w:val="both"/>
              <w:rPr>
                <w:rFonts w:cs="Arial"/>
                <w:szCs w:val="20"/>
              </w:rPr>
            </w:pPr>
            <w:r w:rsidRPr="00605612">
              <w:rPr>
                <w:rFonts w:cs="Arial"/>
                <w:szCs w:val="20"/>
              </w:rPr>
              <w:t>S spremenjenim tretjim odstavkom se določa možnost majhnih in srednjih družb, ki</w:t>
            </w:r>
            <w:r w:rsidRPr="00605612" w:rsidDel="00CB01B0">
              <w:rPr>
                <w:rFonts w:cs="Arial"/>
                <w:szCs w:val="20"/>
              </w:rPr>
              <w:t xml:space="preserve"> </w:t>
            </w:r>
            <w:r>
              <w:rPr>
                <w:rFonts w:cs="Arial"/>
                <w:szCs w:val="20"/>
              </w:rPr>
              <w:t>kotirajo</w:t>
            </w:r>
            <w:r w:rsidRPr="00605612">
              <w:rPr>
                <w:rFonts w:cs="Arial"/>
                <w:szCs w:val="20"/>
              </w:rPr>
              <w:t xml:space="preserve"> na borzi, majhnih in nekompleksnih institucij, lastnih zavarovalnic in pozavarovalnic, da poročajo v poenostavljeni obliki. Glede na vse večji pomen tveganj, povezanih s trajnostnostjo, je za zagotovitev zaščite vlagateljev primerno zahtevati, da morajo tudi majhne in srednje družbe, razen mikro družb, ki </w:t>
            </w:r>
            <w:r w:rsidRPr="00CB01B0">
              <w:rPr>
                <w:rFonts w:cs="Arial"/>
                <w:szCs w:val="20"/>
              </w:rPr>
              <w:t xml:space="preserve">kotirajo </w:t>
            </w:r>
            <w:r w:rsidRPr="00605612">
              <w:rPr>
                <w:rFonts w:cs="Arial"/>
                <w:szCs w:val="20"/>
              </w:rPr>
              <w:t xml:space="preserve">na borzi, razkriti informacije o zadevah v zvezi s trajnostnostjo. Uvedba take zahteve bo pomagala zagotoviti, da lahko udeleženci na finančnem trgu v naložbene portfelje vključijo tudi manjše družbe, saj bodo imeli na razpolago informacije o trajnostnosti, ki jih potrebujejo za sprejem odločitev o </w:t>
            </w:r>
            <w:r>
              <w:rPr>
                <w:rFonts w:cs="Arial"/>
                <w:szCs w:val="20"/>
              </w:rPr>
              <w:t>naložbenju</w:t>
            </w:r>
            <w:r w:rsidRPr="00605612">
              <w:rPr>
                <w:rFonts w:cs="Arial"/>
                <w:szCs w:val="20"/>
              </w:rPr>
              <w:t>. Namen določbe tretjega odstavka je omogočiti sorazmerno (manj zahtevno) poročanje za to skupino družb (majhne in srednje družbe), da se prepreči njihova čezmerna obremenitev.</w:t>
            </w:r>
          </w:p>
          <w:p w14:paraId="5D96EC75" w14:textId="77777777" w:rsidR="000C08CA" w:rsidRPr="00605612" w:rsidRDefault="000C08CA" w:rsidP="00FE328D">
            <w:pPr>
              <w:spacing w:line="276" w:lineRule="auto"/>
              <w:jc w:val="both"/>
              <w:rPr>
                <w:rFonts w:cs="Arial"/>
                <w:szCs w:val="20"/>
              </w:rPr>
            </w:pPr>
          </w:p>
          <w:p w14:paraId="01FA2025" w14:textId="77777777" w:rsidR="000C08CA" w:rsidRPr="00605612" w:rsidRDefault="000C08CA" w:rsidP="00FE328D">
            <w:pPr>
              <w:spacing w:line="276" w:lineRule="auto"/>
              <w:jc w:val="both"/>
              <w:rPr>
                <w:rFonts w:cs="Arial"/>
                <w:szCs w:val="20"/>
              </w:rPr>
            </w:pPr>
            <w:r w:rsidRPr="00605612">
              <w:rPr>
                <w:rFonts w:cs="Arial"/>
                <w:szCs w:val="20"/>
              </w:rPr>
              <w:t xml:space="preserve">S spremenjenim četrtim odstavkom se določa, da mora biti poročilo o trajnostnosti sestavljeno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evropskimi standardi poročanja o trajnostnosti, ki podrobneje določajo obveznosti družbe, in sicer tudi glede informacij, ki se nanašajo na kratko-, srednje- in dolgoročna obdobja</w:t>
            </w:r>
            <w:r>
              <w:rPr>
                <w:rFonts w:cs="Arial"/>
                <w:szCs w:val="20"/>
              </w:rPr>
              <w:t>;</w:t>
            </w:r>
            <w:r w:rsidRPr="00605612">
              <w:rPr>
                <w:rFonts w:cs="Arial"/>
                <w:szCs w:val="20"/>
              </w:rPr>
              <w:t xml:space="preserve"> informacij o lastnih dejavnostih in o vrednostni verigi družbe</w:t>
            </w:r>
            <w:r>
              <w:rPr>
                <w:rFonts w:cs="Arial"/>
                <w:szCs w:val="20"/>
              </w:rPr>
              <w:t>;</w:t>
            </w:r>
            <w:r w:rsidRPr="00605612">
              <w:rPr>
                <w:rFonts w:cs="Arial"/>
                <w:szCs w:val="20"/>
              </w:rPr>
              <w:t xml:space="preserve"> </w:t>
            </w:r>
            <w:r w:rsidRPr="00EE0DDD">
              <w:rPr>
                <w:rFonts w:cs="Arial"/>
                <w:szCs w:val="20"/>
              </w:rPr>
              <w:t>sklicevanja na</w:t>
            </w:r>
            <w:r w:rsidRPr="00605612">
              <w:rPr>
                <w:rFonts w:cs="Arial"/>
                <w:szCs w:val="20"/>
              </w:rPr>
              <w:t xml:space="preserve"> in dodatnih pojasnil v zvezi z drugimi informacijami, vključenimi v poslovno poročilo, ter zneski, sporočenimi v letnih računovodskih izkazih. Družba, ki pripravi poročilo o trajnostnosti na podlagi tretjega odstavka, poroča v skladu z evropskimi standardi poročanja o trajnostnosti za majhne in srednje družbe, določenimi z delegiranim aktom </w:t>
            </w:r>
            <w:r>
              <w:rPr>
                <w:rFonts w:cs="Arial"/>
                <w:szCs w:val="20"/>
              </w:rPr>
              <w:t>K</w:t>
            </w:r>
            <w:r w:rsidRPr="00605612">
              <w:rPr>
                <w:rFonts w:cs="Arial"/>
                <w:szCs w:val="20"/>
              </w:rPr>
              <w:t>omisije, sprejetim na podlagi 29</w:t>
            </w:r>
            <w:r w:rsidRPr="00605612" w:rsidDel="00ED0BDD">
              <w:rPr>
                <w:rFonts w:cs="Arial"/>
                <w:szCs w:val="20"/>
              </w:rPr>
              <w:t>.</w:t>
            </w:r>
            <w:r w:rsidRPr="00605612">
              <w:rPr>
                <w:rFonts w:cs="Arial"/>
                <w:szCs w:val="20"/>
              </w:rPr>
              <w:t xml:space="preserve">c </w:t>
            </w:r>
            <w:r w:rsidRPr="00605612" w:rsidDel="00ED0BDD">
              <w:rPr>
                <w:rFonts w:cs="Arial"/>
                <w:szCs w:val="20"/>
              </w:rPr>
              <w:t xml:space="preserve">člena </w:t>
            </w:r>
            <w:r w:rsidRPr="00605612">
              <w:rPr>
                <w:rFonts w:cs="Arial"/>
                <w:szCs w:val="20"/>
              </w:rPr>
              <w:t>Direktive 2013/34/EU.</w:t>
            </w:r>
          </w:p>
          <w:p w14:paraId="73AFE489" w14:textId="77777777" w:rsidR="000C08CA" w:rsidRPr="00605612" w:rsidRDefault="000C08CA" w:rsidP="00FE328D">
            <w:pPr>
              <w:spacing w:line="276" w:lineRule="auto"/>
              <w:jc w:val="both"/>
              <w:rPr>
                <w:rFonts w:cs="Arial"/>
                <w:szCs w:val="20"/>
              </w:rPr>
            </w:pPr>
          </w:p>
          <w:p w14:paraId="3DDF4559" w14:textId="77777777" w:rsidR="000C08CA" w:rsidRPr="00605612" w:rsidRDefault="000C08CA" w:rsidP="00FE328D">
            <w:pPr>
              <w:spacing w:line="276" w:lineRule="auto"/>
              <w:jc w:val="both"/>
              <w:rPr>
                <w:rFonts w:cs="Arial"/>
                <w:szCs w:val="20"/>
              </w:rPr>
            </w:pPr>
            <w:r w:rsidRPr="00605612">
              <w:rPr>
                <w:rFonts w:cs="Arial"/>
                <w:szCs w:val="20"/>
              </w:rPr>
              <w:t xml:space="preserve">S spremenjenim petim odstavkom se ohranja besedilo </w:t>
            </w:r>
            <w:r w:rsidRPr="00605612" w:rsidDel="00ED0BDD">
              <w:rPr>
                <w:rFonts w:cs="Arial"/>
                <w:szCs w:val="20"/>
              </w:rPr>
              <w:t xml:space="preserve">obstoječega </w:t>
            </w:r>
            <w:r w:rsidRPr="00605612">
              <w:rPr>
                <w:rFonts w:cs="Arial"/>
                <w:szCs w:val="20"/>
              </w:rPr>
              <w:t xml:space="preserve">četrtega odstavka, ki določa, da družbi ni treba izkazati informacij iz tega člena v izjemnih primerih, na podlagi ustrezno utemeljenega mnenja članov organa vodenja ali nadzora družbe, če gre za razkritje informacij o predvidenih dogodkih ali zadevah, ki so predmet tekočih pogajanj, in bi njihovo razkritje resno škodovalo </w:t>
            </w:r>
            <w:r w:rsidRPr="00605612">
              <w:rPr>
                <w:rFonts w:cs="Arial"/>
                <w:szCs w:val="20"/>
              </w:rPr>
              <w:lastRenderedPageBreak/>
              <w:t>poslovnemu položaju družbe, pri tem pa opustitev razkritja ne sme vplivati na pošteno in uravnoteženo razumevanje razvoja, uspešnosti in položaja družbe ter učinka njenega delovanja.</w:t>
            </w:r>
            <w:r>
              <w:rPr>
                <w:rFonts w:cs="Arial"/>
                <w:szCs w:val="20"/>
              </w:rPr>
              <w:t xml:space="preserve"> Ta razlog je zgolj začasen, ko razlog preneha, mora družba vključiti podatke v poznejše poročilo o trajnostnosti. </w:t>
            </w:r>
          </w:p>
          <w:p w14:paraId="39742F30" w14:textId="77777777" w:rsidR="000C08CA" w:rsidRPr="00605612" w:rsidRDefault="000C08CA" w:rsidP="00FE328D">
            <w:pPr>
              <w:spacing w:line="276" w:lineRule="auto"/>
              <w:jc w:val="both"/>
              <w:rPr>
                <w:rFonts w:cs="Arial"/>
                <w:szCs w:val="20"/>
              </w:rPr>
            </w:pPr>
          </w:p>
          <w:p w14:paraId="394325B2" w14:textId="77777777" w:rsidR="000C08CA" w:rsidRPr="00605612" w:rsidRDefault="000C08CA" w:rsidP="00FE328D">
            <w:pPr>
              <w:spacing w:line="276" w:lineRule="auto"/>
              <w:jc w:val="both"/>
              <w:rPr>
                <w:rFonts w:cs="Arial"/>
                <w:szCs w:val="20"/>
              </w:rPr>
            </w:pPr>
            <w:r w:rsidRPr="00605612">
              <w:rPr>
                <w:rFonts w:cs="Arial"/>
                <w:szCs w:val="20"/>
              </w:rPr>
              <w:t>S spremenjenim šestim odstavkom se</w:t>
            </w:r>
            <w:r>
              <w:rPr>
                <w:rFonts w:cs="Arial"/>
                <w:szCs w:val="20"/>
              </w:rPr>
              <w:t>,</w:t>
            </w:r>
            <w:r w:rsidRPr="00605612">
              <w:rPr>
                <w:rFonts w:cs="Arial"/>
                <w:szCs w:val="20"/>
              </w:rPr>
              <w:t xml:space="preserve"> kot je pojasnjeno v 52. uvodni izjavi Direktive 2022/2464/EU</w:t>
            </w:r>
            <w:r>
              <w:rPr>
                <w:rFonts w:cs="Arial"/>
                <w:szCs w:val="20"/>
              </w:rPr>
              <w:t>,</w:t>
            </w:r>
            <w:r w:rsidRPr="00605612">
              <w:rPr>
                <w:rFonts w:cs="Arial"/>
                <w:szCs w:val="20"/>
              </w:rPr>
              <w:t xml:space="preserve"> določa sodelovanje delavcev pri poročilu o trajnostnosti. Vodstvo podjetja bi moralo predstavnike delavcev na ustrezni ravni obveščati in z njimi razpravljati o relevantnih informacijah ter načinih za pridobivanje in preverjanje informacij o trajnostnosti. To pomeni vzpostavitev dialoga in izmenjave mnenj med predstavniki delavcev in glavnim vodstvom – oziroma na drugi vodstveni ravni, če bi bila primernejša –</w:t>
            </w:r>
            <w:r>
              <w:rPr>
                <w:rFonts w:cs="Arial"/>
                <w:szCs w:val="20"/>
              </w:rPr>
              <w:t>,</w:t>
            </w:r>
            <w:r w:rsidRPr="00605612">
              <w:rPr>
                <w:rFonts w:cs="Arial"/>
                <w:szCs w:val="20"/>
              </w:rPr>
              <w:t xml:space="preserve"> ki bi potekala v času, na način in z vsebino, ki bi predstavnikom delavcev omogočila, da izrazijo svoje mnenje. Njihovo mnenje bi bilo treba po potrebi</w:t>
            </w:r>
            <w:r w:rsidRPr="00605612" w:rsidDel="00ED0BDD">
              <w:rPr>
                <w:rFonts w:cs="Arial"/>
                <w:szCs w:val="20"/>
              </w:rPr>
              <w:t xml:space="preserve"> </w:t>
            </w:r>
            <w:r>
              <w:rPr>
                <w:rFonts w:cs="Arial"/>
                <w:szCs w:val="20"/>
              </w:rPr>
              <w:t>sporočiti</w:t>
            </w:r>
            <w:r w:rsidRPr="00605612">
              <w:rPr>
                <w:rFonts w:cs="Arial"/>
                <w:szCs w:val="20"/>
              </w:rPr>
              <w:t xml:space="preserve"> ustreznim upravnim, poslovodnim ali nadzornim organom.</w:t>
            </w:r>
          </w:p>
          <w:p w14:paraId="6009EEA9" w14:textId="77777777" w:rsidR="000C08CA" w:rsidRPr="00605612" w:rsidRDefault="000C08CA" w:rsidP="00FE328D">
            <w:pPr>
              <w:spacing w:line="276" w:lineRule="auto"/>
              <w:jc w:val="both"/>
              <w:rPr>
                <w:rFonts w:cs="Arial"/>
                <w:szCs w:val="20"/>
              </w:rPr>
            </w:pPr>
          </w:p>
          <w:p w14:paraId="7815B0CB" w14:textId="77777777" w:rsidR="000C08CA" w:rsidRPr="00605612" w:rsidRDefault="000C08CA" w:rsidP="00FE328D">
            <w:pPr>
              <w:spacing w:line="276" w:lineRule="auto"/>
              <w:jc w:val="both"/>
              <w:rPr>
                <w:rFonts w:cs="Arial"/>
                <w:szCs w:val="20"/>
              </w:rPr>
            </w:pPr>
            <w:r w:rsidRPr="00605612">
              <w:rPr>
                <w:rFonts w:cs="Arial"/>
                <w:szCs w:val="20"/>
              </w:rPr>
              <w:t xml:space="preserve">S spremenjenim sedmim odstavkom se določi, da če družba pripravi poročilo o trajnostnosti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določbami prvega do četrtega odstavka tega člena, se šteje, da je izpolnila tudi obveznost iz drugega stavka drugega odstavka 70. člena tega zakona. Gre za prenos osmega odstavka 19</w:t>
            </w:r>
            <w:r w:rsidRPr="00605612" w:rsidDel="00ED0BDD">
              <w:rPr>
                <w:rFonts w:cs="Arial"/>
                <w:szCs w:val="20"/>
              </w:rPr>
              <w:t>.</w:t>
            </w:r>
            <w:r w:rsidRPr="00605612">
              <w:rPr>
                <w:rFonts w:cs="Arial"/>
                <w:szCs w:val="20"/>
              </w:rPr>
              <w:t xml:space="preserve">a </w:t>
            </w:r>
            <w:r w:rsidRPr="00605612" w:rsidDel="00ED0BDD">
              <w:rPr>
                <w:rFonts w:cs="Arial"/>
                <w:szCs w:val="20"/>
              </w:rPr>
              <w:t xml:space="preserve">člena </w:t>
            </w:r>
            <w:r w:rsidRPr="00605612">
              <w:rPr>
                <w:rFonts w:cs="Arial"/>
                <w:szCs w:val="20"/>
              </w:rPr>
              <w:t xml:space="preserve">Direktive 2013/34/EU, ki določa, da se za družbe, ki izpolnjujejo zahteve iz prvega do četrtega odstavka </w:t>
            </w:r>
            <w:r w:rsidRPr="00ED0BDD">
              <w:rPr>
                <w:rFonts w:cs="Arial"/>
                <w:szCs w:val="20"/>
              </w:rPr>
              <w:t>navedene</w:t>
            </w:r>
            <w:r>
              <w:rPr>
                <w:rFonts w:cs="Arial"/>
                <w:szCs w:val="20"/>
              </w:rPr>
              <w:t>ga</w:t>
            </w:r>
            <w:r w:rsidRPr="00ED0BDD" w:rsidDel="00ED0BDD">
              <w:rPr>
                <w:rFonts w:cs="Arial"/>
                <w:szCs w:val="20"/>
              </w:rPr>
              <w:t xml:space="preserve"> </w:t>
            </w:r>
            <w:r w:rsidRPr="00605612">
              <w:rPr>
                <w:rFonts w:cs="Arial"/>
                <w:szCs w:val="20"/>
              </w:rPr>
              <w:t xml:space="preserve">člena, in družbe, ki uporabljajo odstopanje iz šestega odstavka </w:t>
            </w:r>
            <w:r w:rsidRPr="00ED0BDD">
              <w:rPr>
                <w:rFonts w:cs="Arial"/>
                <w:szCs w:val="20"/>
              </w:rPr>
              <w:t>navedene</w:t>
            </w:r>
            <w:r>
              <w:rPr>
                <w:rFonts w:cs="Arial"/>
                <w:szCs w:val="20"/>
              </w:rPr>
              <w:t>ga</w:t>
            </w:r>
            <w:r w:rsidRPr="00ED0BDD" w:rsidDel="00ED0BDD">
              <w:rPr>
                <w:rFonts w:cs="Arial"/>
                <w:szCs w:val="20"/>
              </w:rPr>
              <w:t xml:space="preserve"> </w:t>
            </w:r>
            <w:r w:rsidRPr="00605612">
              <w:rPr>
                <w:rFonts w:cs="Arial"/>
                <w:szCs w:val="20"/>
              </w:rPr>
              <w:t xml:space="preserve">člena, šteje, da izpolnjujejo zahtevo iz tretjega pododstavka prvega odstavka 19. člena </w:t>
            </w:r>
            <w:r w:rsidRPr="00ED0BDD">
              <w:rPr>
                <w:rFonts w:cs="Arial"/>
                <w:szCs w:val="20"/>
              </w:rPr>
              <w:t>navedene</w:t>
            </w:r>
            <w:r w:rsidRPr="00ED0BDD" w:rsidDel="00ED0BDD">
              <w:rPr>
                <w:rFonts w:cs="Arial"/>
                <w:szCs w:val="20"/>
              </w:rPr>
              <w:t xml:space="preserve"> </w:t>
            </w:r>
            <w:r w:rsidRPr="00605612">
              <w:rPr>
                <w:rFonts w:cs="Arial"/>
                <w:szCs w:val="20"/>
              </w:rPr>
              <w:t xml:space="preserve">direktive. Ta določa, da kolikor je potrebno za razumevanje razvoja, uspešnosti ali položaja podjetja, analiza razvoja in uspešnosti poslovanja družbe ter njegovega položaja vključuje tako ključne finančne kot, </w:t>
            </w:r>
            <w:r>
              <w:rPr>
                <w:rFonts w:cs="Arial"/>
                <w:szCs w:val="20"/>
              </w:rPr>
              <w:t>kadar</w:t>
            </w:r>
            <w:r w:rsidRPr="00605612">
              <w:rPr>
                <w:rFonts w:cs="Arial"/>
                <w:szCs w:val="20"/>
              </w:rPr>
              <w:t xml:space="preserve"> je to ustrezno, nefinančne kazalnike uspešnosti, pomembne za specifično poslovanje, vključno z informacijami o okoljskih in kadrovskih zadevah. Navedena določba je prenesena z drugim stavkom drugega odstavka 70. člena tega zakona, zato se v sedmem odstavku nanjo naredi sklic.</w:t>
            </w:r>
          </w:p>
          <w:p w14:paraId="732C4F0F" w14:textId="77777777" w:rsidR="000C08CA" w:rsidRPr="00605612" w:rsidRDefault="000C08CA" w:rsidP="00FE328D">
            <w:pPr>
              <w:spacing w:line="276" w:lineRule="auto"/>
              <w:jc w:val="both"/>
              <w:rPr>
                <w:rFonts w:cs="Arial"/>
                <w:szCs w:val="20"/>
              </w:rPr>
            </w:pPr>
          </w:p>
          <w:p w14:paraId="05E1E146" w14:textId="77777777" w:rsidR="000C08CA" w:rsidRDefault="000C08CA" w:rsidP="00FE328D">
            <w:pPr>
              <w:spacing w:line="276" w:lineRule="auto"/>
              <w:jc w:val="both"/>
              <w:rPr>
                <w:rFonts w:cs="Arial"/>
                <w:szCs w:val="20"/>
              </w:rPr>
            </w:pPr>
            <w:r w:rsidRPr="00605612">
              <w:rPr>
                <w:rFonts w:cs="Arial"/>
                <w:szCs w:val="20"/>
              </w:rPr>
              <w:t xml:space="preserve">Z novim osmim odstavkom se določa, da se odvisna družba lahko izvzame iz obveznosti priprave poročila o trajnostnosti. </w:t>
            </w:r>
            <w:r>
              <w:rPr>
                <w:rFonts w:cs="Arial"/>
                <w:szCs w:val="20"/>
              </w:rPr>
              <w:t>Pri tem je pomembno upoštevati deseti odstavek tega člena, ki določa, da v</w:t>
            </w:r>
            <w:r w:rsidRPr="002E590C">
              <w:rPr>
                <w:rFonts w:cs="Arial"/>
                <w:szCs w:val="20"/>
              </w:rPr>
              <w:t>elika družba</w:t>
            </w:r>
            <w:r>
              <w:rPr>
                <w:rFonts w:cs="Arial"/>
                <w:szCs w:val="20"/>
              </w:rPr>
              <w:t>,</w:t>
            </w:r>
            <w:r w:rsidRPr="002E590C">
              <w:rPr>
                <w:rFonts w:cs="Arial"/>
                <w:szCs w:val="20"/>
              </w:rPr>
              <w:t xml:space="preserve"> s katere vrednostni</w:t>
            </w:r>
            <w:r>
              <w:rPr>
                <w:rFonts w:cs="Arial"/>
                <w:szCs w:val="20"/>
              </w:rPr>
              <w:t>mi</w:t>
            </w:r>
            <w:r w:rsidRPr="002E590C">
              <w:rPr>
                <w:rFonts w:cs="Arial"/>
                <w:szCs w:val="20"/>
              </w:rPr>
              <w:t xml:space="preserve"> papirji se trguje na organiziranem trgu</w:t>
            </w:r>
            <w:r>
              <w:rPr>
                <w:rFonts w:cs="Arial"/>
                <w:szCs w:val="20"/>
              </w:rPr>
              <w:t>,</w:t>
            </w:r>
            <w:r w:rsidRPr="002E590C">
              <w:rPr>
                <w:rFonts w:cs="Arial"/>
                <w:szCs w:val="20"/>
              </w:rPr>
              <w:t xml:space="preserve"> ne more biti izvzeta iz obveznosti </w:t>
            </w:r>
            <w:r>
              <w:rPr>
                <w:rFonts w:cs="Arial"/>
                <w:szCs w:val="20"/>
              </w:rPr>
              <w:t>priprave poročila</w:t>
            </w:r>
            <w:r w:rsidRPr="002E590C">
              <w:rPr>
                <w:rFonts w:cs="Arial"/>
                <w:szCs w:val="20"/>
              </w:rPr>
              <w:t xml:space="preserve"> o trajnostnosti po </w:t>
            </w:r>
            <w:r>
              <w:rPr>
                <w:rFonts w:cs="Arial"/>
                <w:szCs w:val="20"/>
              </w:rPr>
              <w:t>osmem</w:t>
            </w:r>
            <w:r w:rsidRPr="002E590C">
              <w:rPr>
                <w:rFonts w:cs="Arial"/>
                <w:szCs w:val="20"/>
              </w:rPr>
              <w:t xml:space="preserve"> odstavku. </w:t>
            </w:r>
            <w:r w:rsidRPr="00C70650">
              <w:rPr>
                <w:rFonts w:cs="Arial"/>
                <w:szCs w:val="20"/>
              </w:rPr>
              <w:t>Z novim osmim odstavkom</w:t>
            </w:r>
            <w:r w:rsidDel="00ED0BDD">
              <w:rPr>
                <w:rFonts w:cs="Arial"/>
                <w:szCs w:val="20"/>
              </w:rPr>
              <w:t xml:space="preserve"> </w:t>
            </w:r>
            <w:r>
              <w:rPr>
                <w:rFonts w:cs="Arial"/>
                <w:szCs w:val="20"/>
              </w:rPr>
              <w:t>se p</w:t>
            </w:r>
            <w:r w:rsidRPr="00605612">
              <w:rPr>
                <w:rFonts w:cs="Arial"/>
                <w:szCs w:val="20"/>
              </w:rPr>
              <w:t>renaša deveti odstavek 19</w:t>
            </w:r>
            <w:r w:rsidRPr="00605612" w:rsidDel="00ED0BDD">
              <w:rPr>
                <w:rFonts w:cs="Arial"/>
                <w:szCs w:val="20"/>
              </w:rPr>
              <w:t>.</w:t>
            </w:r>
            <w:r w:rsidRPr="00605612">
              <w:rPr>
                <w:rFonts w:cs="Arial"/>
                <w:szCs w:val="20"/>
              </w:rPr>
              <w:t xml:space="preserve">a </w:t>
            </w:r>
            <w:r w:rsidRPr="00605612" w:rsidDel="00ED0BDD">
              <w:rPr>
                <w:rFonts w:cs="Arial"/>
                <w:szCs w:val="20"/>
              </w:rPr>
              <w:t xml:space="preserve">člena </w:t>
            </w:r>
            <w:r w:rsidRPr="00605612">
              <w:rPr>
                <w:rFonts w:cs="Arial"/>
                <w:szCs w:val="20"/>
              </w:rPr>
              <w:t>Direktive 2013/34/EU, vendar je določba v ZGD-1 strukturirana nekoliko drugače, saj je pregledn</w:t>
            </w:r>
            <w:r>
              <w:rPr>
                <w:rFonts w:cs="Arial"/>
                <w:szCs w:val="20"/>
              </w:rPr>
              <w:t>eje</w:t>
            </w:r>
            <w:r w:rsidRPr="00605612">
              <w:rPr>
                <w:rFonts w:cs="Arial"/>
                <w:szCs w:val="20"/>
              </w:rPr>
              <w:t xml:space="preserve"> določeno, katere določbe veljajo, kadar je obvladujoča družba iz države članice</w:t>
            </w:r>
            <w:r>
              <w:rPr>
                <w:rFonts w:cs="Arial"/>
                <w:szCs w:val="20"/>
              </w:rPr>
              <w:t xml:space="preserve"> </w:t>
            </w:r>
            <w:r w:rsidRPr="00605612">
              <w:rPr>
                <w:rFonts w:cs="Arial"/>
                <w:szCs w:val="20"/>
              </w:rPr>
              <w:t xml:space="preserve">(to vključuje tudi situacije, ko je obvladujoča družba iz Republike Slovenije, saj je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osmim odstavkom 3. člena ZGD-1 izraz država članica opredeljen kot država članica Evropske unije ali država podpisnica Sporazuma o ustanovitvi Evropskega gospodarskega prostora) in kadar je iz tretje države. P</w:t>
            </w:r>
            <w:r>
              <w:rPr>
                <w:rFonts w:cs="Arial"/>
                <w:szCs w:val="20"/>
              </w:rPr>
              <w:t>oleg tega</w:t>
            </w:r>
            <w:r w:rsidRPr="00605612">
              <w:rPr>
                <w:rFonts w:cs="Arial"/>
                <w:szCs w:val="20"/>
              </w:rPr>
              <w:t xml:space="preserve"> so potrebne </w:t>
            </w:r>
            <w:r w:rsidRPr="00ED0BDD">
              <w:rPr>
                <w:rFonts w:cs="Arial"/>
                <w:szCs w:val="20"/>
              </w:rPr>
              <w:t>navedene</w:t>
            </w:r>
            <w:r w:rsidRPr="00ED0BDD" w:rsidDel="00ED0BDD">
              <w:rPr>
                <w:rFonts w:cs="Arial"/>
                <w:szCs w:val="20"/>
              </w:rPr>
              <w:t xml:space="preserve"> </w:t>
            </w:r>
            <w:r w:rsidRPr="00605612">
              <w:rPr>
                <w:rFonts w:cs="Arial"/>
                <w:szCs w:val="20"/>
              </w:rPr>
              <w:t>prilagoditve</w:t>
            </w:r>
            <w:r w:rsidRPr="00605612" w:rsidDel="00ED0BDD">
              <w:rPr>
                <w:rFonts w:cs="Arial"/>
                <w:szCs w:val="20"/>
              </w:rPr>
              <w:t xml:space="preserve"> </w:t>
            </w:r>
            <w:r>
              <w:rPr>
                <w:rFonts w:cs="Arial"/>
                <w:szCs w:val="20"/>
              </w:rPr>
              <w:t>značilnostim</w:t>
            </w:r>
            <w:r w:rsidRPr="00605612">
              <w:rPr>
                <w:rFonts w:cs="Arial"/>
                <w:szCs w:val="20"/>
              </w:rPr>
              <w:t xml:space="preserve"> nacionalne zakonodaje</w:t>
            </w:r>
            <w:r>
              <w:rPr>
                <w:rFonts w:cs="Arial"/>
                <w:szCs w:val="20"/>
              </w:rPr>
              <w:t>, pri čemer se je smiselno sledilo sistemu, ki je določen v šestem odstavku 56. člena ZGD-1</w:t>
            </w:r>
            <w:r w:rsidRPr="00605612">
              <w:rPr>
                <w:rFonts w:cs="Arial"/>
                <w:szCs w:val="20"/>
              </w:rPr>
              <w:t xml:space="preserve">. </w:t>
            </w:r>
            <w:r>
              <w:rPr>
                <w:rFonts w:cs="Arial"/>
                <w:szCs w:val="20"/>
              </w:rPr>
              <w:t>D</w:t>
            </w:r>
            <w:r w:rsidRPr="00AB7DDE">
              <w:rPr>
                <w:rFonts w:cs="Arial"/>
                <w:szCs w:val="20"/>
              </w:rPr>
              <w:t>eveti odstavek 19</w:t>
            </w:r>
            <w:r w:rsidRPr="00AB7DDE" w:rsidDel="00ED0BDD">
              <w:rPr>
                <w:rFonts w:cs="Arial"/>
                <w:szCs w:val="20"/>
              </w:rPr>
              <w:t>.</w:t>
            </w:r>
            <w:r w:rsidRPr="00AB7DDE">
              <w:rPr>
                <w:rFonts w:cs="Arial"/>
                <w:szCs w:val="20"/>
              </w:rPr>
              <w:t xml:space="preserve">a </w:t>
            </w:r>
            <w:r w:rsidRPr="00AB7DDE" w:rsidDel="00ED0BDD">
              <w:rPr>
                <w:rFonts w:cs="Arial"/>
                <w:szCs w:val="20"/>
              </w:rPr>
              <w:t xml:space="preserve">člena </w:t>
            </w:r>
            <w:r w:rsidRPr="00AB7DDE">
              <w:rPr>
                <w:rFonts w:cs="Arial"/>
                <w:szCs w:val="20"/>
              </w:rPr>
              <w:t>Direktive 2013/34/EU</w:t>
            </w:r>
            <w:r>
              <w:rPr>
                <w:rFonts w:cs="Arial"/>
                <w:szCs w:val="20"/>
              </w:rPr>
              <w:t xml:space="preserve"> določa tudi nekatere posebnosti za primer, kadar je obvladujoča družba iz države članice in kadar je obvladujoča družba iz tretje države. Večina teh posebnosti se je prenesla tudi v ZGD-1. Zaradi zagotavljanja smiselno enakih pogojev za družbe se je nekoliko drugače opredelila obveznost odvisnih družb, </w:t>
            </w:r>
            <w:r w:rsidRPr="006C5894">
              <w:rPr>
                <w:rFonts w:cs="Arial"/>
                <w:szCs w:val="20"/>
              </w:rPr>
              <w:t>kadar je obvladujoča družba iz tretje države</w:t>
            </w:r>
            <w:r>
              <w:rPr>
                <w:rFonts w:cs="Arial"/>
                <w:szCs w:val="20"/>
              </w:rPr>
              <w:t>. Dodana je bila obveznost v 2.b in 2.c točki, in sicer mora takšna odvisna družba priložiti tudi sklic na konsolidirano poslovno poročilo obvladujoče družbe in prevod tega poročila (smiselno kot v 1.b in 1.c točki). Če se ta obveznost ne bi opredelila, bi veljal različen sistem, ko bi odvisna družba,</w:t>
            </w:r>
            <w:r w:rsidRPr="000B23C7">
              <w:rPr>
                <w:rFonts w:cs="Arial"/>
                <w:szCs w:val="20"/>
              </w:rPr>
              <w:t xml:space="preserve"> kadar je obvladujoča družba iz</w:t>
            </w:r>
            <w:r>
              <w:rPr>
                <w:rFonts w:cs="Arial"/>
                <w:szCs w:val="20"/>
              </w:rPr>
              <w:t xml:space="preserve"> države članice,</w:t>
            </w:r>
            <w:r w:rsidRPr="000B23C7">
              <w:rPr>
                <w:rFonts w:cs="Arial"/>
                <w:szCs w:val="20"/>
              </w:rPr>
              <w:t xml:space="preserve"> </w:t>
            </w:r>
            <w:r>
              <w:rPr>
                <w:rFonts w:cs="Arial"/>
                <w:szCs w:val="20"/>
              </w:rPr>
              <w:t xml:space="preserve">morala priložiti celotno poslovno poročilo, kadar pa je </w:t>
            </w:r>
            <w:r w:rsidRPr="001E6A54">
              <w:rPr>
                <w:rFonts w:cs="Arial"/>
                <w:szCs w:val="20"/>
              </w:rPr>
              <w:t xml:space="preserve">obvladujoča družba iz </w:t>
            </w:r>
            <w:r w:rsidRPr="000B23C7">
              <w:rPr>
                <w:rFonts w:cs="Arial"/>
                <w:szCs w:val="20"/>
              </w:rPr>
              <w:t>tretje države</w:t>
            </w:r>
            <w:r>
              <w:rPr>
                <w:rFonts w:cs="Arial"/>
                <w:szCs w:val="20"/>
              </w:rPr>
              <w:t xml:space="preserve">, bi zadoščala zgolj priložitev poročila o trajnostnosti. Za preprečitev zlorab pri poročanju ter da se pridobi čim bolj široka podoba o družbi in njeni povezavi s trajnostnostjo, so se pogoji smiselno izenačili. </w:t>
            </w:r>
            <w:r w:rsidRPr="00B57DEB">
              <w:rPr>
                <w:rFonts w:cs="Arial"/>
                <w:szCs w:val="20"/>
              </w:rPr>
              <w:t xml:space="preserve">Glede na to, da je bil eden izmed osnovnih namenov direktive zagotovitev primerljivosti podatkov in uvedba enotne elektronske oblike, je bilo zaradi jasnosti izrecno opredeljeno, da se družba lahko izvzame iz priprave poročila o trajnostnosti oziroma konsolidiranega poročila o trajnostnosti le, če je to pripravljeno </w:t>
            </w:r>
            <w:r w:rsidRPr="00F90A89">
              <w:rPr>
                <w:rFonts w:cs="Arial"/>
                <w:szCs w:val="20"/>
              </w:rPr>
              <w:t>in objavljeno skladno s 30. členom</w:t>
            </w:r>
            <w:r w:rsidRPr="00B57DEB">
              <w:rPr>
                <w:rFonts w:cs="Arial"/>
                <w:szCs w:val="20"/>
              </w:rPr>
              <w:t xml:space="preserve"> </w:t>
            </w:r>
            <w:r w:rsidRPr="00B57DEB">
              <w:rPr>
                <w:rFonts w:cs="Arial"/>
                <w:szCs w:val="20"/>
              </w:rPr>
              <w:lastRenderedPageBreak/>
              <w:t>Direktive 2013/34/EU (dodano v 1.a točki)</w:t>
            </w:r>
            <w:r w:rsidRPr="00F90A89">
              <w:rPr>
                <w:rFonts w:cs="Arial"/>
                <w:szCs w:val="20"/>
              </w:rPr>
              <w:t>, kar vključuje tudi pripravo poročil o trajnostnosti v enotni elektronski obliki</w:t>
            </w:r>
            <w:r w:rsidRPr="00B57DEB">
              <w:rPr>
                <w:rFonts w:cs="Arial"/>
                <w:szCs w:val="20"/>
              </w:rPr>
              <w:t>.</w:t>
            </w:r>
            <w:r>
              <w:rPr>
                <w:rFonts w:cs="Arial"/>
                <w:szCs w:val="20"/>
              </w:rPr>
              <w:t xml:space="preserve"> Pogoji za izvzem morajo biti namreč takšni, da drugi deležniki lahko dobijo smiselno podobne informacije in v podobni obliki, kot če izvzema ne bi bilo.</w:t>
            </w:r>
          </w:p>
          <w:p w14:paraId="458BE06B" w14:textId="77777777" w:rsidR="000C08CA" w:rsidRDefault="000C08CA" w:rsidP="00FE328D">
            <w:pPr>
              <w:spacing w:line="276" w:lineRule="auto"/>
              <w:jc w:val="both"/>
              <w:rPr>
                <w:rFonts w:cs="Arial"/>
                <w:szCs w:val="20"/>
              </w:rPr>
            </w:pPr>
          </w:p>
          <w:p w14:paraId="222D463C" w14:textId="77777777" w:rsidR="000C08CA" w:rsidRDefault="000C08CA" w:rsidP="00FE328D">
            <w:pPr>
              <w:spacing w:line="276" w:lineRule="auto"/>
              <w:jc w:val="both"/>
              <w:rPr>
                <w:rFonts w:cs="Arial"/>
                <w:szCs w:val="20"/>
              </w:rPr>
            </w:pPr>
            <w:r>
              <w:rPr>
                <w:rFonts w:cs="Arial"/>
                <w:szCs w:val="20"/>
              </w:rPr>
              <w:t>I</w:t>
            </w:r>
            <w:r w:rsidRPr="00E9086A">
              <w:rPr>
                <w:rFonts w:cs="Arial"/>
                <w:szCs w:val="20"/>
              </w:rPr>
              <w:t xml:space="preserve">zvzeta odvisna družba </w:t>
            </w:r>
            <w:r>
              <w:rPr>
                <w:rFonts w:cs="Arial"/>
                <w:szCs w:val="20"/>
              </w:rPr>
              <w:t xml:space="preserve">se </w:t>
            </w:r>
            <w:r w:rsidRPr="00E9086A">
              <w:rPr>
                <w:rFonts w:cs="Arial"/>
                <w:szCs w:val="20"/>
              </w:rPr>
              <w:t xml:space="preserve">izvzame </w:t>
            </w:r>
            <w:r>
              <w:rPr>
                <w:rFonts w:cs="Arial"/>
                <w:szCs w:val="20"/>
              </w:rPr>
              <w:t xml:space="preserve">zgolj </w:t>
            </w:r>
            <w:r w:rsidRPr="00E9086A">
              <w:rPr>
                <w:rFonts w:cs="Arial"/>
                <w:szCs w:val="20"/>
              </w:rPr>
              <w:t xml:space="preserve">iz obveznosti iz prvega do četrtega odstavka tega člena, kar pomeni, da mora tudi v primeru izvzema </w:t>
            </w:r>
            <w:r w:rsidRPr="00D23D66">
              <w:rPr>
                <w:rFonts w:cs="Arial"/>
                <w:szCs w:val="20"/>
              </w:rPr>
              <w:t>izvzeta odvisna družba</w:t>
            </w:r>
            <w:r w:rsidRPr="00E9086A">
              <w:rPr>
                <w:rFonts w:cs="Arial"/>
                <w:szCs w:val="20"/>
              </w:rPr>
              <w:t xml:space="preserve"> upoštevati šesti odstavek 70.c člena, ki določa sodelovanje delavcev v zvezi s poroč</w:t>
            </w:r>
            <w:r>
              <w:rPr>
                <w:rFonts w:cs="Arial"/>
                <w:szCs w:val="20"/>
              </w:rPr>
              <w:t>anjem</w:t>
            </w:r>
            <w:r w:rsidRPr="00E9086A">
              <w:rPr>
                <w:rFonts w:cs="Arial"/>
                <w:szCs w:val="20"/>
              </w:rPr>
              <w:t xml:space="preserve"> o trajnostnosti</w:t>
            </w:r>
            <w:r>
              <w:rPr>
                <w:rFonts w:cs="Arial"/>
                <w:szCs w:val="20"/>
              </w:rPr>
              <w:t>.</w:t>
            </w:r>
          </w:p>
          <w:p w14:paraId="3DEC2BB6" w14:textId="77777777" w:rsidR="000C08CA" w:rsidRDefault="000C08CA" w:rsidP="00FE328D">
            <w:pPr>
              <w:spacing w:line="276" w:lineRule="auto"/>
              <w:jc w:val="both"/>
              <w:rPr>
                <w:rFonts w:cs="Arial"/>
                <w:szCs w:val="20"/>
              </w:rPr>
            </w:pPr>
          </w:p>
          <w:p w14:paraId="2855BCA3" w14:textId="77777777" w:rsidR="000C08CA" w:rsidRPr="00DB37EF" w:rsidRDefault="000C08CA" w:rsidP="00FE328D">
            <w:pPr>
              <w:spacing w:line="276" w:lineRule="auto"/>
              <w:jc w:val="both"/>
              <w:rPr>
                <w:rFonts w:cs="Arial"/>
                <w:szCs w:val="20"/>
              </w:rPr>
            </w:pPr>
            <w:r w:rsidRPr="00DB37EF">
              <w:rPr>
                <w:rFonts w:cs="Arial"/>
                <w:szCs w:val="20"/>
              </w:rPr>
              <w:t>ZGD-1 sledi določbam Direktive 2013/34/EU (</w:t>
            </w:r>
            <w:r>
              <w:rPr>
                <w:rFonts w:cs="Arial"/>
                <w:szCs w:val="20"/>
              </w:rPr>
              <w:t xml:space="preserve">ob </w:t>
            </w:r>
            <w:r w:rsidRPr="00DB37EF">
              <w:rPr>
                <w:rFonts w:cs="Arial"/>
                <w:szCs w:val="20"/>
              </w:rPr>
              <w:t>upošteva</w:t>
            </w:r>
            <w:r>
              <w:rPr>
                <w:rFonts w:cs="Arial"/>
                <w:szCs w:val="20"/>
              </w:rPr>
              <w:t>nju</w:t>
            </w:r>
            <w:r w:rsidRPr="00DB37EF">
              <w:rPr>
                <w:rFonts w:cs="Arial"/>
                <w:szCs w:val="20"/>
              </w:rPr>
              <w:t xml:space="preserve"> razlik in pojasnil iz prejšnjega odstavka), ki razlikuje med situacijo za izvzem odvisne družbe:</w:t>
            </w:r>
          </w:p>
          <w:p w14:paraId="7C3272AE" w14:textId="77777777" w:rsidR="000C08CA" w:rsidRPr="00DB37EF" w:rsidRDefault="000C08CA" w:rsidP="00FE328D">
            <w:pPr>
              <w:pStyle w:val="ListParagraph"/>
              <w:numPr>
                <w:ilvl w:val="0"/>
                <w:numId w:val="33"/>
              </w:numPr>
              <w:spacing w:after="0" w:line="276" w:lineRule="auto"/>
              <w:jc w:val="both"/>
              <w:rPr>
                <w:rFonts w:ascii="Arial" w:hAnsi="Arial" w:cs="Arial"/>
                <w:sz w:val="20"/>
                <w:szCs w:val="20"/>
                <w:u w:val="single"/>
              </w:rPr>
            </w:pPr>
            <w:r w:rsidRPr="00DB37EF">
              <w:rPr>
                <w:rFonts w:ascii="Arial" w:hAnsi="Arial" w:cs="Arial"/>
                <w:sz w:val="20"/>
                <w:szCs w:val="20"/>
                <w:u w:val="single"/>
              </w:rPr>
              <w:t>kadar je obvladujoča družba iz države članice:</w:t>
            </w:r>
          </w:p>
          <w:p w14:paraId="366689A1" w14:textId="77777777" w:rsidR="000C08CA" w:rsidRPr="00DB37EF" w:rsidRDefault="000C08CA" w:rsidP="00FE328D">
            <w:pPr>
              <w:pStyle w:val="Alineazaodstavkom"/>
              <w:numPr>
                <w:ilvl w:val="0"/>
                <w:numId w:val="32"/>
              </w:numPr>
              <w:overflowPunct/>
              <w:autoSpaceDE/>
              <w:autoSpaceDN/>
              <w:adjustRightInd/>
              <w:spacing w:line="276" w:lineRule="auto"/>
              <w:textAlignment w:val="auto"/>
              <w:rPr>
                <w:sz w:val="20"/>
                <w:szCs w:val="20"/>
              </w:rPr>
            </w:pPr>
            <w:r w:rsidRPr="00DB37EF">
              <w:rPr>
                <w:sz w:val="20"/>
                <w:szCs w:val="20"/>
              </w:rPr>
              <w:t xml:space="preserve">zahteva se vključenost v konsolidirano poslovno poročilo obvladujoče družbe, pripravljeno v skladu </w:t>
            </w:r>
            <w:r w:rsidRPr="00DB37EF" w:rsidDel="00A55730">
              <w:rPr>
                <w:sz w:val="20"/>
                <w:szCs w:val="20"/>
              </w:rPr>
              <w:t>z</w:t>
            </w:r>
            <w:r w:rsidRPr="00DB37EF">
              <w:rPr>
                <w:sz w:val="20"/>
                <w:szCs w:val="20"/>
              </w:rPr>
              <w:t xml:space="preserve"> 29</w:t>
            </w:r>
            <w:r w:rsidRPr="00DB37EF" w:rsidDel="00A55730">
              <w:rPr>
                <w:sz w:val="20"/>
                <w:szCs w:val="20"/>
              </w:rPr>
              <w:t>.</w:t>
            </w:r>
            <w:r w:rsidRPr="00DB37EF">
              <w:rPr>
                <w:sz w:val="20"/>
                <w:szCs w:val="20"/>
              </w:rPr>
              <w:t>, 29</w:t>
            </w:r>
            <w:r w:rsidRPr="00DB37EF" w:rsidDel="00A55730">
              <w:rPr>
                <w:sz w:val="20"/>
                <w:szCs w:val="20"/>
              </w:rPr>
              <w:t>.</w:t>
            </w:r>
            <w:r w:rsidRPr="00DB37EF">
              <w:rPr>
                <w:sz w:val="20"/>
                <w:szCs w:val="20"/>
              </w:rPr>
              <w:t xml:space="preserve">a in </w:t>
            </w:r>
            <w:r>
              <w:rPr>
                <w:sz w:val="20"/>
                <w:szCs w:val="20"/>
              </w:rPr>
              <w:t>30</w:t>
            </w:r>
            <w:r w:rsidDel="00A55730">
              <w:rPr>
                <w:sz w:val="20"/>
                <w:szCs w:val="20"/>
              </w:rPr>
              <w:t>.</w:t>
            </w:r>
            <w:r w:rsidRPr="00DB37EF">
              <w:rPr>
                <w:sz w:val="20"/>
                <w:szCs w:val="20"/>
              </w:rPr>
              <w:t xml:space="preserve"> </w:t>
            </w:r>
            <w:r w:rsidRPr="00DB37EF" w:rsidDel="00A55730">
              <w:rPr>
                <w:sz w:val="20"/>
                <w:szCs w:val="20"/>
              </w:rPr>
              <w:t xml:space="preserve">členom </w:t>
            </w:r>
            <w:r w:rsidRPr="00DB37EF">
              <w:rPr>
                <w:sz w:val="20"/>
                <w:szCs w:val="20"/>
              </w:rPr>
              <w:t>Direktive 2013/34/EU</w:t>
            </w:r>
            <w:r w:rsidRPr="00DB37EF" w:rsidDel="007F78D0">
              <w:rPr>
                <w:sz w:val="20"/>
                <w:szCs w:val="20"/>
              </w:rPr>
              <w:t xml:space="preserve"> </w:t>
            </w:r>
            <w:r w:rsidRPr="00DB37EF">
              <w:rPr>
                <w:sz w:val="20"/>
                <w:szCs w:val="20"/>
              </w:rPr>
              <w:t xml:space="preserve">(1.a točka </w:t>
            </w:r>
            <w:bookmarkStart w:id="71" w:name="_Hlk143179833"/>
            <w:r w:rsidRPr="00DB37EF">
              <w:rPr>
                <w:sz w:val="20"/>
                <w:szCs w:val="20"/>
              </w:rPr>
              <w:t>osmega odstavka</w:t>
            </w:r>
            <w:bookmarkEnd w:id="71"/>
            <w:r w:rsidRPr="00DB37EF">
              <w:rPr>
                <w:sz w:val="20"/>
                <w:szCs w:val="20"/>
              </w:rPr>
              <w:t>) → skladnost z evropskimi standardi poročanja o trajnostnosti,</w:t>
            </w:r>
          </w:p>
          <w:p w14:paraId="16BAA841" w14:textId="77777777" w:rsidR="000C08CA" w:rsidRPr="00DB37EF" w:rsidRDefault="000C08CA" w:rsidP="00FE328D">
            <w:pPr>
              <w:pStyle w:val="ListParagraph"/>
              <w:numPr>
                <w:ilvl w:val="0"/>
                <w:numId w:val="33"/>
              </w:numPr>
              <w:spacing w:after="0" w:line="276" w:lineRule="auto"/>
              <w:ind w:left="357" w:hanging="357"/>
              <w:rPr>
                <w:rFonts w:ascii="Arial" w:hAnsi="Arial" w:cs="Arial"/>
                <w:sz w:val="20"/>
                <w:szCs w:val="20"/>
                <w:u w:val="single"/>
              </w:rPr>
            </w:pPr>
            <w:r w:rsidRPr="00DB37EF">
              <w:rPr>
                <w:rFonts w:ascii="Arial" w:hAnsi="Arial" w:cs="Arial"/>
                <w:sz w:val="20"/>
                <w:szCs w:val="20"/>
                <w:u w:val="single"/>
              </w:rPr>
              <w:t>kadar je obvladujoča družba iz tretje države:</w:t>
            </w:r>
          </w:p>
          <w:p w14:paraId="11D57306" w14:textId="77777777" w:rsidR="000C08CA" w:rsidRPr="00DB37EF" w:rsidRDefault="000C08CA" w:rsidP="00FE328D">
            <w:pPr>
              <w:pStyle w:val="Alineazaodstavkom"/>
              <w:numPr>
                <w:ilvl w:val="0"/>
                <w:numId w:val="35"/>
              </w:numPr>
              <w:overflowPunct/>
              <w:autoSpaceDE/>
              <w:autoSpaceDN/>
              <w:adjustRightInd/>
              <w:spacing w:line="276" w:lineRule="auto"/>
              <w:textAlignment w:val="auto"/>
              <w:rPr>
                <w:sz w:val="20"/>
                <w:szCs w:val="20"/>
              </w:rPr>
            </w:pPr>
            <w:r w:rsidRPr="00DB37EF">
              <w:rPr>
                <w:sz w:val="20"/>
                <w:szCs w:val="20"/>
              </w:rPr>
              <w:t>zahteva se vključenost v konsolidirano poročilo o trajnostnosti (2.a točka osmega odstavka) → skladnost z evropskimi standardi poročanja o trajnostnosti ali na način, ki je enakovreden tem standardom poročanja o trajnostnosti, kot je določeno v skladu z izvedbenim aktom o enakovrednosti standardov poročanja o trajnostnosti, sprejetim na podlagi tretjega pododstavka četrtega odstavka 23. člena Direktive 2004/109/ES</w:t>
            </w:r>
            <w:r>
              <w:rPr>
                <w:sz w:val="20"/>
                <w:szCs w:val="20"/>
              </w:rPr>
              <w:t>, in</w:t>
            </w:r>
            <w:r w:rsidRPr="00DB37EF" w:rsidDel="007F37F8">
              <w:rPr>
                <w:sz w:val="20"/>
                <w:szCs w:val="20"/>
              </w:rPr>
              <w:t xml:space="preserve"> </w:t>
            </w:r>
            <w:r w:rsidRPr="00DB37EF">
              <w:rPr>
                <w:sz w:val="20"/>
                <w:szCs w:val="20"/>
              </w:rPr>
              <w:t xml:space="preserve">skladnost </w:t>
            </w:r>
            <w:r>
              <w:rPr>
                <w:sz w:val="20"/>
                <w:szCs w:val="20"/>
              </w:rPr>
              <w:t>s</w:t>
            </w:r>
            <w:r w:rsidRPr="00DB37EF">
              <w:rPr>
                <w:sz w:val="20"/>
                <w:szCs w:val="20"/>
              </w:rPr>
              <w:t xml:space="preserve"> </w:t>
            </w:r>
            <w:r>
              <w:rPr>
                <w:sz w:val="20"/>
                <w:szCs w:val="20"/>
              </w:rPr>
              <w:t>30.</w:t>
            </w:r>
            <w:r w:rsidRPr="00DB37EF">
              <w:rPr>
                <w:sz w:val="20"/>
                <w:szCs w:val="20"/>
              </w:rPr>
              <w:t xml:space="preserve"> členom Direktive 2013/34/EU,</w:t>
            </w:r>
          </w:p>
          <w:p w14:paraId="44AA6381" w14:textId="77777777" w:rsidR="000C08CA" w:rsidRPr="00DB37EF" w:rsidRDefault="000C08CA" w:rsidP="00FE328D">
            <w:pPr>
              <w:pStyle w:val="Alineazaodstavkom"/>
              <w:numPr>
                <w:ilvl w:val="0"/>
                <w:numId w:val="35"/>
              </w:numPr>
              <w:overflowPunct/>
              <w:autoSpaceDE/>
              <w:autoSpaceDN/>
              <w:adjustRightInd/>
              <w:spacing w:line="276" w:lineRule="auto"/>
              <w:textAlignment w:val="auto"/>
              <w:rPr>
                <w:sz w:val="20"/>
                <w:szCs w:val="20"/>
              </w:rPr>
            </w:pPr>
            <w:r w:rsidRPr="00DB37EF">
              <w:rPr>
                <w:sz w:val="20"/>
                <w:szCs w:val="20"/>
              </w:rPr>
              <w:t>poslovno poročilo izvzete odvisne družbe ali konsolidirano poročilo o trajnostnosti, ki ga opravi obvladujoča družba s sedežem v tretji državi, mora vključevati tudi informacije, ki jih je treba razkriti v skladu z 8. členom Uredbe 2020/852/EU in se nanašajo na dejavnosti izvzete odvisne družbe in njenih odvisnih družb (2.d točka osmega odstavka).</w:t>
            </w:r>
          </w:p>
          <w:p w14:paraId="57B819CA" w14:textId="77777777" w:rsidR="000C08CA" w:rsidRPr="00DB37EF" w:rsidRDefault="000C08CA" w:rsidP="00FE328D">
            <w:pPr>
              <w:pStyle w:val="Alineazaodstavkom"/>
              <w:numPr>
                <w:ilvl w:val="0"/>
                <w:numId w:val="0"/>
              </w:numPr>
              <w:spacing w:line="276" w:lineRule="auto"/>
              <w:rPr>
                <w:sz w:val="20"/>
                <w:szCs w:val="20"/>
              </w:rPr>
            </w:pPr>
            <w:r w:rsidRPr="00DB37EF">
              <w:rPr>
                <w:sz w:val="20"/>
                <w:szCs w:val="20"/>
              </w:rPr>
              <w:t>Skupne določbe, ki veljajo ne glede na to, iz katere države je obvladujoča družba, pa so:</w:t>
            </w:r>
          </w:p>
          <w:p w14:paraId="4CC230A0" w14:textId="77777777" w:rsidR="000C08CA" w:rsidRPr="00DB37EF" w:rsidRDefault="000C08CA" w:rsidP="00FE328D">
            <w:pPr>
              <w:pStyle w:val="ListParagraph"/>
              <w:numPr>
                <w:ilvl w:val="0"/>
                <w:numId w:val="40"/>
              </w:numPr>
              <w:spacing w:after="0" w:line="276" w:lineRule="auto"/>
              <w:jc w:val="both"/>
              <w:rPr>
                <w:rFonts w:ascii="Arial" w:hAnsi="Arial" w:cs="Arial"/>
                <w:sz w:val="20"/>
                <w:szCs w:val="20"/>
              </w:rPr>
            </w:pPr>
            <w:r w:rsidRPr="00DB37EF">
              <w:rPr>
                <w:rFonts w:ascii="Arial" w:hAnsi="Arial" w:cs="Arial"/>
                <w:sz w:val="20"/>
                <w:szCs w:val="20"/>
              </w:rPr>
              <w:t>poslovno poročilo izvzete odvisne družbe mora vsebovati vse naslednje informacije (1.b in 2.b točka osmega odstavka):</w:t>
            </w:r>
          </w:p>
          <w:p w14:paraId="50D04696" w14:textId="77777777" w:rsidR="000C08CA" w:rsidRPr="00DB37EF" w:rsidRDefault="000C08CA" w:rsidP="00FE328D">
            <w:pPr>
              <w:pStyle w:val="ListParagraph"/>
              <w:numPr>
                <w:ilvl w:val="0"/>
                <w:numId w:val="34"/>
              </w:numPr>
              <w:spacing w:after="0" w:line="276" w:lineRule="auto"/>
              <w:jc w:val="both"/>
              <w:rPr>
                <w:rFonts w:ascii="Arial" w:hAnsi="Arial" w:cs="Arial"/>
                <w:sz w:val="20"/>
                <w:szCs w:val="20"/>
              </w:rPr>
            </w:pPr>
            <w:r w:rsidRPr="00DB37EF">
              <w:rPr>
                <w:rFonts w:ascii="Arial" w:hAnsi="Arial" w:cs="Arial"/>
                <w:sz w:val="20"/>
                <w:szCs w:val="20"/>
              </w:rPr>
              <w:t>firmo in sedež obvladujoče družbe, ki poroča o informacijah na ravni skupine,</w:t>
            </w:r>
          </w:p>
          <w:p w14:paraId="6130C7E0" w14:textId="77777777" w:rsidR="000C08CA" w:rsidRPr="00DB37EF" w:rsidRDefault="000C08CA" w:rsidP="00FE328D">
            <w:pPr>
              <w:pStyle w:val="ListParagraph"/>
              <w:numPr>
                <w:ilvl w:val="0"/>
                <w:numId w:val="34"/>
              </w:numPr>
              <w:spacing w:after="0" w:line="276" w:lineRule="auto"/>
              <w:jc w:val="both"/>
              <w:rPr>
                <w:rFonts w:ascii="Arial" w:hAnsi="Arial" w:cs="Arial"/>
                <w:sz w:val="20"/>
                <w:szCs w:val="20"/>
              </w:rPr>
            </w:pPr>
            <w:r w:rsidRPr="00DB37EF">
              <w:rPr>
                <w:rFonts w:ascii="Arial" w:hAnsi="Arial" w:cs="Arial"/>
                <w:sz w:val="20"/>
                <w:szCs w:val="20"/>
              </w:rPr>
              <w:t xml:space="preserve">spletno povezavo do </w:t>
            </w:r>
            <w:bookmarkStart w:id="72" w:name="_Hlk143162677"/>
            <w:r w:rsidRPr="00DB37EF">
              <w:rPr>
                <w:rFonts w:ascii="Arial" w:hAnsi="Arial" w:cs="Arial"/>
                <w:sz w:val="20"/>
                <w:szCs w:val="20"/>
              </w:rPr>
              <w:t xml:space="preserve">konsolidiranega poslovnega poročila obvladujoče družbe in do </w:t>
            </w:r>
            <w:r w:rsidRPr="006365EF">
              <w:rPr>
                <w:rFonts w:ascii="Arial" w:hAnsi="Arial" w:cs="Arial"/>
                <w:sz w:val="20"/>
                <w:szCs w:val="20"/>
              </w:rPr>
              <w:t>mnenj</w:t>
            </w:r>
            <w:r>
              <w:rPr>
                <w:rFonts w:ascii="Arial" w:hAnsi="Arial" w:cs="Arial"/>
                <w:sz w:val="20"/>
                <w:szCs w:val="20"/>
              </w:rPr>
              <w:t>a</w:t>
            </w:r>
            <w:r w:rsidRPr="006365EF">
              <w:rPr>
                <w:rFonts w:ascii="Arial" w:hAnsi="Arial" w:cs="Arial"/>
                <w:sz w:val="20"/>
                <w:szCs w:val="20"/>
              </w:rPr>
              <w:t xml:space="preserve"> o skladnosti poročila o trajnostnosti s pravili trajnostnega poročanja</w:t>
            </w:r>
            <w:r w:rsidRPr="00DB37EF">
              <w:rPr>
                <w:rFonts w:ascii="Arial" w:hAnsi="Arial" w:cs="Arial"/>
                <w:sz w:val="20"/>
                <w:szCs w:val="20"/>
              </w:rPr>
              <w:t>. Kadar je obvladujoča družba iz tretje države</w:t>
            </w:r>
            <w:r>
              <w:rPr>
                <w:rFonts w:ascii="Arial" w:hAnsi="Arial" w:cs="Arial"/>
                <w:sz w:val="20"/>
                <w:szCs w:val="20"/>
              </w:rPr>
              <w:t>,</w:t>
            </w:r>
            <w:r w:rsidRPr="00DB37EF" w:rsidDel="004E10D9">
              <w:rPr>
                <w:rFonts w:ascii="Arial" w:hAnsi="Arial" w:cs="Arial"/>
                <w:sz w:val="20"/>
                <w:szCs w:val="20"/>
              </w:rPr>
              <w:t xml:space="preserve"> </w:t>
            </w:r>
            <w:r w:rsidRPr="00DB37EF">
              <w:rPr>
                <w:rFonts w:ascii="Arial" w:hAnsi="Arial" w:cs="Arial"/>
                <w:sz w:val="20"/>
                <w:szCs w:val="20"/>
              </w:rPr>
              <w:t xml:space="preserve">se zahteva tudi spletna povezava </w:t>
            </w:r>
            <w:r w:rsidRPr="00DB37EF" w:rsidDel="00F52B17">
              <w:rPr>
                <w:rFonts w:ascii="Arial" w:hAnsi="Arial" w:cs="Arial"/>
                <w:sz w:val="20"/>
                <w:szCs w:val="20"/>
              </w:rPr>
              <w:t>do</w:t>
            </w:r>
            <w:r w:rsidRPr="00DB37EF">
              <w:rPr>
                <w:rFonts w:ascii="Arial" w:hAnsi="Arial" w:cs="Arial"/>
                <w:sz w:val="20"/>
                <w:szCs w:val="20"/>
              </w:rPr>
              <w:t xml:space="preserve"> konsolidiranega poročila o trajnostnosti</w:t>
            </w:r>
            <w:r>
              <w:rPr>
                <w:rFonts w:ascii="Arial" w:hAnsi="Arial" w:cs="Arial"/>
                <w:sz w:val="20"/>
                <w:szCs w:val="20"/>
              </w:rPr>
              <w:t xml:space="preserve"> (če to ni vsebovano v konsolidiranem poslovnem poročilu</w:t>
            </w:r>
            <w:bookmarkEnd w:id="72"/>
            <w:r>
              <w:rPr>
                <w:rFonts w:ascii="Arial" w:hAnsi="Arial" w:cs="Arial"/>
                <w:sz w:val="20"/>
                <w:szCs w:val="20"/>
              </w:rPr>
              <w:t>),</w:t>
            </w:r>
          </w:p>
          <w:p w14:paraId="2770BEFC" w14:textId="77777777" w:rsidR="000C08CA" w:rsidRPr="00DB37EF" w:rsidRDefault="000C08CA" w:rsidP="00FE328D">
            <w:pPr>
              <w:pStyle w:val="ListParagraph"/>
              <w:numPr>
                <w:ilvl w:val="0"/>
                <w:numId w:val="34"/>
              </w:numPr>
              <w:spacing w:after="0" w:line="276" w:lineRule="auto"/>
              <w:jc w:val="both"/>
              <w:rPr>
                <w:rFonts w:ascii="Arial" w:hAnsi="Arial" w:cs="Arial"/>
                <w:sz w:val="20"/>
                <w:szCs w:val="20"/>
              </w:rPr>
            </w:pPr>
            <w:r w:rsidRPr="00DB37EF">
              <w:rPr>
                <w:rFonts w:ascii="Arial" w:hAnsi="Arial" w:cs="Arial"/>
                <w:sz w:val="20"/>
                <w:szCs w:val="20"/>
              </w:rPr>
              <w:t xml:space="preserve">informacijo, da je družba izvzeta iz obveznosti iz prvega odstavka tega člena; </w:t>
            </w:r>
          </w:p>
          <w:p w14:paraId="2B5B7E86" w14:textId="77777777" w:rsidR="000C08CA" w:rsidRPr="00DB37EF" w:rsidRDefault="000C08CA" w:rsidP="00FE328D">
            <w:pPr>
              <w:pStyle w:val="ListParagraph"/>
              <w:numPr>
                <w:ilvl w:val="0"/>
                <w:numId w:val="40"/>
              </w:numPr>
              <w:spacing w:after="0" w:line="276" w:lineRule="auto"/>
              <w:jc w:val="both"/>
              <w:rPr>
                <w:rFonts w:ascii="Arial" w:hAnsi="Arial" w:cs="Arial"/>
                <w:sz w:val="20"/>
                <w:szCs w:val="20"/>
              </w:rPr>
            </w:pPr>
            <w:r w:rsidRPr="00DB37EF">
              <w:rPr>
                <w:rFonts w:ascii="Arial" w:hAnsi="Arial" w:cs="Arial"/>
                <w:sz w:val="20"/>
                <w:szCs w:val="20"/>
              </w:rPr>
              <w:t xml:space="preserve">izvzeta odvisna družba v </w:t>
            </w:r>
            <w:r w:rsidRPr="00DB37EF" w:rsidDel="007F37F8">
              <w:rPr>
                <w:rFonts w:ascii="Arial" w:hAnsi="Arial" w:cs="Arial"/>
                <w:sz w:val="20"/>
                <w:szCs w:val="20"/>
              </w:rPr>
              <w:t xml:space="preserve">roku </w:t>
            </w:r>
            <w:r w:rsidRPr="00DB37EF">
              <w:rPr>
                <w:rFonts w:ascii="Arial" w:hAnsi="Arial" w:cs="Arial"/>
                <w:sz w:val="20"/>
                <w:szCs w:val="20"/>
              </w:rPr>
              <w:t>enega meseca od objave konsolidiranega poslovnega poročila družbe (kadar je obvladujoča družba iz tretje države</w:t>
            </w:r>
            <w:r>
              <w:rPr>
                <w:rFonts w:ascii="Arial" w:hAnsi="Arial" w:cs="Arial"/>
                <w:sz w:val="20"/>
                <w:szCs w:val="20"/>
              </w:rPr>
              <w:t>,</w:t>
            </w:r>
            <w:r w:rsidRPr="00DB37EF">
              <w:rPr>
                <w:rFonts w:ascii="Arial" w:hAnsi="Arial" w:cs="Arial"/>
                <w:sz w:val="20"/>
                <w:szCs w:val="20"/>
              </w:rPr>
              <w:t xml:space="preserve"> v </w:t>
            </w:r>
            <w:r w:rsidRPr="00DB37EF" w:rsidDel="007F37F8">
              <w:rPr>
                <w:rFonts w:ascii="Arial" w:hAnsi="Arial" w:cs="Arial"/>
                <w:sz w:val="20"/>
                <w:szCs w:val="20"/>
              </w:rPr>
              <w:t xml:space="preserve">roku </w:t>
            </w:r>
            <w:r w:rsidRPr="00DB37EF">
              <w:rPr>
                <w:rFonts w:ascii="Arial" w:hAnsi="Arial" w:cs="Arial"/>
                <w:sz w:val="20"/>
                <w:szCs w:val="20"/>
              </w:rPr>
              <w:t>enega meseca od objave konsolidiranega poročila o trajnostnosti) zaradi javne objave predloži AJPES prevedeno (1.c in 2.c točka osmega odstavka):</w:t>
            </w:r>
          </w:p>
          <w:p w14:paraId="70119E43" w14:textId="77777777" w:rsidR="000C08CA" w:rsidRPr="00DB37EF" w:rsidRDefault="000C08CA" w:rsidP="00FE328D">
            <w:pPr>
              <w:pStyle w:val="ListParagraph"/>
              <w:numPr>
                <w:ilvl w:val="0"/>
                <w:numId w:val="41"/>
              </w:numPr>
              <w:spacing w:after="0" w:line="276" w:lineRule="auto"/>
              <w:jc w:val="both"/>
              <w:rPr>
                <w:rFonts w:ascii="Arial" w:hAnsi="Arial" w:cs="Arial"/>
                <w:sz w:val="20"/>
                <w:szCs w:val="20"/>
              </w:rPr>
            </w:pPr>
            <w:r w:rsidRPr="00DB37EF">
              <w:rPr>
                <w:rFonts w:ascii="Arial" w:hAnsi="Arial" w:cs="Arial"/>
                <w:sz w:val="20"/>
                <w:szCs w:val="20"/>
              </w:rPr>
              <w:t xml:space="preserve">konsolidirano poslovno poročilo obvladujoče družbe </w:t>
            </w:r>
            <w:r>
              <w:rPr>
                <w:rFonts w:ascii="Arial" w:hAnsi="Arial" w:cs="Arial"/>
                <w:sz w:val="20"/>
                <w:szCs w:val="20"/>
              </w:rPr>
              <w:t>in</w:t>
            </w:r>
            <w:r w:rsidRPr="00DB37EF">
              <w:rPr>
                <w:rFonts w:ascii="Arial" w:hAnsi="Arial" w:cs="Arial"/>
                <w:sz w:val="20"/>
                <w:szCs w:val="20"/>
              </w:rPr>
              <w:t xml:space="preserve"> kadar je obvladujoča družba iz tretje države</w:t>
            </w:r>
            <w:r>
              <w:rPr>
                <w:rFonts w:ascii="Arial" w:hAnsi="Arial" w:cs="Arial"/>
                <w:sz w:val="20"/>
                <w:szCs w:val="20"/>
              </w:rPr>
              <w:t>,</w:t>
            </w:r>
            <w:r w:rsidRPr="00DB37EF" w:rsidDel="00700C32">
              <w:rPr>
                <w:rFonts w:ascii="Arial" w:hAnsi="Arial" w:cs="Arial"/>
                <w:sz w:val="20"/>
                <w:szCs w:val="20"/>
              </w:rPr>
              <w:t xml:space="preserve"> </w:t>
            </w:r>
            <w:r w:rsidRPr="00DB37EF">
              <w:rPr>
                <w:rFonts w:ascii="Arial" w:hAnsi="Arial" w:cs="Arial"/>
                <w:sz w:val="20"/>
                <w:szCs w:val="20"/>
              </w:rPr>
              <w:t>tudi konsolidirano poročilo o trajnostnosti</w:t>
            </w:r>
            <w:r>
              <w:rPr>
                <w:rFonts w:ascii="Arial" w:hAnsi="Arial" w:cs="Arial"/>
                <w:sz w:val="20"/>
                <w:szCs w:val="20"/>
              </w:rPr>
              <w:t xml:space="preserve"> </w:t>
            </w:r>
            <w:r w:rsidRPr="00B77E0D">
              <w:rPr>
                <w:rFonts w:ascii="Arial" w:hAnsi="Arial" w:cs="Arial"/>
                <w:sz w:val="20"/>
                <w:szCs w:val="20"/>
              </w:rPr>
              <w:t>(če to ni vsebovano v konsolidiranem poslovnem poročilu)</w:t>
            </w:r>
            <w:r w:rsidRPr="00DB37EF">
              <w:rPr>
                <w:rFonts w:ascii="Arial" w:hAnsi="Arial" w:cs="Arial"/>
                <w:sz w:val="20"/>
                <w:szCs w:val="20"/>
              </w:rPr>
              <w:t>,</w:t>
            </w:r>
          </w:p>
          <w:p w14:paraId="6EF16A65" w14:textId="77777777" w:rsidR="000C08CA" w:rsidRPr="00DB37EF" w:rsidRDefault="000C08CA" w:rsidP="00FE328D">
            <w:pPr>
              <w:pStyle w:val="ListParagraph"/>
              <w:numPr>
                <w:ilvl w:val="0"/>
                <w:numId w:val="41"/>
              </w:numPr>
              <w:spacing w:after="0" w:line="276" w:lineRule="auto"/>
              <w:jc w:val="both"/>
              <w:rPr>
                <w:rFonts w:ascii="Arial" w:hAnsi="Arial" w:cs="Arial"/>
                <w:sz w:val="20"/>
                <w:szCs w:val="20"/>
              </w:rPr>
            </w:pPr>
            <w:r w:rsidRPr="00A24473">
              <w:rPr>
                <w:rFonts w:ascii="Arial" w:hAnsi="Arial" w:cs="Arial"/>
                <w:sz w:val="20"/>
                <w:szCs w:val="20"/>
              </w:rPr>
              <w:t>mnenje o skladnosti poročila o trajnostnosti s pravili trajnostnega poročanja</w:t>
            </w:r>
            <w:r w:rsidRPr="00DB37EF" w:rsidDel="00A25671">
              <w:rPr>
                <w:rFonts w:ascii="Arial" w:hAnsi="Arial" w:cs="Arial"/>
                <w:sz w:val="20"/>
                <w:szCs w:val="20"/>
              </w:rPr>
              <w:t>.</w:t>
            </w:r>
          </w:p>
          <w:p w14:paraId="3E8BA0D9" w14:textId="77777777" w:rsidR="000C08CA" w:rsidRPr="00DB37EF" w:rsidRDefault="000C08CA" w:rsidP="00FE328D">
            <w:pPr>
              <w:pStyle w:val="ListParagraph"/>
              <w:spacing w:after="0" w:line="276" w:lineRule="auto"/>
              <w:ind w:left="1140"/>
              <w:jc w:val="both"/>
              <w:rPr>
                <w:rFonts w:ascii="Arial" w:hAnsi="Arial" w:cs="Arial"/>
                <w:sz w:val="20"/>
                <w:szCs w:val="20"/>
              </w:rPr>
            </w:pPr>
            <w:r w:rsidRPr="00DB37EF">
              <w:rPr>
                <w:rFonts w:ascii="Arial" w:hAnsi="Arial" w:cs="Arial"/>
                <w:sz w:val="20"/>
                <w:szCs w:val="20"/>
              </w:rPr>
              <w:t>Vsak prevod, ki ni overjen, mora vključevati izjavo o tem</w:t>
            </w:r>
            <w:r>
              <w:rPr>
                <w:rFonts w:ascii="Arial" w:hAnsi="Arial" w:cs="Arial"/>
                <w:sz w:val="20"/>
                <w:szCs w:val="20"/>
              </w:rPr>
              <w:t>;</w:t>
            </w:r>
          </w:p>
          <w:p w14:paraId="0DA67DED" w14:textId="77777777" w:rsidR="000C08CA" w:rsidRPr="00DB37EF" w:rsidRDefault="000C08CA" w:rsidP="00FE328D">
            <w:pPr>
              <w:pStyle w:val="ListParagraph"/>
              <w:numPr>
                <w:ilvl w:val="0"/>
                <w:numId w:val="40"/>
              </w:numPr>
              <w:spacing w:line="276" w:lineRule="auto"/>
              <w:jc w:val="both"/>
              <w:rPr>
                <w:rFonts w:ascii="Arial" w:hAnsi="Arial" w:cs="Arial"/>
                <w:sz w:val="20"/>
                <w:szCs w:val="20"/>
              </w:rPr>
            </w:pPr>
            <w:r w:rsidRPr="00A25671">
              <w:rPr>
                <w:rFonts w:ascii="Arial" w:hAnsi="Arial" w:cs="Arial"/>
                <w:sz w:val="20"/>
                <w:szCs w:val="20"/>
              </w:rPr>
              <w:t>mnenje o skladnosti poročila o trajnostnosti s pravili trajnostnega poročanja</w:t>
            </w:r>
            <w:r w:rsidRPr="00A25671" w:rsidDel="00A25671">
              <w:rPr>
                <w:rFonts w:ascii="Arial" w:hAnsi="Arial" w:cs="Arial"/>
                <w:sz w:val="20"/>
                <w:szCs w:val="20"/>
              </w:rPr>
              <w:t xml:space="preserve"> </w:t>
            </w:r>
            <w:r w:rsidRPr="00DB37EF">
              <w:rPr>
                <w:rFonts w:ascii="Arial" w:hAnsi="Arial" w:cs="Arial"/>
                <w:sz w:val="20"/>
                <w:szCs w:val="20"/>
              </w:rPr>
              <w:t>mora poda</w:t>
            </w:r>
            <w:r>
              <w:rPr>
                <w:rFonts w:ascii="Arial" w:hAnsi="Arial" w:cs="Arial"/>
                <w:sz w:val="20"/>
                <w:szCs w:val="20"/>
              </w:rPr>
              <w:t>ti</w:t>
            </w:r>
            <w:r w:rsidRPr="00DB37EF">
              <w:rPr>
                <w:rFonts w:ascii="Arial" w:hAnsi="Arial" w:cs="Arial"/>
                <w:sz w:val="20"/>
                <w:szCs w:val="20"/>
              </w:rPr>
              <w:t xml:space="preserve"> revizor ali drug</w:t>
            </w:r>
            <w:r>
              <w:rPr>
                <w:rFonts w:ascii="Arial" w:hAnsi="Arial" w:cs="Arial"/>
                <w:sz w:val="20"/>
                <w:szCs w:val="20"/>
              </w:rPr>
              <w:t>a</w:t>
            </w:r>
            <w:r w:rsidRPr="00DB37EF">
              <w:rPr>
                <w:rFonts w:ascii="Arial" w:hAnsi="Arial" w:cs="Arial"/>
                <w:sz w:val="20"/>
                <w:szCs w:val="20"/>
              </w:rPr>
              <w:t xml:space="preserve"> fizičn</w:t>
            </w:r>
            <w:r>
              <w:rPr>
                <w:rFonts w:ascii="Arial" w:hAnsi="Arial" w:cs="Arial"/>
                <w:sz w:val="20"/>
                <w:szCs w:val="20"/>
              </w:rPr>
              <w:t>a</w:t>
            </w:r>
            <w:r w:rsidRPr="00DB37EF">
              <w:rPr>
                <w:rFonts w:ascii="Arial" w:hAnsi="Arial" w:cs="Arial"/>
                <w:sz w:val="20"/>
                <w:szCs w:val="20"/>
              </w:rPr>
              <w:t xml:space="preserve"> ali pravn</w:t>
            </w:r>
            <w:r>
              <w:rPr>
                <w:rFonts w:ascii="Arial" w:hAnsi="Arial" w:cs="Arial"/>
                <w:sz w:val="20"/>
                <w:szCs w:val="20"/>
              </w:rPr>
              <w:t>a</w:t>
            </w:r>
            <w:r w:rsidRPr="00DB37EF">
              <w:rPr>
                <w:rFonts w:ascii="Arial" w:hAnsi="Arial" w:cs="Arial"/>
                <w:sz w:val="20"/>
                <w:szCs w:val="20"/>
              </w:rPr>
              <w:t xml:space="preserve"> oseb</w:t>
            </w:r>
            <w:r>
              <w:rPr>
                <w:rFonts w:ascii="Arial" w:hAnsi="Arial" w:cs="Arial"/>
                <w:sz w:val="20"/>
                <w:szCs w:val="20"/>
              </w:rPr>
              <w:t>a</w:t>
            </w:r>
            <w:r w:rsidRPr="00DB37EF">
              <w:rPr>
                <w:rFonts w:ascii="Arial" w:hAnsi="Arial" w:cs="Arial"/>
                <w:sz w:val="20"/>
                <w:szCs w:val="20"/>
              </w:rPr>
              <w:t xml:space="preserve">, ki je za to pristojna </w:t>
            </w:r>
            <w:r>
              <w:rPr>
                <w:rFonts w:ascii="Arial" w:hAnsi="Arial" w:cs="Arial"/>
                <w:sz w:val="20"/>
                <w:szCs w:val="20"/>
              </w:rPr>
              <w:t xml:space="preserve">v </w:t>
            </w:r>
            <w:r w:rsidRPr="00DB37EF">
              <w:rPr>
                <w:rFonts w:ascii="Arial" w:hAnsi="Arial" w:cs="Arial"/>
                <w:sz w:val="20"/>
                <w:szCs w:val="20"/>
              </w:rPr>
              <w:t>sklad</w:t>
            </w:r>
            <w:r>
              <w:rPr>
                <w:rFonts w:ascii="Arial" w:hAnsi="Arial" w:cs="Arial"/>
                <w:sz w:val="20"/>
                <w:szCs w:val="20"/>
              </w:rPr>
              <w:t>u</w:t>
            </w:r>
            <w:r w:rsidRPr="00DB37EF">
              <w:rPr>
                <w:rFonts w:ascii="Arial" w:hAnsi="Arial" w:cs="Arial"/>
                <w:sz w:val="20"/>
                <w:szCs w:val="20"/>
              </w:rPr>
              <w:t xml:space="preserve"> z nacionalnim pravom, po katerem se ureja obvladujoča družba.</w:t>
            </w:r>
          </w:p>
          <w:p w14:paraId="47399F73" w14:textId="77777777" w:rsidR="000C08CA" w:rsidRPr="00605612" w:rsidRDefault="000C08CA" w:rsidP="00FE328D">
            <w:pPr>
              <w:pStyle w:val="ListParagraph"/>
              <w:spacing w:after="0" w:line="276" w:lineRule="auto"/>
              <w:ind w:left="360"/>
              <w:jc w:val="both"/>
              <w:rPr>
                <w:rFonts w:ascii="Arial" w:hAnsi="Arial" w:cs="Arial"/>
                <w:sz w:val="20"/>
                <w:szCs w:val="20"/>
              </w:rPr>
            </w:pPr>
          </w:p>
          <w:p w14:paraId="08A6DB05" w14:textId="77777777" w:rsidR="000C08CA" w:rsidRDefault="000C08CA" w:rsidP="00FE328D">
            <w:pPr>
              <w:spacing w:line="276" w:lineRule="auto"/>
              <w:jc w:val="both"/>
              <w:rPr>
                <w:rFonts w:cs="Arial"/>
                <w:color w:val="000000"/>
                <w:szCs w:val="20"/>
                <w:lang w:eastAsia="sl-SI"/>
              </w:rPr>
            </w:pPr>
            <w:r w:rsidRPr="00605612">
              <w:rPr>
                <w:rFonts w:cs="Arial"/>
                <w:szCs w:val="20"/>
              </w:rPr>
              <w:t>Zadnji trije pododstavki devetega odstavka 19</w:t>
            </w:r>
            <w:r w:rsidRPr="00605612" w:rsidDel="005637F6">
              <w:rPr>
                <w:rFonts w:cs="Arial"/>
                <w:szCs w:val="20"/>
              </w:rPr>
              <w:t>.</w:t>
            </w:r>
            <w:r w:rsidRPr="00605612">
              <w:rPr>
                <w:rFonts w:cs="Arial"/>
                <w:szCs w:val="20"/>
              </w:rPr>
              <w:t xml:space="preserve">a </w:t>
            </w:r>
            <w:r w:rsidRPr="00605612" w:rsidDel="005637F6">
              <w:rPr>
                <w:rFonts w:cs="Arial"/>
                <w:szCs w:val="20"/>
              </w:rPr>
              <w:t xml:space="preserve">člena </w:t>
            </w:r>
            <w:r w:rsidRPr="00605612">
              <w:rPr>
                <w:rFonts w:cs="Arial"/>
                <w:szCs w:val="20"/>
              </w:rPr>
              <w:t xml:space="preserve">Direktive 2013/34/EU so namenjeni posebnim situacijam. Ker v nacionalno zakonodajo ni bil prenesen 37. člen Direktive 2013/34/EU, ni potreben prenos četrtega podostavka. </w:t>
            </w:r>
            <w:r>
              <w:rPr>
                <w:rFonts w:cs="Arial"/>
                <w:szCs w:val="20"/>
              </w:rPr>
              <w:t>N</w:t>
            </w:r>
            <w:r w:rsidRPr="00605612">
              <w:rPr>
                <w:rFonts w:cs="Arial"/>
                <w:szCs w:val="20"/>
              </w:rPr>
              <w:t xml:space="preserve">i relevanten </w:t>
            </w:r>
            <w:r>
              <w:rPr>
                <w:rFonts w:cs="Arial"/>
                <w:szCs w:val="20"/>
              </w:rPr>
              <w:t xml:space="preserve">niti </w:t>
            </w:r>
            <w:r w:rsidRPr="00605612">
              <w:rPr>
                <w:rFonts w:cs="Arial"/>
                <w:szCs w:val="20"/>
              </w:rPr>
              <w:t>peti pododstavek, saj g</w:t>
            </w:r>
            <w:r w:rsidRPr="00605612">
              <w:rPr>
                <w:rFonts w:cs="Arial"/>
                <w:color w:val="000000"/>
                <w:szCs w:val="20"/>
                <w:lang w:eastAsia="sl-SI"/>
              </w:rPr>
              <w:t>re za posebno pravno obliko kreditnih institucij, ki po naši zakonodaji ni dovoljena</w:t>
            </w:r>
            <w:bookmarkStart w:id="73" w:name="_Hlk142644550"/>
            <w:r w:rsidRPr="00605612">
              <w:rPr>
                <w:rFonts w:cs="Arial"/>
                <w:color w:val="000000"/>
                <w:szCs w:val="20"/>
                <w:lang w:eastAsia="sl-SI"/>
              </w:rPr>
              <w:t>. Prenesti</w:t>
            </w:r>
            <w:r w:rsidRPr="00605612" w:rsidDel="007F37F8">
              <w:rPr>
                <w:rFonts w:cs="Arial"/>
                <w:color w:val="000000"/>
                <w:szCs w:val="20"/>
                <w:lang w:eastAsia="sl-SI"/>
              </w:rPr>
              <w:t xml:space="preserve"> </w:t>
            </w:r>
            <w:r w:rsidRPr="00605612">
              <w:rPr>
                <w:rFonts w:cs="Arial"/>
                <w:color w:val="000000"/>
                <w:szCs w:val="20"/>
                <w:lang w:eastAsia="sl-SI"/>
              </w:rPr>
              <w:t xml:space="preserve">je treba šesti podostavek, zato se v </w:t>
            </w:r>
            <w:r>
              <w:rPr>
                <w:rFonts w:cs="Arial"/>
                <w:color w:val="000000"/>
                <w:szCs w:val="20"/>
                <w:lang w:eastAsia="sl-SI"/>
              </w:rPr>
              <w:t>devetem</w:t>
            </w:r>
            <w:r w:rsidRPr="00605612">
              <w:rPr>
                <w:rFonts w:cs="Arial"/>
                <w:color w:val="000000"/>
                <w:szCs w:val="20"/>
                <w:lang w:eastAsia="sl-SI"/>
              </w:rPr>
              <w:t xml:space="preserve"> odstavk</w:t>
            </w:r>
            <w:r>
              <w:rPr>
                <w:rFonts w:cs="Arial"/>
                <w:color w:val="000000"/>
                <w:szCs w:val="20"/>
                <w:lang w:eastAsia="sl-SI"/>
              </w:rPr>
              <w:t>u</w:t>
            </w:r>
            <w:r w:rsidRPr="00605612">
              <w:rPr>
                <w:rFonts w:cs="Arial"/>
                <w:color w:val="000000"/>
                <w:szCs w:val="20"/>
                <w:lang w:eastAsia="sl-SI"/>
              </w:rPr>
              <w:t xml:space="preserve"> 70.c člena ZGD-1 določa, da se </w:t>
            </w:r>
            <w:r w:rsidRPr="00605612">
              <w:rPr>
                <w:rFonts w:cs="Arial"/>
                <w:szCs w:val="20"/>
              </w:rPr>
              <w:t xml:space="preserve">za namene </w:t>
            </w:r>
            <w:r>
              <w:rPr>
                <w:rFonts w:cs="Arial"/>
                <w:szCs w:val="20"/>
              </w:rPr>
              <w:t>osmeg</w:t>
            </w:r>
            <w:r w:rsidRPr="00605612">
              <w:rPr>
                <w:rFonts w:cs="Arial"/>
                <w:szCs w:val="20"/>
              </w:rPr>
              <w:t xml:space="preserve">a odstavka zavarovalnice </w:t>
            </w:r>
            <w:r w:rsidRPr="00605612">
              <w:rPr>
                <w:rFonts w:cs="Arial"/>
                <w:szCs w:val="20"/>
              </w:rPr>
              <w:lastRenderedPageBreak/>
              <w:t>(vključno z družbami za vzajemno zavarovanje in pozavarovalnicami), ki so na podlagi finančnih povezav del skupine, kot je opredeljena v prvem in drugem odstavku 354. člena Zakona o zavarovalništvu, ali del skupine s končno nadrejeno družbo s sedežem v Republiki Sloveniji, kot je opredeljena v 355. členu Zakona o zavarovalništvu, in se nad njimi izvaja nadzor skupine</w:t>
            </w:r>
            <w:r>
              <w:rPr>
                <w:rFonts w:cs="Arial"/>
                <w:szCs w:val="20"/>
              </w:rPr>
              <w:t>,</w:t>
            </w:r>
            <w:r w:rsidRPr="00605612">
              <w:rPr>
                <w:rFonts w:cs="Arial"/>
                <w:szCs w:val="20"/>
              </w:rPr>
              <w:t xml:space="preserve"> kot je opredeljen v 359. členu Zakona o zavarovalništvu, obravnavajo kot odvisne družbe obvladujoče družbe te skupine</w:t>
            </w:r>
            <w:r w:rsidRPr="00605612">
              <w:rPr>
                <w:rFonts w:cs="Arial"/>
                <w:color w:val="000000"/>
                <w:szCs w:val="20"/>
                <w:lang w:eastAsia="sl-SI"/>
              </w:rPr>
              <w:t>.</w:t>
            </w:r>
          </w:p>
          <w:bookmarkEnd w:id="73"/>
          <w:p w14:paraId="042CF2F0" w14:textId="77777777" w:rsidR="000C08CA" w:rsidRPr="00605612" w:rsidRDefault="000C08CA" w:rsidP="00FE328D">
            <w:pPr>
              <w:spacing w:line="276" w:lineRule="auto"/>
              <w:jc w:val="both"/>
              <w:rPr>
                <w:rFonts w:cs="Arial"/>
                <w:szCs w:val="20"/>
              </w:rPr>
            </w:pPr>
          </w:p>
          <w:p w14:paraId="4B70836E" w14:textId="77777777" w:rsidR="000C08CA" w:rsidRPr="00605612" w:rsidRDefault="000C08CA" w:rsidP="00FE328D">
            <w:pPr>
              <w:spacing w:line="276" w:lineRule="auto"/>
              <w:jc w:val="both"/>
              <w:rPr>
                <w:rFonts w:cs="Arial"/>
                <w:szCs w:val="20"/>
              </w:rPr>
            </w:pPr>
            <w:r>
              <w:rPr>
                <w:rFonts w:cs="Arial"/>
                <w:szCs w:val="20"/>
              </w:rPr>
              <w:t>P</w:t>
            </w:r>
            <w:r w:rsidRPr="00605612">
              <w:rPr>
                <w:rFonts w:cs="Arial"/>
                <w:szCs w:val="20"/>
              </w:rPr>
              <w:t xml:space="preserve">ojasniti </w:t>
            </w:r>
            <w:r>
              <w:rPr>
                <w:rFonts w:cs="Arial"/>
                <w:szCs w:val="20"/>
              </w:rPr>
              <w:t xml:space="preserve">je </w:t>
            </w:r>
            <w:r w:rsidRPr="00605612">
              <w:rPr>
                <w:rFonts w:cs="Arial"/>
                <w:szCs w:val="20"/>
              </w:rPr>
              <w:t>treba še, da so</w:t>
            </w:r>
            <w:r w:rsidRPr="00605612" w:rsidDel="007F37F8">
              <w:rPr>
                <w:rFonts w:cs="Arial"/>
                <w:szCs w:val="20"/>
              </w:rPr>
              <w:t xml:space="preserve"> </w:t>
            </w:r>
            <w:r>
              <w:rPr>
                <w:rFonts w:cs="Arial"/>
                <w:szCs w:val="20"/>
              </w:rPr>
              <w:t>navedene</w:t>
            </w:r>
            <w:r w:rsidRPr="00605612">
              <w:rPr>
                <w:rFonts w:cs="Arial"/>
                <w:szCs w:val="20"/>
              </w:rPr>
              <w:t xml:space="preserve"> določbe za izvzem iz obveznosti priprave poročila o trajnostnosti drugačne od nacionalnih pravil za izvzem družbe iz obveznosti priprave konsolidiranega letnega poročila, opredeljenih v šestem odstavku 56. člena ZGD-1. </w:t>
            </w:r>
            <w:r>
              <w:rPr>
                <w:rFonts w:cs="Arial"/>
                <w:szCs w:val="20"/>
              </w:rPr>
              <w:t>I</w:t>
            </w:r>
            <w:r w:rsidRPr="00605612">
              <w:rPr>
                <w:rFonts w:cs="Arial"/>
                <w:szCs w:val="20"/>
              </w:rPr>
              <w:t>zvzem</w:t>
            </w:r>
            <w:r>
              <w:rPr>
                <w:rFonts w:cs="Arial"/>
                <w:szCs w:val="20"/>
              </w:rPr>
              <w:t xml:space="preserve"> velja, če so izpolnjeni naslednji pogoji</w:t>
            </w:r>
            <w:r w:rsidRPr="00605612">
              <w:rPr>
                <w:rFonts w:cs="Arial"/>
                <w:szCs w:val="20"/>
              </w:rPr>
              <w:t>:</w:t>
            </w:r>
          </w:p>
          <w:p w14:paraId="366EED2D" w14:textId="77777777" w:rsidR="000C08CA" w:rsidRPr="00605612" w:rsidRDefault="000C08CA" w:rsidP="00FE328D">
            <w:pPr>
              <w:pStyle w:val="ListParagraph"/>
              <w:numPr>
                <w:ilvl w:val="0"/>
                <w:numId w:val="39"/>
              </w:numPr>
              <w:spacing w:line="276" w:lineRule="auto"/>
              <w:jc w:val="both"/>
              <w:rPr>
                <w:rFonts w:ascii="Arial" w:hAnsi="Arial" w:cs="Arial"/>
                <w:sz w:val="20"/>
                <w:szCs w:val="20"/>
              </w:rPr>
            </w:pPr>
            <w:r>
              <w:rPr>
                <w:rFonts w:ascii="Arial" w:hAnsi="Arial" w:cs="Arial"/>
                <w:sz w:val="20"/>
                <w:szCs w:val="20"/>
              </w:rPr>
              <w:t xml:space="preserve">gre </w:t>
            </w:r>
            <w:r w:rsidRPr="00605612">
              <w:rPr>
                <w:rFonts w:ascii="Arial" w:hAnsi="Arial" w:cs="Arial"/>
                <w:sz w:val="20"/>
                <w:szCs w:val="20"/>
              </w:rPr>
              <w:t>za obvladujočo družbo, s katere vrednostnimi papirji se ne trguje na organiziranem trgu,</w:t>
            </w:r>
          </w:p>
          <w:p w14:paraId="588DA57F" w14:textId="77777777" w:rsidR="000C08CA" w:rsidRPr="00605612" w:rsidRDefault="000C08CA" w:rsidP="00FE328D">
            <w:pPr>
              <w:pStyle w:val="ListParagraph"/>
              <w:numPr>
                <w:ilvl w:val="0"/>
                <w:numId w:val="39"/>
              </w:numPr>
              <w:spacing w:line="276" w:lineRule="auto"/>
              <w:jc w:val="both"/>
              <w:rPr>
                <w:rFonts w:ascii="Arial" w:hAnsi="Arial" w:cs="Arial"/>
                <w:sz w:val="20"/>
                <w:szCs w:val="20"/>
              </w:rPr>
            </w:pPr>
            <w:r>
              <w:rPr>
                <w:rFonts w:ascii="Arial" w:hAnsi="Arial" w:cs="Arial"/>
                <w:sz w:val="20"/>
                <w:szCs w:val="20"/>
              </w:rPr>
              <w:t xml:space="preserve">gre </w:t>
            </w:r>
            <w:r w:rsidRPr="00605612">
              <w:rPr>
                <w:rFonts w:ascii="Arial" w:hAnsi="Arial" w:cs="Arial"/>
                <w:sz w:val="20"/>
                <w:szCs w:val="20"/>
              </w:rPr>
              <w:t xml:space="preserve">za obvladujočo družbo, ki je hkrati tudi odvisna družba družbe iz države članice, </w:t>
            </w:r>
          </w:p>
          <w:p w14:paraId="4D12E449" w14:textId="77777777" w:rsidR="000C08CA" w:rsidRPr="00605612" w:rsidRDefault="000C08CA" w:rsidP="00FE328D">
            <w:pPr>
              <w:pStyle w:val="ListParagraph"/>
              <w:numPr>
                <w:ilvl w:val="0"/>
                <w:numId w:val="39"/>
              </w:numPr>
              <w:spacing w:line="276" w:lineRule="auto"/>
              <w:jc w:val="both"/>
              <w:rPr>
                <w:rFonts w:ascii="Arial" w:hAnsi="Arial" w:cs="Arial"/>
                <w:sz w:val="20"/>
                <w:szCs w:val="20"/>
              </w:rPr>
            </w:pPr>
            <w:r w:rsidRPr="00605612">
              <w:rPr>
                <w:rFonts w:ascii="Arial" w:hAnsi="Arial" w:cs="Arial"/>
                <w:sz w:val="20"/>
                <w:szCs w:val="20"/>
              </w:rPr>
              <w:t>če je družba iz države članice imetnica vseh deležev v izvzeti družbi ali ima v lasti več kot 90 odstotkov deležev in preostali družbeniki soglašajo z izvzetjem,</w:t>
            </w:r>
          </w:p>
          <w:p w14:paraId="68CC949E" w14:textId="77777777" w:rsidR="000C08CA" w:rsidRPr="00605612" w:rsidRDefault="000C08CA" w:rsidP="00FE328D">
            <w:pPr>
              <w:pStyle w:val="ListParagraph"/>
              <w:numPr>
                <w:ilvl w:val="0"/>
                <w:numId w:val="39"/>
              </w:numPr>
              <w:spacing w:line="276" w:lineRule="auto"/>
              <w:jc w:val="both"/>
              <w:rPr>
                <w:rFonts w:ascii="Arial" w:hAnsi="Arial" w:cs="Arial"/>
                <w:sz w:val="20"/>
                <w:szCs w:val="20"/>
              </w:rPr>
            </w:pPr>
            <w:r w:rsidRPr="00605612">
              <w:rPr>
                <w:rFonts w:ascii="Arial" w:hAnsi="Arial" w:cs="Arial"/>
                <w:sz w:val="20"/>
                <w:szCs w:val="20"/>
              </w:rPr>
              <w:t>če je izvzeta družba vključena v konsolidacijo obvladujoče družbe iz države članice.</w:t>
            </w:r>
          </w:p>
          <w:p w14:paraId="0B6E51E9" w14:textId="77777777" w:rsidR="000C08CA" w:rsidRPr="00605612" w:rsidRDefault="000C08CA" w:rsidP="00FE328D">
            <w:pPr>
              <w:spacing w:line="276" w:lineRule="auto"/>
              <w:jc w:val="both"/>
              <w:rPr>
                <w:rFonts w:cs="Arial"/>
                <w:szCs w:val="20"/>
              </w:rPr>
            </w:pPr>
            <w:r w:rsidRPr="00605612">
              <w:rPr>
                <w:rFonts w:cs="Arial"/>
                <w:szCs w:val="20"/>
              </w:rPr>
              <w:t>Z novim</w:t>
            </w:r>
            <w:r w:rsidRPr="00605612" w:rsidDel="00BC4A89">
              <w:rPr>
                <w:rFonts w:cs="Arial"/>
                <w:szCs w:val="20"/>
              </w:rPr>
              <w:t xml:space="preserve"> </w:t>
            </w:r>
            <w:r>
              <w:rPr>
                <w:rFonts w:cs="Arial"/>
                <w:szCs w:val="20"/>
              </w:rPr>
              <w:t>enajstim</w:t>
            </w:r>
            <w:r w:rsidRPr="00605612">
              <w:rPr>
                <w:rFonts w:cs="Arial"/>
                <w:szCs w:val="20"/>
              </w:rPr>
              <w:t xml:space="preserve"> odstavkom se jasno opredeli</w:t>
            </w:r>
            <w:r>
              <w:rPr>
                <w:rFonts w:cs="Arial"/>
                <w:szCs w:val="20"/>
              </w:rPr>
              <w:t>,</w:t>
            </w:r>
            <w:r w:rsidRPr="00605612">
              <w:rPr>
                <w:rFonts w:cs="Arial"/>
                <w:szCs w:val="20"/>
              </w:rPr>
              <w:t xml:space="preserve"> za katere družbe se določbe 70.c, 70.č in 70.d člena ZGD-1 ne uporabljajo:</w:t>
            </w:r>
          </w:p>
          <w:p w14:paraId="22490953"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mikro družbe, s katere vrednostnimi papirji se trguje na organiziranem trgu → saj glede na prvi odstavek 19.a člena Direktive 2013/34/EU niso dolžne pripraviti poročila o trajnostnosti,</w:t>
            </w:r>
          </w:p>
          <w:p w14:paraId="66F77909"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finančne produkte</w:t>
            </w:r>
            <w:r w:rsidRPr="003A2A88">
              <w:rPr>
                <w:rFonts w:cs="Arial"/>
                <w:szCs w:val="20"/>
              </w:rPr>
              <w:t xml:space="preserve">, navedene pod (b) in (f) 12. </w:t>
            </w:r>
            <w:r w:rsidRPr="003A2A88" w:rsidDel="007F37F8">
              <w:rPr>
                <w:rFonts w:cs="Arial"/>
                <w:szCs w:val="20"/>
              </w:rPr>
              <w:t xml:space="preserve">točke </w:t>
            </w:r>
            <w:r w:rsidRPr="003A2A88">
              <w:rPr>
                <w:rFonts w:cs="Arial"/>
                <w:szCs w:val="20"/>
              </w:rPr>
              <w:t>2</w:t>
            </w:r>
            <w:r w:rsidRPr="00605612">
              <w:rPr>
                <w:rFonts w:cs="Arial"/>
                <w:szCs w:val="20"/>
              </w:rPr>
              <w:t>. člena Uredbe 2019/2088/EU → saj so ti glede na četrti odstavek 1. člena Direktive 2013/34/EU izključeni iz uporabe.</w:t>
            </w:r>
          </w:p>
          <w:p w14:paraId="3EEB3DD7" w14:textId="77777777" w:rsidR="000C08CA" w:rsidRPr="00605612" w:rsidRDefault="000C08CA" w:rsidP="00FE328D">
            <w:pPr>
              <w:spacing w:line="276" w:lineRule="auto"/>
              <w:jc w:val="both"/>
              <w:rPr>
                <w:rFonts w:cs="Arial"/>
                <w:szCs w:val="20"/>
              </w:rPr>
            </w:pPr>
          </w:p>
          <w:p w14:paraId="61B02656" w14:textId="77777777" w:rsidR="000C08CA" w:rsidRPr="00605612" w:rsidRDefault="000C08CA" w:rsidP="00FE328D">
            <w:pPr>
              <w:spacing w:line="276" w:lineRule="auto"/>
              <w:jc w:val="both"/>
              <w:rPr>
                <w:rFonts w:cs="Arial"/>
                <w:b/>
                <w:bCs/>
                <w:szCs w:val="20"/>
              </w:rPr>
            </w:pPr>
            <w:r w:rsidRPr="00605612">
              <w:rPr>
                <w:rFonts w:cs="Arial"/>
                <w:b/>
                <w:bCs/>
                <w:szCs w:val="20"/>
              </w:rPr>
              <w:t>K 1</w:t>
            </w:r>
            <w:r>
              <w:rPr>
                <w:rFonts w:cs="Arial"/>
                <w:b/>
                <w:bCs/>
                <w:szCs w:val="20"/>
              </w:rPr>
              <w:t>5</w:t>
            </w:r>
            <w:r w:rsidRPr="00605612">
              <w:rPr>
                <w:rFonts w:cs="Arial"/>
                <w:b/>
                <w:bCs/>
                <w:szCs w:val="20"/>
              </w:rPr>
              <w:t>. členu</w:t>
            </w:r>
          </w:p>
          <w:p w14:paraId="3DBBAB27" w14:textId="77777777" w:rsidR="000C08CA" w:rsidRPr="00605612" w:rsidRDefault="000C08CA" w:rsidP="00FE328D">
            <w:pPr>
              <w:spacing w:line="276" w:lineRule="auto"/>
              <w:jc w:val="both"/>
              <w:rPr>
                <w:rFonts w:cs="Arial"/>
                <w:b/>
                <w:bCs/>
                <w:szCs w:val="20"/>
              </w:rPr>
            </w:pPr>
          </w:p>
          <w:p w14:paraId="63A1BEF3" w14:textId="77777777" w:rsidR="000C08CA" w:rsidRPr="00605612" w:rsidRDefault="000C08CA" w:rsidP="00FE328D">
            <w:pPr>
              <w:spacing w:line="276" w:lineRule="auto"/>
              <w:jc w:val="both"/>
              <w:rPr>
                <w:rFonts w:cs="Arial"/>
                <w:szCs w:val="20"/>
              </w:rPr>
            </w:pPr>
            <w:r w:rsidRPr="00605612">
              <w:rPr>
                <w:rFonts w:cs="Arial"/>
                <w:szCs w:val="20"/>
              </w:rPr>
              <w:t>S predlogom zakona se dodata nova 70.č in 70.d člen.</w:t>
            </w:r>
          </w:p>
          <w:p w14:paraId="4F274A91" w14:textId="77777777" w:rsidR="000C08CA" w:rsidRPr="00605612" w:rsidRDefault="000C08CA" w:rsidP="00FE328D">
            <w:pPr>
              <w:spacing w:line="276" w:lineRule="auto"/>
              <w:jc w:val="both"/>
              <w:rPr>
                <w:rFonts w:cs="Arial"/>
                <w:b/>
                <w:bCs/>
                <w:szCs w:val="20"/>
              </w:rPr>
            </w:pPr>
          </w:p>
          <w:p w14:paraId="316471CC" w14:textId="77777777" w:rsidR="000C08CA" w:rsidRPr="00605612" w:rsidRDefault="000C08CA" w:rsidP="00FE328D">
            <w:pPr>
              <w:spacing w:line="276" w:lineRule="auto"/>
              <w:jc w:val="both"/>
              <w:rPr>
                <w:rFonts w:cs="Arial"/>
                <w:szCs w:val="20"/>
              </w:rPr>
            </w:pPr>
            <w:r w:rsidRPr="00133FAF">
              <w:rPr>
                <w:rFonts w:cs="Arial"/>
                <w:szCs w:val="20"/>
              </w:rPr>
              <w:t>70.č</w:t>
            </w:r>
          </w:p>
          <w:p w14:paraId="756E5FC5" w14:textId="77777777" w:rsidR="000C08CA" w:rsidRPr="00605612" w:rsidRDefault="000C08CA" w:rsidP="00FE328D">
            <w:pPr>
              <w:spacing w:line="276" w:lineRule="auto"/>
              <w:jc w:val="both"/>
              <w:rPr>
                <w:rFonts w:cs="Arial"/>
                <w:szCs w:val="20"/>
              </w:rPr>
            </w:pPr>
          </w:p>
          <w:p w14:paraId="265CFF68" w14:textId="77777777" w:rsidR="000C08CA" w:rsidRPr="00605612" w:rsidRDefault="000C08CA" w:rsidP="00FE328D">
            <w:pPr>
              <w:spacing w:line="276" w:lineRule="auto"/>
              <w:jc w:val="both"/>
              <w:rPr>
                <w:rFonts w:cs="Arial"/>
                <w:szCs w:val="20"/>
              </w:rPr>
            </w:pPr>
            <w:r w:rsidRPr="00605612">
              <w:rPr>
                <w:rFonts w:cs="Arial"/>
                <w:szCs w:val="20"/>
              </w:rPr>
              <w:t>Z novim 70.č členom ZGD-1 se v nacionalno zakonodajo prenaša z Direktivo 2022/2464/EU spremenjena določba 29</w:t>
            </w:r>
            <w:r w:rsidRPr="00605612" w:rsidDel="007F37F8">
              <w:rPr>
                <w:rFonts w:cs="Arial"/>
                <w:szCs w:val="20"/>
              </w:rPr>
              <w:t>.</w:t>
            </w:r>
            <w:r w:rsidRPr="00605612">
              <w:rPr>
                <w:rFonts w:cs="Arial"/>
                <w:szCs w:val="20"/>
              </w:rPr>
              <w:t xml:space="preserve">a </w:t>
            </w:r>
            <w:r w:rsidRPr="00605612" w:rsidDel="007F37F8">
              <w:rPr>
                <w:rFonts w:cs="Arial"/>
                <w:szCs w:val="20"/>
              </w:rPr>
              <w:t xml:space="preserve">člena </w:t>
            </w:r>
            <w:r w:rsidRPr="00605612">
              <w:rPr>
                <w:rFonts w:cs="Arial"/>
                <w:szCs w:val="20"/>
              </w:rPr>
              <w:t xml:space="preserve">Direktive 2013/34/EU. Prejšnja </w:t>
            </w:r>
            <w:r w:rsidRPr="00EA7D15">
              <w:rPr>
                <w:rFonts w:cs="Arial"/>
                <w:szCs w:val="20"/>
              </w:rPr>
              <w:t>določba tega člena je bila prenesena v dvanajsti odstavek 56. člena ZGD-1, ki</w:t>
            </w:r>
            <w:r>
              <w:rPr>
                <w:rFonts w:cs="Arial"/>
                <w:szCs w:val="20"/>
              </w:rPr>
              <w:t>,</w:t>
            </w:r>
            <w:r w:rsidRPr="00EA7D15">
              <w:rPr>
                <w:rFonts w:cs="Arial"/>
                <w:szCs w:val="20"/>
              </w:rPr>
              <w:t xml:space="preserve"> kot je pojasnjeno v obrazložitvi k </w:t>
            </w:r>
            <w:r>
              <w:rPr>
                <w:rFonts w:cs="Arial"/>
                <w:szCs w:val="20"/>
              </w:rPr>
              <w:t>7</w:t>
            </w:r>
            <w:r w:rsidRPr="00EA7D15">
              <w:rPr>
                <w:rFonts w:cs="Arial"/>
                <w:szCs w:val="20"/>
              </w:rPr>
              <w:t>. členu</w:t>
            </w:r>
            <w:r>
              <w:rPr>
                <w:rFonts w:cs="Arial"/>
                <w:szCs w:val="20"/>
              </w:rPr>
              <w:t>,</w:t>
            </w:r>
            <w:r w:rsidRPr="00EA7D15">
              <w:rPr>
                <w:rFonts w:cs="Arial"/>
                <w:szCs w:val="20"/>
              </w:rPr>
              <w:t xml:space="preserve"> določa, da mora konsolidirano poslovno poročilo subjekta javnega interesa, katerega povprečno število zaposlenih v poslovnem letu je na bilančni presečni dan na ravni skupine večje</w:t>
            </w:r>
            <w:r w:rsidRPr="00605612">
              <w:rPr>
                <w:rFonts w:cs="Arial"/>
                <w:szCs w:val="20"/>
              </w:rPr>
              <w:t xml:space="preserve"> od 500, vsebovati tudi konsolidirano izjavo o nefinančnem poslovanju. Besedilo se s tem predlogom zakona črta.</w:t>
            </w:r>
          </w:p>
          <w:p w14:paraId="58BEEF8D" w14:textId="77777777" w:rsidR="000C08CA" w:rsidRPr="00605612" w:rsidRDefault="000C08CA" w:rsidP="00FE328D">
            <w:pPr>
              <w:spacing w:line="276" w:lineRule="auto"/>
              <w:jc w:val="both"/>
              <w:rPr>
                <w:rFonts w:cs="Arial"/>
                <w:szCs w:val="20"/>
              </w:rPr>
            </w:pPr>
          </w:p>
          <w:p w14:paraId="2FF8EBF6" w14:textId="77777777" w:rsidR="000C08CA" w:rsidRPr="00605612" w:rsidRDefault="000C08CA" w:rsidP="00FE328D">
            <w:pPr>
              <w:spacing w:line="276" w:lineRule="auto"/>
              <w:jc w:val="both"/>
              <w:rPr>
                <w:rFonts w:cs="Arial"/>
                <w:szCs w:val="20"/>
              </w:rPr>
            </w:pPr>
            <w:r w:rsidRPr="00605612">
              <w:rPr>
                <w:rFonts w:cs="Arial"/>
                <w:szCs w:val="20"/>
              </w:rPr>
              <w:t>Kot že pojasnjeno</w:t>
            </w:r>
            <w:r>
              <w:rPr>
                <w:rFonts w:cs="Arial"/>
                <w:szCs w:val="20"/>
              </w:rPr>
              <w:t>,</w:t>
            </w:r>
            <w:r w:rsidRPr="00605612">
              <w:rPr>
                <w:rFonts w:cs="Arial"/>
                <w:szCs w:val="20"/>
              </w:rPr>
              <w:t xml:space="preserve"> Direktiva 2022/2464/EU spreminja določbe 19</w:t>
            </w:r>
            <w:r w:rsidRPr="00605612" w:rsidDel="007F37F8">
              <w:rPr>
                <w:rFonts w:cs="Arial"/>
                <w:szCs w:val="20"/>
              </w:rPr>
              <w:t>.</w:t>
            </w:r>
            <w:r w:rsidRPr="00605612">
              <w:rPr>
                <w:rFonts w:cs="Arial"/>
                <w:szCs w:val="20"/>
              </w:rPr>
              <w:t>a in 29</w:t>
            </w:r>
            <w:r w:rsidRPr="00605612" w:rsidDel="007F37F8">
              <w:rPr>
                <w:rFonts w:cs="Arial"/>
                <w:szCs w:val="20"/>
              </w:rPr>
              <w:t>.</w:t>
            </w:r>
            <w:r w:rsidRPr="00605612">
              <w:rPr>
                <w:rFonts w:cs="Arial"/>
                <w:szCs w:val="20"/>
              </w:rPr>
              <w:t xml:space="preserve">a </w:t>
            </w:r>
            <w:r w:rsidRPr="00605612" w:rsidDel="007F37F8">
              <w:rPr>
                <w:rFonts w:cs="Arial"/>
                <w:szCs w:val="20"/>
              </w:rPr>
              <w:t xml:space="preserve">člena </w:t>
            </w:r>
            <w:r w:rsidRPr="00605612">
              <w:rPr>
                <w:rFonts w:cs="Arial"/>
                <w:szCs w:val="20"/>
              </w:rPr>
              <w:t>Direktive 2013/34/EU, in sicer nadomešča izjavo o nefinančnem poslovanj</w:t>
            </w:r>
            <w:r>
              <w:rPr>
                <w:rFonts w:cs="Arial"/>
                <w:szCs w:val="20"/>
              </w:rPr>
              <w:t>u</w:t>
            </w:r>
            <w:r w:rsidRPr="00605612">
              <w:rPr>
                <w:rFonts w:cs="Arial"/>
                <w:szCs w:val="20"/>
              </w:rPr>
              <w:t xml:space="preserve"> s poročilom o trajnostnost</w:t>
            </w:r>
            <w:r>
              <w:rPr>
                <w:rFonts w:cs="Arial"/>
                <w:szCs w:val="20"/>
              </w:rPr>
              <w:t xml:space="preserve">i </w:t>
            </w:r>
            <w:r w:rsidRPr="00605612">
              <w:rPr>
                <w:rFonts w:cs="Arial"/>
                <w:szCs w:val="20"/>
              </w:rPr>
              <w:t xml:space="preserve">ter konsolidirano izjavo o nefinančnem poslovanju s konsolidiranim poročilom o trajnostnosti. </w:t>
            </w:r>
          </w:p>
          <w:p w14:paraId="7B80F9E1" w14:textId="77777777" w:rsidR="000C08CA" w:rsidRPr="00605612" w:rsidRDefault="000C08CA" w:rsidP="00FE328D">
            <w:pPr>
              <w:spacing w:line="276" w:lineRule="auto"/>
              <w:jc w:val="both"/>
              <w:rPr>
                <w:rFonts w:cs="Arial"/>
                <w:szCs w:val="20"/>
              </w:rPr>
            </w:pPr>
          </w:p>
          <w:p w14:paraId="1DFF31D0" w14:textId="77777777" w:rsidR="000C08CA" w:rsidRDefault="000C08CA" w:rsidP="00FE328D">
            <w:pPr>
              <w:spacing w:line="276" w:lineRule="auto"/>
              <w:jc w:val="both"/>
            </w:pPr>
            <w:r>
              <w:rPr>
                <w:rFonts w:cs="Arial"/>
                <w:szCs w:val="20"/>
              </w:rPr>
              <w:t>V p</w:t>
            </w:r>
            <w:r w:rsidRPr="00AD3909">
              <w:rPr>
                <w:rFonts w:cs="Arial"/>
                <w:szCs w:val="20"/>
              </w:rPr>
              <w:t>rv</w:t>
            </w:r>
            <w:r>
              <w:rPr>
                <w:rFonts w:cs="Arial"/>
                <w:szCs w:val="20"/>
              </w:rPr>
              <w:t>em</w:t>
            </w:r>
            <w:r w:rsidRPr="00AD3909">
              <w:rPr>
                <w:rFonts w:cs="Arial"/>
                <w:szCs w:val="20"/>
              </w:rPr>
              <w:t xml:space="preserve"> odstavk</w:t>
            </w:r>
            <w:r>
              <w:rPr>
                <w:rFonts w:cs="Arial"/>
                <w:szCs w:val="20"/>
              </w:rPr>
              <w:t>u</w:t>
            </w:r>
            <w:r w:rsidRPr="00AD3909">
              <w:rPr>
                <w:rFonts w:cs="Arial"/>
                <w:szCs w:val="20"/>
              </w:rPr>
              <w:t xml:space="preserve"> 70.č člena ZGD-1</w:t>
            </w:r>
            <w:r>
              <w:rPr>
                <w:rFonts w:cs="Arial"/>
                <w:szCs w:val="20"/>
              </w:rPr>
              <w:t xml:space="preserve"> se prenaša</w:t>
            </w:r>
            <w:r w:rsidRPr="0038573D">
              <w:rPr>
                <w:rFonts w:cs="Arial"/>
                <w:szCs w:val="20"/>
              </w:rPr>
              <w:t xml:space="preserve"> prv</w:t>
            </w:r>
            <w:r>
              <w:rPr>
                <w:rFonts w:cs="Arial"/>
                <w:szCs w:val="20"/>
              </w:rPr>
              <w:t>i</w:t>
            </w:r>
            <w:r w:rsidRPr="0038573D">
              <w:rPr>
                <w:rFonts w:cs="Arial"/>
                <w:szCs w:val="20"/>
              </w:rPr>
              <w:t xml:space="preserve"> odstav</w:t>
            </w:r>
            <w:r>
              <w:rPr>
                <w:rFonts w:cs="Arial"/>
                <w:szCs w:val="20"/>
              </w:rPr>
              <w:t>ek</w:t>
            </w:r>
            <w:r w:rsidRPr="0038573D">
              <w:rPr>
                <w:rFonts w:cs="Arial"/>
                <w:szCs w:val="20"/>
              </w:rPr>
              <w:t xml:space="preserve"> 29</w:t>
            </w:r>
            <w:r w:rsidRPr="0038573D" w:rsidDel="007F37F8">
              <w:rPr>
                <w:rFonts w:cs="Arial"/>
                <w:szCs w:val="20"/>
              </w:rPr>
              <w:t>.</w:t>
            </w:r>
            <w:r w:rsidRPr="0038573D">
              <w:rPr>
                <w:rFonts w:cs="Arial"/>
                <w:szCs w:val="20"/>
              </w:rPr>
              <w:t xml:space="preserve">a </w:t>
            </w:r>
            <w:r w:rsidRPr="0038573D" w:rsidDel="007F37F8">
              <w:rPr>
                <w:rFonts w:cs="Arial"/>
                <w:szCs w:val="20"/>
              </w:rPr>
              <w:t xml:space="preserve">člena </w:t>
            </w:r>
            <w:r w:rsidRPr="0038573D">
              <w:rPr>
                <w:rFonts w:cs="Arial"/>
                <w:szCs w:val="20"/>
              </w:rPr>
              <w:t>Direktive 2013/34/EU</w:t>
            </w:r>
            <w:r>
              <w:rPr>
                <w:rFonts w:cs="Arial"/>
                <w:szCs w:val="20"/>
              </w:rPr>
              <w:t>, ki določa, da o</w:t>
            </w:r>
            <w:r w:rsidRPr="00CE0EF1">
              <w:rPr>
                <w:rFonts w:cs="Arial"/>
                <w:szCs w:val="20"/>
              </w:rPr>
              <w:t>bvladujoča podjetja velike skupine</w:t>
            </w:r>
            <w:r>
              <w:rPr>
                <w:rFonts w:cs="Arial"/>
                <w:szCs w:val="20"/>
              </w:rPr>
              <w:t xml:space="preserve"> </w:t>
            </w:r>
            <w:r w:rsidRPr="00D55D55">
              <w:rPr>
                <w:rFonts w:cs="Arial"/>
                <w:szCs w:val="20"/>
              </w:rPr>
              <w:t>v konsolidirano poslovno poročilo</w:t>
            </w:r>
            <w:r>
              <w:rPr>
                <w:rFonts w:cs="Arial"/>
                <w:szCs w:val="20"/>
              </w:rPr>
              <w:t xml:space="preserve"> vključijo tudi konsolidirano poročilo o trajnostnosti</w:t>
            </w:r>
            <w:r w:rsidRPr="0038573D">
              <w:rPr>
                <w:rFonts w:cs="Arial"/>
                <w:szCs w:val="20"/>
              </w:rPr>
              <w:t xml:space="preserve">. Pri prenosu Direktive 2022/2464/EU je </w:t>
            </w:r>
            <w:r>
              <w:rPr>
                <w:rFonts w:cs="Arial"/>
                <w:szCs w:val="20"/>
              </w:rPr>
              <w:t>Komisija</w:t>
            </w:r>
            <w:r w:rsidRPr="0038573D">
              <w:rPr>
                <w:rFonts w:cs="Arial"/>
                <w:szCs w:val="20"/>
              </w:rPr>
              <w:t xml:space="preserve"> pojasnil</w:t>
            </w:r>
            <w:r>
              <w:rPr>
                <w:rFonts w:cs="Arial"/>
                <w:szCs w:val="20"/>
              </w:rPr>
              <w:t>a</w:t>
            </w:r>
            <w:r w:rsidRPr="0038573D">
              <w:rPr>
                <w:rFonts w:cs="Arial"/>
                <w:szCs w:val="20"/>
              </w:rPr>
              <w:t xml:space="preserve">, da mora biti </w:t>
            </w:r>
            <w:r>
              <w:rPr>
                <w:rFonts w:cs="Arial"/>
                <w:szCs w:val="20"/>
              </w:rPr>
              <w:t xml:space="preserve">pri ugotavljanju obveznosti </w:t>
            </w:r>
            <w:r w:rsidRPr="0038573D">
              <w:rPr>
                <w:rFonts w:cs="Arial"/>
                <w:szCs w:val="20"/>
              </w:rPr>
              <w:t xml:space="preserve">velikost skupine </w:t>
            </w:r>
            <w:r>
              <w:rPr>
                <w:rFonts w:cs="Arial"/>
                <w:szCs w:val="20"/>
              </w:rPr>
              <w:t xml:space="preserve">smiselno </w:t>
            </w:r>
            <w:r w:rsidRPr="0038573D">
              <w:rPr>
                <w:rFonts w:cs="Arial"/>
                <w:szCs w:val="20"/>
              </w:rPr>
              <w:t xml:space="preserve">enako </w:t>
            </w:r>
            <w:r w:rsidRPr="007F37F8">
              <w:rPr>
                <w:rFonts w:cs="Arial"/>
                <w:szCs w:val="20"/>
              </w:rPr>
              <w:t>opredel</w:t>
            </w:r>
            <w:r>
              <w:rPr>
                <w:rFonts w:cs="Arial"/>
                <w:szCs w:val="20"/>
              </w:rPr>
              <w:t>jena</w:t>
            </w:r>
            <w:r w:rsidRPr="007F37F8" w:rsidDel="007F37F8">
              <w:rPr>
                <w:rFonts w:cs="Arial"/>
                <w:szCs w:val="20"/>
              </w:rPr>
              <w:t xml:space="preserve"> </w:t>
            </w:r>
            <w:r>
              <w:rPr>
                <w:rFonts w:cs="Arial"/>
                <w:szCs w:val="20"/>
              </w:rPr>
              <w:t>v</w:t>
            </w:r>
            <w:r w:rsidRPr="0038573D">
              <w:rPr>
                <w:rFonts w:cs="Arial"/>
                <w:szCs w:val="20"/>
              </w:rPr>
              <w:t xml:space="preserve"> konsolidiranem letnem poročilu in konsolidiranem poročilu o trajnostnosti. Navedeni razlagi se je sledilo, saj je smiselno, da sta obe konsolidaciji primerljivi, zato se je tudi</w:t>
            </w:r>
            <w:r>
              <w:rPr>
                <w:rFonts w:cs="Arial"/>
                <w:szCs w:val="20"/>
              </w:rPr>
              <w:t xml:space="preserve"> v 70.č členu</w:t>
            </w:r>
            <w:r w:rsidRPr="0038573D">
              <w:rPr>
                <w:rFonts w:cs="Arial"/>
                <w:szCs w:val="20"/>
              </w:rPr>
              <w:t xml:space="preserve"> upoštevala skladnost s petim odstavkom 56. člena ZGD-1. Ta določa, da </w:t>
            </w:r>
            <w:r w:rsidRPr="0038573D">
              <w:t xml:space="preserve">obvladujoča družba, ki skupaj z odvisnimi družbami ne dosega pogojev za velike družbe iz petega odstavka 55. člena tega zakona, pri čemer se merili čistih prihodkov od prodaje in vrednosti aktive </w:t>
            </w:r>
            <w:r w:rsidRPr="0038573D" w:rsidDel="007F37F8">
              <w:t xml:space="preserve">povečata </w:t>
            </w:r>
            <w:r w:rsidRPr="0038573D">
              <w:t>za 20 %, ni dolžna izdelati konsolidiranega letnega poročila.</w:t>
            </w:r>
            <w:r>
              <w:t xml:space="preserve"> 56. člen ZGD-1 tako pri konsolidaciji letnega poročila upošteva možnost, ki jo dopušča osmi odstavek 3. člena </w:t>
            </w:r>
            <w:r w:rsidRPr="00871790">
              <w:t>Direktive 2013/34/EU</w:t>
            </w:r>
            <w:r>
              <w:t xml:space="preserve">. Ta </w:t>
            </w:r>
            <w:r w:rsidRPr="00AE3E37">
              <w:t xml:space="preserve">določa, da se, kadar se pri ugotavljanju obveznosti priprave konsolidiranega letnega poročila meje meril za bilančno vsoto in čisti prihodek povečajo za </w:t>
            </w:r>
            <w:r w:rsidRPr="00AE3E37">
              <w:lastRenderedPageBreak/>
              <w:t>20 %, pobot iz tretjega odstavka 24. člena in izločitev iz sedmega odstavka 24. člena Direktive 2013/34/EU ne opravita</w:t>
            </w:r>
            <w:r>
              <w:t xml:space="preserve">. Glede na to, da ZGD-1 dopušča v petem odstavku 56. člena pri ugotavljanju obveznosti </w:t>
            </w:r>
            <w:r w:rsidRPr="00583BC7">
              <w:t>priprave konsolidiranega letnega poročila</w:t>
            </w:r>
            <w:r>
              <w:t xml:space="preserve"> le to možnost, je</w:t>
            </w:r>
            <w:r w:rsidDel="00D3073D">
              <w:t xml:space="preserve"> </w:t>
            </w:r>
            <w:r>
              <w:t xml:space="preserve">treba prvi odstavek 70.č člena s tem uskladiti, da dosežemo smiselno enake pogoje za ugotavljanje obveznosti </w:t>
            </w:r>
            <w:r w:rsidRPr="0052278F">
              <w:t>priprave konsolidiranega letnega poročila</w:t>
            </w:r>
            <w:r>
              <w:t xml:space="preserve"> in priprave konsolidiranega poročila o trajnostnosti. Glede na navedeno je v </w:t>
            </w:r>
            <w:r>
              <w:rPr>
                <w:rFonts w:cs="Arial"/>
                <w:szCs w:val="20"/>
              </w:rPr>
              <w:t>p</w:t>
            </w:r>
            <w:r w:rsidRPr="0038573D">
              <w:rPr>
                <w:rFonts w:cs="Arial"/>
                <w:szCs w:val="20"/>
              </w:rPr>
              <w:t>rv</w:t>
            </w:r>
            <w:r>
              <w:rPr>
                <w:rFonts w:cs="Arial"/>
                <w:szCs w:val="20"/>
              </w:rPr>
              <w:t>em</w:t>
            </w:r>
            <w:r w:rsidRPr="0038573D">
              <w:rPr>
                <w:rFonts w:cs="Arial"/>
                <w:szCs w:val="20"/>
              </w:rPr>
              <w:t xml:space="preserve"> odstav</w:t>
            </w:r>
            <w:r>
              <w:rPr>
                <w:rFonts w:cs="Arial"/>
                <w:szCs w:val="20"/>
              </w:rPr>
              <w:t>ku</w:t>
            </w:r>
            <w:r w:rsidRPr="0038573D">
              <w:rPr>
                <w:rFonts w:cs="Arial"/>
                <w:szCs w:val="20"/>
              </w:rPr>
              <w:t xml:space="preserve"> 70.č člena ZGD-1 določ</w:t>
            </w:r>
            <w:r>
              <w:rPr>
                <w:rFonts w:cs="Arial"/>
                <w:szCs w:val="20"/>
              </w:rPr>
              <w:t>eno</w:t>
            </w:r>
            <w:r w:rsidRPr="0038573D">
              <w:rPr>
                <w:rFonts w:cs="Arial"/>
                <w:szCs w:val="20"/>
              </w:rPr>
              <w:t xml:space="preserve">, da obvladujoča družba vključi v </w:t>
            </w:r>
            <w:r w:rsidRPr="0038573D" w:rsidDel="00D3073D">
              <w:rPr>
                <w:rFonts w:cs="Arial"/>
                <w:szCs w:val="20"/>
              </w:rPr>
              <w:t xml:space="preserve">svoje </w:t>
            </w:r>
            <w:r w:rsidRPr="0038573D">
              <w:rPr>
                <w:rFonts w:cs="Arial"/>
                <w:szCs w:val="20"/>
              </w:rPr>
              <w:t>konsolidirano poslovno poročilo tudi konsolidirano poročilo o trajnostnosti</w:t>
            </w:r>
            <w:r>
              <w:rPr>
                <w:rFonts w:cs="Arial"/>
                <w:szCs w:val="20"/>
              </w:rPr>
              <w:t>, kadar</w:t>
            </w:r>
            <w:r w:rsidRPr="0038573D">
              <w:rPr>
                <w:rFonts w:cs="Arial"/>
                <w:szCs w:val="20"/>
              </w:rPr>
              <w:t xml:space="preserve"> skupaj z odvisnimi družbami dosega pogoje za veliko družbo iz petega odstavka 55. člena tega zakona, pri čemer se merili čistih prihodkov od prodaje in vrednosti aktive </w:t>
            </w:r>
            <w:r w:rsidRPr="0038573D" w:rsidDel="00D3073D">
              <w:rPr>
                <w:rFonts w:cs="Arial"/>
                <w:szCs w:val="20"/>
              </w:rPr>
              <w:t xml:space="preserve">povečata </w:t>
            </w:r>
            <w:r w:rsidRPr="0038573D">
              <w:rPr>
                <w:rFonts w:cs="Arial"/>
                <w:szCs w:val="20"/>
              </w:rPr>
              <w:t>za 20 %</w:t>
            </w:r>
            <w:r>
              <w:rPr>
                <w:rFonts w:cs="Arial"/>
                <w:szCs w:val="20"/>
              </w:rPr>
              <w:t>.</w:t>
            </w:r>
            <w:r w:rsidRPr="005E5C27">
              <w:rPr>
                <w:rFonts w:cs="Arial"/>
                <w:szCs w:val="20"/>
              </w:rPr>
              <w:t xml:space="preserve"> </w:t>
            </w:r>
            <w:r>
              <w:rPr>
                <w:rFonts w:cs="Arial"/>
                <w:szCs w:val="20"/>
              </w:rPr>
              <w:t>Zaradi večje jasnosti se, kot je pojasnjeno tudi v obrazložitvi k 7. členu,</w:t>
            </w:r>
            <w:r w:rsidDel="00D3073D">
              <w:rPr>
                <w:rFonts w:cs="Arial"/>
                <w:szCs w:val="20"/>
              </w:rPr>
              <w:t xml:space="preserve"> </w:t>
            </w:r>
            <w:r>
              <w:rPr>
                <w:rFonts w:cs="Arial"/>
                <w:szCs w:val="20"/>
              </w:rPr>
              <w:t>d</w:t>
            </w:r>
            <w:r w:rsidRPr="005E5C27">
              <w:rPr>
                <w:rFonts w:cs="Arial"/>
                <w:szCs w:val="20"/>
              </w:rPr>
              <w:t xml:space="preserve">odaja </w:t>
            </w:r>
            <w:r>
              <w:rPr>
                <w:rFonts w:cs="Arial"/>
                <w:szCs w:val="20"/>
              </w:rPr>
              <w:t xml:space="preserve">tudi </w:t>
            </w:r>
            <w:r w:rsidRPr="005E5C27">
              <w:rPr>
                <w:rFonts w:cs="Arial"/>
                <w:szCs w:val="20"/>
              </w:rPr>
              <w:t>besedilo, da obvladujoča družba pri ugotavljanju čistih prihodkov od prodaje in vrednosti aktive ne upošteva prilagoditev, potrebnih za pripravo konsolidiranih računovodskih izkazov.</w:t>
            </w:r>
            <w:r>
              <w:t xml:space="preserve"> </w:t>
            </w:r>
          </w:p>
          <w:p w14:paraId="6226C2D1" w14:textId="77777777" w:rsidR="000C08CA" w:rsidRPr="00E91165" w:rsidRDefault="000C08CA" w:rsidP="00FE328D">
            <w:pPr>
              <w:spacing w:line="276" w:lineRule="auto"/>
              <w:jc w:val="both"/>
              <w:rPr>
                <w:rFonts w:cs="Arial"/>
                <w:strike/>
                <w:szCs w:val="20"/>
              </w:rPr>
            </w:pPr>
          </w:p>
          <w:p w14:paraId="040CA5FE" w14:textId="77777777" w:rsidR="000C08CA" w:rsidRPr="00605612" w:rsidRDefault="000C08CA" w:rsidP="00FE328D">
            <w:pPr>
              <w:spacing w:line="276" w:lineRule="auto"/>
              <w:jc w:val="both"/>
              <w:rPr>
                <w:rFonts w:cs="Arial"/>
                <w:szCs w:val="20"/>
              </w:rPr>
            </w:pPr>
            <w:r w:rsidRPr="00605612">
              <w:rPr>
                <w:rFonts w:cs="Arial"/>
                <w:szCs w:val="20"/>
              </w:rPr>
              <w:t>Za konsolidirano poročilo o trajnostnosti se smiselno uporablja</w:t>
            </w:r>
            <w:r w:rsidRPr="00605612" w:rsidDel="00D3073D">
              <w:rPr>
                <w:rFonts w:cs="Arial"/>
                <w:szCs w:val="20"/>
              </w:rPr>
              <w:t xml:space="preserve"> </w:t>
            </w:r>
            <w:r w:rsidRPr="00605612">
              <w:rPr>
                <w:rFonts w:cs="Arial"/>
                <w:szCs w:val="20"/>
              </w:rPr>
              <w:t xml:space="preserve">70.c člen ZGD-1, ki opredeljuje poročilo o trajnostnosti. Smiselna uporaba pomeni, da se vanj vključijo informacije, pomembne z vidika celotne skupine. Torej vse tiste informacije, potrebne za razumevanje vpliva skupine na zadeve v zvezi s trajnostnostjo, in informacije, potrebne za razumevanje, kako zadeve v zvezi s trajnostnostjo vplivajo na razvoj, uspešnost in položaj skupine. V tretjem odstavku je opredeljen položaj, kadar družba, ki poroča, ugotovi, da se tveganja za skupino ali vplivi skupine bistveno razlikujejo od tveganj, s katerimi se </w:t>
            </w:r>
            <w:r>
              <w:rPr>
                <w:rFonts w:cs="Arial"/>
                <w:szCs w:val="20"/>
              </w:rPr>
              <w:t>spoprijema</w:t>
            </w:r>
            <w:r w:rsidRPr="00605612">
              <w:rPr>
                <w:rFonts w:cs="Arial"/>
                <w:szCs w:val="20"/>
              </w:rPr>
              <w:t xml:space="preserve"> en</w:t>
            </w:r>
            <w:r>
              <w:rPr>
                <w:rFonts w:cs="Arial"/>
                <w:szCs w:val="20"/>
              </w:rPr>
              <w:t>a</w:t>
            </w:r>
            <w:r w:rsidRPr="00605612">
              <w:rPr>
                <w:rFonts w:cs="Arial"/>
                <w:szCs w:val="20"/>
              </w:rPr>
              <w:t xml:space="preserve"> ali več njenih odvisnih družb, ali vplivov ene ali več njenih odvisnih družb. Takrat mora podati ustrezno razlago tveganj, ki jim je izpostavljena ta odvisna družba ali odvisne družbe, in vplivov te odvisne družbe ali odvisnih družb. Družbe morajo</w:t>
            </w:r>
            <w:r w:rsidRPr="00605612" w:rsidDel="00D3073D">
              <w:rPr>
                <w:rFonts w:cs="Arial"/>
                <w:szCs w:val="20"/>
              </w:rPr>
              <w:t xml:space="preserve"> </w:t>
            </w:r>
            <w:r w:rsidRPr="00605612">
              <w:rPr>
                <w:rFonts w:cs="Arial"/>
                <w:szCs w:val="20"/>
              </w:rPr>
              <w:t xml:space="preserve">navesti tudi, katere odvisne družbe, ki se bodo konsolidirale, so izvzete iz poročanja o trajnostnosti oziroma iz konsolidiranega poročanja o trajnostnosti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osmim odstavkom 70.c člena ZGD-1.</w:t>
            </w:r>
            <w:r>
              <w:t xml:space="preserve"> </w:t>
            </w:r>
            <w:r w:rsidRPr="007513AC">
              <w:rPr>
                <w:rFonts w:cs="Arial"/>
                <w:szCs w:val="20"/>
              </w:rPr>
              <w:t>Velika družba,</w:t>
            </w:r>
            <w:r w:rsidRPr="007513AC" w:rsidDel="001A0487">
              <w:rPr>
                <w:rFonts w:cs="Arial"/>
                <w:szCs w:val="20"/>
              </w:rPr>
              <w:t xml:space="preserve"> </w:t>
            </w:r>
            <w:r w:rsidRPr="001A0487">
              <w:rPr>
                <w:rFonts w:cs="Arial"/>
                <w:szCs w:val="20"/>
              </w:rPr>
              <w:t>s katere vrednostnimi papirji se trguje na organiziranem trgu</w:t>
            </w:r>
            <w:r w:rsidRPr="007513AC">
              <w:rPr>
                <w:rFonts w:cs="Arial"/>
                <w:szCs w:val="20"/>
              </w:rPr>
              <w:t xml:space="preserve">, ne more biti izvzeta iz obveznosti priprave konsolidiranega poročila o trajnostnosti </w:t>
            </w:r>
            <w:r>
              <w:rPr>
                <w:rFonts w:cs="Arial"/>
                <w:szCs w:val="20"/>
              </w:rPr>
              <w:t xml:space="preserve">v </w:t>
            </w:r>
            <w:r w:rsidRPr="00605612">
              <w:rPr>
                <w:rFonts w:cs="Arial"/>
                <w:szCs w:val="20"/>
              </w:rPr>
              <w:t>sklad</w:t>
            </w:r>
            <w:r>
              <w:rPr>
                <w:rFonts w:cs="Arial"/>
                <w:szCs w:val="20"/>
              </w:rPr>
              <w:t>u</w:t>
            </w:r>
            <w:r w:rsidRPr="00605612">
              <w:rPr>
                <w:rFonts w:cs="Arial"/>
                <w:szCs w:val="20"/>
              </w:rPr>
              <w:t xml:space="preserve"> z osmim odstavkom </w:t>
            </w:r>
            <w:r>
              <w:rPr>
                <w:rFonts w:cs="Arial"/>
                <w:szCs w:val="20"/>
              </w:rPr>
              <w:t>70.c</w:t>
            </w:r>
            <w:r w:rsidRPr="007513AC">
              <w:rPr>
                <w:rFonts w:cs="Arial"/>
                <w:szCs w:val="20"/>
              </w:rPr>
              <w:t xml:space="preserve"> člena</w:t>
            </w:r>
            <w:r>
              <w:rPr>
                <w:rFonts w:cs="Arial"/>
                <w:szCs w:val="20"/>
              </w:rPr>
              <w:t xml:space="preserve"> ZGD-1</w:t>
            </w:r>
            <w:r w:rsidRPr="007513AC">
              <w:rPr>
                <w:rFonts w:cs="Arial"/>
                <w:szCs w:val="20"/>
              </w:rPr>
              <w:t>.</w:t>
            </w:r>
            <w:r w:rsidRPr="00605612">
              <w:rPr>
                <w:rFonts w:cs="Arial"/>
                <w:szCs w:val="20"/>
              </w:rPr>
              <w:t xml:space="preserve"> </w:t>
            </w:r>
          </w:p>
          <w:p w14:paraId="7448C17C" w14:textId="77777777" w:rsidR="000C08CA" w:rsidRPr="00605612" w:rsidRDefault="000C08CA" w:rsidP="00FE328D">
            <w:pPr>
              <w:spacing w:line="276" w:lineRule="auto"/>
              <w:jc w:val="both"/>
              <w:rPr>
                <w:rFonts w:cs="Arial"/>
                <w:szCs w:val="20"/>
              </w:rPr>
            </w:pPr>
          </w:p>
          <w:p w14:paraId="2633A570" w14:textId="77777777" w:rsidR="000C08CA" w:rsidRPr="00605612" w:rsidRDefault="000C08CA" w:rsidP="00FE328D">
            <w:pPr>
              <w:spacing w:line="276" w:lineRule="auto"/>
              <w:jc w:val="both"/>
              <w:rPr>
                <w:rFonts w:cs="Arial"/>
                <w:szCs w:val="20"/>
              </w:rPr>
            </w:pPr>
            <w:r>
              <w:rPr>
                <w:rFonts w:cs="Arial"/>
                <w:szCs w:val="20"/>
              </w:rPr>
              <w:t>Kot je</w:t>
            </w:r>
            <w:r w:rsidRPr="00605612">
              <w:rPr>
                <w:rFonts w:cs="Arial"/>
                <w:szCs w:val="20"/>
              </w:rPr>
              <w:t xml:space="preserve"> pojasnjeno v obrazložitvi k prejšnjemu členu</w:t>
            </w:r>
            <w:r>
              <w:rPr>
                <w:rFonts w:cs="Arial"/>
                <w:szCs w:val="20"/>
              </w:rPr>
              <w:t xml:space="preserve">, so </w:t>
            </w:r>
            <w:r w:rsidRPr="00605612">
              <w:rPr>
                <w:rFonts w:cs="Arial"/>
                <w:szCs w:val="20"/>
              </w:rPr>
              <w:t>določbe za izvzem iz obveznosti priprave poročila o trajnostnosti drugačne od nacionalnih pravil za izvzem družbe iz obveznosti priprave konsolidiranega letnega poročila</w:t>
            </w:r>
            <w:r>
              <w:rPr>
                <w:rFonts w:cs="Arial"/>
                <w:szCs w:val="20"/>
              </w:rPr>
              <w:t>.</w:t>
            </w:r>
            <w:r w:rsidRPr="00605612">
              <w:rPr>
                <w:rFonts w:cs="Arial"/>
                <w:szCs w:val="20"/>
              </w:rPr>
              <w:t xml:space="preserve"> </w:t>
            </w:r>
          </w:p>
          <w:p w14:paraId="265E890A" w14:textId="77777777" w:rsidR="000C08CA" w:rsidRDefault="000C08CA" w:rsidP="00FE328D">
            <w:pPr>
              <w:spacing w:line="276" w:lineRule="auto"/>
              <w:jc w:val="both"/>
              <w:rPr>
                <w:rFonts w:cs="Arial"/>
                <w:szCs w:val="20"/>
              </w:rPr>
            </w:pPr>
          </w:p>
          <w:p w14:paraId="13BC05D3" w14:textId="77777777" w:rsidR="000C08CA" w:rsidRPr="00605612" w:rsidRDefault="000C08CA" w:rsidP="00FE328D">
            <w:pPr>
              <w:spacing w:line="276" w:lineRule="auto"/>
              <w:jc w:val="both"/>
              <w:rPr>
                <w:rFonts w:cs="Arial"/>
                <w:szCs w:val="20"/>
              </w:rPr>
            </w:pPr>
            <w:r>
              <w:rPr>
                <w:rFonts w:cs="Arial"/>
                <w:szCs w:val="20"/>
              </w:rPr>
              <w:t xml:space="preserve">S četrtim odstavkom novega 70.č člena ZGD-1 se prenaša določba sedmega odstavka </w:t>
            </w:r>
            <w:r w:rsidRPr="00F10775">
              <w:rPr>
                <w:rFonts w:cs="Arial"/>
                <w:szCs w:val="20"/>
              </w:rPr>
              <w:t>Direktive 2022/2464/EU</w:t>
            </w:r>
            <w:r>
              <w:rPr>
                <w:rFonts w:cs="Arial"/>
                <w:szCs w:val="20"/>
              </w:rPr>
              <w:t xml:space="preserve">. </w:t>
            </w:r>
            <w:r w:rsidRPr="00F10775">
              <w:rPr>
                <w:rFonts w:cs="Arial"/>
                <w:szCs w:val="20"/>
              </w:rPr>
              <w:t xml:space="preserve">Če družba pripravi konsolidirano poročilo o trajnostnosti skladno z določbami tega zakona, se šteje, da je izpolnila tudi obveznost iz drugega stavka drugega odstavka 70. člena in obveznost priprave poročila o trajnostnosti iz </w:t>
            </w:r>
            <w:r>
              <w:rPr>
                <w:rFonts w:cs="Arial"/>
                <w:szCs w:val="20"/>
              </w:rPr>
              <w:t xml:space="preserve">prvega do petega odstavka </w:t>
            </w:r>
            <w:r w:rsidRPr="00F10775">
              <w:rPr>
                <w:rFonts w:cs="Arial"/>
                <w:szCs w:val="20"/>
              </w:rPr>
              <w:t>70.c člena tega zakona.</w:t>
            </w:r>
            <w:r>
              <w:rPr>
                <w:rFonts w:cs="Arial"/>
                <w:szCs w:val="20"/>
              </w:rPr>
              <w:t xml:space="preserve"> Navedeno</w:t>
            </w:r>
            <w:r w:rsidRPr="00D06FAF">
              <w:rPr>
                <w:rFonts w:cs="Arial"/>
                <w:szCs w:val="20"/>
              </w:rPr>
              <w:t xml:space="preserve"> pomeni, da mora družba </w:t>
            </w:r>
            <w:r>
              <w:rPr>
                <w:rFonts w:cs="Arial"/>
                <w:szCs w:val="20"/>
              </w:rPr>
              <w:t xml:space="preserve">vseeno </w:t>
            </w:r>
            <w:r w:rsidRPr="00D06FAF">
              <w:rPr>
                <w:rFonts w:cs="Arial"/>
                <w:szCs w:val="20"/>
              </w:rPr>
              <w:t>upoštevati šesti odstavek 70.c člena, ki določa sodelovanje delavcev v zvezi s poročanjem o trajnostnosti.</w:t>
            </w:r>
          </w:p>
          <w:p w14:paraId="2F38242E" w14:textId="77777777" w:rsidR="000C08CA" w:rsidRPr="00605612" w:rsidRDefault="000C08CA" w:rsidP="00FE328D">
            <w:pPr>
              <w:spacing w:line="276" w:lineRule="auto"/>
              <w:jc w:val="both"/>
              <w:rPr>
                <w:rFonts w:cs="Arial"/>
                <w:szCs w:val="20"/>
              </w:rPr>
            </w:pPr>
          </w:p>
          <w:p w14:paraId="17D0B8DA" w14:textId="77777777" w:rsidR="000C08CA" w:rsidRPr="00605612" w:rsidRDefault="000C08CA" w:rsidP="00FE328D">
            <w:pPr>
              <w:spacing w:line="276" w:lineRule="auto"/>
              <w:jc w:val="both"/>
              <w:rPr>
                <w:rFonts w:cs="Arial"/>
                <w:szCs w:val="20"/>
              </w:rPr>
            </w:pPr>
            <w:r w:rsidRPr="00605612">
              <w:rPr>
                <w:rFonts w:cs="Arial"/>
                <w:szCs w:val="20"/>
              </w:rPr>
              <w:t>70.d</w:t>
            </w:r>
          </w:p>
          <w:p w14:paraId="3D504941" w14:textId="77777777" w:rsidR="000C08CA" w:rsidRPr="00605612" w:rsidRDefault="000C08CA" w:rsidP="00FE328D">
            <w:pPr>
              <w:pStyle w:val="Default"/>
              <w:spacing w:line="276" w:lineRule="auto"/>
              <w:jc w:val="both"/>
              <w:rPr>
                <w:sz w:val="20"/>
                <w:szCs w:val="20"/>
              </w:rPr>
            </w:pPr>
          </w:p>
          <w:p w14:paraId="4C171615" w14:textId="77777777" w:rsidR="000C08CA" w:rsidRPr="0051271B" w:rsidRDefault="000C08CA" w:rsidP="00FE328D">
            <w:pPr>
              <w:pStyle w:val="Default"/>
              <w:spacing w:line="276" w:lineRule="auto"/>
              <w:jc w:val="both"/>
              <w:rPr>
                <w:sz w:val="20"/>
                <w:szCs w:val="20"/>
              </w:rPr>
            </w:pPr>
            <w:r w:rsidRPr="0051271B">
              <w:rPr>
                <w:sz w:val="20"/>
                <w:szCs w:val="20"/>
              </w:rPr>
              <w:t xml:space="preserve">Z novim 70.d členom ZGD-1 se v nacionalno zakonodajo prenašajo z Direktivo 2022/2464/EU dodane nove </w:t>
            </w:r>
            <w:r w:rsidRPr="009F7761">
              <w:rPr>
                <w:sz w:val="20"/>
                <w:szCs w:val="20"/>
              </w:rPr>
              <w:t>določbe</w:t>
            </w:r>
            <w:r w:rsidRPr="0051271B">
              <w:rPr>
                <w:sz w:val="20"/>
                <w:szCs w:val="20"/>
              </w:rPr>
              <w:t xml:space="preserve"> 40</w:t>
            </w:r>
            <w:r w:rsidRPr="0051271B" w:rsidDel="00D3073D">
              <w:rPr>
                <w:sz w:val="20"/>
                <w:szCs w:val="20"/>
              </w:rPr>
              <w:t>.</w:t>
            </w:r>
            <w:r w:rsidRPr="0051271B">
              <w:rPr>
                <w:sz w:val="20"/>
                <w:szCs w:val="20"/>
              </w:rPr>
              <w:t>a do 40</w:t>
            </w:r>
            <w:r w:rsidRPr="0051271B" w:rsidDel="00D3073D">
              <w:rPr>
                <w:sz w:val="20"/>
                <w:szCs w:val="20"/>
              </w:rPr>
              <w:t>.</w:t>
            </w:r>
            <w:r w:rsidRPr="0051271B">
              <w:rPr>
                <w:sz w:val="20"/>
                <w:szCs w:val="20"/>
              </w:rPr>
              <w:t xml:space="preserve">d </w:t>
            </w:r>
            <w:r w:rsidRPr="0051271B" w:rsidDel="00D3073D">
              <w:rPr>
                <w:sz w:val="20"/>
                <w:szCs w:val="20"/>
              </w:rPr>
              <w:t xml:space="preserve">člena </w:t>
            </w:r>
            <w:r w:rsidRPr="0051271B">
              <w:rPr>
                <w:sz w:val="20"/>
                <w:szCs w:val="20"/>
              </w:rPr>
              <w:t>Direktive 2013/34/EU, ki urejajo posebno poročilo o trajnostnosti za odvisne družbe s sedežem v Republiki Sloveniji, ki jih obvladuje družba iz tretje države (</w:t>
            </w:r>
            <w:r>
              <w:rPr>
                <w:sz w:val="20"/>
                <w:szCs w:val="20"/>
              </w:rPr>
              <w:t xml:space="preserve">to je </w:t>
            </w:r>
            <w:r w:rsidRPr="0051271B">
              <w:rPr>
                <w:sz w:val="20"/>
                <w:szCs w:val="20"/>
              </w:rPr>
              <w:t>družba, ki ima sedež zunaj Republike Slovenije v državi, ki ni država članica</w:t>
            </w:r>
            <w:r>
              <w:rPr>
                <w:sz w:val="20"/>
                <w:szCs w:val="20"/>
              </w:rPr>
              <w:t xml:space="preserve"> ‒ </w:t>
            </w:r>
            <w:r w:rsidRPr="0051271B">
              <w:rPr>
                <w:sz w:val="20"/>
                <w:szCs w:val="20"/>
              </w:rPr>
              <w:t xml:space="preserve">smiselna uporaba 674. člena ZGD-1). </w:t>
            </w:r>
            <w:r w:rsidRPr="000708BC">
              <w:rPr>
                <w:sz w:val="20"/>
                <w:szCs w:val="20"/>
              </w:rPr>
              <w:t>Gre za</w:t>
            </w:r>
            <w:r w:rsidRPr="000708BC" w:rsidDel="00D3073D">
              <w:rPr>
                <w:sz w:val="20"/>
                <w:szCs w:val="20"/>
              </w:rPr>
              <w:t xml:space="preserve"> </w:t>
            </w:r>
            <w:r w:rsidRPr="000708BC">
              <w:rPr>
                <w:sz w:val="20"/>
                <w:szCs w:val="20"/>
              </w:rPr>
              <w:t>poročilo o trajnostnosti v zvezi s tujim podjetjem iz tretje države.</w:t>
            </w:r>
          </w:p>
          <w:p w14:paraId="2CB70ACF" w14:textId="77777777" w:rsidR="000C08CA" w:rsidRPr="0051271B" w:rsidRDefault="000C08CA" w:rsidP="00FE328D">
            <w:pPr>
              <w:spacing w:line="276" w:lineRule="auto"/>
              <w:jc w:val="both"/>
              <w:rPr>
                <w:rFonts w:cs="Arial"/>
                <w:b/>
                <w:szCs w:val="20"/>
              </w:rPr>
            </w:pPr>
          </w:p>
          <w:p w14:paraId="05265F40" w14:textId="77777777" w:rsidR="000C08CA" w:rsidRPr="0051271B" w:rsidRDefault="000C08CA" w:rsidP="00FE328D">
            <w:pPr>
              <w:spacing w:line="276" w:lineRule="auto"/>
              <w:jc w:val="both"/>
              <w:rPr>
                <w:rFonts w:cs="Arial"/>
                <w:szCs w:val="20"/>
              </w:rPr>
            </w:pPr>
            <w:r w:rsidRPr="0051271B">
              <w:rPr>
                <w:rFonts w:cs="Arial"/>
                <w:szCs w:val="20"/>
              </w:rPr>
              <w:t>V 20. uvodni izjavi Direktive 2022/2464/EU je pojasnjeno, da bi morala informacije o trajnostnosti zagotavljati tudi tuja podjetja iz tretjih držav, ki so pomembno aktivna na ozemlju Evropske unije, da se zagotovi, da tudi ta tuja podjetja odgovarjajo za svoj vpliv na ljudi in okolje ter da bi za vse družbe, ki delujejo na notranjem trgu, veljali enaki konkurenčni pogoji. Zato bi morale za tuja podjetja iz tretjih držav, ki v Evropski</w:t>
            </w:r>
            <w:r w:rsidRPr="0051271B" w:rsidDel="00C10E97">
              <w:rPr>
                <w:rFonts w:cs="Arial"/>
                <w:szCs w:val="20"/>
              </w:rPr>
              <w:t xml:space="preserve"> </w:t>
            </w:r>
            <w:r w:rsidRPr="0051271B">
              <w:rPr>
                <w:rFonts w:cs="Arial"/>
                <w:szCs w:val="20"/>
              </w:rPr>
              <w:t xml:space="preserve">uniji ustvarijo več kot 150 milijonov EUR čistega prihodka in ki imajo odvisno </w:t>
            </w:r>
            <w:r w:rsidRPr="0051271B">
              <w:rPr>
                <w:rFonts w:cs="Arial"/>
                <w:szCs w:val="20"/>
              </w:rPr>
              <w:lastRenderedPageBreak/>
              <w:t>družbo ali podružnico na ozemlju Evropske unije, prav tako veljati zahteve glede poročanja o trajnostnosti. Da bi bile te zahteve sorazmerne in izvršljive, bi se moral uporabljati prag čistega prihodka v višini več kot 40 milijonov EUR za podružnice podjetij iz tretjih držav, pragi, povezani s tem, ali se družba šteje za veliko družbo ali ma</w:t>
            </w:r>
            <w:r>
              <w:rPr>
                <w:rFonts w:cs="Arial"/>
                <w:szCs w:val="20"/>
              </w:rPr>
              <w:t>jhn</w:t>
            </w:r>
            <w:r w:rsidRPr="0051271B">
              <w:rPr>
                <w:rFonts w:cs="Arial"/>
                <w:szCs w:val="20"/>
              </w:rPr>
              <w:t xml:space="preserve">o oziroma srednjo družbo, ki </w:t>
            </w:r>
            <w:r>
              <w:rPr>
                <w:rFonts w:cs="Arial"/>
                <w:szCs w:val="20"/>
              </w:rPr>
              <w:t>kotira</w:t>
            </w:r>
            <w:r w:rsidRPr="0051271B">
              <w:rPr>
                <w:rFonts w:cs="Arial"/>
                <w:szCs w:val="20"/>
              </w:rPr>
              <w:t xml:space="preserve"> na borzi, pa bi se morali uporabljati za odvisne družbe tujih podjetij iz tretjih držav, saj bi morale biti take odvisne družbe in podružnice odgovorne za predložitev za javno objavo poročila tujega podjetja iz tretje države o trajnostnosti. Če tuje podjetje iz tretje države kljub prizadevanjem odvisne družbe ali podružnice za pridobitev potrebnih informacij ne zagotovi vseh informacij o trajnostnosti, ta odvisna družba ali podružnica pripravi poročilo o trajnostnosti, v kater</w:t>
            </w:r>
            <w:r>
              <w:rPr>
                <w:rFonts w:cs="Arial"/>
                <w:szCs w:val="20"/>
              </w:rPr>
              <w:t>o</w:t>
            </w:r>
            <w:r w:rsidRPr="0051271B">
              <w:rPr>
                <w:rFonts w:cs="Arial"/>
                <w:szCs w:val="20"/>
              </w:rPr>
              <w:t xml:space="preserve"> vključi vse informacije, ki jih ima na voljo, skupaj z izjavo, v kateri navede, da poročilo ne vsebuje vseh zahtevanih informacij, ker ji jih tuje podjetje iz tretje države ni predložilo. Za kakovostno in zanesljivo poročanje bi bilo treba poročila tujih podjetij iz tretjih držav o trajnostnosti objaviti skupaj z mnenjem o skladnosti poročila o trajnostnosti s pravili trajnostnega poročanja. Če se mnenje o skladnosti poročila o trajnostnosti s pravili trajnostnega poročanja</w:t>
            </w:r>
            <w:r w:rsidRPr="009F7761">
              <w:rPr>
                <w:rFonts w:cs="Arial"/>
                <w:szCs w:val="20"/>
              </w:rPr>
              <w:t xml:space="preserve"> </w:t>
            </w:r>
            <w:r w:rsidRPr="0051271B">
              <w:rPr>
                <w:rFonts w:cs="Arial"/>
                <w:szCs w:val="20"/>
              </w:rPr>
              <w:t>ne predloži, bi morala odvisna družba ali podružnica podjetja iz tretje države podati izjavo, da tuje podjetje iz tretje države tega ni predložilo. Poročilo o trajnostnosti bi moralo biti javnosti dostopno brezplačno.</w:t>
            </w:r>
          </w:p>
          <w:p w14:paraId="2C20C8A2" w14:textId="77777777" w:rsidR="000C08CA" w:rsidRPr="0051271B" w:rsidRDefault="000C08CA" w:rsidP="00FE328D">
            <w:pPr>
              <w:spacing w:line="276" w:lineRule="auto"/>
              <w:jc w:val="both"/>
              <w:rPr>
                <w:rFonts w:cs="Arial"/>
                <w:szCs w:val="20"/>
              </w:rPr>
            </w:pPr>
          </w:p>
          <w:p w14:paraId="00BDB30A" w14:textId="77777777" w:rsidR="000C08CA" w:rsidRPr="00F20319" w:rsidRDefault="000C08CA" w:rsidP="00FE328D">
            <w:pPr>
              <w:spacing w:line="276" w:lineRule="auto"/>
              <w:jc w:val="both"/>
              <w:rPr>
                <w:rFonts w:cs="Arial"/>
                <w:szCs w:val="20"/>
              </w:rPr>
            </w:pPr>
            <w:r w:rsidRPr="00F20319">
              <w:rPr>
                <w:rFonts w:cs="Arial"/>
                <w:szCs w:val="20"/>
              </w:rPr>
              <w:t>Določbe 40</w:t>
            </w:r>
            <w:r w:rsidRPr="00F20319" w:rsidDel="00D3073D">
              <w:rPr>
                <w:rFonts w:cs="Arial"/>
                <w:szCs w:val="20"/>
              </w:rPr>
              <w:t>.</w:t>
            </w:r>
            <w:r w:rsidRPr="00F20319">
              <w:rPr>
                <w:rFonts w:cs="Arial"/>
                <w:szCs w:val="20"/>
              </w:rPr>
              <w:t>a do 40</w:t>
            </w:r>
            <w:r w:rsidRPr="00F20319" w:rsidDel="00D3073D">
              <w:rPr>
                <w:rFonts w:cs="Arial"/>
                <w:szCs w:val="20"/>
              </w:rPr>
              <w:t>.</w:t>
            </w:r>
            <w:r w:rsidRPr="00F20319">
              <w:rPr>
                <w:rFonts w:cs="Arial"/>
                <w:szCs w:val="20"/>
              </w:rPr>
              <w:t xml:space="preserve">d </w:t>
            </w:r>
            <w:r w:rsidRPr="00F20319" w:rsidDel="00D3073D">
              <w:rPr>
                <w:rFonts w:cs="Arial"/>
                <w:szCs w:val="20"/>
              </w:rPr>
              <w:t xml:space="preserve">člena </w:t>
            </w:r>
            <w:r w:rsidRPr="00F20319">
              <w:rPr>
                <w:rFonts w:cs="Arial"/>
                <w:szCs w:val="20"/>
              </w:rPr>
              <w:t>Direktive 2013/34/EU družbe zavezujejo, da predložijo posebno poročilo o trajnostnosti v zvezi s tujim podjetjem iz tretje države, ki se nanaša na podatke obvladujoče družbe oziroma njene skupine, v dveh situacijah:</w:t>
            </w:r>
          </w:p>
          <w:p w14:paraId="088A455A" w14:textId="77777777" w:rsidR="000C08CA" w:rsidRPr="00F20319" w:rsidRDefault="000C08CA" w:rsidP="00FE328D">
            <w:pPr>
              <w:numPr>
                <w:ilvl w:val="0"/>
                <w:numId w:val="36"/>
              </w:numPr>
              <w:spacing w:line="276" w:lineRule="auto"/>
              <w:jc w:val="both"/>
              <w:rPr>
                <w:rFonts w:cs="Arial"/>
                <w:szCs w:val="20"/>
              </w:rPr>
            </w:pPr>
            <w:r w:rsidRPr="00F20319">
              <w:rPr>
                <w:rFonts w:cs="Arial"/>
                <w:szCs w:val="20"/>
              </w:rPr>
              <w:t xml:space="preserve">odvisna družba je zavezana pripraviti poročilo o trajnostnosti v skladu </w:t>
            </w:r>
            <w:r>
              <w:rPr>
                <w:rFonts w:cs="Arial"/>
                <w:szCs w:val="20"/>
              </w:rPr>
              <w:t>s</w:t>
            </w:r>
            <w:r w:rsidRPr="00F20319">
              <w:rPr>
                <w:rFonts w:cs="Arial"/>
                <w:szCs w:val="20"/>
              </w:rPr>
              <w:t xml:space="preserve"> 70.c členom ZGD-1 (</w:t>
            </w:r>
            <w:r>
              <w:rPr>
                <w:rFonts w:cs="Arial"/>
                <w:szCs w:val="20"/>
              </w:rPr>
              <w:t xml:space="preserve">izpolnjuje pogoje bodisi za </w:t>
            </w:r>
            <w:r w:rsidRPr="00F20319">
              <w:rPr>
                <w:rFonts w:cs="Arial"/>
                <w:szCs w:val="20"/>
              </w:rPr>
              <w:t xml:space="preserve">veliko družbo </w:t>
            </w:r>
            <w:r>
              <w:rPr>
                <w:rFonts w:cs="Arial"/>
                <w:szCs w:val="20"/>
              </w:rPr>
              <w:t>bodisi za</w:t>
            </w:r>
            <w:r w:rsidRPr="00EF6B33">
              <w:rPr>
                <w:rFonts w:cs="Arial"/>
                <w:szCs w:val="20"/>
              </w:rPr>
              <w:t xml:space="preserve"> </w:t>
            </w:r>
            <w:r w:rsidRPr="00F20319">
              <w:rPr>
                <w:rFonts w:cs="Arial"/>
                <w:szCs w:val="20"/>
              </w:rPr>
              <w:t xml:space="preserve">srednjo </w:t>
            </w:r>
            <w:r>
              <w:rPr>
                <w:rFonts w:cs="Arial"/>
                <w:szCs w:val="20"/>
              </w:rPr>
              <w:t>ali</w:t>
            </w:r>
            <w:r w:rsidRPr="00F20319">
              <w:rPr>
                <w:rFonts w:cs="Arial"/>
                <w:szCs w:val="20"/>
              </w:rPr>
              <w:t xml:space="preserve"> majhno družbo, s katere vrednostnimi papirji se trguje na organiziranem trgu (razen mikro družbo)), in je v skupini, v kateri je zavezano pripraviti konsolidirano letno poročilo za najširši krog družb v skupini tuje podjetje iz tretje države;</w:t>
            </w:r>
          </w:p>
          <w:p w14:paraId="3B934272" w14:textId="77777777" w:rsidR="000C08CA" w:rsidRPr="00F20319" w:rsidRDefault="000C08CA" w:rsidP="00FE328D">
            <w:pPr>
              <w:numPr>
                <w:ilvl w:val="0"/>
                <w:numId w:val="36"/>
              </w:numPr>
              <w:spacing w:line="276" w:lineRule="auto"/>
              <w:jc w:val="both"/>
              <w:rPr>
                <w:rFonts w:cs="Arial"/>
                <w:szCs w:val="20"/>
              </w:rPr>
            </w:pPr>
            <w:r w:rsidRPr="00F20319">
              <w:rPr>
                <w:rFonts w:cs="Arial"/>
                <w:szCs w:val="20"/>
              </w:rPr>
              <w:t>podružnica je v predhodnem poslovnem letu ustvarila čisti prihodek (od prodaje) v višini več kot 40 milijonov EUR in jo je ustanovilo tuje podjetje iz tretje države</w:t>
            </w:r>
            <w:r>
              <w:rPr>
                <w:rFonts w:cs="Arial"/>
                <w:szCs w:val="20"/>
              </w:rPr>
              <w:t>, ki</w:t>
            </w:r>
            <w:r w:rsidRPr="00F20319">
              <w:rPr>
                <w:rFonts w:cs="Arial"/>
                <w:szCs w:val="20"/>
              </w:rPr>
              <w:t>:</w:t>
            </w:r>
          </w:p>
          <w:p w14:paraId="1B68EFF6" w14:textId="77777777" w:rsidR="000C08CA" w:rsidRPr="00F20319" w:rsidRDefault="000C08CA" w:rsidP="00FE328D">
            <w:pPr>
              <w:spacing w:line="276" w:lineRule="auto"/>
              <w:ind w:left="360"/>
              <w:jc w:val="both"/>
              <w:rPr>
                <w:rFonts w:cs="Arial"/>
                <w:szCs w:val="20"/>
              </w:rPr>
            </w:pPr>
            <w:r>
              <w:rPr>
                <w:rFonts w:cs="Arial"/>
                <w:szCs w:val="20"/>
              </w:rPr>
              <w:t>‒</w:t>
            </w:r>
            <w:r w:rsidRPr="00F20319">
              <w:rPr>
                <w:rFonts w:cs="Arial"/>
                <w:szCs w:val="20"/>
              </w:rPr>
              <w:t xml:space="preserve"> ni v skupini ali </w:t>
            </w:r>
          </w:p>
          <w:p w14:paraId="23CA78C0" w14:textId="77777777" w:rsidR="000C08CA" w:rsidRPr="00F20319" w:rsidRDefault="000C08CA" w:rsidP="00FE328D">
            <w:pPr>
              <w:spacing w:line="276" w:lineRule="auto"/>
              <w:ind w:left="360"/>
              <w:jc w:val="both"/>
              <w:rPr>
                <w:rFonts w:cs="Arial"/>
                <w:szCs w:val="20"/>
              </w:rPr>
            </w:pPr>
            <w:r>
              <w:rPr>
                <w:rFonts w:cs="Arial"/>
                <w:szCs w:val="20"/>
              </w:rPr>
              <w:t>‒</w:t>
            </w:r>
            <w:r w:rsidRPr="00F20319">
              <w:rPr>
                <w:rFonts w:cs="Arial"/>
                <w:szCs w:val="20"/>
              </w:rPr>
              <w:t xml:space="preserve"> je v skupini, v kateri je zavezano pripraviti konsolidirano letno poročilo za najširši krog družb v skupini tuje podjetje iz tretje države. </w:t>
            </w:r>
          </w:p>
          <w:p w14:paraId="2987230F" w14:textId="77777777" w:rsidR="000C08CA" w:rsidRDefault="000C08CA" w:rsidP="00FE328D">
            <w:pPr>
              <w:spacing w:line="276" w:lineRule="auto"/>
              <w:jc w:val="both"/>
              <w:rPr>
                <w:rFonts w:cs="Arial"/>
                <w:szCs w:val="20"/>
              </w:rPr>
            </w:pPr>
            <w:r w:rsidRPr="00F20319">
              <w:rPr>
                <w:rFonts w:cs="Arial"/>
                <w:szCs w:val="20"/>
              </w:rPr>
              <w:t xml:space="preserve">Zapis »je zavezano pripraviti konsolidirano letno poročilo za najširši krog družb v skupini tuje podjetje iz tretje države« </w:t>
            </w:r>
            <w:r>
              <w:rPr>
                <w:rFonts w:cs="Arial"/>
                <w:szCs w:val="20"/>
              </w:rPr>
              <w:t>pomeni, da mora biti</w:t>
            </w:r>
            <w:r w:rsidRPr="00F20319">
              <w:rPr>
                <w:rFonts w:cs="Arial"/>
                <w:szCs w:val="20"/>
              </w:rPr>
              <w:t xml:space="preserve"> </w:t>
            </w:r>
            <w:r w:rsidRPr="00EF6B33">
              <w:rPr>
                <w:rFonts w:cs="Arial"/>
                <w:szCs w:val="20"/>
              </w:rPr>
              <w:t>končn</w:t>
            </w:r>
            <w:r>
              <w:rPr>
                <w:rFonts w:cs="Arial"/>
                <w:szCs w:val="20"/>
              </w:rPr>
              <w:t>a</w:t>
            </w:r>
            <w:r w:rsidRPr="00EF6B33">
              <w:rPr>
                <w:rFonts w:cs="Arial"/>
                <w:szCs w:val="20"/>
              </w:rPr>
              <w:t xml:space="preserve"> obvladujoč</w:t>
            </w:r>
            <w:r>
              <w:rPr>
                <w:rFonts w:cs="Arial"/>
                <w:szCs w:val="20"/>
              </w:rPr>
              <w:t>a</w:t>
            </w:r>
            <w:r w:rsidRPr="00EF6B33">
              <w:rPr>
                <w:rFonts w:cs="Arial"/>
                <w:szCs w:val="20"/>
              </w:rPr>
              <w:t xml:space="preserve"> družb</w:t>
            </w:r>
            <w:r>
              <w:rPr>
                <w:rFonts w:cs="Arial"/>
                <w:szCs w:val="20"/>
              </w:rPr>
              <w:t>a iz tretje države</w:t>
            </w:r>
            <w:r w:rsidRPr="00EF6B33">
              <w:rPr>
                <w:rFonts w:cs="Arial"/>
                <w:szCs w:val="20"/>
              </w:rPr>
              <w:t>.</w:t>
            </w:r>
            <w:r w:rsidRPr="00F20319">
              <w:rPr>
                <w:rFonts w:cs="Arial"/>
                <w:szCs w:val="20"/>
              </w:rPr>
              <w:t xml:space="preserve"> Odvisna družba zato ni zavezana pripraviti poročila, če </w:t>
            </w:r>
            <w:r>
              <w:rPr>
                <w:rFonts w:cs="Arial"/>
                <w:szCs w:val="20"/>
              </w:rPr>
              <w:t xml:space="preserve">je v skupini (oziroma to smiselno velja za </w:t>
            </w:r>
            <w:r w:rsidRPr="00EF6B33">
              <w:rPr>
                <w:rFonts w:cs="Arial"/>
                <w:szCs w:val="20"/>
              </w:rPr>
              <w:t xml:space="preserve"> podružnic</w:t>
            </w:r>
            <w:r>
              <w:rPr>
                <w:rFonts w:cs="Arial"/>
                <w:szCs w:val="20"/>
              </w:rPr>
              <w:t xml:space="preserve">o, ki </w:t>
            </w:r>
            <w:r w:rsidRPr="00F20319">
              <w:rPr>
                <w:rFonts w:cs="Arial"/>
                <w:szCs w:val="20"/>
              </w:rPr>
              <w:t>jo je ustanovilo tuje podjetje iz tretje države, ki je v skupini</w:t>
            </w:r>
            <w:r>
              <w:rPr>
                <w:rFonts w:cs="Arial"/>
                <w:szCs w:val="20"/>
              </w:rPr>
              <w:t>)</w:t>
            </w:r>
            <w:r w:rsidRPr="00EF6B33">
              <w:rPr>
                <w:rFonts w:cs="Arial"/>
                <w:szCs w:val="20"/>
              </w:rPr>
              <w:t>,</w:t>
            </w:r>
            <w:r w:rsidRPr="00F20319">
              <w:rPr>
                <w:rFonts w:cs="Arial"/>
                <w:szCs w:val="20"/>
              </w:rPr>
              <w:t xml:space="preserve"> v kateri je zavezano pripraviti konsolidirano letno poročilo za najširši krog družb v skupini </w:t>
            </w:r>
            <w:r w:rsidRPr="00EF6B33">
              <w:rPr>
                <w:rFonts w:cs="Arial"/>
                <w:szCs w:val="20"/>
              </w:rPr>
              <w:t>tuje podjetje iz države članice</w:t>
            </w:r>
          </w:p>
          <w:p w14:paraId="4058D0F7" w14:textId="77777777" w:rsidR="000C08CA" w:rsidRPr="00F20319" w:rsidRDefault="000C08CA" w:rsidP="00FE328D">
            <w:pPr>
              <w:spacing w:line="276" w:lineRule="auto"/>
              <w:jc w:val="both"/>
              <w:rPr>
                <w:rFonts w:cs="Arial"/>
                <w:szCs w:val="20"/>
              </w:rPr>
            </w:pPr>
            <w:r>
              <w:rPr>
                <w:rFonts w:cs="Arial"/>
                <w:szCs w:val="20"/>
              </w:rPr>
              <w:t xml:space="preserve"> </w:t>
            </w:r>
            <w:r w:rsidRPr="00EF6B33">
              <w:rPr>
                <w:rFonts w:cs="Arial"/>
                <w:szCs w:val="20"/>
              </w:rPr>
              <w:t>(</w:t>
            </w:r>
            <w:r>
              <w:rPr>
                <w:rFonts w:cs="Arial"/>
                <w:szCs w:val="20"/>
              </w:rPr>
              <w:t>v kateri je</w:t>
            </w:r>
            <w:r w:rsidRPr="00EF6B33" w:rsidDel="0049306A">
              <w:rPr>
                <w:rFonts w:cs="Arial"/>
                <w:szCs w:val="20"/>
              </w:rPr>
              <w:t xml:space="preserve"> </w:t>
            </w:r>
            <w:r w:rsidRPr="00F20319">
              <w:rPr>
                <w:rFonts w:cs="Arial"/>
                <w:szCs w:val="20"/>
              </w:rPr>
              <w:t>končna obvladujoča družba</w:t>
            </w:r>
            <w:r>
              <w:t xml:space="preserve"> </w:t>
            </w:r>
            <w:r w:rsidRPr="00F20319">
              <w:rPr>
                <w:rFonts w:cs="Arial"/>
                <w:szCs w:val="20"/>
              </w:rPr>
              <w:t>iz države članice</w:t>
            </w:r>
            <w:r w:rsidRPr="00EF6B33">
              <w:rPr>
                <w:rFonts w:cs="Arial"/>
                <w:szCs w:val="20"/>
              </w:rPr>
              <w:t>).</w:t>
            </w:r>
            <w:r w:rsidRPr="00F20319">
              <w:rPr>
                <w:rFonts w:cs="Arial"/>
                <w:szCs w:val="20"/>
              </w:rPr>
              <w:t xml:space="preserve"> V takšnem primeru je namreč že to tuje podjetje zavezano poročati o trajnostnosti skladno s pravom Evropske unije.</w:t>
            </w:r>
          </w:p>
          <w:p w14:paraId="2A555764" w14:textId="77777777" w:rsidR="000C08CA" w:rsidRPr="00F20319" w:rsidRDefault="000C08CA" w:rsidP="00FE328D">
            <w:pPr>
              <w:spacing w:line="276" w:lineRule="auto"/>
              <w:jc w:val="both"/>
              <w:rPr>
                <w:rFonts w:cs="Arial"/>
                <w:szCs w:val="20"/>
              </w:rPr>
            </w:pPr>
          </w:p>
          <w:p w14:paraId="270671FE" w14:textId="77777777" w:rsidR="000C08CA" w:rsidRPr="00F20319" w:rsidRDefault="000C08CA" w:rsidP="00FE328D">
            <w:pPr>
              <w:spacing w:line="276" w:lineRule="auto"/>
              <w:jc w:val="both"/>
              <w:rPr>
                <w:rFonts w:cs="Arial"/>
                <w:szCs w:val="20"/>
              </w:rPr>
            </w:pPr>
            <w:r w:rsidRPr="00F20319">
              <w:rPr>
                <w:rFonts w:cs="Arial"/>
                <w:szCs w:val="20"/>
              </w:rPr>
              <w:t xml:space="preserve">Situacija iz A. točke je prenesena v 70.d člen ZGD-1, situacija iz B. točke </w:t>
            </w:r>
            <w:r>
              <w:rPr>
                <w:rFonts w:cs="Arial"/>
                <w:szCs w:val="20"/>
              </w:rPr>
              <w:t xml:space="preserve">pa je </w:t>
            </w:r>
            <w:r w:rsidRPr="00F20319">
              <w:rPr>
                <w:rFonts w:cs="Arial"/>
                <w:szCs w:val="20"/>
              </w:rPr>
              <w:t>prenesena v 683.b člen, v poglavje o podružnicah. Za obe situaciji velja:</w:t>
            </w:r>
          </w:p>
          <w:p w14:paraId="3D4FEEDF" w14:textId="77777777" w:rsidR="000C08CA" w:rsidRPr="00F20319" w:rsidRDefault="000C08CA" w:rsidP="00FE328D">
            <w:pPr>
              <w:spacing w:line="276" w:lineRule="auto"/>
              <w:jc w:val="both"/>
              <w:rPr>
                <w:rFonts w:cs="Arial"/>
                <w:szCs w:val="20"/>
              </w:rPr>
            </w:pPr>
            <w:r>
              <w:rPr>
                <w:rFonts w:cs="Arial"/>
                <w:szCs w:val="20"/>
              </w:rPr>
              <w:t>‒</w:t>
            </w:r>
            <w:r w:rsidRPr="00F20319">
              <w:rPr>
                <w:rFonts w:cs="Arial"/>
                <w:szCs w:val="20"/>
              </w:rPr>
              <w:t xml:space="preserve"> obveznost velja le, kadar čisti prihodki od prodaje tujega podjetja iz tretje države (le v primeru podružnic, kadar tuje podjetje iz tretje države, ki jo je ustanovilo, ni v skupini) ali njegove skupine (kadar je tuje podjetje iz tretje države</w:t>
            </w:r>
            <w:r>
              <w:rPr>
                <w:rFonts w:cs="Arial"/>
                <w:szCs w:val="20"/>
              </w:rPr>
              <w:t xml:space="preserve"> v skupini</w:t>
            </w:r>
            <w:r w:rsidRPr="00F20319">
              <w:rPr>
                <w:rFonts w:cs="Arial"/>
                <w:szCs w:val="20"/>
              </w:rPr>
              <w:t>) na podlagi podatkov zadnjih dveh zaporednih poslovnih let na bilančni presečni dan bilance stanja obakrat presežejo 150</w:t>
            </w:r>
            <w:r>
              <w:rPr>
                <w:rFonts w:cs="Arial"/>
                <w:szCs w:val="20"/>
              </w:rPr>
              <w:t>.</w:t>
            </w:r>
            <w:r w:rsidRPr="00F20319">
              <w:rPr>
                <w:rFonts w:cs="Arial"/>
                <w:szCs w:val="20"/>
              </w:rPr>
              <w:t>000.000 eurov:</w:t>
            </w:r>
          </w:p>
          <w:p w14:paraId="3E8BB36F" w14:textId="77777777" w:rsidR="000C08CA" w:rsidRPr="00F20319" w:rsidRDefault="000C08CA" w:rsidP="00FE328D">
            <w:pPr>
              <w:spacing w:line="276" w:lineRule="auto"/>
              <w:jc w:val="both"/>
              <w:rPr>
                <w:rFonts w:cs="Arial"/>
                <w:szCs w:val="20"/>
              </w:rPr>
            </w:pPr>
            <w:r>
              <w:rPr>
                <w:rFonts w:cs="Arial"/>
                <w:szCs w:val="20"/>
              </w:rPr>
              <w:t>‒</w:t>
            </w:r>
            <w:r w:rsidRPr="00F20319">
              <w:rPr>
                <w:rFonts w:cs="Arial"/>
                <w:szCs w:val="20"/>
              </w:rPr>
              <w:t xml:space="preserve"> poročilo o trajnostnosti mora vsebovati informacije iz:</w:t>
            </w:r>
          </w:p>
          <w:p w14:paraId="106F7BAC" w14:textId="77777777" w:rsidR="000C08CA" w:rsidRPr="00F20319" w:rsidRDefault="000C08CA" w:rsidP="00FE328D">
            <w:pPr>
              <w:numPr>
                <w:ilvl w:val="0"/>
                <w:numId w:val="37"/>
              </w:numPr>
              <w:spacing w:line="276" w:lineRule="auto"/>
              <w:jc w:val="both"/>
              <w:rPr>
                <w:rFonts w:cs="Arial"/>
                <w:szCs w:val="20"/>
              </w:rPr>
            </w:pPr>
            <w:r w:rsidRPr="00F20319">
              <w:rPr>
                <w:rFonts w:cs="Arial"/>
                <w:szCs w:val="20"/>
              </w:rPr>
              <w:t xml:space="preserve">iz c) do d) 1. točke drugega odstavka 70.c člena tega zakona, </w:t>
            </w:r>
          </w:p>
          <w:p w14:paraId="1FE840DD" w14:textId="77777777" w:rsidR="000C08CA" w:rsidRPr="00F20319" w:rsidRDefault="000C08CA" w:rsidP="00FE328D">
            <w:pPr>
              <w:numPr>
                <w:ilvl w:val="0"/>
                <w:numId w:val="37"/>
              </w:numPr>
              <w:spacing w:line="276" w:lineRule="auto"/>
              <w:jc w:val="both"/>
              <w:rPr>
                <w:rFonts w:cs="Arial"/>
                <w:szCs w:val="20"/>
              </w:rPr>
            </w:pPr>
            <w:r w:rsidRPr="00F20319">
              <w:rPr>
                <w:rFonts w:cs="Arial"/>
                <w:szCs w:val="20"/>
              </w:rPr>
              <w:t>iz 2. do 6. točke in po potrebi 8. točke drugega odstavka 70.c tega zakona,</w:t>
            </w:r>
          </w:p>
          <w:p w14:paraId="2C0D2DC9" w14:textId="77777777" w:rsidR="000C08CA" w:rsidRPr="00F20319" w:rsidRDefault="000C08CA" w:rsidP="00FE328D">
            <w:pPr>
              <w:spacing w:line="276" w:lineRule="auto"/>
              <w:jc w:val="both"/>
              <w:rPr>
                <w:rFonts w:cs="Arial"/>
                <w:szCs w:val="20"/>
              </w:rPr>
            </w:pPr>
            <w:r w:rsidRPr="00F20319">
              <w:rPr>
                <w:rFonts w:cs="Arial"/>
                <w:szCs w:val="20"/>
              </w:rPr>
              <w:t xml:space="preserve">pripravljene na ravni skupine obvladujoče družbe (oziroma na ravni družbe – torej na ravni tujega podjetja iz tretje države, kadar ta </w:t>
            </w:r>
            <w:r>
              <w:rPr>
                <w:rFonts w:cs="Arial"/>
                <w:szCs w:val="20"/>
              </w:rPr>
              <w:t>ni v skupini</w:t>
            </w:r>
            <w:r w:rsidRPr="00F20319">
              <w:rPr>
                <w:rFonts w:cs="Arial"/>
                <w:szCs w:val="20"/>
              </w:rPr>
              <w:t xml:space="preserve"> </w:t>
            </w:r>
            <w:r>
              <w:rPr>
                <w:rFonts w:cs="Arial"/>
                <w:szCs w:val="20"/>
              </w:rPr>
              <w:t>‒</w:t>
            </w:r>
            <w:r w:rsidRPr="00F20319">
              <w:rPr>
                <w:rFonts w:cs="Arial"/>
                <w:szCs w:val="20"/>
              </w:rPr>
              <w:t xml:space="preserve"> v primeru podružnic)</w:t>
            </w:r>
            <w:r>
              <w:rPr>
                <w:rFonts w:cs="Arial"/>
                <w:szCs w:val="20"/>
              </w:rPr>
              <w:t>;</w:t>
            </w:r>
          </w:p>
          <w:p w14:paraId="10A24726" w14:textId="77777777" w:rsidR="000C08CA" w:rsidRPr="0051271B" w:rsidRDefault="000C08CA" w:rsidP="00FE328D">
            <w:pPr>
              <w:spacing w:line="276" w:lineRule="auto"/>
              <w:jc w:val="both"/>
              <w:rPr>
                <w:rFonts w:cs="Arial"/>
                <w:szCs w:val="20"/>
              </w:rPr>
            </w:pPr>
            <w:r>
              <w:rPr>
                <w:rFonts w:cs="Arial"/>
                <w:szCs w:val="20"/>
              </w:rPr>
              <w:t>‒</w:t>
            </w:r>
            <w:r w:rsidRPr="00E56D68">
              <w:rPr>
                <w:rFonts w:cs="Arial"/>
                <w:szCs w:val="20"/>
              </w:rPr>
              <w:t xml:space="preserve"> poročilo o trajnostnosti mora biti pripravljeno v skladu s standardi, ki jih Komisija do 30. junija 2024 sprejme z delegiranimi akti – to so standardi poročanja o trajnostnosti za tuja podjetja iz tretjih držav, </w:t>
            </w:r>
            <w:r>
              <w:rPr>
                <w:rFonts w:cs="Arial"/>
                <w:szCs w:val="20"/>
              </w:rPr>
              <w:t>opredeljeni</w:t>
            </w:r>
            <w:r w:rsidRPr="00E56D68">
              <w:rPr>
                <w:rFonts w:cs="Arial"/>
                <w:szCs w:val="20"/>
              </w:rPr>
              <w:t xml:space="preserve"> v 1</w:t>
            </w:r>
            <w:r>
              <w:rPr>
                <w:rFonts w:cs="Arial"/>
                <w:szCs w:val="20"/>
              </w:rPr>
              <w:t>1</w:t>
            </w:r>
            <w:r w:rsidRPr="00E56D68">
              <w:rPr>
                <w:rFonts w:cs="Arial"/>
                <w:szCs w:val="20"/>
              </w:rPr>
              <w:t xml:space="preserve">. alineji četrtega odstavka 53. člena, in so določeni z delegiranim aktom Komisije, </w:t>
            </w:r>
            <w:r w:rsidRPr="00E56D68">
              <w:rPr>
                <w:rFonts w:cs="Arial"/>
                <w:szCs w:val="20"/>
              </w:rPr>
              <w:lastRenderedPageBreak/>
              <w:t>sprejetim na podlagi 40</w:t>
            </w:r>
            <w:r w:rsidRPr="00E56D68" w:rsidDel="003935D2">
              <w:rPr>
                <w:rFonts w:cs="Arial"/>
                <w:szCs w:val="20"/>
              </w:rPr>
              <w:t>.</w:t>
            </w:r>
            <w:r w:rsidRPr="00E56D68">
              <w:rPr>
                <w:rFonts w:cs="Arial"/>
                <w:szCs w:val="20"/>
              </w:rPr>
              <w:t xml:space="preserve">b </w:t>
            </w:r>
            <w:r w:rsidRPr="00E56D68" w:rsidDel="003935D2">
              <w:rPr>
                <w:rFonts w:cs="Arial"/>
                <w:szCs w:val="20"/>
              </w:rPr>
              <w:t xml:space="preserve">člena </w:t>
            </w:r>
            <w:r w:rsidRPr="00E56D68">
              <w:rPr>
                <w:rFonts w:cs="Arial"/>
                <w:szCs w:val="20"/>
              </w:rPr>
              <w:t>Direktive 2013/34/EU. Odvisna družba ali podružnica lahko poroča tudi v skladu z evropskimi standardi poročanja o trajnostnosti ali v skladu s standardi, ki na podlagi izvedbenega akta veljajo za enakovredne.</w:t>
            </w:r>
          </w:p>
          <w:p w14:paraId="3C902916" w14:textId="77777777" w:rsidR="000C08CA" w:rsidRPr="0051271B" w:rsidRDefault="000C08CA" w:rsidP="00FE328D">
            <w:pPr>
              <w:spacing w:line="276" w:lineRule="auto"/>
              <w:jc w:val="both"/>
              <w:rPr>
                <w:rFonts w:cs="Arial"/>
                <w:szCs w:val="20"/>
              </w:rPr>
            </w:pPr>
          </w:p>
          <w:p w14:paraId="0185183F" w14:textId="77777777" w:rsidR="000C08CA" w:rsidRPr="0051271B" w:rsidRDefault="000C08CA" w:rsidP="00FE328D">
            <w:pPr>
              <w:spacing w:line="276" w:lineRule="auto"/>
              <w:jc w:val="both"/>
              <w:rPr>
                <w:rFonts w:cs="Arial"/>
                <w:szCs w:val="20"/>
              </w:rPr>
            </w:pPr>
            <w:r w:rsidRPr="0051271B">
              <w:rPr>
                <w:rFonts w:cs="Arial"/>
                <w:szCs w:val="20"/>
              </w:rPr>
              <w:t>Tuje podjetje iz tretje države</w:t>
            </w:r>
            <w:r>
              <w:rPr>
                <w:rFonts w:cs="Arial"/>
                <w:szCs w:val="20"/>
              </w:rPr>
              <w:t xml:space="preserve"> </w:t>
            </w:r>
            <w:r w:rsidRPr="0051271B">
              <w:rPr>
                <w:rFonts w:cs="Arial"/>
                <w:szCs w:val="20"/>
              </w:rPr>
              <w:t>lahko poročilo o trajnostnosti pripravi samo, takrat je njegova odvisna družba oziroma podružnica zavezana le, da ga zaradi javne objave predloži AJPES. Odvisna družba oziroma podružnica pa ne bo vedno pridobi</w:t>
            </w:r>
            <w:r>
              <w:rPr>
                <w:rFonts w:cs="Arial"/>
                <w:szCs w:val="20"/>
              </w:rPr>
              <w:t>la</w:t>
            </w:r>
            <w:r w:rsidRPr="0051271B">
              <w:rPr>
                <w:rFonts w:cs="Arial"/>
                <w:szCs w:val="20"/>
              </w:rPr>
              <w:t xml:space="preserve"> poročila o trajnostnosti od tujega podjetja iz tretje države. V takem primeru od njega zahteva, da ji zagotovi vse podatke, ki so potrebni za pripravo poročila. Če tuje podjetje iz tretje države zahtevanih podatkov ne predloži, odvisna družba oziroma podružnica pripravi in zaradi javne objave predloži AJPES poročilo o trajnostnosti, ki vsebuje podatke, ki jih ima na voljo, jih je prejela ali pridobila od tujega podjetja iz tretje države. Pri tem mora obvezno izpolniti tudi izjavo, da poročilo ne vsebuje vseh zahtevanih podatkov, ker ji jih tuje podjetje iz tretje države ni predložilo.</w:t>
            </w:r>
          </w:p>
          <w:p w14:paraId="69FFE7E6" w14:textId="77777777" w:rsidR="000C08CA" w:rsidRPr="0051271B" w:rsidRDefault="000C08CA" w:rsidP="00FE328D">
            <w:pPr>
              <w:spacing w:line="276" w:lineRule="auto"/>
              <w:jc w:val="both"/>
              <w:rPr>
                <w:rFonts w:cs="Arial"/>
                <w:szCs w:val="20"/>
              </w:rPr>
            </w:pPr>
          </w:p>
          <w:p w14:paraId="1970598B" w14:textId="77777777" w:rsidR="000C08CA" w:rsidRDefault="000C08CA" w:rsidP="00FE328D">
            <w:pPr>
              <w:spacing w:line="276" w:lineRule="auto"/>
              <w:jc w:val="both"/>
              <w:rPr>
                <w:rFonts w:cs="Arial"/>
                <w:szCs w:val="20"/>
              </w:rPr>
            </w:pPr>
            <w:r w:rsidRPr="0051271B">
              <w:rPr>
                <w:rFonts w:cs="Arial"/>
                <w:szCs w:val="20"/>
              </w:rPr>
              <w:t xml:space="preserve">Odvisna družba oziroma podružnica mora tako v obeh </w:t>
            </w:r>
            <w:r w:rsidRPr="00E56D68">
              <w:rPr>
                <w:rFonts w:cs="Arial"/>
                <w:szCs w:val="20"/>
              </w:rPr>
              <w:t xml:space="preserve">primerih predložiti </w:t>
            </w:r>
            <w:r>
              <w:rPr>
                <w:rFonts w:cs="Arial"/>
                <w:szCs w:val="20"/>
              </w:rPr>
              <w:t xml:space="preserve">prevedeno </w:t>
            </w:r>
            <w:r w:rsidRPr="00E56D68">
              <w:rPr>
                <w:rFonts w:cs="Arial"/>
                <w:szCs w:val="20"/>
              </w:rPr>
              <w:t>poročilo o trajnostnosti</w:t>
            </w:r>
            <w:r w:rsidRPr="00075BD1">
              <w:rPr>
                <w:rFonts w:cs="Arial"/>
                <w:szCs w:val="20"/>
              </w:rPr>
              <w:t xml:space="preserve"> v zvezi s tujim podjetjem iz tretje države</w:t>
            </w:r>
            <w:r w:rsidRPr="00E56D68">
              <w:rPr>
                <w:rFonts w:cs="Arial"/>
                <w:szCs w:val="20"/>
              </w:rPr>
              <w:t>, ki se nanaša na podatke obvladujoče družbe oziroma njene skupine, zaradi javne objave AJPES, v dvanajstih mesecih po koncu poslovnega leta. Hkrati</w:t>
            </w:r>
            <w:r w:rsidRPr="00E56D68" w:rsidDel="003935D2">
              <w:rPr>
                <w:rFonts w:cs="Arial"/>
                <w:szCs w:val="20"/>
              </w:rPr>
              <w:t xml:space="preserve"> </w:t>
            </w:r>
            <w:r w:rsidRPr="00E56D68">
              <w:rPr>
                <w:rFonts w:cs="Arial"/>
                <w:szCs w:val="20"/>
              </w:rPr>
              <w:t xml:space="preserve">mora predložiti tudi </w:t>
            </w:r>
            <w:r>
              <w:rPr>
                <w:rFonts w:cs="Arial"/>
                <w:szCs w:val="20"/>
              </w:rPr>
              <w:t xml:space="preserve">prevedeno </w:t>
            </w:r>
            <w:r w:rsidRPr="00E56D68">
              <w:rPr>
                <w:rFonts w:cs="Arial"/>
                <w:szCs w:val="20"/>
              </w:rPr>
              <w:t>mnenje o skladnosti poročila o trajnostnosti s pravili trajnostnega poročanja, ki je izdano v skladu s tem zakonom oziroma z nacionalnim pravom države obvladujoče družbe</w:t>
            </w:r>
            <w:r w:rsidRPr="0051271B">
              <w:rPr>
                <w:rFonts w:cs="Arial"/>
                <w:szCs w:val="20"/>
              </w:rPr>
              <w:t xml:space="preserve">. Vsak prevod, ki ni overjen, mora vključevati izjavo o tem. Kadar tuje podjetje iz tretje države </w:t>
            </w:r>
            <w:r w:rsidRPr="00B13354">
              <w:rPr>
                <w:rFonts w:cs="Arial"/>
                <w:szCs w:val="20"/>
              </w:rPr>
              <w:t xml:space="preserve">mnenja o skladnosti poročila o trajnostnosti s pravili trajnostnega poročanja </w:t>
            </w:r>
            <w:r w:rsidRPr="0051271B">
              <w:rPr>
                <w:rFonts w:cs="Arial"/>
                <w:szCs w:val="20"/>
              </w:rPr>
              <w:t xml:space="preserve">ne predloži, odvisna družba oziroma podružnica </w:t>
            </w:r>
            <w:r w:rsidRPr="00052261">
              <w:rPr>
                <w:rFonts w:cs="Arial"/>
                <w:szCs w:val="20"/>
              </w:rPr>
              <w:t>predloži AJPES tudi</w:t>
            </w:r>
            <w:r w:rsidRPr="00052261" w:rsidDel="00052261">
              <w:rPr>
                <w:rFonts w:cs="Arial"/>
                <w:szCs w:val="20"/>
              </w:rPr>
              <w:t xml:space="preserve"> </w:t>
            </w:r>
            <w:r w:rsidRPr="0051271B">
              <w:rPr>
                <w:rFonts w:cs="Arial"/>
                <w:szCs w:val="20"/>
              </w:rPr>
              <w:t xml:space="preserve">izjavo, da </w:t>
            </w:r>
            <w:r>
              <w:rPr>
                <w:rFonts w:cs="Arial"/>
                <w:szCs w:val="20"/>
              </w:rPr>
              <w:t xml:space="preserve">ji </w:t>
            </w:r>
            <w:r w:rsidRPr="0051271B">
              <w:rPr>
                <w:rFonts w:cs="Arial"/>
                <w:szCs w:val="20"/>
              </w:rPr>
              <w:t>tuje podjetje iz tretje države tega ni predložilo.</w:t>
            </w:r>
          </w:p>
          <w:p w14:paraId="0627F986" w14:textId="77777777" w:rsidR="000C08CA" w:rsidRDefault="000C08CA" w:rsidP="00FE328D">
            <w:pPr>
              <w:spacing w:line="276" w:lineRule="auto"/>
              <w:jc w:val="both"/>
              <w:rPr>
                <w:rFonts w:cs="Arial"/>
                <w:szCs w:val="20"/>
              </w:rPr>
            </w:pPr>
          </w:p>
          <w:p w14:paraId="469C3CDB" w14:textId="77777777" w:rsidR="000C08CA" w:rsidRPr="008879E3" w:rsidRDefault="000C08CA" w:rsidP="00FE328D">
            <w:pPr>
              <w:spacing w:line="276" w:lineRule="auto"/>
              <w:jc w:val="both"/>
              <w:rPr>
                <w:rFonts w:cs="Arial"/>
                <w:szCs w:val="20"/>
              </w:rPr>
            </w:pPr>
            <w:r>
              <w:rPr>
                <w:rFonts w:cs="Arial"/>
                <w:szCs w:val="20"/>
              </w:rPr>
              <w:t xml:space="preserve">S petim odstavkom 70.d člena se prenaša del določbe 5. točke 2. člena </w:t>
            </w:r>
            <w:r w:rsidRPr="004E2F3B">
              <w:rPr>
                <w:rFonts w:cs="Arial"/>
                <w:szCs w:val="20"/>
              </w:rPr>
              <w:t>Direktive 2013/34/EU</w:t>
            </w:r>
            <w:r>
              <w:rPr>
                <w:rFonts w:cs="Arial"/>
                <w:szCs w:val="20"/>
              </w:rPr>
              <w:t>, v katerem se opredeli izraz č</w:t>
            </w:r>
            <w:r w:rsidRPr="008879E3">
              <w:rPr>
                <w:rFonts w:cs="Arial"/>
                <w:szCs w:val="20"/>
              </w:rPr>
              <w:t xml:space="preserve">isti prihodki </w:t>
            </w:r>
            <w:r>
              <w:rPr>
                <w:rFonts w:cs="Arial"/>
                <w:szCs w:val="20"/>
              </w:rPr>
              <w:t xml:space="preserve">(ZGD-1 uporablja pojem čisti prihodki </w:t>
            </w:r>
            <w:r w:rsidRPr="008879E3">
              <w:rPr>
                <w:rFonts w:cs="Arial"/>
                <w:szCs w:val="20"/>
              </w:rPr>
              <w:t>od prodaje</w:t>
            </w:r>
            <w:r>
              <w:rPr>
                <w:rFonts w:cs="Arial"/>
                <w:szCs w:val="20"/>
              </w:rPr>
              <w:t>)</w:t>
            </w:r>
            <w:r w:rsidRPr="008879E3">
              <w:rPr>
                <w:rFonts w:cs="Arial"/>
                <w:szCs w:val="20"/>
              </w:rPr>
              <w:t xml:space="preserve"> iz prvega odstavka </w:t>
            </w:r>
            <w:r>
              <w:rPr>
                <w:rFonts w:cs="Arial"/>
                <w:szCs w:val="20"/>
              </w:rPr>
              <w:t xml:space="preserve">70.d </w:t>
            </w:r>
            <w:r w:rsidRPr="008879E3">
              <w:rPr>
                <w:rFonts w:cs="Arial"/>
                <w:szCs w:val="20"/>
              </w:rPr>
              <w:t>člena</w:t>
            </w:r>
            <w:r>
              <w:rPr>
                <w:rFonts w:cs="Arial"/>
                <w:szCs w:val="20"/>
              </w:rPr>
              <w:t>. To</w:t>
            </w:r>
            <w:r w:rsidRPr="008879E3">
              <w:rPr>
                <w:rFonts w:cs="Arial"/>
                <w:szCs w:val="20"/>
              </w:rPr>
              <w:t xml:space="preserve"> so prihodki, kot so opredeljeni v skladu s standardi računovodskega poročanja, na podlagi katerih tuje podjetje iz tretje države sestavlja računovodske izkaze, ali z njihovo smiselno uporabo. </w:t>
            </w:r>
          </w:p>
          <w:p w14:paraId="72D779B8" w14:textId="77777777" w:rsidR="000C08CA" w:rsidRPr="008879E3" w:rsidRDefault="000C08CA" w:rsidP="00FE328D">
            <w:pPr>
              <w:spacing w:line="276" w:lineRule="auto"/>
              <w:jc w:val="both"/>
              <w:rPr>
                <w:rFonts w:cs="Arial"/>
                <w:szCs w:val="20"/>
              </w:rPr>
            </w:pPr>
          </w:p>
          <w:p w14:paraId="4F6571B8" w14:textId="77777777" w:rsidR="000C08CA" w:rsidRPr="00605612" w:rsidRDefault="000C08CA" w:rsidP="00FE328D">
            <w:pPr>
              <w:spacing w:line="276" w:lineRule="auto"/>
              <w:jc w:val="both"/>
              <w:rPr>
                <w:rFonts w:cs="Arial"/>
                <w:szCs w:val="20"/>
              </w:rPr>
            </w:pPr>
            <w:r w:rsidRPr="00E56D68">
              <w:rPr>
                <w:rFonts w:cs="Arial"/>
                <w:szCs w:val="20"/>
              </w:rPr>
              <w:t>S šestim odstavkom 70.d člena se prenaša določba zadnjega podostavka prvega odstavka 40</w:t>
            </w:r>
            <w:r w:rsidRPr="00E56D68" w:rsidDel="003935D2">
              <w:rPr>
                <w:rFonts w:cs="Arial"/>
                <w:szCs w:val="20"/>
              </w:rPr>
              <w:t>.</w:t>
            </w:r>
            <w:r w:rsidRPr="00E56D68">
              <w:rPr>
                <w:rFonts w:cs="Arial"/>
                <w:szCs w:val="20"/>
              </w:rPr>
              <w:t>a</w:t>
            </w:r>
            <w:r w:rsidRPr="00E56D68" w:rsidDel="003935D2">
              <w:rPr>
                <w:rFonts w:cs="Arial"/>
                <w:szCs w:val="20"/>
              </w:rPr>
              <w:t>.</w:t>
            </w:r>
            <w:r w:rsidRPr="00E56D68">
              <w:rPr>
                <w:rFonts w:cs="Arial"/>
                <w:szCs w:val="20"/>
              </w:rPr>
              <w:t xml:space="preserve"> </w:t>
            </w:r>
            <w:r w:rsidRPr="00E56D68" w:rsidDel="003935D2">
              <w:rPr>
                <w:rFonts w:cs="Arial"/>
                <w:szCs w:val="20"/>
              </w:rPr>
              <w:t xml:space="preserve">člena </w:t>
            </w:r>
            <w:r w:rsidRPr="00E56D68">
              <w:rPr>
                <w:rFonts w:cs="Arial"/>
                <w:szCs w:val="20"/>
              </w:rPr>
              <w:t xml:space="preserve">Direktive 2013/34/EU, ki določa, da lahko država članica od odvisne družbe, ki je zavezanka za pripravo poročila o trajnostnosti v </w:t>
            </w:r>
            <w:r>
              <w:rPr>
                <w:rFonts w:cs="Arial"/>
                <w:szCs w:val="20"/>
              </w:rPr>
              <w:t>skladu s 70.c členom ZGD-1</w:t>
            </w:r>
            <w:r w:rsidRPr="00E56D68">
              <w:rPr>
                <w:rFonts w:cs="Arial"/>
                <w:szCs w:val="20"/>
              </w:rPr>
              <w:t xml:space="preserve"> in ki jo obvladuje družba, za katero velja pravo tretje države, zahteva, da ji pošlje informacije o čistem prihodku, ki ga je na njihovem ozemlju in v Uniji ustvarilo podjetje iz tretje države.</w:t>
            </w:r>
            <w:r w:rsidRPr="008B0A74">
              <w:rPr>
                <w:rFonts w:cs="Arial"/>
                <w:szCs w:val="20"/>
              </w:rPr>
              <w:t xml:space="preserve"> </w:t>
            </w:r>
          </w:p>
          <w:p w14:paraId="01C86CA6" w14:textId="77777777" w:rsidR="000C08CA" w:rsidRPr="00605612" w:rsidRDefault="000C08CA" w:rsidP="00FE328D">
            <w:pPr>
              <w:spacing w:line="276" w:lineRule="auto"/>
              <w:jc w:val="both"/>
              <w:rPr>
                <w:rFonts w:cs="Arial"/>
                <w:szCs w:val="20"/>
              </w:rPr>
            </w:pPr>
          </w:p>
          <w:p w14:paraId="00FCD6C1" w14:textId="77777777" w:rsidR="000C08CA" w:rsidRPr="00605612" w:rsidRDefault="000C08CA" w:rsidP="00FE328D">
            <w:pPr>
              <w:spacing w:line="276" w:lineRule="auto"/>
              <w:rPr>
                <w:rFonts w:cs="Arial"/>
                <w:b/>
                <w:szCs w:val="20"/>
              </w:rPr>
            </w:pPr>
            <w:r w:rsidRPr="00605612">
              <w:rPr>
                <w:rFonts w:cs="Arial"/>
                <w:b/>
                <w:szCs w:val="20"/>
              </w:rPr>
              <w:t>K 1</w:t>
            </w:r>
            <w:r>
              <w:rPr>
                <w:rFonts w:cs="Arial"/>
                <w:b/>
                <w:szCs w:val="20"/>
              </w:rPr>
              <w:t>6</w:t>
            </w:r>
            <w:r w:rsidRPr="00605612">
              <w:rPr>
                <w:rFonts w:cs="Arial"/>
                <w:b/>
                <w:szCs w:val="20"/>
              </w:rPr>
              <w:t xml:space="preserve">. členu </w:t>
            </w:r>
          </w:p>
          <w:p w14:paraId="7EC7514D" w14:textId="77777777" w:rsidR="000C08CA" w:rsidRPr="00605612" w:rsidRDefault="000C08CA" w:rsidP="00FE328D">
            <w:pPr>
              <w:spacing w:line="276" w:lineRule="auto"/>
              <w:rPr>
                <w:rFonts w:cs="Arial"/>
                <w:b/>
                <w:szCs w:val="20"/>
              </w:rPr>
            </w:pPr>
          </w:p>
          <w:p w14:paraId="3F86E7BC" w14:textId="77777777" w:rsidR="000C08CA" w:rsidRPr="008E2BBE" w:rsidRDefault="000C08CA" w:rsidP="00FE328D">
            <w:pPr>
              <w:spacing w:line="276" w:lineRule="auto"/>
              <w:jc w:val="both"/>
              <w:rPr>
                <w:rFonts w:cs="Arial"/>
                <w:szCs w:val="20"/>
              </w:rPr>
            </w:pPr>
            <w:r w:rsidRPr="008E2BBE">
              <w:rPr>
                <w:rFonts w:cs="Arial"/>
                <w:szCs w:val="20"/>
              </w:rPr>
              <w:t>Direktiva 2021/2101/EU v 11. uvodni izjavi navaja, da bi morale največje družbe, ki sestavljajo skupino (multinacionalke)</w:t>
            </w:r>
            <w:r>
              <w:rPr>
                <w:rFonts w:cs="Arial"/>
                <w:szCs w:val="20"/>
              </w:rPr>
              <w:t>,</w:t>
            </w:r>
            <w:r w:rsidRPr="008E2BBE">
              <w:rPr>
                <w:rFonts w:cs="Arial"/>
                <w:szCs w:val="20"/>
              </w:rPr>
              <w:t xml:space="preserve"> ter nekatere velike samostojne družbe javnosti predložiti poročilo o davčnih informacijah v zvezi z dohodki, če v obdobju dveh zaporednih poslovnih let presegajo </w:t>
            </w:r>
            <w:r>
              <w:rPr>
                <w:rFonts w:cs="Arial"/>
                <w:szCs w:val="20"/>
              </w:rPr>
              <w:t>zadevno</w:t>
            </w:r>
            <w:r w:rsidRPr="008E2BBE">
              <w:rPr>
                <w:rFonts w:cs="Arial"/>
                <w:szCs w:val="20"/>
              </w:rPr>
              <w:t xml:space="preserve"> velikost glede na znesek prihodkov, odvisno od konsolidiranega prihodka skupine ali prihodka samostojne družbe. Takšna obveznost bi morala prenehati veljati, ko ti prihodki ne presežejo več </w:t>
            </w:r>
            <w:r>
              <w:rPr>
                <w:rFonts w:cs="Arial"/>
                <w:szCs w:val="20"/>
              </w:rPr>
              <w:t>zadevnega</w:t>
            </w:r>
            <w:r w:rsidRPr="008E2BBE">
              <w:rPr>
                <w:rFonts w:cs="Arial"/>
                <w:szCs w:val="20"/>
              </w:rPr>
              <w:t xml:space="preserve"> zneska v dveh zaporednih poslovnih let</w:t>
            </w:r>
            <w:r>
              <w:rPr>
                <w:rFonts w:cs="Arial"/>
                <w:szCs w:val="20"/>
              </w:rPr>
              <w:t>ih</w:t>
            </w:r>
            <w:r w:rsidRPr="008E2BBE">
              <w:rPr>
                <w:rFonts w:cs="Arial"/>
                <w:szCs w:val="20"/>
              </w:rPr>
              <w:t xml:space="preserve">, obveznost pa ponovno nastane, če se prihodki </w:t>
            </w:r>
            <w:r>
              <w:rPr>
                <w:rFonts w:cs="Arial"/>
                <w:szCs w:val="20"/>
              </w:rPr>
              <w:t xml:space="preserve">v </w:t>
            </w:r>
            <w:r w:rsidRPr="008E2BBE">
              <w:rPr>
                <w:rFonts w:cs="Arial"/>
                <w:szCs w:val="20"/>
              </w:rPr>
              <w:t>dveh zaporednih poslovnih let</w:t>
            </w:r>
            <w:r>
              <w:rPr>
                <w:rFonts w:cs="Arial"/>
                <w:szCs w:val="20"/>
              </w:rPr>
              <w:t>ih</w:t>
            </w:r>
            <w:r w:rsidRPr="008E2BBE">
              <w:rPr>
                <w:rFonts w:cs="Arial"/>
                <w:szCs w:val="20"/>
              </w:rPr>
              <w:t xml:space="preserve"> spet </w:t>
            </w:r>
            <w:r>
              <w:rPr>
                <w:rFonts w:cs="Arial"/>
                <w:szCs w:val="20"/>
              </w:rPr>
              <w:t>povečajo</w:t>
            </w:r>
            <w:r w:rsidRPr="008E2BBE">
              <w:rPr>
                <w:rFonts w:cs="Arial"/>
                <w:szCs w:val="20"/>
              </w:rPr>
              <w:t xml:space="preserve"> prek </w:t>
            </w:r>
            <w:r>
              <w:rPr>
                <w:rFonts w:cs="Arial"/>
                <w:szCs w:val="20"/>
              </w:rPr>
              <w:t>zadevne</w:t>
            </w:r>
            <w:r w:rsidRPr="008E2BBE">
              <w:rPr>
                <w:rFonts w:cs="Arial"/>
                <w:szCs w:val="20"/>
              </w:rPr>
              <w:t xml:space="preserve"> ravni. </w:t>
            </w:r>
          </w:p>
          <w:p w14:paraId="3574EC31" w14:textId="77777777" w:rsidR="000C08CA" w:rsidRPr="008E2BBE" w:rsidRDefault="000C08CA" w:rsidP="00FE328D">
            <w:pPr>
              <w:spacing w:line="276" w:lineRule="auto"/>
              <w:jc w:val="both"/>
              <w:rPr>
                <w:rFonts w:cs="Arial"/>
                <w:szCs w:val="20"/>
              </w:rPr>
            </w:pPr>
          </w:p>
          <w:p w14:paraId="6195E5EC" w14:textId="77777777" w:rsidR="000C08CA" w:rsidRPr="008E2BBE" w:rsidRDefault="000C08CA" w:rsidP="00FE328D">
            <w:pPr>
              <w:spacing w:line="276" w:lineRule="auto"/>
              <w:jc w:val="both"/>
              <w:rPr>
                <w:rFonts w:cs="Arial"/>
                <w:szCs w:val="20"/>
              </w:rPr>
            </w:pPr>
            <w:r w:rsidRPr="008E2BBE">
              <w:rPr>
                <w:rFonts w:cs="Arial"/>
                <w:szCs w:val="20"/>
              </w:rPr>
              <w:t>Družbe, ki so zavezane pripraviti poročilo o davčnih informacijah v zvezi z dohodki, določa 70.e člen ZGD-1. Vsebino poročila o davčnih informacijah v zvezi z dohodki pa določa 70.f člen ZGD-1.</w:t>
            </w:r>
          </w:p>
          <w:p w14:paraId="4EA26B92" w14:textId="77777777" w:rsidR="000C08CA" w:rsidRPr="008E2BBE" w:rsidRDefault="000C08CA" w:rsidP="00FE328D">
            <w:pPr>
              <w:spacing w:line="276" w:lineRule="auto"/>
              <w:jc w:val="both"/>
              <w:rPr>
                <w:rFonts w:cs="Arial"/>
                <w:szCs w:val="20"/>
              </w:rPr>
            </w:pPr>
          </w:p>
          <w:p w14:paraId="48059BE7" w14:textId="77777777" w:rsidR="000C08CA" w:rsidRPr="008E2BBE" w:rsidRDefault="000C08CA" w:rsidP="00FE328D">
            <w:pPr>
              <w:spacing w:line="276" w:lineRule="auto"/>
              <w:jc w:val="both"/>
              <w:rPr>
                <w:rFonts w:cs="Arial"/>
                <w:szCs w:val="20"/>
              </w:rPr>
            </w:pPr>
            <w:r w:rsidRPr="008E2BBE">
              <w:rPr>
                <w:rFonts w:cs="Arial"/>
                <w:szCs w:val="20"/>
              </w:rPr>
              <w:t>V skupino družb, ki morajo pripraviti poročilo o davčnih informacijah v zvezi z dohodki</w:t>
            </w:r>
            <w:r>
              <w:rPr>
                <w:rFonts w:cs="Arial"/>
                <w:szCs w:val="20"/>
              </w:rPr>
              <w:t>,</w:t>
            </w:r>
            <w:r w:rsidRPr="008E2BBE">
              <w:rPr>
                <w:rFonts w:cs="Arial"/>
                <w:szCs w:val="20"/>
              </w:rPr>
              <w:t xml:space="preserve"> so uvrščene družbe, ki so zavezane k pripravi konsolidiranega letnega poročila </w:t>
            </w:r>
            <w:r w:rsidRPr="003B2A0D">
              <w:rPr>
                <w:rFonts w:cs="Arial"/>
                <w:bCs/>
                <w:szCs w:val="20"/>
              </w:rPr>
              <w:t xml:space="preserve">za najširši krog družb v skupini </w:t>
            </w:r>
            <w:r w:rsidRPr="008E2BBE">
              <w:rPr>
                <w:rFonts w:cs="Arial"/>
                <w:szCs w:val="20"/>
              </w:rPr>
              <w:t xml:space="preserve">v skladu s 56. členom ZGD-1, če konsolidirani prihodek na podlagi podatkov zadnjih dveh zaporednih </w:t>
            </w:r>
            <w:r w:rsidRPr="008E2BBE">
              <w:rPr>
                <w:rFonts w:cs="Arial"/>
                <w:szCs w:val="20"/>
              </w:rPr>
              <w:lastRenderedPageBreak/>
              <w:t>poslovnih let na bilančni presečni dan bilance stanja obakrat preseže 750</w:t>
            </w:r>
            <w:r w:rsidRPr="008E2BBE" w:rsidDel="00F55093">
              <w:rPr>
                <w:rFonts w:cs="Arial"/>
                <w:szCs w:val="20"/>
              </w:rPr>
              <w:t>.</w:t>
            </w:r>
            <w:r w:rsidRPr="008E2BBE">
              <w:rPr>
                <w:rFonts w:cs="Arial"/>
                <w:szCs w:val="20"/>
              </w:rPr>
              <w:t xml:space="preserve">000.000 </w:t>
            </w:r>
            <w:r>
              <w:rPr>
                <w:rFonts w:cs="Arial"/>
                <w:szCs w:val="20"/>
              </w:rPr>
              <w:t>EUR</w:t>
            </w:r>
            <w:r w:rsidRPr="008E2BBE">
              <w:rPr>
                <w:rFonts w:cs="Arial"/>
                <w:szCs w:val="20"/>
              </w:rPr>
              <w:t xml:space="preserve">. Enaka obveznost se določa tudi za samostojne družbe, torej družbe, ki niso </w:t>
            </w:r>
            <w:r>
              <w:rPr>
                <w:rFonts w:cs="Arial"/>
                <w:szCs w:val="20"/>
              </w:rPr>
              <w:t>v</w:t>
            </w:r>
            <w:r w:rsidRPr="008E2BBE">
              <w:rPr>
                <w:rFonts w:cs="Arial"/>
                <w:szCs w:val="20"/>
              </w:rPr>
              <w:t xml:space="preserve"> skupin</w:t>
            </w:r>
            <w:r>
              <w:rPr>
                <w:rFonts w:cs="Arial"/>
                <w:szCs w:val="20"/>
              </w:rPr>
              <w:t>i</w:t>
            </w:r>
            <w:r w:rsidRPr="008E2BBE">
              <w:rPr>
                <w:rFonts w:cs="Arial"/>
                <w:szCs w:val="20"/>
              </w:rPr>
              <w:t>, če glede prihodka prav tako v zadnjih dveh zaporednih poslovnih letih na bilančni presečni dan bilance stanja obakrat presežejo prag 750</w:t>
            </w:r>
            <w:r w:rsidRPr="008E2BBE" w:rsidDel="00F55093">
              <w:rPr>
                <w:rFonts w:cs="Arial"/>
                <w:szCs w:val="20"/>
              </w:rPr>
              <w:t>.</w:t>
            </w:r>
            <w:r w:rsidRPr="008E2BBE">
              <w:rPr>
                <w:rFonts w:cs="Arial"/>
                <w:szCs w:val="20"/>
              </w:rPr>
              <w:t xml:space="preserve">000.000 </w:t>
            </w:r>
            <w:r>
              <w:rPr>
                <w:rFonts w:cs="Arial"/>
                <w:szCs w:val="20"/>
              </w:rPr>
              <w:t>EUR</w:t>
            </w:r>
            <w:r w:rsidRPr="008E2BBE">
              <w:rPr>
                <w:rFonts w:cs="Arial"/>
                <w:szCs w:val="20"/>
              </w:rPr>
              <w:t>.</w:t>
            </w:r>
          </w:p>
          <w:p w14:paraId="1A3ABAEC" w14:textId="77777777" w:rsidR="000C08CA" w:rsidRPr="008E2BBE" w:rsidRDefault="000C08CA" w:rsidP="00FE328D">
            <w:pPr>
              <w:spacing w:line="276" w:lineRule="auto"/>
              <w:jc w:val="both"/>
              <w:rPr>
                <w:rFonts w:cs="Arial"/>
                <w:szCs w:val="20"/>
              </w:rPr>
            </w:pPr>
          </w:p>
          <w:p w14:paraId="5A21A695" w14:textId="77777777" w:rsidR="000C08CA" w:rsidRPr="008E2BBE" w:rsidRDefault="000C08CA" w:rsidP="00FE328D">
            <w:pPr>
              <w:spacing w:line="276" w:lineRule="auto"/>
              <w:jc w:val="both"/>
              <w:rPr>
                <w:rFonts w:cs="Arial"/>
                <w:szCs w:val="20"/>
              </w:rPr>
            </w:pPr>
            <w:r w:rsidRPr="008E2BBE">
              <w:rPr>
                <w:rFonts w:cs="Arial"/>
                <w:szCs w:val="20"/>
              </w:rPr>
              <w:t xml:space="preserve">Obveznost v skladu </w:t>
            </w:r>
            <w:r w:rsidRPr="008E2BBE" w:rsidDel="00FA17F0">
              <w:rPr>
                <w:rFonts w:cs="Arial"/>
                <w:szCs w:val="20"/>
              </w:rPr>
              <w:t>z</w:t>
            </w:r>
            <w:r w:rsidRPr="008E2BBE">
              <w:rPr>
                <w:rFonts w:cs="Arial"/>
                <w:szCs w:val="20"/>
              </w:rPr>
              <w:t xml:space="preserve"> 48</w:t>
            </w:r>
            <w:r w:rsidDel="00FA17F0">
              <w:rPr>
                <w:rFonts w:cs="Arial"/>
                <w:szCs w:val="20"/>
              </w:rPr>
              <w:t>.</w:t>
            </w:r>
            <w:r w:rsidRPr="008E2BBE">
              <w:rPr>
                <w:rFonts w:cs="Arial"/>
                <w:szCs w:val="20"/>
              </w:rPr>
              <w:t xml:space="preserve">b </w:t>
            </w:r>
            <w:r w:rsidRPr="008E2BBE" w:rsidDel="00FA17F0">
              <w:rPr>
                <w:rFonts w:cs="Arial"/>
                <w:szCs w:val="20"/>
              </w:rPr>
              <w:t xml:space="preserve">členom </w:t>
            </w:r>
            <w:r w:rsidRPr="008E2BBE">
              <w:rPr>
                <w:rFonts w:cs="Arial"/>
                <w:szCs w:val="20"/>
              </w:rPr>
              <w:t>navedene direktive ne velja za družbe</w:t>
            </w:r>
            <w:r>
              <w:rPr>
                <w:rFonts w:cs="Arial"/>
                <w:szCs w:val="20"/>
              </w:rPr>
              <w:t>, ki niso v skupini,</w:t>
            </w:r>
            <w:r w:rsidRPr="008E2BBE">
              <w:rPr>
                <w:rFonts w:cs="Arial"/>
                <w:szCs w:val="20"/>
              </w:rPr>
              <w:t xml:space="preserve"> in obvladujoče družbe ter njihove povezane družbe, če imajo te družbe, vključno s pripadajočimi podružnicami, sedež, stalno mesto poslovanja ali stalno poslovno dejavnost na ozemlju ene države članice in v nobeni drugi davčni jurisdikciji.</w:t>
            </w:r>
          </w:p>
          <w:p w14:paraId="58007A78" w14:textId="77777777" w:rsidR="000C08CA" w:rsidRPr="008E2BBE" w:rsidRDefault="000C08CA" w:rsidP="00FE328D">
            <w:pPr>
              <w:spacing w:line="276" w:lineRule="auto"/>
              <w:jc w:val="both"/>
              <w:rPr>
                <w:rFonts w:cs="Arial"/>
                <w:szCs w:val="20"/>
              </w:rPr>
            </w:pPr>
          </w:p>
          <w:p w14:paraId="25672D5B" w14:textId="77777777" w:rsidR="000C08CA" w:rsidRPr="008E2BBE" w:rsidRDefault="000C08CA" w:rsidP="00FE328D">
            <w:pPr>
              <w:spacing w:line="276" w:lineRule="auto"/>
              <w:jc w:val="both"/>
              <w:rPr>
                <w:rFonts w:cs="Arial"/>
                <w:szCs w:val="20"/>
              </w:rPr>
            </w:pPr>
            <w:r w:rsidRPr="008E2BBE">
              <w:rPr>
                <w:rFonts w:cs="Arial"/>
                <w:szCs w:val="20"/>
              </w:rPr>
              <w:t>V skladu z 12. uvodno izjavo</w:t>
            </w:r>
            <w:r w:rsidRPr="008E2BBE" w:rsidDel="00F55093">
              <w:rPr>
                <w:rFonts w:cs="Arial"/>
                <w:szCs w:val="20"/>
              </w:rPr>
              <w:t xml:space="preserve"> </w:t>
            </w:r>
            <w:r w:rsidRPr="008E2BBE">
              <w:rPr>
                <w:rFonts w:cs="Arial"/>
                <w:szCs w:val="20"/>
              </w:rPr>
              <w:t>Direktiv</w:t>
            </w:r>
            <w:r>
              <w:rPr>
                <w:rFonts w:cs="Arial"/>
                <w:szCs w:val="20"/>
              </w:rPr>
              <w:t>e</w:t>
            </w:r>
            <w:r w:rsidRPr="008E2BBE">
              <w:rPr>
                <w:rFonts w:cs="Arial"/>
                <w:szCs w:val="20"/>
              </w:rPr>
              <w:t xml:space="preserve"> 2021/2101/EU obveznost poročanja o davčnih informacijah v zvezi z dohodki tudi ne velja za družbe iz bančnega sektorja, za katere velja Direktiva 2013/36/EU in ki v svoje poročilo, pripravljeno v skladu z 89. členom navedene direktive, vključijo vse svoje dejavnosti in po potrebi vse dejavnosti svojih povezanih podjetij, vključenih v njihove konsolidirane računovodske izkaze, vključno z dejavnostmi, za katere ne veljajo določbe 3. dela, naslov I, poglavje 2,</w:t>
            </w:r>
            <w:r>
              <w:t xml:space="preserve"> </w:t>
            </w:r>
            <w:r w:rsidRPr="008E2BBE">
              <w:rPr>
                <w:rFonts w:cs="Arial"/>
                <w:szCs w:val="20"/>
              </w:rPr>
              <w:t xml:space="preserve">Uredbe </w:t>
            </w:r>
            <w:r w:rsidRPr="007B5C01">
              <w:rPr>
                <w:rFonts w:cs="Arial"/>
                <w:szCs w:val="20"/>
              </w:rPr>
              <w:t>575/2013/EU</w:t>
            </w:r>
            <w:r w:rsidRPr="008E2BBE">
              <w:rPr>
                <w:rFonts w:cs="Arial"/>
                <w:szCs w:val="20"/>
              </w:rPr>
              <w:t xml:space="preserve">. </w:t>
            </w:r>
            <w:r>
              <w:rPr>
                <w:rFonts w:cs="Arial"/>
                <w:szCs w:val="20"/>
              </w:rPr>
              <w:t>N</w:t>
            </w:r>
            <w:r w:rsidRPr="008E2BBE">
              <w:rPr>
                <w:rFonts w:cs="Arial"/>
                <w:szCs w:val="20"/>
              </w:rPr>
              <w:t xml:space="preserve">a podlagi navedene direktive in uredbe </w:t>
            </w:r>
            <w:r>
              <w:rPr>
                <w:rFonts w:cs="Arial"/>
                <w:szCs w:val="20"/>
              </w:rPr>
              <w:t xml:space="preserve">je </w:t>
            </w:r>
            <w:r w:rsidRPr="008E2BBE">
              <w:rPr>
                <w:rFonts w:cs="Arial"/>
                <w:szCs w:val="20"/>
              </w:rPr>
              <w:t>obveznost poročanja za banke</w:t>
            </w:r>
            <w:r>
              <w:rPr>
                <w:rFonts w:cs="Arial"/>
                <w:szCs w:val="20"/>
              </w:rPr>
              <w:t xml:space="preserve"> </w:t>
            </w:r>
            <w:r w:rsidRPr="008E2BBE">
              <w:rPr>
                <w:rFonts w:cs="Arial"/>
                <w:szCs w:val="20"/>
              </w:rPr>
              <w:t>z Zakonom o bančništvu (Uradni list RS, št. 92/21 in 123/21 – ZBNIP) strožje urejena</w:t>
            </w:r>
            <w:r>
              <w:rPr>
                <w:rFonts w:cs="Arial"/>
                <w:szCs w:val="20"/>
              </w:rPr>
              <w:t>. Na podlagi navedenega</w:t>
            </w:r>
            <w:r w:rsidRPr="008E2BBE">
              <w:rPr>
                <w:rFonts w:cs="Arial"/>
                <w:szCs w:val="20"/>
              </w:rPr>
              <w:t xml:space="preserve"> </w:t>
            </w:r>
            <w:r>
              <w:rPr>
                <w:rFonts w:cs="Arial"/>
                <w:szCs w:val="20"/>
              </w:rPr>
              <w:t>se</w:t>
            </w:r>
            <w:r w:rsidRPr="008E2BBE">
              <w:rPr>
                <w:rFonts w:cs="Arial"/>
                <w:szCs w:val="20"/>
              </w:rPr>
              <w:t xml:space="preserve"> uporaba določb ZGD-1 za banke v tem delu izključ</w:t>
            </w:r>
            <w:r>
              <w:rPr>
                <w:rFonts w:cs="Arial"/>
                <w:szCs w:val="20"/>
              </w:rPr>
              <w:t>uje</w:t>
            </w:r>
            <w:r w:rsidRPr="008E2BBE">
              <w:rPr>
                <w:rFonts w:cs="Arial"/>
                <w:szCs w:val="20"/>
              </w:rPr>
              <w:t xml:space="preserve"> na podlagi načela lex specialis.</w:t>
            </w:r>
          </w:p>
          <w:p w14:paraId="0243B4C9" w14:textId="77777777" w:rsidR="000C08CA" w:rsidRPr="008E2BBE" w:rsidRDefault="000C08CA" w:rsidP="00FE328D">
            <w:pPr>
              <w:spacing w:line="276" w:lineRule="auto"/>
              <w:jc w:val="both"/>
              <w:rPr>
                <w:rFonts w:cs="Arial"/>
                <w:szCs w:val="20"/>
              </w:rPr>
            </w:pPr>
          </w:p>
          <w:p w14:paraId="7A7B2363" w14:textId="77777777" w:rsidR="000C08CA" w:rsidRDefault="000C08CA" w:rsidP="00FE328D">
            <w:pPr>
              <w:spacing w:line="276" w:lineRule="auto"/>
              <w:jc w:val="both"/>
              <w:rPr>
                <w:rFonts w:cs="Arial"/>
                <w:szCs w:val="20"/>
              </w:rPr>
            </w:pPr>
            <w:r w:rsidRPr="008E2BBE">
              <w:rPr>
                <w:rFonts w:cs="Arial"/>
                <w:szCs w:val="20"/>
              </w:rPr>
              <w:t>Direktiva 2021/2101/EU že v 10. uvodni izjavi navaja, da bi bilo treba javnosti omogočiti, da nadzoruje vse dejavnosti skupine družb, če ima skupina določene vrste subjektov s sedežem v Evropski uniji. V primeru družb ali družb v skupini, ki v Evropski uniji poslujejo zgolj prek odvisnih družb ali podružnic, bi morale te odvisne družbe in podružnice objaviti poročilo o davčnih informacijah v zvezi z dohodki, ki se nanaša na obvladujočo družbo iz tretje države in omogočiti dostop do njega. V skladu z navedenim se obveznost objave oziroma zagotovitve dostopa do poročila družbe, ki ima sedež v tretji državi in katere prihodek ali konsolidirani prihodek na podlagi podatkov zadnjih dveh zaporednih poslovnih let na bilančni presečni dan bilance stanja obakrat preseže 750</w:t>
            </w:r>
            <w:r w:rsidRPr="008E2BBE" w:rsidDel="00FA17F0">
              <w:rPr>
                <w:rFonts w:cs="Arial"/>
                <w:szCs w:val="20"/>
              </w:rPr>
              <w:t>.</w:t>
            </w:r>
            <w:r w:rsidRPr="008E2BBE">
              <w:rPr>
                <w:rFonts w:cs="Arial"/>
                <w:szCs w:val="20"/>
              </w:rPr>
              <w:t xml:space="preserve">000.000 </w:t>
            </w:r>
            <w:r>
              <w:rPr>
                <w:rFonts w:cs="Arial"/>
                <w:szCs w:val="20"/>
              </w:rPr>
              <w:t>EUR</w:t>
            </w:r>
            <w:r w:rsidRPr="008E2BBE">
              <w:rPr>
                <w:rFonts w:cs="Arial"/>
                <w:szCs w:val="20"/>
              </w:rPr>
              <w:t>, prenese tudi za njene odvisne družbe in podružnice, vendar morajo biti ob tem izpolnjeni nekateri pogoji, ki jih skladno z direktivo določata 70.j in 683.c člen ZGD-1.</w:t>
            </w:r>
          </w:p>
          <w:p w14:paraId="610978CA" w14:textId="77777777" w:rsidR="000C08CA" w:rsidRDefault="000C08CA" w:rsidP="00FE328D">
            <w:pPr>
              <w:spacing w:line="276" w:lineRule="auto"/>
              <w:jc w:val="both"/>
              <w:rPr>
                <w:rFonts w:cs="Arial"/>
                <w:szCs w:val="20"/>
              </w:rPr>
            </w:pPr>
          </w:p>
          <w:p w14:paraId="436BB679" w14:textId="77777777" w:rsidR="000C08CA" w:rsidRPr="00605612" w:rsidRDefault="000C08CA" w:rsidP="00FE328D">
            <w:pPr>
              <w:spacing w:line="276" w:lineRule="auto"/>
              <w:jc w:val="both"/>
              <w:rPr>
                <w:rFonts w:cs="Arial"/>
                <w:szCs w:val="20"/>
              </w:rPr>
            </w:pPr>
            <w:r w:rsidRPr="00605612">
              <w:rPr>
                <w:rFonts w:cs="Arial"/>
                <w:szCs w:val="20"/>
              </w:rPr>
              <w:t xml:space="preserve">S predlogom zakona se vstavi nov oddelek, ki vsebuje posebne določbe glede priprave poročila </w:t>
            </w:r>
            <w:r>
              <w:rPr>
                <w:rFonts w:cs="Arial"/>
                <w:color w:val="000000" w:themeColor="text1"/>
                <w:szCs w:val="20"/>
              </w:rPr>
              <w:t>o davčnih informacijah</w:t>
            </w:r>
            <w:r w:rsidRPr="00605612">
              <w:rPr>
                <w:rFonts w:cs="Arial"/>
                <w:szCs w:val="20"/>
              </w:rPr>
              <w:t xml:space="preserve"> v zvezi z dohodki. Vstavijo se novi 70.e do 70.l členi.</w:t>
            </w:r>
          </w:p>
          <w:p w14:paraId="164418AD" w14:textId="77777777" w:rsidR="000C08CA" w:rsidRPr="00605612" w:rsidRDefault="000C08CA" w:rsidP="00FE328D">
            <w:pPr>
              <w:spacing w:line="276" w:lineRule="auto"/>
              <w:jc w:val="both"/>
              <w:rPr>
                <w:rFonts w:cs="Arial"/>
                <w:szCs w:val="20"/>
              </w:rPr>
            </w:pPr>
          </w:p>
          <w:p w14:paraId="4D735AB8" w14:textId="77777777" w:rsidR="000C08CA" w:rsidRPr="00605612" w:rsidRDefault="000C08CA" w:rsidP="00FE328D">
            <w:pPr>
              <w:spacing w:line="276" w:lineRule="auto"/>
              <w:jc w:val="both"/>
              <w:rPr>
                <w:rFonts w:cs="Arial"/>
                <w:szCs w:val="20"/>
              </w:rPr>
            </w:pPr>
            <w:r w:rsidRPr="00605612">
              <w:rPr>
                <w:rFonts w:cs="Arial"/>
                <w:szCs w:val="20"/>
              </w:rPr>
              <w:t>70.e člen</w:t>
            </w:r>
          </w:p>
          <w:p w14:paraId="5D6C35AF" w14:textId="77777777" w:rsidR="000C08CA" w:rsidRPr="00605612" w:rsidRDefault="000C08CA" w:rsidP="00FE328D">
            <w:pPr>
              <w:spacing w:line="276" w:lineRule="auto"/>
              <w:jc w:val="both"/>
              <w:rPr>
                <w:rFonts w:cs="Arial"/>
                <w:szCs w:val="20"/>
              </w:rPr>
            </w:pPr>
          </w:p>
          <w:p w14:paraId="1B54698C" w14:textId="77777777" w:rsidR="000C08CA" w:rsidRPr="00605612" w:rsidRDefault="000C08CA" w:rsidP="00FE328D">
            <w:pPr>
              <w:spacing w:line="276" w:lineRule="auto"/>
              <w:jc w:val="both"/>
              <w:rPr>
                <w:rFonts w:cs="Arial"/>
                <w:szCs w:val="20"/>
              </w:rPr>
            </w:pPr>
            <w:r w:rsidRPr="00605612">
              <w:rPr>
                <w:rFonts w:cs="Arial"/>
                <w:szCs w:val="20"/>
              </w:rPr>
              <w:t>S predlogom zakona se določa</w:t>
            </w:r>
            <w:r>
              <w:rPr>
                <w:rFonts w:cs="Arial"/>
                <w:szCs w:val="20"/>
              </w:rPr>
              <w:t xml:space="preserve"> priprava poročila</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 xml:space="preserve">za </w:t>
            </w:r>
            <w:r w:rsidRPr="00605612">
              <w:rPr>
                <w:rFonts w:cs="Arial"/>
                <w:szCs w:val="20"/>
              </w:rPr>
              <w:t>družb</w:t>
            </w:r>
            <w:r>
              <w:rPr>
                <w:rFonts w:cs="Arial"/>
                <w:szCs w:val="20"/>
              </w:rPr>
              <w:t>e</w:t>
            </w:r>
            <w:r w:rsidRPr="00605612">
              <w:rPr>
                <w:rFonts w:cs="Arial"/>
                <w:szCs w:val="20"/>
              </w:rPr>
              <w:t>, ki so zavezane k pripravi konsolidiranega letnega poročila</w:t>
            </w:r>
            <w:r w:rsidRPr="003B2A0D">
              <w:rPr>
                <w:rFonts w:cs="Arial"/>
                <w:bCs/>
                <w:szCs w:val="20"/>
              </w:rPr>
              <w:t xml:space="preserve"> za najširši krog družb v skupini</w:t>
            </w:r>
            <w:r w:rsidRPr="00605612">
              <w:rPr>
                <w:rFonts w:cs="Arial"/>
                <w:szCs w:val="20"/>
              </w:rPr>
              <w:t xml:space="preserve"> v skladu s 56. členom ZGD-1</w:t>
            </w:r>
            <w:r>
              <w:rPr>
                <w:rFonts w:cs="Arial"/>
                <w:szCs w:val="20"/>
              </w:rPr>
              <w:t xml:space="preserve"> in za družbe, ki niso v skupini. Obveznosti v zvezi s poročilom </w:t>
            </w:r>
            <w:r>
              <w:rPr>
                <w:rFonts w:cs="Arial"/>
                <w:color w:val="000000" w:themeColor="text1"/>
                <w:szCs w:val="20"/>
              </w:rPr>
              <w:t xml:space="preserve">o davčnih informacijah </w:t>
            </w:r>
            <w:r w:rsidRPr="00605612">
              <w:rPr>
                <w:rFonts w:cs="Arial"/>
                <w:szCs w:val="20"/>
              </w:rPr>
              <w:t>v zvezi z dohodki</w:t>
            </w:r>
            <w:r>
              <w:rPr>
                <w:rFonts w:cs="Arial"/>
                <w:szCs w:val="20"/>
              </w:rPr>
              <w:t>, ki se nanašajo na njegovo predložitev AJPES in objavo na spletni strani so predvidene tudi za odvisne družbe in podružnice tujega podjetja iz tretje države.</w:t>
            </w:r>
          </w:p>
          <w:p w14:paraId="1061D3B7" w14:textId="77777777" w:rsidR="000C08CA" w:rsidRPr="00605612" w:rsidRDefault="000C08CA" w:rsidP="00FE328D">
            <w:pPr>
              <w:spacing w:line="276" w:lineRule="auto"/>
              <w:jc w:val="both"/>
              <w:rPr>
                <w:rFonts w:cs="Arial"/>
                <w:szCs w:val="20"/>
              </w:rPr>
            </w:pPr>
          </w:p>
          <w:p w14:paraId="1403BB45" w14:textId="77777777" w:rsidR="000C08CA" w:rsidRPr="00605612" w:rsidRDefault="000C08CA" w:rsidP="00FE328D">
            <w:pPr>
              <w:spacing w:line="276" w:lineRule="auto"/>
              <w:jc w:val="both"/>
              <w:rPr>
                <w:rFonts w:cs="Arial"/>
                <w:szCs w:val="20"/>
              </w:rPr>
            </w:pPr>
            <w:r w:rsidRPr="00605612">
              <w:rPr>
                <w:rFonts w:cs="Arial"/>
                <w:szCs w:val="20"/>
              </w:rPr>
              <w:t>Zaradi lažje preglednosti se za namene prenosa 48</w:t>
            </w:r>
            <w:r w:rsidRPr="00605612" w:rsidDel="00FA17F0">
              <w:rPr>
                <w:rFonts w:cs="Arial"/>
                <w:szCs w:val="20"/>
              </w:rPr>
              <w:t>.</w:t>
            </w:r>
            <w:r w:rsidRPr="00605612">
              <w:rPr>
                <w:rFonts w:cs="Arial"/>
                <w:szCs w:val="20"/>
              </w:rPr>
              <w:t xml:space="preserve">b </w:t>
            </w:r>
            <w:r w:rsidRPr="00605612" w:rsidDel="00FA17F0">
              <w:rPr>
                <w:rFonts w:cs="Arial"/>
                <w:szCs w:val="20"/>
              </w:rPr>
              <w:t xml:space="preserve">člena </w:t>
            </w:r>
            <w:r w:rsidRPr="00605612">
              <w:rPr>
                <w:rFonts w:cs="Arial"/>
                <w:szCs w:val="20"/>
              </w:rPr>
              <w:t xml:space="preserve">Direktive 2013/34/EU, dopolnjene z Direktivo 2021/2101/EU, v 70.e členu posebej določajo zavezanci za pripravo poročila </w:t>
            </w:r>
            <w:r>
              <w:rPr>
                <w:rFonts w:cs="Arial"/>
                <w:color w:val="000000" w:themeColor="text1"/>
                <w:szCs w:val="20"/>
              </w:rPr>
              <w:t>o davčnih informacijah</w:t>
            </w:r>
            <w:r w:rsidRPr="00605612">
              <w:rPr>
                <w:rFonts w:cs="Arial"/>
                <w:szCs w:val="20"/>
              </w:rPr>
              <w:t xml:space="preserve"> v zvezi z dohodki</w:t>
            </w:r>
            <w:r>
              <w:rPr>
                <w:rFonts w:cs="Arial"/>
                <w:szCs w:val="20"/>
              </w:rPr>
              <w:t xml:space="preserve"> oziroma poročevalci</w:t>
            </w:r>
            <w:r w:rsidRPr="00605612">
              <w:rPr>
                <w:rFonts w:cs="Arial"/>
                <w:szCs w:val="20"/>
              </w:rPr>
              <w:t>. To so družbe, ki so zavezane k pripravi konsolidiranega letnega poročila</w:t>
            </w:r>
            <w:r w:rsidRPr="003B2A0D">
              <w:rPr>
                <w:rFonts w:cs="Arial"/>
                <w:bCs/>
                <w:szCs w:val="20"/>
              </w:rPr>
              <w:t xml:space="preserve"> za najširši krog družb v skupini</w:t>
            </w:r>
            <w:r w:rsidRPr="00605612">
              <w:rPr>
                <w:rFonts w:cs="Arial"/>
                <w:szCs w:val="20"/>
              </w:rPr>
              <w:t xml:space="preserve"> v skladu s 56. členom tega zakona, če konsolidirani prihodek na podlagi podatkov zadnjih dveh zaporednih poslovnih let na bilančni presečni dan bilance stanja obakrat preseže 750</w:t>
            </w:r>
            <w:r w:rsidRPr="00605612" w:rsidDel="00FA17F0">
              <w:rPr>
                <w:rFonts w:cs="Arial"/>
                <w:szCs w:val="20"/>
              </w:rPr>
              <w:t>.</w:t>
            </w:r>
            <w:r w:rsidRPr="00605612">
              <w:rPr>
                <w:rFonts w:cs="Arial"/>
                <w:szCs w:val="20"/>
              </w:rPr>
              <w:t xml:space="preserve">000.000 </w:t>
            </w:r>
            <w:r>
              <w:rPr>
                <w:rFonts w:cs="Arial"/>
                <w:szCs w:val="20"/>
              </w:rPr>
              <w:t>EUR</w:t>
            </w:r>
            <w:r w:rsidRPr="00605612">
              <w:rPr>
                <w:rFonts w:cs="Arial"/>
                <w:szCs w:val="20"/>
              </w:rPr>
              <w:t xml:space="preserve">. Enaka obveznost se določa tudi za samostojne družbe, torej družbe, ki niso </w:t>
            </w:r>
            <w:r>
              <w:rPr>
                <w:rFonts w:cs="Arial"/>
                <w:szCs w:val="20"/>
              </w:rPr>
              <w:t>v</w:t>
            </w:r>
            <w:r w:rsidRPr="00605612">
              <w:rPr>
                <w:rFonts w:cs="Arial"/>
                <w:szCs w:val="20"/>
              </w:rPr>
              <w:t xml:space="preserve"> skupin</w:t>
            </w:r>
            <w:r>
              <w:rPr>
                <w:rFonts w:cs="Arial"/>
                <w:szCs w:val="20"/>
              </w:rPr>
              <w:t>i</w:t>
            </w:r>
            <w:r w:rsidRPr="00605612">
              <w:rPr>
                <w:rFonts w:cs="Arial"/>
                <w:szCs w:val="20"/>
              </w:rPr>
              <w:t>, če glede prihodka prav tako v zadnjih dveh zaporednih poslovnih letih na bilančni presečni dan bilance stanja obakrat presežejo prag 750</w:t>
            </w:r>
            <w:r w:rsidRPr="00605612" w:rsidDel="00FA17F0">
              <w:rPr>
                <w:rFonts w:cs="Arial"/>
                <w:szCs w:val="20"/>
              </w:rPr>
              <w:t>.</w:t>
            </w:r>
            <w:r w:rsidRPr="00605612">
              <w:rPr>
                <w:rFonts w:cs="Arial"/>
                <w:szCs w:val="20"/>
              </w:rPr>
              <w:t xml:space="preserve">000.000 </w:t>
            </w:r>
            <w:r>
              <w:rPr>
                <w:rFonts w:cs="Arial"/>
                <w:szCs w:val="20"/>
              </w:rPr>
              <w:t>EUR</w:t>
            </w:r>
            <w:r w:rsidRPr="00605612">
              <w:rPr>
                <w:rFonts w:cs="Arial"/>
                <w:szCs w:val="20"/>
              </w:rPr>
              <w:t xml:space="preserve">. </w:t>
            </w:r>
          </w:p>
          <w:p w14:paraId="6E340AD9" w14:textId="77777777" w:rsidR="000C08CA" w:rsidRPr="00605612" w:rsidRDefault="000C08CA" w:rsidP="00FE328D">
            <w:pPr>
              <w:spacing w:line="276" w:lineRule="auto"/>
              <w:jc w:val="both"/>
              <w:rPr>
                <w:rFonts w:cs="Arial"/>
                <w:szCs w:val="20"/>
              </w:rPr>
            </w:pPr>
          </w:p>
          <w:p w14:paraId="5D911D4B" w14:textId="77777777" w:rsidR="000C08CA" w:rsidRPr="00605612" w:rsidRDefault="000C08CA" w:rsidP="00FE328D">
            <w:pPr>
              <w:spacing w:line="276" w:lineRule="auto"/>
              <w:jc w:val="both"/>
              <w:rPr>
                <w:rFonts w:cs="Arial"/>
                <w:szCs w:val="20"/>
              </w:rPr>
            </w:pPr>
            <w:r w:rsidRPr="00605612">
              <w:rPr>
                <w:rFonts w:cs="Arial"/>
                <w:szCs w:val="20"/>
              </w:rPr>
              <w:lastRenderedPageBreak/>
              <w:t>Direktiva 2021/2101/EU že v 10. uvodni izjavi navaja, da bi bilo treba javnosti omogočiti, da nadzoruje vse dejavnosti skupine družb, če ima skupina določene vrste subjektov s sedežem v Evropski uniji. V primeru družb ali družb v skupini, ki v Evropski uniji poslujejo zgolj prek odvisnih družb ali podružnic, bi morale te odvisne družbe in podružnice objaviti</w:t>
            </w:r>
            <w:r>
              <w:rPr>
                <w:rFonts w:cs="Arial"/>
                <w:szCs w:val="20"/>
              </w:rPr>
              <w:t xml:space="preserve"> oziroma predložiti</w:t>
            </w:r>
            <w:r w:rsidRPr="00605612">
              <w:rPr>
                <w:rFonts w:cs="Arial"/>
                <w:szCs w:val="20"/>
              </w:rPr>
              <w:t xml:space="preserve"> poročilo </w:t>
            </w:r>
            <w:r>
              <w:rPr>
                <w:rFonts w:cs="Arial"/>
                <w:color w:val="000000" w:themeColor="text1"/>
                <w:szCs w:val="20"/>
              </w:rPr>
              <w:t xml:space="preserve">o davčnih informacijah </w:t>
            </w:r>
            <w:r w:rsidRPr="00605612">
              <w:rPr>
                <w:rFonts w:cs="Arial"/>
                <w:szCs w:val="20"/>
              </w:rPr>
              <w:t>v zvezi z dohodki, ki se nanaša na obvladujoč</w:t>
            </w:r>
            <w:r>
              <w:rPr>
                <w:rFonts w:cs="Arial"/>
                <w:szCs w:val="20"/>
              </w:rPr>
              <w:t xml:space="preserve">e tuje podjetje </w:t>
            </w:r>
            <w:r w:rsidRPr="00605612">
              <w:rPr>
                <w:rFonts w:cs="Arial"/>
                <w:szCs w:val="20"/>
              </w:rPr>
              <w:t>iz tretje države in omogočiti dostop do njega</w:t>
            </w:r>
            <w:r>
              <w:rPr>
                <w:rFonts w:cs="Arial"/>
                <w:szCs w:val="20"/>
              </w:rPr>
              <w:t xml:space="preserve"> oziroma ga objaviti na spletni strani</w:t>
            </w:r>
            <w:r w:rsidRPr="00605612">
              <w:rPr>
                <w:rFonts w:cs="Arial"/>
                <w:szCs w:val="20"/>
              </w:rPr>
              <w:t>. V skladu z navedenim se obveznost objave oziroma</w:t>
            </w:r>
            <w:r>
              <w:rPr>
                <w:rFonts w:cs="Arial"/>
                <w:szCs w:val="20"/>
              </w:rPr>
              <w:t xml:space="preserve"> predložitve in</w:t>
            </w:r>
            <w:r w:rsidRPr="00605612">
              <w:rPr>
                <w:rFonts w:cs="Arial"/>
                <w:szCs w:val="20"/>
              </w:rPr>
              <w:t xml:space="preserve"> zagotovitve dostopa do poročila </w:t>
            </w:r>
            <w:r>
              <w:rPr>
                <w:rFonts w:cs="Arial"/>
                <w:szCs w:val="20"/>
              </w:rPr>
              <w:t>oziroma njegova objava na spletni strani</w:t>
            </w:r>
            <w:r w:rsidRPr="00605612">
              <w:rPr>
                <w:rFonts w:cs="Arial"/>
                <w:szCs w:val="20"/>
              </w:rPr>
              <w:t xml:space="preserve"> </w:t>
            </w:r>
            <w:r>
              <w:rPr>
                <w:rFonts w:cs="Arial"/>
                <w:szCs w:val="20"/>
              </w:rPr>
              <w:t>tujega podjetja iz tretje države</w:t>
            </w:r>
            <w:r w:rsidRPr="00605612">
              <w:rPr>
                <w:rFonts w:cs="Arial"/>
                <w:szCs w:val="20"/>
              </w:rPr>
              <w:t xml:space="preserve"> in katere</w:t>
            </w:r>
            <w:r>
              <w:rPr>
                <w:rFonts w:cs="Arial"/>
                <w:szCs w:val="20"/>
              </w:rPr>
              <w:t>ga</w:t>
            </w:r>
            <w:r w:rsidRPr="00605612">
              <w:rPr>
                <w:rFonts w:cs="Arial"/>
                <w:szCs w:val="20"/>
              </w:rPr>
              <w:t xml:space="preserve"> prihodek ali konsolidirani prihodek na podlagi podatkov zadnjih dveh zaporednih poslovnih let na bilančni presečni dan bilance stanja obakrat preseže 750</w:t>
            </w:r>
            <w:r w:rsidRPr="00605612" w:rsidDel="00FA17F0">
              <w:rPr>
                <w:rFonts w:cs="Arial"/>
                <w:szCs w:val="20"/>
              </w:rPr>
              <w:t>.</w:t>
            </w:r>
            <w:r w:rsidRPr="00605612">
              <w:rPr>
                <w:rFonts w:cs="Arial"/>
                <w:szCs w:val="20"/>
              </w:rPr>
              <w:t xml:space="preserve">000.000 </w:t>
            </w:r>
            <w:r>
              <w:rPr>
                <w:rFonts w:cs="Arial"/>
                <w:szCs w:val="20"/>
              </w:rPr>
              <w:t>EUR</w:t>
            </w:r>
            <w:r w:rsidRPr="00605612">
              <w:rPr>
                <w:rFonts w:cs="Arial"/>
                <w:szCs w:val="20"/>
              </w:rPr>
              <w:t xml:space="preserve">, prenese tudi </w:t>
            </w:r>
            <w:r>
              <w:rPr>
                <w:rFonts w:cs="Arial"/>
                <w:szCs w:val="20"/>
              </w:rPr>
              <w:t>n</w:t>
            </w:r>
            <w:r w:rsidRPr="00605612">
              <w:rPr>
                <w:rFonts w:cs="Arial"/>
                <w:szCs w:val="20"/>
              </w:rPr>
              <w:t>a nje</w:t>
            </w:r>
            <w:r>
              <w:rPr>
                <w:rFonts w:cs="Arial"/>
                <w:szCs w:val="20"/>
              </w:rPr>
              <w:t>gove</w:t>
            </w:r>
            <w:r w:rsidRPr="00605612">
              <w:rPr>
                <w:rFonts w:cs="Arial"/>
                <w:szCs w:val="20"/>
              </w:rPr>
              <w:t xml:space="preserve"> odvisne družbe in podružnice, vendar morajo biti ob tem izpolnjeni nekateri pogoji, ki jih skladno z direktivo določata 70.j in 683.c člen ZGD-1.</w:t>
            </w:r>
          </w:p>
          <w:p w14:paraId="231DA6D5" w14:textId="77777777" w:rsidR="000C08CA" w:rsidRPr="00605612" w:rsidRDefault="000C08CA" w:rsidP="00FE328D">
            <w:pPr>
              <w:spacing w:line="276" w:lineRule="auto"/>
              <w:jc w:val="both"/>
              <w:rPr>
                <w:rFonts w:cs="Arial"/>
                <w:szCs w:val="20"/>
              </w:rPr>
            </w:pPr>
          </w:p>
          <w:p w14:paraId="4395F206" w14:textId="77777777" w:rsidR="000C08CA" w:rsidRPr="00605612" w:rsidRDefault="000C08CA" w:rsidP="00FE328D">
            <w:pPr>
              <w:spacing w:line="276" w:lineRule="auto"/>
              <w:jc w:val="both"/>
              <w:rPr>
                <w:rFonts w:cs="Arial"/>
                <w:szCs w:val="20"/>
              </w:rPr>
            </w:pPr>
            <w:r w:rsidRPr="00605612">
              <w:rPr>
                <w:rFonts w:cs="Arial"/>
                <w:szCs w:val="20"/>
              </w:rPr>
              <w:t xml:space="preserve">Obveznost pa v skladu </w:t>
            </w:r>
            <w:r w:rsidRPr="00605612" w:rsidDel="00FA17F0">
              <w:rPr>
                <w:rFonts w:cs="Arial"/>
                <w:szCs w:val="20"/>
              </w:rPr>
              <w:t>z</w:t>
            </w:r>
            <w:r w:rsidRPr="00605612">
              <w:rPr>
                <w:rFonts w:cs="Arial"/>
                <w:szCs w:val="20"/>
              </w:rPr>
              <w:t xml:space="preserve"> 48</w:t>
            </w:r>
            <w:r w:rsidRPr="00605612" w:rsidDel="00FA17F0">
              <w:rPr>
                <w:rFonts w:cs="Arial"/>
                <w:szCs w:val="20"/>
              </w:rPr>
              <w:t>.</w:t>
            </w:r>
            <w:r w:rsidRPr="00605612">
              <w:rPr>
                <w:rFonts w:cs="Arial"/>
                <w:szCs w:val="20"/>
              </w:rPr>
              <w:t xml:space="preserve">b </w:t>
            </w:r>
            <w:r w:rsidRPr="00605612" w:rsidDel="00FA17F0">
              <w:rPr>
                <w:rFonts w:cs="Arial"/>
                <w:szCs w:val="20"/>
              </w:rPr>
              <w:t xml:space="preserve">členom </w:t>
            </w:r>
            <w:r w:rsidRPr="00605612">
              <w:rPr>
                <w:rFonts w:cs="Arial"/>
                <w:szCs w:val="20"/>
              </w:rPr>
              <w:t xml:space="preserve">navedene direktive ne velja za samostojne družbe in obvladujoče družbe ter njihove povezane družbe, če imajo te družbe, vključno s pripadajočimi podružnicami, sedež, stalno mesto poslovanja ali stalno poslovno dejavnost na ozemlju ene same države članice in v nobeni drugi davčni </w:t>
            </w:r>
            <w:r>
              <w:rPr>
                <w:rFonts w:cs="Arial"/>
                <w:szCs w:val="20"/>
              </w:rPr>
              <w:t>jurisdikciji</w:t>
            </w:r>
            <w:r w:rsidRPr="00605612">
              <w:rPr>
                <w:rFonts w:cs="Arial"/>
                <w:szCs w:val="20"/>
              </w:rPr>
              <w:t>. Določba se s predlogom zakona prenaša v četrti odstavek 70.e člena ZGD-1.</w:t>
            </w:r>
          </w:p>
          <w:p w14:paraId="6A72B64E" w14:textId="77777777" w:rsidR="000C08CA" w:rsidRPr="00605612" w:rsidRDefault="000C08CA" w:rsidP="00FE328D">
            <w:pPr>
              <w:spacing w:line="276" w:lineRule="auto"/>
              <w:jc w:val="both"/>
              <w:rPr>
                <w:rFonts w:cs="Arial"/>
                <w:szCs w:val="20"/>
              </w:rPr>
            </w:pPr>
          </w:p>
          <w:p w14:paraId="4DC8BE47" w14:textId="77777777" w:rsidR="000C08CA" w:rsidRPr="00605612" w:rsidRDefault="000C08CA" w:rsidP="00FE328D">
            <w:pPr>
              <w:spacing w:line="276" w:lineRule="auto"/>
              <w:jc w:val="both"/>
              <w:rPr>
                <w:rFonts w:cs="Arial"/>
                <w:szCs w:val="20"/>
              </w:rPr>
            </w:pPr>
            <w:r w:rsidRPr="00605612">
              <w:rPr>
                <w:rFonts w:cs="Arial"/>
                <w:szCs w:val="20"/>
              </w:rPr>
              <w:t>V skladu z 12. uvodno izjavo Direktiv</w:t>
            </w:r>
            <w:r>
              <w:rPr>
                <w:rFonts w:cs="Arial"/>
                <w:szCs w:val="20"/>
              </w:rPr>
              <w:t>e</w:t>
            </w:r>
            <w:r w:rsidRPr="00605612">
              <w:rPr>
                <w:rFonts w:cs="Arial"/>
                <w:szCs w:val="20"/>
              </w:rPr>
              <w:t xml:space="preserve"> 2021/2101/EU obveznost poročanja </w:t>
            </w:r>
            <w:r>
              <w:rPr>
                <w:rFonts w:cs="Arial"/>
                <w:color w:val="000000" w:themeColor="text1"/>
                <w:szCs w:val="20"/>
              </w:rPr>
              <w:t xml:space="preserve">o davčnih informacijah </w:t>
            </w:r>
            <w:r w:rsidRPr="00605612">
              <w:rPr>
                <w:rFonts w:cs="Arial"/>
                <w:szCs w:val="20"/>
              </w:rPr>
              <w:t xml:space="preserve">v zvezi z dohodki tudi ne velja za družbe iz bančnega sektorja, za katere velja Direktiva 2013/36/EU in ki v poročilo, pripravljeno v skladu z 89. členom navedene direktive, vključijo vse dejavnosti in po potrebi vse dejavnosti svojih povezanih podjetij, vključenih v njihove konsolidirane računovodske izkaze, vključno z dejavnostmi, za katere ne veljajo določbe 3. dela, naslov I, poglavje 2, Uredbe </w:t>
            </w:r>
            <w:r w:rsidRPr="0001123C">
              <w:rPr>
                <w:rFonts w:cs="Arial"/>
                <w:szCs w:val="20"/>
              </w:rPr>
              <w:t>575/2013/EU</w:t>
            </w:r>
            <w:r w:rsidRPr="00605612">
              <w:rPr>
                <w:rFonts w:cs="Arial"/>
                <w:szCs w:val="20"/>
              </w:rPr>
              <w:t xml:space="preserve">. </w:t>
            </w:r>
            <w:r>
              <w:rPr>
                <w:rFonts w:cs="Arial"/>
                <w:szCs w:val="20"/>
              </w:rPr>
              <w:t>P</w:t>
            </w:r>
            <w:r w:rsidRPr="003F3C3F">
              <w:rPr>
                <w:rFonts w:cs="Arial"/>
                <w:szCs w:val="20"/>
              </w:rPr>
              <w:t xml:space="preserve">ravila za izvajanje </w:t>
            </w:r>
            <w:r>
              <w:rPr>
                <w:rFonts w:cs="Arial"/>
                <w:szCs w:val="20"/>
              </w:rPr>
              <w:t xml:space="preserve">javnega </w:t>
            </w:r>
            <w:r w:rsidRPr="003F3C3F">
              <w:rPr>
                <w:rFonts w:cs="Arial"/>
                <w:szCs w:val="20"/>
              </w:rPr>
              <w:t>poročanja</w:t>
            </w:r>
            <w:r>
              <w:rPr>
                <w:rFonts w:cs="Arial"/>
                <w:szCs w:val="20"/>
              </w:rPr>
              <w:t xml:space="preserve"> v bančnem sektorju</w:t>
            </w:r>
            <w:r w:rsidRPr="003F3C3F">
              <w:rPr>
                <w:rFonts w:cs="Arial"/>
                <w:szCs w:val="20"/>
              </w:rPr>
              <w:t xml:space="preserve"> so v slovenskem pravnem redu urejena v zakonodaji, ki ureja bančno pravo. Na podlagi pooblastila v 109. členu Zakona o bančništvu (Uradni list RS, št. 92/21 in 123/21 – ZBNIP) je Svet Banke Slovenije sprejel Sklep o poslovnih knjigah in letnih poročilih bank in hranilnic (Uradni list RS, št. 184/21), ki v 3. točki 2. odstavka 20. člena ureja določeno vsebino letnega poročila.</w:t>
            </w:r>
            <w:r>
              <w:rPr>
                <w:rFonts w:cs="Arial"/>
                <w:szCs w:val="20"/>
              </w:rPr>
              <w:t xml:space="preserve"> Čeprav </w:t>
            </w:r>
            <w:r w:rsidRPr="00605612">
              <w:rPr>
                <w:rFonts w:cs="Arial"/>
                <w:szCs w:val="20"/>
              </w:rPr>
              <w:t>je na podlagi navedene direktive in uredbe obveznost poročanja za banke z Zakonom o bančništvu (Uradni list RS, št. 92/21 in 123/21 – ZBNIP) strožje urejena, je uporaba določb ZGD-1 za banke v tem delu</w:t>
            </w:r>
            <w:r w:rsidRPr="00605612" w:rsidDel="00CE42F4">
              <w:rPr>
                <w:rFonts w:cs="Arial"/>
                <w:szCs w:val="20"/>
              </w:rPr>
              <w:t xml:space="preserve"> </w:t>
            </w:r>
            <w:r w:rsidRPr="00605612">
              <w:rPr>
                <w:rFonts w:cs="Arial"/>
                <w:szCs w:val="20"/>
              </w:rPr>
              <w:t>izključena</w:t>
            </w:r>
            <w:r w:rsidRPr="00605612" w:rsidDel="00CE42F4">
              <w:rPr>
                <w:rFonts w:cs="Arial"/>
                <w:szCs w:val="20"/>
              </w:rPr>
              <w:t xml:space="preserve"> </w:t>
            </w:r>
            <w:r>
              <w:rPr>
                <w:rFonts w:cs="Arial"/>
                <w:szCs w:val="20"/>
              </w:rPr>
              <w:t xml:space="preserve">v obliki </w:t>
            </w:r>
            <w:r w:rsidRPr="00605612">
              <w:rPr>
                <w:rFonts w:cs="Arial"/>
                <w:szCs w:val="20"/>
              </w:rPr>
              <w:t>posebn</w:t>
            </w:r>
            <w:r>
              <w:rPr>
                <w:rFonts w:cs="Arial"/>
                <w:szCs w:val="20"/>
              </w:rPr>
              <w:t>e</w:t>
            </w:r>
            <w:r w:rsidRPr="00605612">
              <w:rPr>
                <w:rFonts w:cs="Arial"/>
                <w:szCs w:val="20"/>
              </w:rPr>
              <w:t xml:space="preserve"> zakonsk</w:t>
            </w:r>
            <w:r>
              <w:rPr>
                <w:rFonts w:cs="Arial"/>
                <w:szCs w:val="20"/>
              </w:rPr>
              <w:t>e</w:t>
            </w:r>
            <w:r w:rsidRPr="00605612">
              <w:rPr>
                <w:rFonts w:cs="Arial"/>
                <w:szCs w:val="20"/>
              </w:rPr>
              <w:t xml:space="preserve"> izključitv</w:t>
            </w:r>
            <w:r>
              <w:rPr>
                <w:rFonts w:cs="Arial"/>
                <w:szCs w:val="20"/>
              </w:rPr>
              <w:t>e</w:t>
            </w:r>
            <w:r w:rsidRPr="00605612">
              <w:rPr>
                <w:rFonts w:cs="Arial"/>
                <w:szCs w:val="20"/>
              </w:rPr>
              <w:t xml:space="preserve"> za banke. Direktiva 2021/2101/EU za tretj</w:t>
            </w:r>
            <w:r>
              <w:rPr>
                <w:rFonts w:cs="Arial"/>
                <w:szCs w:val="20"/>
              </w:rPr>
              <w:t>i</w:t>
            </w:r>
            <w:r w:rsidRPr="00605612">
              <w:rPr>
                <w:rFonts w:cs="Arial"/>
                <w:szCs w:val="20"/>
              </w:rPr>
              <w:t xml:space="preserve"> odstav</w:t>
            </w:r>
            <w:r>
              <w:rPr>
                <w:rFonts w:cs="Arial"/>
                <w:szCs w:val="20"/>
              </w:rPr>
              <w:t>e</w:t>
            </w:r>
            <w:r w:rsidRPr="00605612">
              <w:rPr>
                <w:rFonts w:cs="Arial"/>
                <w:szCs w:val="20"/>
              </w:rPr>
              <w:t>k 48</w:t>
            </w:r>
            <w:r>
              <w:rPr>
                <w:rFonts w:cs="Arial"/>
                <w:szCs w:val="20"/>
              </w:rPr>
              <w:t>.</w:t>
            </w:r>
            <w:r w:rsidRPr="00605612">
              <w:rPr>
                <w:rFonts w:cs="Arial"/>
                <w:szCs w:val="20"/>
              </w:rPr>
              <w:t>b</w:t>
            </w:r>
            <w:r>
              <w:rPr>
                <w:rFonts w:cs="Arial"/>
                <w:szCs w:val="20"/>
              </w:rPr>
              <w:t xml:space="preserve"> člena </w:t>
            </w:r>
            <w:r w:rsidRPr="00605612">
              <w:rPr>
                <w:rFonts w:cs="Arial"/>
                <w:szCs w:val="20"/>
              </w:rPr>
              <w:t xml:space="preserve"> Direktive 2013/34/EU določa, da poročila </w:t>
            </w:r>
            <w:r>
              <w:rPr>
                <w:rFonts w:cs="Arial"/>
                <w:color w:val="000000" w:themeColor="text1"/>
                <w:szCs w:val="20"/>
              </w:rPr>
              <w:t xml:space="preserve">o davčnih informacijah </w:t>
            </w:r>
            <w:r w:rsidRPr="00605612">
              <w:rPr>
                <w:rFonts w:cs="Arial"/>
                <w:szCs w:val="20"/>
              </w:rPr>
              <w:t xml:space="preserve">v zvezi z dohodki ni treba pripraviti v primeru družb ali družb v skupini, če te razkrijejo poročilo v skladu </w:t>
            </w:r>
            <w:r>
              <w:rPr>
                <w:rFonts w:cs="Arial"/>
                <w:szCs w:val="20"/>
              </w:rPr>
              <w:t>z</w:t>
            </w:r>
            <w:r w:rsidRPr="00605612">
              <w:rPr>
                <w:rFonts w:cs="Arial"/>
                <w:szCs w:val="20"/>
              </w:rPr>
              <w:t xml:space="preserve"> 89. členom Direktive 2013/36/EU Evropskega parlamenta in Sveta, ki zajame informacije o vseh njihovih dejavnostih in v primeru končnih obvladujočih podjetij vseh dejavnostih vseh povezanih podjetij, vključenih v konsolidirane računovodske izkaze.</w:t>
            </w:r>
          </w:p>
          <w:p w14:paraId="293891DF" w14:textId="77777777" w:rsidR="000C08CA" w:rsidRDefault="000C08CA" w:rsidP="00FE328D">
            <w:pPr>
              <w:spacing w:line="276" w:lineRule="auto"/>
              <w:jc w:val="both"/>
              <w:rPr>
                <w:rFonts w:cs="Arial"/>
                <w:szCs w:val="20"/>
              </w:rPr>
            </w:pPr>
          </w:p>
          <w:p w14:paraId="7A40D6F3" w14:textId="77777777" w:rsidR="000C08CA" w:rsidRPr="00605612" w:rsidRDefault="000C08CA" w:rsidP="00FE328D">
            <w:pPr>
              <w:spacing w:line="276" w:lineRule="auto"/>
              <w:jc w:val="both"/>
              <w:rPr>
                <w:rFonts w:cs="Arial"/>
                <w:szCs w:val="20"/>
              </w:rPr>
            </w:pPr>
            <w:r>
              <w:rPr>
                <w:rFonts w:cs="Arial"/>
                <w:szCs w:val="20"/>
              </w:rPr>
              <w:t>Z</w:t>
            </w:r>
            <w:r w:rsidRPr="00605612">
              <w:rPr>
                <w:rFonts w:cs="Arial"/>
                <w:szCs w:val="20"/>
              </w:rPr>
              <w:t xml:space="preserve">a namene prenosa </w:t>
            </w:r>
            <w:r>
              <w:rPr>
                <w:rFonts w:cs="Arial"/>
                <w:szCs w:val="20"/>
              </w:rPr>
              <w:t xml:space="preserve">drugega odstavka </w:t>
            </w:r>
            <w:r w:rsidRPr="00605612">
              <w:rPr>
                <w:rFonts w:cs="Arial"/>
                <w:szCs w:val="20"/>
              </w:rPr>
              <w:t>48</w:t>
            </w:r>
            <w:r w:rsidRPr="00605612" w:rsidDel="00087B2C">
              <w:rPr>
                <w:rFonts w:cs="Arial"/>
                <w:szCs w:val="20"/>
              </w:rPr>
              <w:t>.</w:t>
            </w:r>
            <w:r>
              <w:rPr>
                <w:rFonts w:cs="Arial"/>
                <w:szCs w:val="20"/>
              </w:rPr>
              <w:t>a</w:t>
            </w:r>
            <w:r w:rsidRPr="00605612">
              <w:rPr>
                <w:rFonts w:cs="Arial"/>
                <w:szCs w:val="20"/>
              </w:rPr>
              <w:t xml:space="preserve"> </w:t>
            </w:r>
            <w:r w:rsidRPr="00605612" w:rsidDel="00087B2C">
              <w:rPr>
                <w:rFonts w:cs="Arial"/>
                <w:szCs w:val="20"/>
              </w:rPr>
              <w:t xml:space="preserve">člena </w:t>
            </w:r>
            <w:r w:rsidRPr="00605612">
              <w:rPr>
                <w:rFonts w:cs="Arial"/>
                <w:szCs w:val="20"/>
              </w:rPr>
              <w:t>Direktive 2013/34/EU</w:t>
            </w:r>
            <w:r>
              <w:rPr>
                <w:rFonts w:cs="Arial"/>
                <w:szCs w:val="20"/>
              </w:rPr>
              <w:t>,</w:t>
            </w:r>
            <w:r w:rsidRPr="00605612">
              <w:rPr>
                <w:rFonts w:cs="Arial"/>
                <w:szCs w:val="20"/>
              </w:rPr>
              <w:t xml:space="preserve"> ki jo dopolnjuje Direktiva 2021/2101/EU</w:t>
            </w:r>
            <w:r>
              <w:rPr>
                <w:rFonts w:cs="Arial"/>
                <w:szCs w:val="20"/>
              </w:rPr>
              <w:t xml:space="preserve">, se opredeljuje tudi pojem prihodka v zvezi s poročilom </w:t>
            </w:r>
            <w:r>
              <w:rPr>
                <w:rFonts w:cs="Arial"/>
                <w:color w:val="000000" w:themeColor="text1"/>
                <w:szCs w:val="20"/>
              </w:rPr>
              <w:t xml:space="preserve">o davčnih informacijah </w:t>
            </w:r>
            <w:r w:rsidRPr="00605612">
              <w:rPr>
                <w:rFonts w:cs="Arial"/>
                <w:szCs w:val="20"/>
              </w:rPr>
              <w:t>v zvezi z dohodki</w:t>
            </w:r>
            <w:r>
              <w:rPr>
                <w:rFonts w:cs="Arial"/>
                <w:szCs w:val="20"/>
              </w:rPr>
              <w:t>.</w:t>
            </w:r>
          </w:p>
          <w:p w14:paraId="2483184C" w14:textId="77777777" w:rsidR="000C08CA" w:rsidRPr="00605612" w:rsidRDefault="000C08CA" w:rsidP="00FE328D">
            <w:pPr>
              <w:spacing w:line="276" w:lineRule="auto"/>
              <w:jc w:val="both"/>
              <w:rPr>
                <w:rFonts w:cs="Arial"/>
                <w:szCs w:val="20"/>
              </w:rPr>
            </w:pPr>
          </w:p>
          <w:p w14:paraId="5447E45D" w14:textId="77777777" w:rsidR="000C08CA" w:rsidRPr="00605612" w:rsidRDefault="000C08CA" w:rsidP="00FE328D">
            <w:pPr>
              <w:spacing w:line="276" w:lineRule="auto"/>
              <w:jc w:val="both"/>
              <w:rPr>
                <w:rFonts w:cs="Arial"/>
                <w:szCs w:val="20"/>
              </w:rPr>
            </w:pPr>
            <w:r w:rsidRPr="00605612">
              <w:rPr>
                <w:rFonts w:cs="Arial"/>
                <w:szCs w:val="20"/>
              </w:rPr>
              <w:t>70.f člen</w:t>
            </w:r>
          </w:p>
          <w:p w14:paraId="6510ABEF" w14:textId="77777777" w:rsidR="000C08CA" w:rsidRPr="00605612" w:rsidRDefault="000C08CA" w:rsidP="00FE328D">
            <w:pPr>
              <w:spacing w:line="276" w:lineRule="auto"/>
              <w:jc w:val="both"/>
              <w:rPr>
                <w:rFonts w:cs="Arial"/>
                <w:szCs w:val="20"/>
              </w:rPr>
            </w:pPr>
          </w:p>
          <w:p w14:paraId="4BA0DC18" w14:textId="77777777" w:rsidR="000C08CA" w:rsidRPr="00605612" w:rsidRDefault="000C08CA" w:rsidP="00FE328D">
            <w:pPr>
              <w:spacing w:line="276" w:lineRule="auto"/>
              <w:jc w:val="both"/>
              <w:rPr>
                <w:rFonts w:cs="Arial"/>
                <w:szCs w:val="20"/>
              </w:rPr>
            </w:pPr>
            <w:r w:rsidRPr="00605612">
              <w:rPr>
                <w:rFonts w:cs="Arial"/>
                <w:szCs w:val="20"/>
              </w:rPr>
              <w:t xml:space="preserve">70.f člen določa vsebino poročila </w:t>
            </w:r>
            <w:r>
              <w:rPr>
                <w:rFonts w:cs="Arial"/>
                <w:color w:val="000000" w:themeColor="text1"/>
                <w:szCs w:val="20"/>
              </w:rPr>
              <w:t xml:space="preserve">o davčnih informacijah </w:t>
            </w:r>
            <w:r w:rsidRPr="00605612">
              <w:rPr>
                <w:rFonts w:cs="Arial"/>
                <w:szCs w:val="20"/>
              </w:rPr>
              <w:t>v zvezi z dohodki. S predlaganim členom se prenaša 48</w:t>
            </w:r>
            <w:r w:rsidRPr="00605612" w:rsidDel="00087B2C">
              <w:rPr>
                <w:rFonts w:cs="Arial"/>
                <w:szCs w:val="20"/>
              </w:rPr>
              <w:t>.</w:t>
            </w:r>
            <w:r w:rsidRPr="00605612">
              <w:rPr>
                <w:rFonts w:cs="Arial"/>
                <w:szCs w:val="20"/>
              </w:rPr>
              <w:t xml:space="preserve">c </w:t>
            </w:r>
            <w:r w:rsidRPr="00605612" w:rsidDel="00087B2C">
              <w:rPr>
                <w:rFonts w:cs="Arial"/>
                <w:szCs w:val="20"/>
              </w:rPr>
              <w:t xml:space="preserve">člen </w:t>
            </w:r>
            <w:r w:rsidRPr="00605612">
              <w:rPr>
                <w:rFonts w:cs="Arial"/>
                <w:szCs w:val="20"/>
              </w:rPr>
              <w:t xml:space="preserve">Direktive 2013/34/EU, ki jo dopolnjuje Direktiva 2021/2101/EU. Poročilo </w:t>
            </w:r>
            <w:r>
              <w:rPr>
                <w:rFonts w:cs="Arial"/>
                <w:color w:val="000000" w:themeColor="text1"/>
                <w:szCs w:val="20"/>
              </w:rPr>
              <w:t xml:space="preserve">o davčnih informacijah </w:t>
            </w:r>
            <w:r w:rsidRPr="00605612">
              <w:rPr>
                <w:rFonts w:cs="Arial"/>
                <w:szCs w:val="20"/>
              </w:rPr>
              <w:t>v zvezi z dohodki mora vsebovati podatke o celotnem poslovanju samostojne</w:t>
            </w:r>
            <w:r>
              <w:rPr>
                <w:rFonts w:cs="Arial"/>
                <w:szCs w:val="20"/>
              </w:rPr>
              <w:t xml:space="preserve"> </w:t>
            </w:r>
            <w:r w:rsidRPr="00605612">
              <w:rPr>
                <w:rFonts w:cs="Arial"/>
                <w:color w:val="000000" w:themeColor="text1"/>
                <w:szCs w:val="20"/>
              </w:rPr>
              <w:t xml:space="preserve">(torej družbe, ki ni </w:t>
            </w:r>
            <w:r>
              <w:rPr>
                <w:rFonts w:cs="Arial"/>
                <w:color w:val="000000" w:themeColor="text1"/>
                <w:szCs w:val="20"/>
              </w:rPr>
              <w:t xml:space="preserve">v </w:t>
            </w:r>
            <w:r w:rsidRPr="00605612">
              <w:rPr>
                <w:rFonts w:cs="Arial"/>
                <w:color w:val="000000" w:themeColor="text1"/>
                <w:szCs w:val="20"/>
              </w:rPr>
              <w:t>skupin</w:t>
            </w:r>
            <w:r>
              <w:rPr>
                <w:rFonts w:cs="Arial"/>
                <w:color w:val="000000" w:themeColor="text1"/>
                <w:szCs w:val="20"/>
              </w:rPr>
              <w:t>i</w:t>
            </w:r>
            <w:r w:rsidRPr="00605612">
              <w:rPr>
                <w:rFonts w:cs="Arial"/>
                <w:color w:val="000000" w:themeColor="text1"/>
                <w:szCs w:val="20"/>
              </w:rPr>
              <w:t>)</w:t>
            </w:r>
            <w:r w:rsidRPr="00605612">
              <w:rPr>
                <w:rFonts w:cs="Arial"/>
                <w:szCs w:val="20"/>
              </w:rPr>
              <w:t xml:space="preserve"> ali obvladujoče družbe, vključno s poslovanjem vseh povezanih družb, vključenih v konsolidirano letno poročilo, zlasti pa podatke, ki so našteti v prvem odstavku 70.f člena predloga zakona. Razkritje podatkov, ki so našteti, je tako obvezno, lahko pa družba razkrije še več podatkov, če to želi.</w:t>
            </w:r>
          </w:p>
          <w:p w14:paraId="7528709D" w14:textId="77777777" w:rsidR="000C08CA" w:rsidRPr="00605612" w:rsidRDefault="000C08CA" w:rsidP="00FE328D">
            <w:pPr>
              <w:spacing w:line="276" w:lineRule="auto"/>
              <w:jc w:val="both"/>
              <w:rPr>
                <w:rFonts w:cs="Arial"/>
                <w:szCs w:val="20"/>
              </w:rPr>
            </w:pPr>
          </w:p>
          <w:p w14:paraId="2B752675" w14:textId="77777777" w:rsidR="000C08CA" w:rsidRPr="00605612" w:rsidRDefault="000C08CA" w:rsidP="00FE328D">
            <w:pPr>
              <w:spacing w:line="276" w:lineRule="auto"/>
              <w:jc w:val="both"/>
              <w:rPr>
                <w:rFonts w:cs="Arial"/>
                <w:szCs w:val="20"/>
              </w:rPr>
            </w:pPr>
            <w:r w:rsidRPr="00605612">
              <w:rPr>
                <w:rFonts w:cs="Arial"/>
                <w:szCs w:val="20"/>
              </w:rPr>
              <w:lastRenderedPageBreak/>
              <w:t>Družba lahko poročilo pripravi tudi v skladu z navodili za poročanje iz oddelka III, dela B in C, Priloge III k Direktivi Sveta 2011/16/EU, pri čemer v poročilu navede, v skladu s katerimi navodili je pripravila poročilo. Za nekatere družbe, ki bodo zavezane k javnemu poročanju o davčnih informacijah v zvezi z dohodki po predlogu zakona, namreč že velja obveznost poročanja o davčnih informacijah v zvezi z dohodki, vendar le davčnim organom s t.</w:t>
            </w:r>
            <w:r>
              <w:rPr>
                <w:rFonts w:cs="Arial"/>
                <w:szCs w:val="20"/>
              </w:rPr>
              <w:t xml:space="preserve"> </w:t>
            </w:r>
            <w:r w:rsidRPr="00605612">
              <w:rPr>
                <w:rFonts w:cs="Arial"/>
                <w:szCs w:val="20"/>
              </w:rPr>
              <w:t>i. poročilom po državah oziroma CbCR na podlagi Zakona o davčnem postopku (Uradni list RS, št. 13/11 – uradno prečiščeno besedilo, 32/12, 94/12, 101/13 – ZDavNepr, 111/13, 22/14 – odl. US, 25/14 – ZFU, 40/14 – ZIN-B, 90/14, 91/15, 63/16, 69/17, 13/18 – ZJF-H, 36/19, 66/19, 145/20 – odl. US, 203/20 – ZIUPOPDVE, 39/22 – ZFU-A, 52/22 – odl. US, 87/22 – odl. US in 163/22</w:t>
            </w:r>
            <w:r>
              <w:rPr>
                <w:rFonts w:cs="Arial"/>
                <w:szCs w:val="20"/>
              </w:rPr>
              <w:t xml:space="preserve">; </w:t>
            </w:r>
            <w:r w:rsidRPr="003D484A">
              <w:rPr>
                <w:rFonts w:cs="Arial"/>
                <w:szCs w:val="20"/>
              </w:rPr>
              <w:t>ZDavP-2</w:t>
            </w:r>
            <w:r w:rsidRPr="00605612">
              <w:rPr>
                <w:rFonts w:cs="Arial"/>
                <w:szCs w:val="20"/>
              </w:rPr>
              <w:t xml:space="preserve">). </w:t>
            </w:r>
            <w:r w:rsidRPr="003D484A">
              <w:rPr>
                <w:rFonts w:cs="Arial"/>
                <w:szCs w:val="20"/>
              </w:rPr>
              <w:t xml:space="preserve">248.b člen ZDavP-2 opredeljuje predložitev poročila po državah (CbCR) v skladu z 255.i </w:t>
            </w:r>
            <w:r>
              <w:rPr>
                <w:rFonts w:cs="Arial"/>
                <w:szCs w:val="20"/>
              </w:rPr>
              <w:t xml:space="preserve">do 255.l </w:t>
            </w:r>
            <w:r w:rsidRPr="003D484A">
              <w:rPr>
                <w:rFonts w:cs="Arial"/>
                <w:szCs w:val="20"/>
              </w:rPr>
              <w:t>členom ZDavP-2</w:t>
            </w:r>
            <w:r>
              <w:rPr>
                <w:rFonts w:cs="Arial"/>
                <w:szCs w:val="20"/>
              </w:rPr>
              <w:t xml:space="preserve"> </w:t>
            </w:r>
            <w:r w:rsidRPr="003D484A">
              <w:rPr>
                <w:rFonts w:cs="Arial"/>
                <w:szCs w:val="20"/>
              </w:rPr>
              <w:t>in 86.c do 86.g členom Pravilnika o izvajanju Zakona o davčnem postopku.</w:t>
            </w:r>
            <w:r w:rsidRPr="00605612">
              <w:rPr>
                <w:rFonts w:cs="Arial"/>
                <w:szCs w:val="20"/>
              </w:rPr>
              <w:t xml:space="preserve"> Če družba pripravi CbCR za davčne organe, ima v skladu 3. odstavkom 48</w:t>
            </w:r>
            <w:r w:rsidRPr="00605612" w:rsidDel="00087B2C">
              <w:rPr>
                <w:rFonts w:cs="Arial"/>
                <w:szCs w:val="20"/>
              </w:rPr>
              <w:t>.</w:t>
            </w:r>
            <w:r w:rsidRPr="00605612">
              <w:rPr>
                <w:rFonts w:cs="Arial"/>
                <w:szCs w:val="20"/>
              </w:rPr>
              <w:t xml:space="preserve">c </w:t>
            </w:r>
            <w:r w:rsidRPr="00605612" w:rsidDel="00087B2C">
              <w:rPr>
                <w:rFonts w:cs="Arial"/>
                <w:szCs w:val="20"/>
              </w:rPr>
              <w:t xml:space="preserve">člena </w:t>
            </w:r>
            <w:r w:rsidRPr="00605612">
              <w:rPr>
                <w:rFonts w:cs="Arial"/>
                <w:szCs w:val="20"/>
              </w:rPr>
              <w:t>Direktive 2013/34/EU (2. člen Direktive 2021/2101/EU) možnost, da poročilo pripravi v skladu z navodili za poročanje iz Direktive 2011/16/EU o upravnem sodelovanju na področju obdavčevanja in razveljavitvi Direktive 77/799/EGS. S tem Direktiva 2013/34/EU, ki jo dopolnjuje Direktiva 2021/2101/EU (14. uvodna izjava)</w:t>
            </w:r>
            <w:r>
              <w:rPr>
                <w:rFonts w:cs="Arial"/>
                <w:szCs w:val="20"/>
              </w:rPr>
              <w:t>,</w:t>
            </w:r>
            <w:r w:rsidRPr="00605612">
              <w:rPr>
                <w:rFonts w:cs="Arial"/>
                <w:szCs w:val="20"/>
              </w:rPr>
              <w:t xml:space="preserve"> družbam omogoča, da se izognejo ustvarjanju upravnega bremena. V poročilu </w:t>
            </w:r>
            <w:r>
              <w:rPr>
                <w:rFonts w:cs="Arial"/>
                <w:color w:val="000000" w:themeColor="text1"/>
                <w:szCs w:val="20"/>
              </w:rPr>
              <w:t xml:space="preserve">o davčnih informacijah </w:t>
            </w:r>
            <w:r w:rsidRPr="00605612">
              <w:rPr>
                <w:rFonts w:cs="Arial"/>
                <w:szCs w:val="20"/>
              </w:rPr>
              <w:t xml:space="preserve">v zvezi z dohodki pa morajo navesti, kateri okvir poročanja je bil uporabljen. Poročilo o davčnih informacijah v zvezi z dohodki bi lahko poleg tega vključevalo tudi splošen opis z obrazložitvijo v primeru obstoja bistvenih odstopanj na ravni skupine med obračunanim in plačanim davkom, </w:t>
            </w:r>
            <w:r>
              <w:rPr>
                <w:rFonts w:cs="Arial"/>
                <w:szCs w:val="20"/>
              </w:rPr>
              <w:t xml:space="preserve">ob </w:t>
            </w:r>
            <w:r w:rsidRPr="00605612">
              <w:rPr>
                <w:rFonts w:cs="Arial"/>
                <w:szCs w:val="20"/>
              </w:rPr>
              <w:t>upošteva</w:t>
            </w:r>
            <w:r>
              <w:rPr>
                <w:rFonts w:cs="Arial"/>
                <w:szCs w:val="20"/>
              </w:rPr>
              <w:t>nju</w:t>
            </w:r>
            <w:r w:rsidRPr="00605612">
              <w:rPr>
                <w:rFonts w:cs="Arial"/>
                <w:szCs w:val="20"/>
              </w:rPr>
              <w:t xml:space="preserve"> ustrezne zneske iz preteklih poslovnih let.</w:t>
            </w:r>
          </w:p>
          <w:p w14:paraId="48510DE0" w14:textId="77777777" w:rsidR="000C08CA" w:rsidRPr="00605612" w:rsidRDefault="000C08CA" w:rsidP="00FE328D">
            <w:pPr>
              <w:spacing w:line="276" w:lineRule="auto"/>
              <w:jc w:val="both"/>
              <w:rPr>
                <w:rFonts w:cs="Arial"/>
                <w:szCs w:val="20"/>
              </w:rPr>
            </w:pPr>
          </w:p>
          <w:p w14:paraId="688E2D21" w14:textId="77777777" w:rsidR="000C08CA" w:rsidRPr="00605612" w:rsidRDefault="000C08CA" w:rsidP="00FE328D">
            <w:pPr>
              <w:spacing w:line="276" w:lineRule="auto"/>
              <w:jc w:val="both"/>
              <w:rPr>
                <w:rFonts w:cs="Arial"/>
                <w:szCs w:val="20"/>
              </w:rPr>
            </w:pPr>
            <w:r w:rsidRPr="00605612">
              <w:rPr>
                <w:rFonts w:cs="Arial"/>
                <w:szCs w:val="20"/>
              </w:rPr>
              <w:t>70.g člen</w:t>
            </w:r>
          </w:p>
          <w:p w14:paraId="31663444" w14:textId="77777777" w:rsidR="000C08CA" w:rsidRPr="00605612" w:rsidRDefault="000C08CA" w:rsidP="00FE328D">
            <w:pPr>
              <w:spacing w:line="276" w:lineRule="auto"/>
              <w:jc w:val="both"/>
              <w:rPr>
                <w:rFonts w:cs="Arial"/>
                <w:szCs w:val="20"/>
              </w:rPr>
            </w:pPr>
          </w:p>
          <w:p w14:paraId="38EFD00C" w14:textId="77777777" w:rsidR="000C08CA" w:rsidRPr="00605612" w:rsidRDefault="000C08CA" w:rsidP="00FE328D">
            <w:pPr>
              <w:spacing w:line="276" w:lineRule="auto"/>
              <w:jc w:val="both"/>
              <w:rPr>
                <w:rFonts w:cs="Arial"/>
                <w:szCs w:val="20"/>
              </w:rPr>
            </w:pPr>
            <w:r w:rsidRPr="00605612">
              <w:rPr>
                <w:rFonts w:cs="Arial"/>
                <w:szCs w:val="20"/>
              </w:rPr>
              <w:t xml:space="preserve">70.g člen določa, da v obeh primerih, torej če družba razkrije podatke na podlagi prvega odstavka 70.f člena ali podatke razkrije na podlagi navodil za poročanje iz oddelka III, dela B in C, Priloge III k Direktivi Sveta 2011/16/EU, mora poročilo pripraviti z uporabo skupne predloge in elektronskih oblik poročanja, ki so strojno berljive. </w:t>
            </w:r>
            <w:r>
              <w:rPr>
                <w:rFonts w:cs="Arial"/>
                <w:szCs w:val="20"/>
              </w:rPr>
              <w:t xml:space="preserve">Poročilo o davčnih informacijah v zvezi z dohodki bo družba pripravila na podlagi sprejetega standardnega obrazca v elektronski obliki, ki je strojno berljiva, ki ga Komisija sprejme na podlagi drugega stavka četrtega odstavka 48c </w:t>
            </w:r>
            <w:r w:rsidDel="00F55093">
              <w:rPr>
                <w:rFonts w:cs="Arial"/>
                <w:szCs w:val="20"/>
              </w:rPr>
              <w:t xml:space="preserve">člena </w:t>
            </w:r>
            <w:r>
              <w:rPr>
                <w:rFonts w:cs="Arial"/>
                <w:szCs w:val="20"/>
              </w:rPr>
              <w:t>Direktive 2013/34/EU,</w:t>
            </w:r>
            <w:r w:rsidRPr="00605612">
              <w:rPr>
                <w:rFonts w:cs="Arial"/>
                <w:szCs w:val="20"/>
              </w:rPr>
              <w:t xml:space="preserve"> ki jo dopolnjuje Direktiva 2021/2101/EU</w:t>
            </w:r>
            <w:r>
              <w:rPr>
                <w:rFonts w:cs="Arial"/>
                <w:szCs w:val="20"/>
              </w:rPr>
              <w:t xml:space="preserve">. </w:t>
            </w:r>
            <w:r w:rsidRPr="00605612">
              <w:rPr>
                <w:rFonts w:cs="Arial"/>
                <w:szCs w:val="20"/>
              </w:rPr>
              <w:t xml:space="preserve">Takšno skupno predlogo bo </w:t>
            </w:r>
            <w:r>
              <w:rPr>
                <w:rFonts w:cs="Arial"/>
                <w:szCs w:val="20"/>
              </w:rPr>
              <w:t>K</w:t>
            </w:r>
            <w:r w:rsidRPr="00605612">
              <w:rPr>
                <w:rFonts w:cs="Arial"/>
                <w:szCs w:val="20"/>
              </w:rPr>
              <w:t xml:space="preserve">omisija sprejela z izvedbeno uredbo, z njo pa bo določila zahteve glede poročanja </w:t>
            </w:r>
            <w:r>
              <w:rPr>
                <w:rFonts w:cs="Arial"/>
                <w:color w:val="000000" w:themeColor="text1"/>
                <w:szCs w:val="20"/>
              </w:rPr>
              <w:t xml:space="preserve">o davčnih informacijah </w:t>
            </w:r>
            <w:r w:rsidRPr="00605612">
              <w:rPr>
                <w:rFonts w:cs="Arial"/>
                <w:szCs w:val="20"/>
              </w:rPr>
              <w:t>v zvezi z dohodki, skupno predlogo in elektronske oblike poročanja. Z uredbo, ki</w:t>
            </w:r>
            <w:r w:rsidRPr="00605612" w:rsidDel="00582C19">
              <w:rPr>
                <w:rFonts w:cs="Arial"/>
                <w:szCs w:val="20"/>
              </w:rPr>
              <w:t xml:space="preserve"> </w:t>
            </w:r>
            <w:r w:rsidRPr="00605612">
              <w:rPr>
                <w:rFonts w:cs="Arial"/>
                <w:szCs w:val="20"/>
              </w:rPr>
              <w:t xml:space="preserve">se v državah članicah uporablja neposredno, se bo dosegla najvišja stopnja poenotenja poročanja </w:t>
            </w:r>
            <w:r>
              <w:rPr>
                <w:rFonts w:cs="Arial"/>
                <w:color w:val="000000" w:themeColor="text1"/>
                <w:szCs w:val="20"/>
              </w:rPr>
              <w:t xml:space="preserve">o davčnih informacijah </w:t>
            </w:r>
            <w:r w:rsidRPr="00605612">
              <w:rPr>
                <w:rFonts w:cs="Arial"/>
                <w:szCs w:val="20"/>
              </w:rPr>
              <w:t>v zvezi z dohodki, saj je ključno, da so podatki med seboj primerljivi.</w:t>
            </w:r>
            <w:r>
              <w:t xml:space="preserve"> </w:t>
            </w:r>
            <w:r>
              <w:rPr>
                <w:rFonts w:cs="Arial"/>
                <w:szCs w:val="20"/>
              </w:rPr>
              <w:t xml:space="preserve">Skupna predloga in elektronska oblika poročanja bosta torej določeni z izvedbenim aktom Evropske komisije, ki še ni bil sprejet. V predlogu Evropske komisije je predvidena raba oblike XHTML, v katero bodo vgrajene oznake Inline XBRL (tagiranje). Predmet razprave je še, če bosta skupna predloga in elektronska oblika poročanja predpisani, če </w:t>
            </w:r>
            <w:r>
              <w:rPr>
                <w:rFonts w:cs="Arial"/>
                <w:color w:val="000000"/>
                <w:szCs w:val="20"/>
                <w:lang w:eastAsia="sl-SI"/>
              </w:rPr>
              <w:t>poročilo o davčnih informacijah v zvezi z dohodki pripravi obvladujoča družba, ki je tuje podjetje iz tretje države</w:t>
            </w:r>
            <w:r w:rsidDel="00582C19">
              <w:rPr>
                <w:rFonts w:cs="Arial"/>
                <w:color w:val="000000"/>
                <w:szCs w:val="20"/>
                <w:lang w:eastAsia="sl-SI"/>
              </w:rPr>
              <w:t xml:space="preserve"> </w:t>
            </w:r>
            <w:r>
              <w:rPr>
                <w:rFonts w:cs="Arial"/>
                <w:color w:val="000000"/>
                <w:szCs w:val="20"/>
                <w:lang w:eastAsia="sl-SI"/>
              </w:rPr>
              <w:t xml:space="preserve">(prva alineja 70.l člena). </w:t>
            </w:r>
            <w:r>
              <w:t xml:space="preserve">Komisija načrtuje </w:t>
            </w:r>
            <w:r w:rsidRPr="0039505C">
              <w:rPr>
                <w:rFonts w:cs="Arial"/>
                <w:szCs w:val="20"/>
              </w:rPr>
              <w:t>sprejetje</w:t>
            </w:r>
            <w:r>
              <w:rPr>
                <w:rFonts w:cs="Arial"/>
                <w:szCs w:val="20"/>
              </w:rPr>
              <w:t xml:space="preserve"> izvedbenega akta</w:t>
            </w:r>
            <w:r w:rsidRPr="0039505C">
              <w:rPr>
                <w:rFonts w:cs="Arial"/>
                <w:szCs w:val="20"/>
              </w:rPr>
              <w:t xml:space="preserve"> v tretji četrtini tega leta.</w:t>
            </w:r>
          </w:p>
          <w:p w14:paraId="630D30CD" w14:textId="77777777" w:rsidR="000C08CA" w:rsidRPr="00605612" w:rsidRDefault="000C08CA" w:rsidP="00FE328D">
            <w:pPr>
              <w:spacing w:line="276" w:lineRule="auto"/>
              <w:jc w:val="both"/>
              <w:rPr>
                <w:rFonts w:cs="Arial"/>
                <w:szCs w:val="20"/>
              </w:rPr>
            </w:pPr>
          </w:p>
          <w:p w14:paraId="0C161D84" w14:textId="77777777" w:rsidR="000C08CA" w:rsidRPr="00605612" w:rsidRDefault="000C08CA" w:rsidP="00FE328D">
            <w:pPr>
              <w:spacing w:line="276" w:lineRule="auto"/>
              <w:jc w:val="both"/>
              <w:rPr>
                <w:rFonts w:cs="Arial"/>
                <w:szCs w:val="20"/>
              </w:rPr>
            </w:pPr>
            <w:r w:rsidRPr="00605612">
              <w:rPr>
                <w:rFonts w:cs="Arial"/>
                <w:szCs w:val="20"/>
              </w:rPr>
              <w:t>V drugem odstavku predlaganega 70.g člena je posebej določeno, da morajo biti podatki, k</w:t>
            </w:r>
            <w:r>
              <w:rPr>
                <w:rFonts w:cs="Arial"/>
                <w:szCs w:val="20"/>
              </w:rPr>
              <w:t>i jih</w:t>
            </w:r>
            <w:r w:rsidRPr="00605612">
              <w:rPr>
                <w:rFonts w:cs="Arial"/>
                <w:szCs w:val="20"/>
              </w:rPr>
              <w:t xml:space="preserve"> mora družba razkriti, navedeni ločeno za vsako posamezno državo članico, v kateri ima družba sedež in kjer je sedež njenih odvisnih družb in/ali podružnic. To pomeni, da če družba s svojimi odvisnimi družbami in/ali podružnicami </w:t>
            </w:r>
            <w:r>
              <w:rPr>
                <w:rFonts w:cs="Arial"/>
                <w:szCs w:val="20"/>
              </w:rPr>
              <w:t>deluje</w:t>
            </w:r>
            <w:r w:rsidRPr="00605612">
              <w:rPr>
                <w:rFonts w:cs="Arial"/>
                <w:szCs w:val="20"/>
              </w:rPr>
              <w:t xml:space="preserve"> v več državah Evropske unije, mora poročati za vsako od teh držav, saj je namen tovrstnega poročanja, da se razkrije obseg poslovanja za vsako posamezno državo Evropske unije posebej. Enako velja tudi za države članice Evropskega gospodarskega prostora</w:t>
            </w:r>
            <w:r>
              <w:rPr>
                <w:rFonts w:cs="Arial"/>
                <w:szCs w:val="20"/>
              </w:rPr>
              <w:t xml:space="preserve"> (</w:t>
            </w:r>
            <w:r w:rsidRPr="00605612">
              <w:rPr>
                <w:rFonts w:cs="Arial"/>
                <w:szCs w:val="20"/>
              </w:rPr>
              <w:t>Norveška, Islandija in Lihtenštajn</w:t>
            </w:r>
            <w:r>
              <w:rPr>
                <w:rFonts w:cs="Arial"/>
                <w:szCs w:val="20"/>
              </w:rPr>
              <w:t>)</w:t>
            </w:r>
            <w:r w:rsidRPr="00605612">
              <w:rPr>
                <w:rFonts w:cs="Arial"/>
                <w:szCs w:val="20"/>
              </w:rPr>
              <w:t xml:space="preserve">. Te se za namene poročanja </w:t>
            </w:r>
            <w:r>
              <w:rPr>
                <w:rFonts w:cs="Arial"/>
                <w:color w:val="000000" w:themeColor="text1"/>
                <w:szCs w:val="20"/>
              </w:rPr>
              <w:t>o davčnih informacijah</w:t>
            </w:r>
            <w:r w:rsidDel="003E2096">
              <w:rPr>
                <w:rFonts w:cs="Arial"/>
                <w:color w:val="000000" w:themeColor="text1"/>
                <w:szCs w:val="20"/>
              </w:rPr>
              <w:t xml:space="preserve"> </w:t>
            </w:r>
            <w:r w:rsidRPr="00605612">
              <w:rPr>
                <w:rFonts w:cs="Arial"/>
                <w:szCs w:val="20"/>
              </w:rPr>
              <w:t>v zvezi z dohodki obravnavajo enako kot države članice Evropske unije. Glede na navedeno je</w:t>
            </w:r>
            <w:r w:rsidRPr="00605612" w:rsidDel="00AA3554">
              <w:rPr>
                <w:rFonts w:cs="Arial"/>
                <w:szCs w:val="20"/>
              </w:rPr>
              <w:t xml:space="preserve"> </w:t>
            </w:r>
            <w:r w:rsidRPr="00605612">
              <w:rPr>
                <w:rFonts w:cs="Arial"/>
                <w:szCs w:val="20"/>
              </w:rPr>
              <w:t xml:space="preserve">razumljivo, da družbi ni treba ločeno poročati po poslovnih subjektih, temveč podatke za vse njene odvisne družbe in/ali podružnice, ki spadajo pod eno davčno </w:t>
            </w:r>
            <w:r>
              <w:rPr>
                <w:rFonts w:cs="Arial"/>
                <w:szCs w:val="20"/>
              </w:rPr>
              <w:t>jurisdikcijo</w:t>
            </w:r>
            <w:r w:rsidRPr="00605612">
              <w:rPr>
                <w:rFonts w:cs="Arial"/>
                <w:szCs w:val="20"/>
              </w:rPr>
              <w:t xml:space="preserve">, združi (sešteje) in jih torej prikaže kot združen podatek za eno davčno </w:t>
            </w:r>
            <w:r>
              <w:rPr>
                <w:rFonts w:cs="Arial"/>
                <w:szCs w:val="20"/>
              </w:rPr>
              <w:t>jurisdikcijo</w:t>
            </w:r>
            <w:r w:rsidRPr="00605612">
              <w:rPr>
                <w:rFonts w:cs="Arial"/>
                <w:szCs w:val="20"/>
              </w:rPr>
              <w:t xml:space="preserve"> (običajno gre za eno državo, ni pa nujno). Navedeno absolutno ne velja za države oziroma davčne </w:t>
            </w:r>
            <w:r>
              <w:rPr>
                <w:rFonts w:cs="Arial"/>
                <w:szCs w:val="20"/>
              </w:rPr>
              <w:t>jurisdikcije</w:t>
            </w:r>
            <w:r w:rsidRPr="00605612">
              <w:rPr>
                <w:rFonts w:cs="Arial"/>
                <w:szCs w:val="20"/>
              </w:rPr>
              <w:t xml:space="preserve">, ki so bile 1. marca poslovnega </w:t>
            </w:r>
            <w:r w:rsidRPr="00605612">
              <w:rPr>
                <w:rFonts w:cs="Arial"/>
                <w:szCs w:val="20"/>
              </w:rPr>
              <w:lastRenderedPageBreak/>
              <w:t xml:space="preserve">leta, za katero se pripravi poročilo, vključene v Prilogo I k sklepom Sveta o posodobljenem seznamu EU z jurisdikcijami, ki niso pripravljene sodelovati v davčne namene, in davčne </w:t>
            </w:r>
            <w:r>
              <w:rPr>
                <w:rFonts w:cs="Arial"/>
                <w:szCs w:val="20"/>
              </w:rPr>
              <w:t>jurisdikcije</w:t>
            </w:r>
            <w:r w:rsidRPr="00605612">
              <w:rPr>
                <w:rFonts w:cs="Arial"/>
                <w:szCs w:val="20"/>
              </w:rPr>
              <w:t>, ki so bile 1. marca poslovnega leta, za katero se pripravi poročilo, in 1. marca naslednjega poslovnega leta navedene v Prilogi II k sklepom Sveta o posodobljenem seznamu EU z jurisdikcijami, ki niso pripravljene sodelovati v davčne namene.</w:t>
            </w:r>
            <w:r w:rsidRPr="00605612">
              <w:rPr>
                <w:rStyle w:val="FootnoteReference"/>
                <w:rFonts w:cs="Arial"/>
                <w:szCs w:val="20"/>
              </w:rPr>
              <w:footnoteReference w:id="38"/>
            </w:r>
            <w:r w:rsidRPr="00605612">
              <w:rPr>
                <w:rFonts w:cs="Arial"/>
                <w:szCs w:val="20"/>
              </w:rPr>
              <w:t xml:space="preserve"> Za vse v omenjenih prilogah navedene davčne </w:t>
            </w:r>
            <w:r>
              <w:rPr>
                <w:rFonts w:cs="Arial"/>
                <w:szCs w:val="20"/>
              </w:rPr>
              <w:t>jurisdikcije</w:t>
            </w:r>
            <w:r w:rsidRPr="00605612">
              <w:rPr>
                <w:rFonts w:cs="Arial"/>
                <w:szCs w:val="20"/>
              </w:rPr>
              <w:t xml:space="preserve"> je podatke treba prikazati ločeno po posamezni davčni </w:t>
            </w:r>
            <w:r>
              <w:rPr>
                <w:rFonts w:cs="Arial"/>
                <w:szCs w:val="20"/>
              </w:rPr>
              <w:t>jurisdikciji</w:t>
            </w:r>
            <w:r w:rsidRPr="00605612">
              <w:rPr>
                <w:rFonts w:cs="Arial"/>
                <w:szCs w:val="20"/>
              </w:rPr>
              <w:t xml:space="preserve">. Glede vseh </w:t>
            </w:r>
            <w:r>
              <w:rPr>
                <w:rFonts w:cs="Arial"/>
                <w:szCs w:val="20"/>
              </w:rPr>
              <w:t>drug</w:t>
            </w:r>
            <w:r w:rsidRPr="00605612">
              <w:rPr>
                <w:rFonts w:cs="Arial"/>
                <w:szCs w:val="20"/>
              </w:rPr>
              <w:t xml:space="preserve">ih držav oziroma davčnih </w:t>
            </w:r>
            <w:r>
              <w:rPr>
                <w:rFonts w:cs="Arial"/>
                <w:szCs w:val="20"/>
              </w:rPr>
              <w:t>jurisdikcij</w:t>
            </w:r>
            <w:r w:rsidRPr="00605612">
              <w:rPr>
                <w:rFonts w:cs="Arial"/>
                <w:szCs w:val="20"/>
              </w:rPr>
              <w:t xml:space="preserve">, torej tistih, ki niso države članice Evropske unije ali Evropskega gospodarskega prostora in niso na enem ali drugem omenjenem seznamu, se določa, da se podatki, ki jih je treba razkriti, prikažejo združeno – za vse države skupaj.  </w:t>
            </w:r>
          </w:p>
          <w:p w14:paraId="4776F9CA" w14:textId="77777777" w:rsidR="000C08CA" w:rsidRPr="00605612" w:rsidRDefault="000C08CA" w:rsidP="00FE328D">
            <w:pPr>
              <w:spacing w:line="276" w:lineRule="auto"/>
              <w:jc w:val="both"/>
              <w:rPr>
                <w:rFonts w:cs="Arial"/>
                <w:szCs w:val="20"/>
              </w:rPr>
            </w:pPr>
          </w:p>
          <w:p w14:paraId="3A5993FF" w14:textId="77777777" w:rsidR="000C08CA" w:rsidRPr="00605612" w:rsidRDefault="000C08CA" w:rsidP="00FE328D">
            <w:pPr>
              <w:spacing w:line="276" w:lineRule="auto"/>
              <w:jc w:val="both"/>
              <w:rPr>
                <w:rFonts w:cs="Arial"/>
                <w:szCs w:val="20"/>
              </w:rPr>
            </w:pPr>
            <w:r w:rsidRPr="00605612">
              <w:rPr>
                <w:rFonts w:cs="Arial"/>
                <w:szCs w:val="20"/>
              </w:rPr>
              <w:t>70.h člen</w:t>
            </w:r>
          </w:p>
          <w:p w14:paraId="198F80C5" w14:textId="77777777" w:rsidR="000C08CA" w:rsidRPr="00605612" w:rsidRDefault="000C08CA" w:rsidP="00FE328D">
            <w:pPr>
              <w:spacing w:line="276" w:lineRule="auto"/>
              <w:jc w:val="both"/>
              <w:rPr>
                <w:rFonts w:cs="Arial"/>
                <w:szCs w:val="20"/>
              </w:rPr>
            </w:pPr>
          </w:p>
          <w:p w14:paraId="314BC4F5" w14:textId="77777777" w:rsidR="000C08CA" w:rsidRPr="00605612" w:rsidRDefault="000C08CA" w:rsidP="00FE328D">
            <w:pPr>
              <w:spacing w:line="276" w:lineRule="auto"/>
              <w:jc w:val="both"/>
              <w:rPr>
                <w:rFonts w:cs="Arial"/>
                <w:szCs w:val="20"/>
              </w:rPr>
            </w:pPr>
            <w:r w:rsidRPr="00605612">
              <w:rPr>
                <w:rFonts w:cs="Arial"/>
                <w:szCs w:val="20"/>
              </w:rPr>
              <w:t xml:space="preserve">70.h člen določa, da kadar bi neposredno razkritje podatkov, ki jih je treba vključiti v poročilo </w:t>
            </w:r>
            <w:r>
              <w:rPr>
                <w:rFonts w:cs="Arial"/>
                <w:color w:val="000000" w:themeColor="text1"/>
                <w:szCs w:val="20"/>
              </w:rPr>
              <w:t xml:space="preserve">o davčnih informacijah </w:t>
            </w:r>
            <w:r w:rsidRPr="00605612">
              <w:rPr>
                <w:rFonts w:cs="Arial"/>
                <w:szCs w:val="20"/>
              </w:rPr>
              <w:t xml:space="preserve">v zvezi z dohodki, lahko v nekaterih primerih resno škodovalo poslovnemu položaju podjetja, imajo družbe možnost, da razkritje določenih elementov informacij odložijo pod pogojem, da jasno razkrijejo obstoj tega odloga, v poročilu pa navedejo utemeljeno obrazložitev z dokazili. To pomeni, da bodo lahko družbe izpustile enega ali več elementov informacij. Podatke, ki jih družba iz poročila izpusti, razkrije v enem od </w:t>
            </w:r>
            <w:r>
              <w:rPr>
                <w:rFonts w:cs="Arial"/>
                <w:szCs w:val="20"/>
              </w:rPr>
              <w:t>poz</w:t>
            </w:r>
            <w:r w:rsidRPr="00605612">
              <w:rPr>
                <w:rFonts w:cs="Arial"/>
                <w:szCs w:val="20"/>
              </w:rPr>
              <w:t>nejših poročil. Skrajni rok za razkritje podatkov, ki jih je družba utemeljeno izvzela iz poročila, je pet let</w:t>
            </w:r>
            <w:r>
              <w:rPr>
                <w:rFonts w:cs="Arial"/>
                <w:szCs w:val="20"/>
              </w:rPr>
              <w:t>,</w:t>
            </w:r>
            <w:r w:rsidRPr="00605612">
              <w:rPr>
                <w:rFonts w:cs="Arial"/>
                <w:szCs w:val="20"/>
              </w:rPr>
              <w:t xml:space="preserve"> odkar bi morala poročati o njih. Predmet izvzetja iz poročila pa nikoli in v nobenem primeru ne morejo biti informacije, ki se nanašajo na davčne </w:t>
            </w:r>
            <w:r>
              <w:rPr>
                <w:rFonts w:cs="Arial"/>
                <w:szCs w:val="20"/>
              </w:rPr>
              <w:t>jurisdikcije</w:t>
            </w:r>
            <w:r w:rsidRPr="00605612">
              <w:rPr>
                <w:rFonts w:cs="Arial"/>
                <w:szCs w:val="20"/>
              </w:rPr>
              <w:t>, vključene v prilog</w:t>
            </w:r>
            <w:r>
              <w:rPr>
                <w:rFonts w:cs="Arial"/>
                <w:szCs w:val="20"/>
              </w:rPr>
              <w:t>i</w:t>
            </w:r>
            <w:r w:rsidRPr="00605612">
              <w:rPr>
                <w:rFonts w:cs="Arial"/>
                <w:szCs w:val="20"/>
              </w:rPr>
              <w:t xml:space="preserve"> I in II k Sklepom Sveta o posodobljenem seznamu EU z jurisdikcijami, ki niso pripravljene sodelovati v davčne namene.</w:t>
            </w:r>
          </w:p>
          <w:p w14:paraId="42CFB81B" w14:textId="77777777" w:rsidR="000C08CA" w:rsidRPr="00605612" w:rsidRDefault="000C08CA" w:rsidP="00FE328D">
            <w:pPr>
              <w:spacing w:line="276" w:lineRule="auto"/>
              <w:jc w:val="both"/>
              <w:rPr>
                <w:rFonts w:cs="Arial"/>
                <w:szCs w:val="20"/>
              </w:rPr>
            </w:pPr>
          </w:p>
          <w:p w14:paraId="35D6BA20" w14:textId="77777777" w:rsidR="000C08CA" w:rsidRPr="00605612" w:rsidRDefault="000C08CA" w:rsidP="00FE328D">
            <w:pPr>
              <w:spacing w:line="276" w:lineRule="auto"/>
              <w:jc w:val="both"/>
              <w:rPr>
                <w:rFonts w:cs="Arial"/>
                <w:szCs w:val="20"/>
              </w:rPr>
            </w:pPr>
            <w:r w:rsidRPr="00605612">
              <w:rPr>
                <w:rFonts w:cs="Arial"/>
                <w:szCs w:val="20"/>
              </w:rPr>
              <w:t>70.i člen</w:t>
            </w:r>
          </w:p>
          <w:p w14:paraId="09AF410F" w14:textId="77777777" w:rsidR="000C08CA" w:rsidRPr="00605612" w:rsidRDefault="000C08CA" w:rsidP="00FE328D">
            <w:pPr>
              <w:spacing w:line="276" w:lineRule="auto"/>
              <w:rPr>
                <w:rFonts w:cs="Arial"/>
                <w:b/>
                <w:szCs w:val="20"/>
              </w:rPr>
            </w:pPr>
          </w:p>
          <w:p w14:paraId="235F915A" w14:textId="77777777" w:rsidR="000C08CA" w:rsidRPr="00605612" w:rsidRDefault="000C08CA" w:rsidP="00FE328D">
            <w:pPr>
              <w:spacing w:line="276" w:lineRule="auto"/>
              <w:jc w:val="both"/>
              <w:rPr>
                <w:rFonts w:cs="Arial"/>
                <w:szCs w:val="20"/>
              </w:rPr>
            </w:pPr>
            <w:r w:rsidRPr="00605612">
              <w:rPr>
                <w:rFonts w:cs="Arial"/>
                <w:szCs w:val="20"/>
              </w:rPr>
              <w:t>S 70.i členom se določa objava poročila. Družbe, zavezanke za pripravo poročila</w:t>
            </w:r>
            <w:r>
              <w:rPr>
                <w:rFonts w:cs="Arial"/>
                <w:color w:val="000000" w:themeColor="text1"/>
                <w:szCs w:val="20"/>
              </w:rPr>
              <w:t xml:space="preserve"> o davčnih informacijah</w:t>
            </w:r>
            <w:r w:rsidRPr="00605612">
              <w:rPr>
                <w:rFonts w:cs="Arial"/>
                <w:szCs w:val="20"/>
              </w:rPr>
              <w:t xml:space="preserve"> v zvezi z dohodki, kot jih določata prvi in drugi odstavek 70.e člen ZGD-1, bodo morale poročilo </w:t>
            </w:r>
            <w:r>
              <w:rPr>
                <w:rFonts w:cs="Arial"/>
                <w:color w:val="000000" w:themeColor="text1"/>
                <w:szCs w:val="20"/>
              </w:rPr>
              <w:t xml:space="preserve">o davčnih informacijah </w:t>
            </w:r>
            <w:r w:rsidRPr="00605612">
              <w:rPr>
                <w:rFonts w:cs="Arial"/>
                <w:szCs w:val="20"/>
              </w:rPr>
              <w:t xml:space="preserve">v zvezi z dohodki pripraviti </w:t>
            </w:r>
            <w:r>
              <w:rPr>
                <w:rFonts w:cs="Arial"/>
                <w:szCs w:val="20"/>
              </w:rPr>
              <w:t>kot samostojno in ločeno od</w:t>
            </w:r>
            <w:r w:rsidRPr="00605612">
              <w:rPr>
                <w:rFonts w:cs="Arial"/>
                <w:szCs w:val="20"/>
              </w:rPr>
              <w:t xml:space="preserve"> letnega poročila. Poročilo </w:t>
            </w:r>
            <w:r>
              <w:rPr>
                <w:rFonts w:cs="Arial"/>
                <w:color w:val="000000" w:themeColor="text1"/>
                <w:szCs w:val="20"/>
              </w:rPr>
              <w:t>o davčnih informacijah</w:t>
            </w:r>
            <w:r w:rsidDel="003E2096">
              <w:rPr>
                <w:rFonts w:cs="Arial"/>
                <w:color w:val="000000" w:themeColor="text1"/>
                <w:szCs w:val="20"/>
              </w:rPr>
              <w:t xml:space="preserve"> </w:t>
            </w:r>
            <w:r w:rsidRPr="00605612">
              <w:rPr>
                <w:rFonts w:cs="Arial"/>
                <w:szCs w:val="20"/>
              </w:rPr>
              <w:t xml:space="preserve">v zvezi z dohodki bo </w:t>
            </w:r>
            <w:r>
              <w:rPr>
                <w:rFonts w:cs="Arial"/>
                <w:szCs w:val="20"/>
              </w:rPr>
              <w:t>samostojno in ločeno od</w:t>
            </w:r>
            <w:r w:rsidRPr="00605612">
              <w:rPr>
                <w:rFonts w:cs="Arial"/>
                <w:szCs w:val="20"/>
              </w:rPr>
              <w:t xml:space="preserve"> letnega poročila objavljeno v skladu s pravili o javni objavi, ki so že določena v 58. členu ZGD-1. Ker direktiva v 48.d členu zahteva objavo </w:t>
            </w:r>
            <w:r>
              <w:rPr>
                <w:rFonts w:cs="Arial"/>
                <w:szCs w:val="20"/>
              </w:rPr>
              <w:t xml:space="preserve">oziroma predložitev </w:t>
            </w:r>
            <w:r w:rsidRPr="00605612">
              <w:rPr>
                <w:rFonts w:cs="Arial"/>
                <w:szCs w:val="20"/>
              </w:rPr>
              <w:t>in dostopnost poročila</w:t>
            </w:r>
            <w:r>
              <w:rPr>
                <w:rFonts w:cs="Arial"/>
                <w:color w:val="000000" w:themeColor="text1"/>
                <w:szCs w:val="20"/>
              </w:rPr>
              <w:t xml:space="preserve"> o davčnih informacijah</w:t>
            </w:r>
            <w:r w:rsidRPr="00605612">
              <w:rPr>
                <w:rFonts w:cs="Arial"/>
                <w:szCs w:val="20"/>
              </w:rPr>
              <w:t xml:space="preserve"> v zvezi z dohodki</w:t>
            </w:r>
            <w:r>
              <w:rPr>
                <w:rFonts w:cs="Arial"/>
                <w:szCs w:val="20"/>
              </w:rPr>
              <w:t xml:space="preserve"> oziroma objavo</w:t>
            </w:r>
            <w:r w:rsidRPr="00605612">
              <w:rPr>
                <w:rFonts w:cs="Arial"/>
                <w:szCs w:val="20"/>
              </w:rPr>
              <w:t xml:space="preserve"> tudi na spletni strani družbe, se v 70.i členu predloga zakona določa, da je treba poročilo </w:t>
            </w:r>
            <w:r>
              <w:rPr>
                <w:rFonts w:cs="Arial"/>
                <w:szCs w:val="20"/>
              </w:rPr>
              <w:t xml:space="preserve">v </w:t>
            </w:r>
            <w:r w:rsidRPr="00605612">
              <w:rPr>
                <w:rFonts w:cs="Arial"/>
                <w:szCs w:val="20"/>
              </w:rPr>
              <w:t>12 mesec</w:t>
            </w:r>
            <w:r>
              <w:rPr>
                <w:rFonts w:cs="Arial"/>
                <w:szCs w:val="20"/>
              </w:rPr>
              <w:t>ih</w:t>
            </w:r>
            <w:r w:rsidRPr="00605612">
              <w:rPr>
                <w:rFonts w:cs="Arial"/>
                <w:szCs w:val="20"/>
              </w:rPr>
              <w:t xml:space="preserve"> po koncu poslovnega leta objaviti tudi na javnosti dostopni spletni strani družbe. </w:t>
            </w:r>
            <w:r w:rsidRPr="0097457B">
              <w:rPr>
                <w:rFonts w:cs="Arial"/>
                <w:szCs w:val="20"/>
              </w:rPr>
              <w:t>Navodilo o predložitvi letnih in zaključnih poročil ter drugih podatkov poslovnih subjektov (Uradni list RS, št. 86/16 in 76/17)</w:t>
            </w:r>
            <w:r w:rsidRPr="00605612">
              <w:rPr>
                <w:rFonts w:cs="Arial"/>
                <w:szCs w:val="20"/>
              </w:rPr>
              <w:t xml:space="preserve"> v </w:t>
            </w:r>
            <w:r>
              <w:rPr>
                <w:rFonts w:cs="Arial"/>
                <w:szCs w:val="20"/>
              </w:rPr>
              <w:t>desetem odstavku 22. člena določa, da p</w:t>
            </w:r>
            <w:r w:rsidRPr="007D2143">
              <w:rPr>
                <w:rFonts w:cs="Arial"/>
                <w:szCs w:val="20"/>
              </w:rPr>
              <w:t>oslovni subjekti predložijo letno in zaključno poročilo v slovenskem jeziku. Družbe lahko predložijo letno poročilo za javno objavo tudi v katerem od uradnih jezikov Evropske unije, če je predhodno predloženo v slovenskem jeziku.</w:t>
            </w:r>
            <w:r>
              <w:rPr>
                <w:rFonts w:cs="Arial"/>
                <w:szCs w:val="20"/>
              </w:rPr>
              <w:t xml:space="preserve"> Zaradi jasnosti in določnosti menimo, da bo</w:t>
            </w:r>
            <w:r w:rsidRPr="00C51181">
              <w:rPr>
                <w:rFonts w:cs="Arial"/>
                <w:szCs w:val="20"/>
              </w:rPr>
              <w:t xml:space="preserve"> Svet Agencije Republike Slovenije za javnopravne evidence in storitve</w:t>
            </w:r>
            <w:r>
              <w:rPr>
                <w:rFonts w:cs="Arial"/>
                <w:szCs w:val="20"/>
              </w:rPr>
              <w:t xml:space="preserve"> moral spremeniti in dopolniti</w:t>
            </w:r>
            <w:r>
              <w:t xml:space="preserve"> </w:t>
            </w:r>
            <w:r>
              <w:rPr>
                <w:rFonts w:cs="Arial"/>
                <w:szCs w:val="20"/>
              </w:rPr>
              <w:t>zadevno navodilo n</w:t>
            </w:r>
            <w:r w:rsidRPr="00C51181">
              <w:rPr>
                <w:rFonts w:cs="Arial"/>
                <w:szCs w:val="20"/>
              </w:rPr>
              <w:t>a podlagi petega odstavka 71. člena Zakona o plačilnem prometu (Uradni list RS, št. 110/06 – uradno prečiščeno besedilo, 114/06 – ZUE, 131/06 – ZBan-1, 102/07, 126/07 – ZFPPIPP, 58/09 – ZPlaSS, 34/10 – ZPlaSS-A in 59/10 – ZOPSPU) in 5. točke 15. člena Sklepa o ustanovitvi Agencije Republike Slovenije za javnopravne evidence in storitve (Uradni list RS, št. 53/02, 87/02 in 16/07)</w:t>
            </w:r>
            <w:r>
              <w:rPr>
                <w:rFonts w:cs="Arial"/>
                <w:szCs w:val="20"/>
              </w:rPr>
              <w:t xml:space="preserve"> in določiti, da družbe predložijo poročilo o davčnih informacijah v zvezi z dohodki v slovenskem jeziku.</w:t>
            </w:r>
            <w:r w:rsidRPr="00605612">
              <w:rPr>
                <w:rFonts w:cs="Arial"/>
                <w:szCs w:val="20"/>
              </w:rPr>
              <w:t xml:space="preserve"> Poročilo mora biti na spletni strani družbe vsem brezplačno dostopno najmanj pet zaporednih let. Ker je v Republiki Sloveniji omogočeno, da bo poročilo o davčnih informacijah v zvezi z dohodki javno objavljeno tako, da je vsakomur omogočen brezplačen vpogled v podatke, objavljene na spletnih straneh AJPES, se določa da poročila o davčnih informacijah v zvezi z dohodki ni treba objaviti družbam na svoji spletni strani. Morajo pa o tem izvzetju na svoji spletni strani objaviti obvestilo in sklic na spletne strani AJPES. </w:t>
            </w:r>
          </w:p>
          <w:p w14:paraId="2457E650" w14:textId="77777777" w:rsidR="000C08CA" w:rsidRPr="00605612" w:rsidRDefault="000C08CA" w:rsidP="00FE328D">
            <w:pPr>
              <w:spacing w:line="276" w:lineRule="auto"/>
              <w:jc w:val="both"/>
              <w:rPr>
                <w:rFonts w:cs="Arial"/>
                <w:szCs w:val="20"/>
              </w:rPr>
            </w:pPr>
          </w:p>
          <w:p w14:paraId="5B2B62E1" w14:textId="77777777" w:rsidR="000C08CA" w:rsidRPr="00605612" w:rsidRDefault="000C08CA" w:rsidP="00FE328D">
            <w:pPr>
              <w:spacing w:line="276" w:lineRule="auto"/>
              <w:jc w:val="both"/>
              <w:rPr>
                <w:rFonts w:cs="Arial"/>
                <w:szCs w:val="20"/>
              </w:rPr>
            </w:pPr>
            <w:r w:rsidRPr="00605612">
              <w:rPr>
                <w:rFonts w:cs="Arial"/>
                <w:szCs w:val="20"/>
              </w:rPr>
              <w:lastRenderedPageBreak/>
              <w:t>70.j člen</w:t>
            </w:r>
          </w:p>
          <w:p w14:paraId="2A7D2715" w14:textId="77777777" w:rsidR="000C08CA" w:rsidRPr="00605612" w:rsidRDefault="000C08CA" w:rsidP="00FE328D">
            <w:pPr>
              <w:spacing w:line="276" w:lineRule="auto"/>
              <w:jc w:val="both"/>
              <w:rPr>
                <w:rFonts w:cs="Arial"/>
                <w:szCs w:val="20"/>
              </w:rPr>
            </w:pPr>
          </w:p>
          <w:p w14:paraId="1E512633" w14:textId="77777777" w:rsidR="000C08CA" w:rsidRPr="00605612" w:rsidRDefault="000C08CA" w:rsidP="00FE328D">
            <w:pPr>
              <w:spacing w:line="276" w:lineRule="auto"/>
              <w:jc w:val="both"/>
              <w:rPr>
                <w:rFonts w:cs="Arial"/>
                <w:szCs w:val="20"/>
              </w:rPr>
            </w:pPr>
            <w:r w:rsidRPr="00605612">
              <w:rPr>
                <w:rFonts w:cs="Arial"/>
                <w:szCs w:val="20"/>
              </w:rPr>
              <w:t>V 70.j členu predloga zakona se določa obveznost priprave</w:t>
            </w:r>
            <w:r>
              <w:rPr>
                <w:rFonts w:cs="Arial"/>
                <w:szCs w:val="20"/>
              </w:rPr>
              <w:t>,</w:t>
            </w:r>
            <w:r w:rsidRPr="00605612" w:rsidDel="00CE58BE">
              <w:rPr>
                <w:rFonts w:cs="Arial"/>
                <w:szCs w:val="20"/>
              </w:rPr>
              <w:t xml:space="preserve"> </w:t>
            </w:r>
            <w:r w:rsidRPr="00605612">
              <w:rPr>
                <w:rFonts w:cs="Arial"/>
                <w:szCs w:val="20"/>
              </w:rPr>
              <w:t>objave</w:t>
            </w:r>
            <w:r>
              <w:rPr>
                <w:rFonts w:cs="Arial"/>
                <w:szCs w:val="20"/>
              </w:rPr>
              <w:t xml:space="preserve"> oziroma predložitve</w:t>
            </w:r>
            <w:r w:rsidRPr="00605612">
              <w:rPr>
                <w:rFonts w:cs="Arial"/>
                <w:szCs w:val="20"/>
              </w:rPr>
              <w:t xml:space="preserve"> poročila </w:t>
            </w:r>
            <w:r>
              <w:rPr>
                <w:rFonts w:cs="Arial"/>
                <w:szCs w:val="20"/>
              </w:rPr>
              <w:t xml:space="preserve">o davčnih informacijah v zvezi z dohodki in objavo na spletni strani </w:t>
            </w:r>
            <w:r w:rsidRPr="00605612">
              <w:rPr>
                <w:rFonts w:cs="Arial"/>
                <w:szCs w:val="20"/>
              </w:rPr>
              <w:t>za odvisne družbe. V skladu s četrtim odstavkom 48</w:t>
            </w:r>
            <w:r w:rsidRPr="00605612" w:rsidDel="000857B8">
              <w:rPr>
                <w:rFonts w:cs="Arial"/>
                <w:szCs w:val="20"/>
              </w:rPr>
              <w:t>.</w:t>
            </w:r>
            <w:r w:rsidRPr="00605612">
              <w:rPr>
                <w:rFonts w:cs="Arial"/>
                <w:szCs w:val="20"/>
              </w:rPr>
              <w:t xml:space="preserve">b </w:t>
            </w:r>
            <w:r w:rsidRPr="00605612" w:rsidDel="000857B8">
              <w:rPr>
                <w:rFonts w:cs="Arial"/>
                <w:szCs w:val="20"/>
              </w:rPr>
              <w:t xml:space="preserve">člena </w:t>
            </w:r>
            <w:r w:rsidRPr="00605612">
              <w:rPr>
                <w:rFonts w:cs="Arial"/>
                <w:szCs w:val="20"/>
              </w:rPr>
              <w:t xml:space="preserve">Direktive 2013/34/EU, ki jo dopolnjuje Direktiva 2021/2101/EU, gre za odvisne družbe s sedežem v Republiki Sloveniji, ki jih obvladuje </w:t>
            </w:r>
            <w:r>
              <w:rPr>
                <w:rFonts w:cs="Arial"/>
                <w:szCs w:val="20"/>
              </w:rPr>
              <w:t>tuje podjetje iz tretje države</w:t>
            </w:r>
            <w:r w:rsidRPr="00605612">
              <w:rPr>
                <w:rFonts w:cs="Arial"/>
                <w:szCs w:val="20"/>
              </w:rPr>
              <w:t xml:space="preserve"> (držav</w:t>
            </w:r>
            <w:r>
              <w:rPr>
                <w:rFonts w:cs="Arial"/>
                <w:szCs w:val="20"/>
              </w:rPr>
              <w:t>e</w:t>
            </w:r>
            <w:r w:rsidRPr="00605612">
              <w:rPr>
                <w:rFonts w:cs="Arial"/>
                <w:szCs w:val="20"/>
              </w:rPr>
              <w:t xml:space="preserve"> </w:t>
            </w:r>
            <w:r>
              <w:rPr>
                <w:rFonts w:cs="Arial"/>
                <w:szCs w:val="20"/>
              </w:rPr>
              <w:t>zunaj</w:t>
            </w:r>
            <w:r w:rsidRPr="00605612">
              <w:rPr>
                <w:rFonts w:cs="Arial"/>
                <w:szCs w:val="20"/>
              </w:rPr>
              <w:t xml:space="preserve"> EU).</w:t>
            </w:r>
          </w:p>
          <w:p w14:paraId="2A3336A4" w14:textId="77777777" w:rsidR="000C08CA" w:rsidRPr="00605612" w:rsidRDefault="000C08CA" w:rsidP="00FE328D">
            <w:pPr>
              <w:spacing w:line="276" w:lineRule="auto"/>
              <w:jc w:val="both"/>
              <w:rPr>
                <w:rFonts w:cs="Arial"/>
                <w:szCs w:val="20"/>
              </w:rPr>
            </w:pPr>
          </w:p>
          <w:p w14:paraId="09C3E954" w14:textId="77777777" w:rsidR="000C08CA" w:rsidRPr="00605612" w:rsidRDefault="000C08CA" w:rsidP="00FE328D">
            <w:pPr>
              <w:spacing w:line="276" w:lineRule="auto"/>
              <w:jc w:val="both"/>
              <w:rPr>
                <w:rFonts w:cs="Arial"/>
                <w:szCs w:val="20"/>
              </w:rPr>
            </w:pPr>
            <w:r w:rsidRPr="00605612">
              <w:rPr>
                <w:rFonts w:cs="Arial"/>
                <w:szCs w:val="20"/>
              </w:rPr>
              <w:t xml:space="preserve">Direktiva 2021/2101/EU v 10. uvodni izjavi navaja, da bi bilo treba javnosti omogočiti, da nadzoruje vse dejavnosti skupine podjetij, če ima skupina določene vrste subjektov s sedežem v Evropski uniji. V primeru družb ali družb v skupini, ki v Evropski uniji poslujejo zgolj prek odvisnih družb ali podružnic, bi morale te odvisne družbe in podružnice objaviti poročilo </w:t>
            </w:r>
            <w:r>
              <w:rPr>
                <w:rFonts w:cs="Arial"/>
                <w:color w:val="000000" w:themeColor="text1"/>
                <w:szCs w:val="20"/>
              </w:rPr>
              <w:t xml:space="preserve">o davčnih informacijah </w:t>
            </w:r>
            <w:r w:rsidRPr="00605612">
              <w:rPr>
                <w:rFonts w:cs="Arial"/>
                <w:szCs w:val="20"/>
              </w:rPr>
              <w:t>v zvezi z dohodki, ki se nanaša na obvladujočo družbo iz tretje države in omogočiti dostop do njega. Če te informacije ali poročilo niso na voljo ali če končno obvladujoče podjetje odvisnim podjetjem ali podružnicam ne zagotovi vseh zahtevanih informacij, bi morala odvisna podjetja in podružnice pripraviti, objaviti in omogočiti dostop do poročila o davčnih informacijah v zvezi z dohodki, ki vsebuje vse informacije, ki jih imajo na voljo, so jih prejele ali pridobile, skupaj z izjavo, da končno obvladujoče podjetje potrebnih informacij ni dalo na voljo. Vendar bi bilo treba zaradi sorazmernosti in učinkovitosti, obveznost objave in omogočanja dostopa do poročila o davčnih informacijah v zvezi z dohodki omejiti na srednja in velika odvisna podjetja s sedežem v Evropski uniji in na podružnice primerljive velikosti, odprte v Evropski uniji. Področje uporabe Direktive 2013/34/EU bi bilo zato treba ustrezno razširiti na podružnice, ki jih v državi članici odpre podjetje s sedežem zunaj Evropske unije in s pravno obliko, ki je primerljiva z vrstami podjetij s seznama v Prilogi I k Direktivi 2013/34/EU (to so delniška družba, komanditna delniška družba in družba z omejeno odgovornostjo). Za podružnice, ki so se zaprle, kot je navedeno v točk</w:t>
            </w:r>
            <w:r>
              <w:rPr>
                <w:rFonts w:cs="Arial"/>
                <w:szCs w:val="20"/>
              </w:rPr>
              <w:t xml:space="preserve">i </w:t>
            </w:r>
            <w:r w:rsidRPr="00605612">
              <w:rPr>
                <w:rFonts w:cs="Arial"/>
                <w:szCs w:val="20"/>
              </w:rPr>
              <w:t>(k)</w:t>
            </w:r>
            <w:r>
              <w:rPr>
                <w:rFonts w:cs="Arial"/>
                <w:szCs w:val="20"/>
              </w:rPr>
              <w:t xml:space="preserve"> </w:t>
            </w:r>
            <w:r w:rsidRPr="00605612">
              <w:rPr>
                <w:rFonts w:cs="Arial"/>
                <w:szCs w:val="20"/>
              </w:rPr>
              <w:t>37. člen</w:t>
            </w:r>
            <w:r>
              <w:rPr>
                <w:rFonts w:cs="Arial"/>
                <w:szCs w:val="20"/>
              </w:rPr>
              <w:t>a</w:t>
            </w:r>
            <w:r w:rsidRPr="00605612">
              <w:rPr>
                <w:rFonts w:cs="Arial"/>
                <w:szCs w:val="20"/>
              </w:rPr>
              <w:t xml:space="preserve"> Direktive (EU) 2017/1132 Evropskega parlamenta in Sveta, obveznost poročanja iz Direktive 2021/2101/EU ne velja več.</w:t>
            </w:r>
          </w:p>
          <w:p w14:paraId="3BDAF463" w14:textId="77777777" w:rsidR="000C08CA" w:rsidRPr="00605612" w:rsidRDefault="000C08CA" w:rsidP="00FE328D">
            <w:pPr>
              <w:spacing w:line="276" w:lineRule="auto"/>
              <w:rPr>
                <w:rFonts w:cs="Arial"/>
                <w:szCs w:val="20"/>
              </w:rPr>
            </w:pPr>
          </w:p>
          <w:p w14:paraId="59DE4EA2" w14:textId="77777777" w:rsidR="000C08CA" w:rsidRPr="00605612" w:rsidRDefault="000C08CA" w:rsidP="00FE328D">
            <w:pPr>
              <w:spacing w:line="276" w:lineRule="auto"/>
              <w:jc w:val="both"/>
              <w:rPr>
                <w:rFonts w:cs="Arial"/>
                <w:szCs w:val="20"/>
              </w:rPr>
            </w:pPr>
            <w:r w:rsidRPr="00605612">
              <w:rPr>
                <w:rFonts w:cs="Arial"/>
                <w:szCs w:val="20"/>
              </w:rPr>
              <w:t>Prvi odstavek 70.j člena</w:t>
            </w:r>
            <w:r w:rsidRPr="00605612" w:rsidDel="000735F2">
              <w:rPr>
                <w:rFonts w:cs="Arial"/>
                <w:szCs w:val="20"/>
              </w:rPr>
              <w:t xml:space="preserve"> </w:t>
            </w:r>
            <w:r>
              <w:rPr>
                <w:rFonts w:cs="Arial"/>
                <w:szCs w:val="20"/>
              </w:rPr>
              <w:t>ureja</w:t>
            </w:r>
            <w:r w:rsidRPr="00605612">
              <w:rPr>
                <w:rFonts w:cs="Arial"/>
                <w:szCs w:val="20"/>
              </w:rPr>
              <w:t xml:space="preserve"> situacijo, ko ima </w:t>
            </w:r>
            <w:r>
              <w:rPr>
                <w:rFonts w:cs="Arial"/>
                <w:szCs w:val="20"/>
              </w:rPr>
              <w:t>tuje podjetje</w:t>
            </w:r>
            <w:r w:rsidRPr="00605612">
              <w:rPr>
                <w:rFonts w:cs="Arial"/>
                <w:szCs w:val="20"/>
              </w:rPr>
              <w:t>, ki obvladuje družbo s sedežem v Republiki Sloveniji, sedež v tretji državi in izpolnjuje pogoje iz prvega odstavka 70.e člena tega zakona, torej glede konsolidiranega prihodka na podlagi podatkov zadnjih dveh zaporednih poslovnih let na bilančni presečni dan bilance stanja obakrat presega 750</w:t>
            </w:r>
            <w:r w:rsidRPr="00605612" w:rsidDel="000857B8">
              <w:rPr>
                <w:rFonts w:cs="Arial"/>
                <w:szCs w:val="20"/>
              </w:rPr>
              <w:t>.</w:t>
            </w:r>
            <w:r w:rsidRPr="00605612">
              <w:rPr>
                <w:rFonts w:cs="Arial"/>
                <w:szCs w:val="20"/>
              </w:rPr>
              <w:t xml:space="preserve">000.000 </w:t>
            </w:r>
            <w:r>
              <w:rPr>
                <w:rFonts w:cs="Arial"/>
                <w:szCs w:val="20"/>
              </w:rPr>
              <w:t>EUR</w:t>
            </w:r>
            <w:r w:rsidRPr="00605612">
              <w:rPr>
                <w:rFonts w:cs="Arial"/>
                <w:szCs w:val="20"/>
              </w:rPr>
              <w:t>. Če takšn</w:t>
            </w:r>
            <w:r>
              <w:rPr>
                <w:rFonts w:cs="Arial"/>
                <w:szCs w:val="20"/>
              </w:rPr>
              <w:t xml:space="preserve">o tuje podjetje </w:t>
            </w:r>
            <w:r w:rsidRPr="00605612">
              <w:rPr>
                <w:rFonts w:cs="Arial"/>
                <w:szCs w:val="20"/>
              </w:rPr>
              <w:t xml:space="preserve">s sedežem v tretji državi poročilo </w:t>
            </w:r>
            <w:r>
              <w:rPr>
                <w:rFonts w:cs="Arial"/>
                <w:color w:val="000000" w:themeColor="text1"/>
                <w:szCs w:val="20"/>
              </w:rPr>
              <w:t xml:space="preserve">o davčnih informacijah </w:t>
            </w:r>
            <w:r w:rsidRPr="00605612">
              <w:rPr>
                <w:rFonts w:cs="Arial"/>
                <w:szCs w:val="20"/>
              </w:rPr>
              <w:t>v zvezi z dohodki pripravi sam</w:t>
            </w:r>
            <w:r>
              <w:rPr>
                <w:rFonts w:cs="Arial"/>
                <w:szCs w:val="20"/>
              </w:rPr>
              <w:t>o</w:t>
            </w:r>
            <w:r w:rsidRPr="00605612">
              <w:rPr>
                <w:rFonts w:cs="Arial"/>
                <w:szCs w:val="20"/>
              </w:rPr>
              <w:t>, je nje</w:t>
            </w:r>
            <w:r>
              <w:rPr>
                <w:rFonts w:cs="Arial"/>
                <w:szCs w:val="20"/>
              </w:rPr>
              <w:t>gova</w:t>
            </w:r>
            <w:r w:rsidRPr="00605612">
              <w:rPr>
                <w:rFonts w:cs="Arial"/>
                <w:szCs w:val="20"/>
              </w:rPr>
              <w:t xml:space="preserve"> odvisna družba s sedežem v Republiki Sloveniji zavezana le, da ga </w:t>
            </w:r>
            <w:r>
              <w:rPr>
                <w:rFonts w:cs="Arial"/>
                <w:szCs w:val="20"/>
              </w:rPr>
              <w:t>v prevodu zaradi javne objave predloži AJPES</w:t>
            </w:r>
            <w:r w:rsidRPr="00605612">
              <w:rPr>
                <w:rFonts w:cs="Arial"/>
                <w:szCs w:val="20"/>
              </w:rPr>
              <w:t>.</w:t>
            </w:r>
          </w:p>
          <w:p w14:paraId="407B806E" w14:textId="77777777" w:rsidR="000C08CA" w:rsidRPr="00605612" w:rsidRDefault="000C08CA" w:rsidP="00FE328D">
            <w:pPr>
              <w:spacing w:line="276" w:lineRule="auto"/>
              <w:rPr>
                <w:rFonts w:cs="Arial"/>
                <w:szCs w:val="20"/>
              </w:rPr>
            </w:pPr>
          </w:p>
          <w:p w14:paraId="5CFAE529" w14:textId="77777777" w:rsidR="000C08CA" w:rsidRPr="00605612" w:rsidRDefault="000C08CA" w:rsidP="00FE328D">
            <w:pPr>
              <w:spacing w:line="276" w:lineRule="auto"/>
              <w:jc w:val="both"/>
              <w:rPr>
                <w:rFonts w:cs="Arial"/>
                <w:szCs w:val="20"/>
              </w:rPr>
            </w:pPr>
            <w:r w:rsidRPr="00605612">
              <w:rPr>
                <w:rFonts w:cs="Arial"/>
                <w:szCs w:val="20"/>
              </w:rPr>
              <w:t xml:space="preserve">Odvisna družba s sedežem v Republiki Sloveniji pa ne bo vedno pridobila poročila </w:t>
            </w:r>
            <w:r>
              <w:rPr>
                <w:rFonts w:cs="Arial"/>
                <w:color w:val="000000" w:themeColor="text1"/>
                <w:szCs w:val="20"/>
              </w:rPr>
              <w:t xml:space="preserve">o davčnih informacijah </w:t>
            </w:r>
            <w:r w:rsidRPr="00605612">
              <w:rPr>
                <w:rFonts w:cs="Arial"/>
                <w:szCs w:val="20"/>
              </w:rPr>
              <w:t>v zvezi z dohodki od svoje</w:t>
            </w:r>
            <w:r>
              <w:rPr>
                <w:rFonts w:cs="Arial"/>
                <w:szCs w:val="20"/>
              </w:rPr>
              <w:t>ga</w:t>
            </w:r>
            <w:r w:rsidRPr="00605612">
              <w:rPr>
                <w:rFonts w:cs="Arial"/>
                <w:szCs w:val="20"/>
              </w:rPr>
              <w:t xml:space="preserve"> obvladujoče</w:t>
            </w:r>
            <w:r>
              <w:rPr>
                <w:rFonts w:cs="Arial"/>
                <w:szCs w:val="20"/>
              </w:rPr>
              <w:t>ga tujega podjetja iz tretje države</w:t>
            </w:r>
            <w:r w:rsidRPr="00605612">
              <w:rPr>
                <w:rFonts w:cs="Arial"/>
                <w:szCs w:val="20"/>
              </w:rPr>
              <w:t>. V takem primeru od nje</w:t>
            </w:r>
            <w:r>
              <w:rPr>
                <w:rFonts w:cs="Arial"/>
                <w:szCs w:val="20"/>
              </w:rPr>
              <w:t>ga</w:t>
            </w:r>
            <w:r w:rsidRPr="00605612">
              <w:rPr>
                <w:rFonts w:cs="Arial"/>
                <w:szCs w:val="20"/>
              </w:rPr>
              <w:t xml:space="preserve"> zahteva, da ji zagotovi vse podatke, ki so potrebni za pripravo poročila. Če </w:t>
            </w:r>
            <w:r>
              <w:rPr>
                <w:rFonts w:cs="Arial"/>
                <w:szCs w:val="20"/>
              </w:rPr>
              <w:t>tuje podjetje iz tretje države</w:t>
            </w:r>
            <w:r w:rsidRPr="00605612">
              <w:rPr>
                <w:rFonts w:cs="Arial"/>
                <w:szCs w:val="20"/>
              </w:rPr>
              <w:t xml:space="preserve"> zahtevanih podatkov ne predloži, odvisna družba pripravi in </w:t>
            </w:r>
            <w:r>
              <w:rPr>
                <w:rFonts w:cs="Arial"/>
                <w:szCs w:val="20"/>
              </w:rPr>
              <w:t>zaradi javne objave predloži AJPES</w:t>
            </w:r>
            <w:r w:rsidRPr="00605612">
              <w:rPr>
                <w:rFonts w:cs="Arial"/>
                <w:szCs w:val="20"/>
              </w:rPr>
              <w:t xml:space="preserve">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v zvezi z dohodki, ki vsebuje podatke, ki jih ima na voljo, jih je prejela ali pridobila od obvladujoče družbe. Pri tem mora obvezno izpolniti tudi izjavo, da poročilo ne vsebuje vseh zahtevanih podatkov, ker ji jih njena obvladujoča družba ni predložila.</w:t>
            </w:r>
          </w:p>
          <w:p w14:paraId="203630A3" w14:textId="77777777" w:rsidR="000C08CA" w:rsidRPr="00605612" w:rsidRDefault="000C08CA" w:rsidP="00FE328D">
            <w:pPr>
              <w:spacing w:line="276" w:lineRule="auto"/>
              <w:jc w:val="both"/>
              <w:rPr>
                <w:rFonts w:cs="Arial"/>
                <w:szCs w:val="20"/>
              </w:rPr>
            </w:pPr>
          </w:p>
          <w:p w14:paraId="59F48F6A" w14:textId="77777777" w:rsidR="000C08CA" w:rsidRPr="00605612" w:rsidRDefault="000C08CA" w:rsidP="00FE328D">
            <w:pPr>
              <w:spacing w:line="276" w:lineRule="auto"/>
              <w:jc w:val="both"/>
              <w:rPr>
                <w:rFonts w:cs="Arial"/>
                <w:szCs w:val="20"/>
              </w:rPr>
            </w:pPr>
            <w:r>
              <w:rPr>
                <w:rFonts w:cs="Arial"/>
                <w:szCs w:val="20"/>
              </w:rPr>
              <w:t xml:space="preserve">Tretji odstavek v zvezi s </w:t>
            </w:r>
            <w:r w:rsidRPr="00605612">
              <w:rPr>
                <w:rFonts w:cs="Arial"/>
                <w:szCs w:val="20"/>
              </w:rPr>
              <w:t>poročil</w:t>
            </w:r>
            <w:r>
              <w:rPr>
                <w:rFonts w:cs="Arial"/>
                <w:szCs w:val="20"/>
              </w:rPr>
              <w:t>om</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 xml:space="preserve">določa, da ga mora odvisna družba objaviti na svoji spletni strani. </w:t>
            </w:r>
            <w:r w:rsidRPr="00605612">
              <w:rPr>
                <w:rFonts w:cs="Arial"/>
                <w:szCs w:val="20"/>
              </w:rPr>
              <w:t xml:space="preserve">Glede objave poročila </w:t>
            </w:r>
            <w:r>
              <w:rPr>
                <w:rFonts w:cs="Arial"/>
                <w:color w:val="000000" w:themeColor="text1"/>
                <w:szCs w:val="20"/>
              </w:rPr>
              <w:t xml:space="preserve">o davčnih informacijah </w:t>
            </w:r>
            <w:r w:rsidRPr="00605612">
              <w:rPr>
                <w:rFonts w:cs="Arial"/>
                <w:szCs w:val="20"/>
              </w:rPr>
              <w:t>v zvezi z dohodki, določene v tretjem odstavku tega člena, kjer gre za prenos določbe 48</w:t>
            </w:r>
            <w:r w:rsidRPr="00605612" w:rsidDel="004E5406">
              <w:rPr>
                <w:rFonts w:cs="Arial"/>
                <w:szCs w:val="20"/>
              </w:rPr>
              <w:t>.</w:t>
            </w:r>
            <w:r w:rsidRPr="00605612">
              <w:rPr>
                <w:rFonts w:cs="Arial"/>
                <w:szCs w:val="20"/>
              </w:rPr>
              <w:t xml:space="preserve">d </w:t>
            </w:r>
            <w:r w:rsidRPr="00605612" w:rsidDel="004E5406">
              <w:rPr>
                <w:rFonts w:cs="Arial"/>
                <w:szCs w:val="20"/>
              </w:rPr>
              <w:t xml:space="preserve">člena </w:t>
            </w:r>
            <w:r w:rsidRPr="00605612">
              <w:rPr>
                <w:rFonts w:cs="Arial"/>
                <w:szCs w:val="20"/>
              </w:rPr>
              <w:t xml:space="preserve">Direktive 2013/34/EU, ki se dopolnjuje z Direktivo 2021/2101/EU, velja smiselno enako kot za družbe iz 70.e člena ZGD-1 – poročilo je treba </w:t>
            </w:r>
            <w:r>
              <w:rPr>
                <w:rFonts w:cs="Arial"/>
                <w:szCs w:val="20"/>
              </w:rPr>
              <w:t xml:space="preserve">v </w:t>
            </w:r>
            <w:r w:rsidRPr="00605612">
              <w:rPr>
                <w:rFonts w:cs="Arial"/>
                <w:szCs w:val="20"/>
              </w:rPr>
              <w:t>12 mesec</w:t>
            </w:r>
            <w:r>
              <w:rPr>
                <w:rFonts w:cs="Arial"/>
                <w:szCs w:val="20"/>
              </w:rPr>
              <w:t>ih</w:t>
            </w:r>
            <w:r w:rsidRPr="00605612">
              <w:rPr>
                <w:rFonts w:cs="Arial"/>
                <w:szCs w:val="20"/>
              </w:rPr>
              <w:t xml:space="preserve"> po koncu poslovnega leta objaviti tudi na javnosti dostopni spletni strani družbe, kjer mora biti vsem brezplačno dostopno najmanj pet zaporednih let. </w:t>
            </w:r>
            <w:r w:rsidRPr="000A1803">
              <w:rPr>
                <w:rFonts w:cs="Arial"/>
                <w:szCs w:val="20"/>
              </w:rPr>
              <w:t>Navodilo o predložitvi letnih in zaključnih poročil ter drugih podatkov poslovnih subjektov (Uradni list RS, št. 86/16 in 76/17)</w:t>
            </w:r>
            <w:r w:rsidRPr="00605612">
              <w:rPr>
                <w:rFonts w:cs="Arial"/>
                <w:szCs w:val="20"/>
              </w:rPr>
              <w:t xml:space="preserve"> v</w:t>
            </w:r>
            <w:r>
              <w:rPr>
                <w:rFonts w:cs="Arial"/>
                <w:szCs w:val="20"/>
              </w:rPr>
              <w:t xml:space="preserve"> desetem</w:t>
            </w:r>
            <w:r w:rsidRPr="000A1803">
              <w:rPr>
                <w:rFonts w:cs="Arial"/>
                <w:szCs w:val="20"/>
              </w:rPr>
              <w:t xml:space="preserve"> odstavku 22. člena določa, da poslovni subjekti predložijo letno in </w:t>
            </w:r>
            <w:r w:rsidRPr="000A1803">
              <w:rPr>
                <w:rFonts w:cs="Arial"/>
                <w:szCs w:val="20"/>
              </w:rPr>
              <w:lastRenderedPageBreak/>
              <w:t>zaključno poročilo v slovenskem jeziku. Družbe lahko predložijo letno poročilo za javno objavo tudi v katerem</w:t>
            </w:r>
            <w:r w:rsidRPr="00605612">
              <w:rPr>
                <w:rFonts w:cs="Arial"/>
                <w:szCs w:val="20"/>
              </w:rPr>
              <w:t xml:space="preserve"> od uradnih jezikov Evropske unije, </w:t>
            </w:r>
            <w:r w:rsidRPr="000A1803">
              <w:rPr>
                <w:rFonts w:cs="Arial"/>
                <w:szCs w:val="20"/>
              </w:rPr>
              <w:t xml:space="preserve">če je predhodno predloženo v slovenskem jeziku. Zaradi jasnosti in določnosti </w:t>
            </w:r>
            <w:r>
              <w:rPr>
                <w:rFonts w:cs="Arial"/>
                <w:szCs w:val="20"/>
              </w:rPr>
              <w:t>menimo</w:t>
            </w:r>
            <w:r w:rsidRPr="000A1803">
              <w:rPr>
                <w:rFonts w:cs="Arial"/>
                <w:szCs w:val="20"/>
              </w:rPr>
              <w:t>, da bo Svet Agencije Republike Slovenije za javnopravne evidence in storitve moral spremeniti in dopolniti zadevno navodilo na podlagi petega odstavka 71. člena Zakona o plačilnem prometu (Uradni list RS, št. 110/06 – uradno prečiščeno besedilo, 114/06 – ZUE, 131/06 – ZBan-1, 102/07, 126/07 – ZFPPIPP, 58/09 – ZPlaSS, 34/10 – ZPlaSS-A in 59/10 – ZOPSPU) in 5. točke 15. člena Sklepa o ustanovitvi Agencije Republike Slovenije za javnopravne evidence in storitve (Uradni list RS, št. 53/02, 87/02 in 16/07) in določiti</w:t>
            </w:r>
            <w:r>
              <w:rPr>
                <w:rFonts w:cs="Arial"/>
                <w:szCs w:val="20"/>
              </w:rPr>
              <w:t>,</w:t>
            </w:r>
            <w:r w:rsidRPr="000A1803">
              <w:rPr>
                <w:rFonts w:cs="Arial"/>
                <w:szCs w:val="20"/>
              </w:rPr>
              <w:t xml:space="preserve"> da družbe predložijo poročilo o davčnih informacijah v zvezi z dohodki v slovenskem jeziku.</w:t>
            </w:r>
            <w:r w:rsidRPr="00605612">
              <w:rPr>
                <w:rFonts w:cs="Arial"/>
                <w:szCs w:val="20"/>
              </w:rPr>
              <w:t xml:space="preserve"> Glede na to, da gre pri odvisnih družbah, </w:t>
            </w:r>
            <w:r>
              <w:rPr>
                <w:rFonts w:cs="Arial"/>
                <w:szCs w:val="20"/>
              </w:rPr>
              <w:t>ki jih</w:t>
            </w:r>
            <w:r w:rsidRPr="00605612" w:rsidDel="00D3073D">
              <w:rPr>
                <w:rFonts w:cs="Arial"/>
                <w:szCs w:val="20"/>
              </w:rPr>
              <w:t xml:space="preserve"> </w:t>
            </w:r>
            <w:r w:rsidRPr="00605612">
              <w:rPr>
                <w:rFonts w:cs="Arial"/>
                <w:szCs w:val="20"/>
              </w:rPr>
              <w:t>v Republiki Sloveniji ustanov</w:t>
            </w:r>
            <w:r>
              <w:rPr>
                <w:rFonts w:cs="Arial"/>
                <w:szCs w:val="20"/>
              </w:rPr>
              <w:t>ijo</w:t>
            </w:r>
            <w:r w:rsidRPr="00605612">
              <w:rPr>
                <w:rFonts w:cs="Arial"/>
                <w:szCs w:val="20"/>
              </w:rPr>
              <w:t xml:space="preserve"> </w:t>
            </w:r>
            <w:r>
              <w:rPr>
                <w:rFonts w:cs="Arial"/>
                <w:szCs w:val="20"/>
              </w:rPr>
              <w:t>tuja podjetja</w:t>
            </w:r>
            <w:r w:rsidRPr="00605612">
              <w:rPr>
                <w:rFonts w:cs="Arial"/>
                <w:szCs w:val="20"/>
              </w:rPr>
              <w:t xml:space="preserve"> iz tretjih držav, za skupino, v katero so lahko vključene mnoge družbe, pri objavi poročila</w:t>
            </w:r>
            <w:r>
              <w:rPr>
                <w:rFonts w:cs="Arial"/>
                <w:color w:val="000000" w:themeColor="text1"/>
                <w:szCs w:val="20"/>
              </w:rPr>
              <w:t xml:space="preserve"> o davčnih informacijah</w:t>
            </w:r>
            <w:r w:rsidRPr="00605612">
              <w:rPr>
                <w:rFonts w:cs="Arial"/>
                <w:szCs w:val="20"/>
              </w:rPr>
              <w:t xml:space="preserve"> v zvezi z dohodki zadostuje objava na javnosti dostopni spletni strani katere koli odvisne ali povezane družbe v skupini, na katero se poročilo nanaša. Če poročilo o davčnih informacijah v zvezi z dohodki ni popolno, torej ne vsebuje vseh podatkov, ker jih obvladujoč</w:t>
            </w:r>
            <w:r>
              <w:rPr>
                <w:rFonts w:cs="Arial"/>
                <w:szCs w:val="20"/>
              </w:rPr>
              <w:t>e</w:t>
            </w:r>
            <w:r w:rsidRPr="00605612" w:rsidDel="00133843">
              <w:rPr>
                <w:rFonts w:cs="Arial"/>
                <w:szCs w:val="20"/>
              </w:rPr>
              <w:t xml:space="preserve"> </w:t>
            </w:r>
            <w:r>
              <w:rPr>
                <w:rFonts w:cs="Arial"/>
                <w:szCs w:val="20"/>
              </w:rPr>
              <w:t>tuje podjetje</w:t>
            </w:r>
            <w:r w:rsidRPr="00605612">
              <w:rPr>
                <w:rFonts w:cs="Arial"/>
                <w:szCs w:val="20"/>
              </w:rPr>
              <w:t xml:space="preserve"> iz tretje države ni predložil</w:t>
            </w:r>
            <w:r>
              <w:rPr>
                <w:rFonts w:cs="Arial"/>
                <w:szCs w:val="20"/>
              </w:rPr>
              <w:t>o</w:t>
            </w:r>
            <w:r w:rsidRPr="00605612">
              <w:rPr>
                <w:rFonts w:cs="Arial"/>
                <w:szCs w:val="20"/>
              </w:rPr>
              <w:t xml:space="preserve"> in je morala odvisna družba izpolniti tudi izjavo, da poročilo ne vsebuje vseh zahtevanih podatkov, ker ji jih njena obvladujoča družba ni predložila, je treba obvezno poleg poročila objaviti tudi navedeno izjavo.</w:t>
            </w:r>
          </w:p>
          <w:p w14:paraId="162ECA2D" w14:textId="77777777" w:rsidR="000C08CA" w:rsidRPr="00605612" w:rsidRDefault="000C08CA" w:rsidP="00FE328D">
            <w:pPr>
              <w:spacing w:line="276" w:lineRule="auto"/>
              <w:jc w:val="both"/>
              <w:rPr>
                <w:rFonts w:cs="Arial"/>
                <w:szCs w:val="20"/>
              </w:rPr>
            </w:pPr>
          </w:p>
          <w:p w14:paraId="1C0ECCB5" w14:textId="77777777" w:rsidR="000C08CA" w:rsidRPr="00605612" w:rsidRDefault="000C08CA" w:rsidP="00FE328D">
            <w:pPr>
              <w:spacing w:line="276" w:lineRule="auto"/>
              <w:jc w:val="both"/>
              <w:rPr>
                <w:rFonts w:cs="Arial"/>
                <w:szCs w:val="20"/>
              </w:rPr>
            </w:pPr>
            <w:r w:rsidRPr="00605612">
              <w:rPr>
                <w:rFonts w:cs="Arial"/>
                <w:szCs w:val="20"/>
              </w:rPr>
              <w:t>S četrtim odstavkom 70.j člena se prenaša četrti odstavek 48.b člena direktive, ki določa velikostni mejnik za nastanek obveznosti. Obveznost glede poročanja</w:t>
            </w:r>
            <w:r>
              <w:rPr>
                <w:rFonts w:cs="Arial"/>
                <w:color w:val="000000" w:themeColor="text1"/>
                <w:szCs w:val="20"/>
              </w:rPr>
              <w:t xml:space="preserve"> o davčnih informacijah</w:t>
            </w:r>
            <w:r w:rsidRPr="00605612">
              <w:rPr>
                <w:rFonts w:cs="Arial"/>
                <w:szCs w:val="20"/>
              </w:rPr>
              <w:t xml:space="preserve"> v zvezi z dohodki tako velja le za tiste odvisne družbe, ki izpolnjujejo merila za srednje ali velike družbe iz tretjega odstavka 3. člena in 4. člena Direktive 2013/34/EU. Ker so bile te določbe v ZGD-1 prenesene s 55. členom ZGD-1, se v četrtem odstavku 70.j člena naredi sklic na četrti do šesti odstavek 55. člena ZGD-1. Družbe, ki torej ne izpolnijo meril za srednjo ali veliko družbo, niso zavezane k pripravi, objavi oziroma zagotovitvi dostopnosti do poročila</w:t>
            </w:r>
            <w:r>
              <w:rPr>
                <w:rFonts w:cs="Arial"/>
                <w:color w:val="000000" w:themeColor="text1"/>
                <w:szCs w:val="20"/>
              </w:rPr>
              <w:t xml:space="preserve"> o davčnih informacijah</w:t>
            </w:r>
            <w:r w:rsidRPr="00605612">
              <w:rPr>
                <w:rFonts w:cs="Arial"/>
                <w:szCs w:val="20"/>
              </w:rPr>
              <w:t xml:space="preserve"> v zvezi z dohodki.</w:t>
            </w:r>
          </w:p>
          <w:p w14:paraId="7ED0039B" w14:textId="77777777" w:rsidR="000C08CA" w:rsidRPr="00605612" w:rsidRDefault="000C08CA" w:rsidP="00FE328D">
            <w:pPr>
              <w:spacing w:line="276" w:lineRule="auto"/>
              <w:jc w:val="both"/>
              <w:rPr>
                <w:rFonts w:cs="Arial"/>
                <w:szCs w:val="20"/>
              </w:rPr>
            </w:pPr>
          </w:p>
          <w:p w14:paraId="0D2758EF" w14:textId="77777777" w:rsidR="000C08CA" w:rsidRPr="00605612" w:rsidRDefault="000C08CA" w:rsidP="00FE328D">
            <w:pPr>
              <w:spacing w:line="276" w:lineRule="auto"/>
              <w:jc w:val="both"/>
              <w:rPr>
                <w:rFonts w:cs="Arial"/>
                <w:szCs w:val="20"/>
              </w:rPr>
            </w:pPr>
            <w:r w:rsidRPr="00605612">
              <w:rPr>
                <w:rFonts w:cs="Arial"/>
                <w:szCs w:val="20"/>
              </w:rPr>
              <w:t>S petim odstavkom se prenaša sedmi odstavek 48</w:t>
            </w:r>
            <w:r w:rsidRPr="00605612" w:rsidDel="0059290B">
              <w:rPr>
                <w:rFonts w:cs="Arial"/>
                <w:szCs w:val="20"/>
              </w:rPr>
              <w:t>.</w:t>
            </w:r>
            <w:r w:rsidRPr="00605612">
              <w:rPr>
                <w:rFonts w:cs="Arial"/>
                <w:szCs w:val="20"/>
              </w:rPr>
              <w:t>b direktive, ki določa, da morajo odvisne družbe, če</w:t>
            </w:r>
            <w:r>
              <w:rPr>
                <w:rFonts w:cs="Arial"/>
                <w:szCs w:val="20"/>
              </w:rPr>
              <w:t>prav</w:t>
            </w:r>
            <w:r w:rsidRPr="00605612">
              <w:rPr>
                <w:rFonts w:cs="Arial"/>
                <w:szCs w:val="20"/>
              </w:rPr>
              <w:t xml:space="preserve"> ne izpolnjujejo pogoja glede velikosti za srednje ali velike družbe, objaviti poročilo </w:t>
            </w:r>
            <w:r>
              <w:rPr>
                <w:rFonts w:cs="Arial"/>
                <w:color w:val="000000" w:themeColor="text1"/>
                <w:szCs w:val="20"/>
              </w:rPr>
              <w:t>o davčnih informacijah</w:t>
            </w:r>
            <w:r w:rsidRPr="00605612">
              <w:rPr>
                <w:rFonts w:cs="Arial"/>
                <w:szCs w:val="20"/>
              </w:rPr>
              <w:t xml:space="preserve"> v zvezi z dohodki in omogočiti dostop do njega, če je edini namen takšnih odvisnih družb le to, da se izognejo obveznostim poročanja </w:t>
            </w:r>
            <w:r>
              <w:rPr>
                <w:rFonts w:cs="Arial"/>
                <w:color w:val="000000" w:themeColor="text1"/>
                <w:szCs w:val="20"/>
              </w:rPr>
              <w:t xml:space="preserve">o davčnih informacijah </w:t>
            </w:r>
            <w:r w:rsidRPr="00605612">
              <w:rPr>
                <w:rFonts w:cs="Arial"/>
                <w:szCs w:val="20"/>
              </w:rPr>
              <w:t xml:space="preserve">v zvezi z dohodki. Gre za situacije, pri katerih je očitno, da je družba svojo poslovno strukturo organizirala na način, da se izogne obveznosti poročanja ali pa podatke o svojem poslovanju prikazuje na način, da ne doseže pragov, ki so potrebni za nastanek obveznosti poročanja </w:t>
            </w:r>
            <w:r>
              <w:rPr>
                <w:rFonts w:cs="Arial"/>
                <w:color w:val="000000" w:themeColor="text1"/>
                <w:szCs w:val="20"/>
              </w:rPr>
              <w:t xml:space="preserve">o davčnih informacijah </w:t>
            </w:r>
            <w:r w:rsidRPr="00605612">
              <w:rPr>
                <w:rFonts w:cs="Arial"/>
                <w:szCs w:val="20"/>
              </w:rPr>
              <w:t xml:space="preserve">v zvezi z dohodki.  </w:t>
            </w:r>
          </w:p>
          <w:p w14:paraId="398B739C" w14:textId="77777777" w:rsidR="000C08CA" w:rsidRPr="00605612" w:rsidRDefault="000C08CA" w:rsidP="00FE328D">
            <w:pPr>
              <w:spacing w:line="276" w:lineRule="auto"/>
              <w:jc w:val="both"/>
              <w:rPr>
                <w:rFonts w:cs="Arial"/>
                <w:szCs w:val="20"/>
              </w:rPr>
            </w:pPr>
          </w:p>
          <w:p w14:paraId="35DEF6A6" w14:textId="77777777" w:rsidR="000C08CA" w:rsidRPr="00605612" w:rsidRDefault="000C08CA" w:rsidP="00FE328D">
            <w:pPr>
              <w:spacing w:line="276" w:lineRule="auto"/>
              <w:jc w:val="both"/>
              <w:rPr>
                <w:rFonts w:cs="Arial"/>
                <w:szCs w:val="20"/>
              </w:rPr>
            </w:pPr>
            <w:r w:rsidRPr="00605612">
              <w:rPr>
                <w:rFonts w:cs="Arial"/>
                <w:szCs w:val="20"/>
              </w:rPr>
              <w:t xml:space="preserve">S šestim odstavkom se določi točna vrednost menjalnega tečaja (to je menjalni tečaj, veljaven na dan 21. decembra 2021) za pretvorbo pragu za nastanek obveznosti poročanja, to je 750 milijonov </w:t>
            </w:r>
            <w:r>
              <w:rPr>
                <w:rFonts w:cs="Arial"/>
                <w:szCs w:val="20"/>
              </w:rPr>
              <w:t>EUR</w:t>
            </w:r>
            <w:r w:rsidRPr="00605612">
              <w:rPr>
                <w:rFonts w:cs="Arial"/>
                <w:szCs w:val="20"/>
              </w:rPr>
              <w:t>, v nacionalno valuto tretje države, v kateri ima sedež obvladujoča družba iz tretje države.</w:t>
            </w:r>
          </w:p>
          <w:p w14:paraId="45A90304" w14:textId="77777777" w:rsidR="000C08CA" w:rsidRPr="00605612" w:rsidRDefault="000C08CA" w:rsidP="00FE328D">
            <w:pPr>
              <w:spacing w:line="276" w:lineRule="auto"/>
              <w:jc w:val="both"/>
              <w:rPr>
                <w:rFonts w:cs="Arial"/>
                <w:szCs w:val="20"/>
              </w:rPr>
            </w:pPr>
          </w:p>
          <w:p w14:paraId="7FE57994" w14:textId="77777777" w:rsidR="000C08CA" w:rsidRPr="00605612" w:rsidRDefault="000C08CA" w:rsidP="00FE328D">
            <w:pPr>
              <w:spacing w:line="276" w:lineRule="auto"/>
              <w:jc w:val="both"/>
              <w:rPr>
                <w:rFonts w:cs="Arial"/>
                <w:szCs w:val="20"/>
              </w:rPr>
            </w:pPr>
            <w:r w:rsidRPr="00605612">
              <w:rPr>
                <w:rFonts w:cs="Arial"/>
                <w:szCs w:val="20"/>
              </w:rPr>
              <w:t>70.k člen</w:t>
            </w:r>
          </w:p>
          <w:p w14:paraId="21762DC3" w14:textId="77777777" w:rsidR="000C08CA" w:rsidRPr="00605612" w:rsidRDefault="000C08CA" w:rsidP="00FE328D">
            <w:pPr>
              <w:spacing w:line="276" w:lineRule="auto"/>
              <w:jc w:val="both"/>
              <w:rPr>
                <w:rFonts w:cs="Arial"/>
                <w:szCs w:val="20"/>
              </w:rPr>
            </w:pPr>
          </w:p>
          <w:p w14:paraId="4DC64338" w14:textId="77777777" w:rsidR="000C08CA" w:rsidRPr="00605612" w:rsidRDefault="000C08CA" w:rsidP="00FE328D">
            <w:pPr>
              <w:spacing w:line="276" w:lineRule="auto"/>
              <w:jc w:val="both"/>
              <w:rPr>
                <w:rFonts w:cs="Arial"/>
                <w:szCs w:val="20"/>
              </w:rPr>
            </w:pPr>
            <w:r w:rsidRPr="00605612">
              <w:rPr>
                <w:rFonts w:cs="Arial"/>
                <w:szCs w:val="20"/>
              </w:rPr>
              <w:t>V 70.k členu je določeno, kdaj preneha obveznost poročanja za:</w:t>
            </w:r>
          </w:p>
          <w:p w14:paraId="4A0D89B8"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družbe, ustanovljene v Republiki Sloveniji, ki obvladujejo druge družbe (iz prvega odstavka 70.e člena ZGD-1),</w:t>
            </w:r>
          </w:p>
          <w:p w14:paraId="04693189"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(samostojne) družbe (iz drugega odstavka 70.e člena ZGD-1),</w:t>
            </w:r>
          </w:p>
          <w:p w14:paraId="529E1881" w14:textId="77777777" w:rsidR="000C08CA" w:rsidRPr="00605612" w:rsidRDefault="000C08CA" w:rsidP="00FE328D">
            <w:pPr>
              <w:spacing w:line="276" w:lineRule="auto"/>
              <w:jc w:val="both"/>
              <w:rPr>
                <w:rFonts w:cs="Arial"/>
                <w:szCs w:val="20"/>
              </w:rPr>
            </w:pPr>
            <w:r>
              <w:rPr>
                <w:rFonts w:cs="Arial"/>
                <w:szCs w:val="20"/>
              </w:rPr>
              <w:t>‒</w:t>
            </w:r>
            <w:r w:rsidRPr="00605612">
              <w:rPr>
                <w:rFonts w:cs="Arial"/>
                <w:szCs w:val="20"/>
              </w:rPr>
              <w:t xml:space="preserve"> odvisne družbe s sedežem v Republiki Sloveniji</w:t>
            </w:r>
            <w:r w:rsidRPr="00605612" w:rsidDel="006F546F">
              <w:rPr>
                <w:rFonts w:cs="Arial"/>
                <w:szCs w:val="20"/>
              </w:rPr>
              <w:t>,</w:t>
            </w:r>
            <w:r>
              <w:rPr>
                <w:rFonts w:cs="Arial"/>
                <w:szCs w:val="20"/>
              </w:rPr>
              <w:t xml:space="preserve"> ki so jih ustanovila</w:t>
            </w:r>
            <w:r w:rsidRPr="00605612">
              <w:rPr>
                <w:rFonts w:cs="Arial"/>
                <w:szCs w:val="20"/>
              </w:rPr>
              <w:t xml:space="preserve"> tuj</w:t>
            </w:r>
            <w:r>
              <w:rPr>
                <w:rFonts w:cs="Arial"/>
                <w:szCs w:val="20"/>
              </w:rPr>
              <w:t>a</w:t>
            </w:r>
            <w:r w:rsidRPr="00605612">
              <w:rPr>
                <w:rFonts w:cs="Arial"/>
                <w:szCs w:val="20"/>
              </w:rPr>
              <w:t xml:space="preserve"> podjetj</w:t>
            </w:r>
            <w:r>
              <w:rPr>
                <w:rFonts w:cs="Arial"/>
                <w:szCs w:val="20"/>
              </w:rPr>
              <w:t>a</w:t>
            </w:r>
            <w:r w:rsidRPr="00605612">
              <w:rPr>
                <w:rFonts w:cs="Arial"/>
                <w:szCs w:val="20"/>
              </w:rPr>
              <w:t xml:space="preserve"> iz tretje države.</w:t>
            </w:r>
          </w:p>
          <w:p w14:paraId="161EEE7F" w14:textId="77777777" w:rsidR="000C08CA" w:rsidRPr="00605612" w:rsidRDefault="000C08CA" w:rsidP="00FE328D">
            <w:pPr>
              <w:spacing w:line="276" w:lineRule="auto"/>
              <w:jc w:val="both"/>
              <w:rPr>
                <w:rFonts w:cs="Arial"/>
                <w:szCs w:val="20"/>
              </w:rPr>
            </w:pPr>
          </w:p>
          <w:p w14:paraId="3BB04B9D" w14:textId="77777777" w:rsidR="000C08CA" w:rsidRPr="00605612" w:rsidRDefault="000C08CA" w:rsidP="00FE328D">
            <w:pPr>
              <w:spacing w:line="276" w:lineRule="auto"/>
              <w:jc w:val="both"/>
              <w:rPr>
                <w:rFonts w:cs="Arial"/>
                <w:szCs w:val="20"/>
              </w:rPr>
            </w:pPr>
            <w:r w:rsidRPr="00605612">
              <w:rPr>
                <w:rFonts w:cs="Arial"/>
                <w:szCs w:val="20"/>
              </w:rPr>
              <w:t xml:space="preserve">Podobno kot nastane obveznost, ta tudi preneha, in sicer ko </w:t>
            </w:r>
            <w:r>
              <w:rPr>
                <w:rFonts w:cs="Arial"/>
                <w:szCs w:val="20"/>
              </w:rPr>
              <w:t>so</w:t>
            </w:r>
            <w:r w:rsidRPr="00605612">
              <w:rPr>
                <w:rFonts w:cs="Arial"/>
                <w:szCs w:val="20"/>
              </w:rPr>
              <w:t xml:space="preserve"> konsolidirani prihodk</w:t>
            </w:r>
            <w:r>
              <w:rPr>
                <w:rFonts w:cs="Arial"/>
                <w:szCs w:val="20"/>
              </w:rPr>
              <w:t>i</w:t>
            </w:r>
            <w:r w:rsidRPr="00605612">
              <w:rPr>
                <w:rFonts w:cs="Arial"/>
                <w:szCs w:val="20"/>
              </w:rPr>
              <w:t xml:space="preserve"> (ali prihodk</w:t>
            </w:r>
            <w:r>
              <w:rPr>
                <w:rFonts w:cs="Arial"/>
                <w:szCs w:val="20"/>
              </w:rPr>
              <w:t>i</w:t>
            </w:r>
            <w:r w:rsidRPr="00605612">
              <w:rPr>
                <w:rFonts w:cs="Arial"/>
                <w:szCs w:val="20"/>
              </w:rPr>
              <w:t xml:space="preserve"> pri samostojnih družbah) na podlagi podatkov zadnjih dveh zaporednih poslovnih let na bilančni presečni dan bilance stanja obakrat nižji od 750</w:t>
            </w:r>
            <w:r w:rsidRPr="00605612" w:rsidDel="006F546F">
              <w:rPr>
                <w:rFonts w:cs="Arial"/>
                <w:szCs w:val="20"/>
              </w:rPr>
              <w:t>.</w:t>
            </w:r>
            <w:r w:rsidRPr="00605612">
              <w:rPr>
                <w:rFonts w:cs="Arial"/>
                <w:szCs w:val="20"/>
              </w:rPr>
              <w:t xml:space="preserve">000.000 </w:t>
            </w:r>
            <w:r>
              <w:rPr>
                <w:rFonts w:cs="Arial"/>
                <w:szCs w:val="20"/>
              </w:rPr>
              <w:t>EUR</w:t>
            </w:r>
            <w:r w:rsidRPr="00605612">
              <w:rPr>
                <w:rFonts w:cs="Arial"/>
                <w:szCs w:val="20"/>
              </w:rPr>
              <w:t>. Enako velja za odvisne družbe s sedežem v Republiki Sloveniji – ko konsolidirani prihodk</w:t>
            </w:r>
            <w:r>
              <w:rPr>
                <w:rFonts w:cs="Arial"/>
                <w:szCs w:val="20"/>
              </w:rPr>
              <w:t>i</w:t>
            </w:r>
            <w:r w:rsidRPr="00605612">
              <w:rPr>
                <w:rFonts w:cs="Arial"/>
                <w:szCs w:val="20"/>
              </w:rPr>
              <w:t xml:space="preserve"> obvladujoče družbe iz tretje države na podlagi podatkov zadnjih dveh zaporednih poslovnih let na bilančni presečni dan bilance stanja obakrat pade pod navedeni prag, prenehajo njene obveznosti glede poročanja </w:t>
            </w:r>
            <w:r>
              <w:rPr>
                <w:rFonts w:cs="Arial"/>
                <w:color w:val="000000" w:themeColor="text1"/>
                <w:szCs w:val="20"/>
              </w:rPr>
              <w:t xml:space="preserve">o davčnih informacijah </w:t>
            </w:r>
            <w:r w:rsidRPr="00605612">
              <w:rPr>
                <w:rFonts w:cs="Arial"/>
                <w:szCs w:val="20"/>
              </w:rPr>
              <w:t>v zvezi z dohodki.</w:t>
            </w:r>
          </w:p>
          <w:p w14:paraId="755198D4" w14:textId="77777777" w:rsidR="000C08CA" w:rsidRPr="00605612" w:rsidRDefault="000C08CA" w:rsidP="00FE328D">
            <w:pPr>
              <w:spacing w:line="276" w:lineRule="auto"/>
              <w:jc w:val="both"/>
              <w:rPr>
                <w:rFonts w:cs="Arial"/>
                <w:szCs w:val="20"/>
              </w:rPr>
            </w:pPr>
          </w:p>
          <w:p w14:paraId="5660F234" w14:textId="77777777" w:rsidR="000C08CA" w:rsidRDefault="000C08CA" w:rsidP="00FE328D">
            <w:pPr>
              <w:spacing w:line="276" w:lineRule="auto"/>
              <w:jc w:val="both"/>
              <w:rPr>
                <w:rFonts w:cs="Arial"/>
                <w:szCs w:val="20"/>
              </w:rPr>
            </w:pPr>
            <w:r w:rsidRPr="00605612">
              <w:rPr>
                <w:rFonts w:cs="Arial"/>
                <w:szCs w:val="20"/>
              </w:rPr>
              <w:lastRenderedPageBreak/>
              <w:t>70.</w:t>
            </w:r>
            <w:r>
              <w:rPr>
                <w:rFonts w:cs="Arial"/>
                <w:szCs w:val="20"/>
              </w:rPr>
              <w:t>l</w:t>
            </w:r>
            <w:r w:rsidRPr="00605612">
              <w:rPr>
                <w:rFonts w:cs="Arial"/>
                <w:szCs w:val="20"/>
              </w:rPr>
              <w:t xml:space="preserve"> člen</w:t>
            </w:r>
          </w:p>
          <w:p w14:paraId="60389206" w14:textId="77777777" w:rsidR="000C08CA" w:rsidRPr="00605612" w:rsidRDefault="000C08CA" w:rsidP="00FE328D">
            <w:pPr>
              <w:spacing w:line="276" w:lineRule="auto"/>
              <w:jc w:val="both"/>
              <w:rPr>
                <w:rFonts w:cs="Arial"/>
                <w:szCs w:val="20"/>
              </w:rPr>
            </w:pPr>
          </w:p>
          <w:p w14:paraId="7546E7EA" w14:textId="77777777" w:rsidR="000C08CA" w:rsidRPr="00605612" w:rsidRDefault="000C08CA" w:rsidP="00FE328D">
            <w:pPr>
              <w:spacing w:line="276" w:lineRule="auto"/>
              <w:jc w:val="both"/>
              <w:rPr>
                <w:rFonts w:cs="Arial"/>
                <w:szCs w:val="20"/>
              </w:rPr>
            </w:pPr>
            <w:r w:rsidRPr="00605612">
              <w:rPr>
                <w:rFonts w:cs="Arial"/>
                <w:szCs w:val="20"/>
              </w:rPr>
              <w:t xml:space="preserve">V skladu </w:t>
            </w:r>
            <w:r>
              <w:rPr>
                <w:rFonts w:cs="Arial"/>
                <w:szCs w:val="20"/>
              </w:rPr>
              <w:t>s</w:t>
            </w:r>
            <w:r w:rsidRPr="00605612">
              <w:rPr>
                <w:rFonts w:cs="Arial"/>
                <w:szCs w:val="20"/>
              </w:rPr>
              <w:t xml:space="preserve"> šestim odstavkom 48</w:t>
            </w:r>
            <w:r w:rsidRPr="00605612" w:rsidDel="006F546F">
              <w:rPr>
                <w:rFonts w:cs="Arial"/>
                <w:szCs w:val="20"/>
              </w:rPr>
              <w:t>.</w:t>
            </w:r>
            <w:r w:rsidRPr="00605612">
              <w:rPr>
                <w:rFonts w:cs="Arial"/>
                <w:szCs w:val="20"/>
              </w:rPr>
              <w:t xml:space="preserve">b </w:t>
            </w:r>
            <w:r w:rsidRPr="00605612" w:rsidDel="006F546F">
              <w:rPr>
                <w:rFonts w:cs="Arial"/>
                <w:szCs w:val="20"/>
              </w:rPr>
              <w:t xml:space="preserve">člena </w:t>
            </w:r>
            <w:r w:rsidRPr="00605612">
              <w:rPr>
                <w:rFonts w:cs="Arial"/>
                <w:szCs w:val="20"/>
              </w:rPr>
              <w:t xml:space="preserve">direktive pa je za odvisne družbe v 70.l členu predloga zakona določena tudi izjema glede poročanja </w:t>
            </w:r>
            <w:r>
              <w:rPr>
                <w:rFonts w:cs="Arial"/>
                <w:color w:val="000000" w:themeColor="text1"/>
                <w:szCs w:val="20"/>
              </w:rPr>
              <w:t xml:space="preserve">o davčnih informacijah </w:t>
            </w:r>
            <w:r w:rsidRPr="00605612">
              <w:rPr>
                <w:rFonts w:cs="Arial"/>
                <w:szCs w:val="20"/>
              </w:rPr>
              <w:t>v zvezi z dohodki. Obveznost priprave in objave poročila za odvisne družbe s sedežem v Republiki Sloveniji, ki jo obvladuje družba s sedežem v tretji državi, ne velja, če:</w:t>
            </w:r>
          </w:p>
          <w:p w14:paraId="3C3BDFE3" w14:textId="77777777" w:rsidR="000C08CA" w:rsidRDefault="000C08CA" w:rsidP="00FE328D">
            <w:pPr>
              <w:spacing w:line="276" w:lineRule="auto"/>
              <w:jc w:val="both"/>
              <w:rPr>
                <w:rFonts w:cs="Arial"/>
                <w:szCs w:val="20"/>
              </w:rPr>
            </w:pPr>
            <w:r>
              <w:rPr>
                <w:rFonts w:cs="Arial"/>
                <w:szCs w:val="20"/>
              </w:rPr>
              <w:t xml:space="preserve">‒ </w:t>
            </w:r>
            <w:r w:rsidRPr="00605612">
              <w:rPr>
                <w:rFonts w:cs="Arial"/>
                <w:szCs w:val="20"/>
              </w:rPr>
              <w:t xml:space="preserve">je najpozneje v 12 mesecih po datumu bilance stanja za poslovno leto, za katero je bilo poročilo o davčnih informacijah v zvezi z dohodki pripravljeno, </w:t>
            </w:r>
            <w:r>
              <w:rPr>
                <w:rFonts w:cs="Arial"/>
                <w:szCs w:val="20"/>
              </w:rPr>
              <w:t>v vsaj enem od uradnih jezikov Evropske unije</w:t>
            </w:r>
            <w:r w:rsidRPr="003B2A0D">
              <w:rPr>
                <w:rFonts w:cs="Arial"/>
                <w:szCs w:val="20"/>
              </w:rPr>
              <w:t xml:space="preserve"> objavljeno na spletni strani tega tujega podjetja iz tretje države v elektronski obliki poročanja, ki je strojno </w:t>
            </w:r>
            <w:r w:rsidRPr="00605612" w:rsidDel="008C7436">
              <w:rPr>
                <w:rFonts w:cs="Arial"/>
                <w:szCs w:val="20"/>
              </w:rPr>
              <w:t xml:space="preserve">berljiva, </w:t>
            </w:r>
          </w:p>
          <w:p w14:paraId="6008E63F" w14:textId="77777777" w:rsidR="000C08CA" w:rsidRPr="003B2A0D" w:rsidRDefault="000C08CA" w:rsidP="00FE328D">
            <w:pPr>
              <w:spacing w:line="276" w:lineRule="auto"/>
              <w:jc w:val="both"/>
              <w:rPr>
                <w:rFonts w:cs="Arial"/>
                <w:szCs w:val="20"/>
              </w:rPr>
            </w:pPr>
            <w:r>
              <w:rPr>
                <w:rFonts w:cs="Arial"/>
                <w:szCs w:val="20"/>
              </w:rPr>
              <w:t xml:space="preserve">‒ </w:t>
            </w:r>
            <w:r w:rsidRPr="003B2A0D">
              <w:rPr>
                <w:rFonts w:cs="Arial"/>
                <w:szCs w:val="20"/>
              </w:rPr>
              <w:t>ga je druga odvisna družba ustanovljena v državi članici zaradi javne objave predložila v skladu s pravom države sedeža in s prvim odstavkom 48</w:t>
            </w:r>
            <w:r w:rsidDel="006F546F">
              <w:rPr>
                <w:rFonts w:cs="Arial"/>
                <w:szCs w:val="20"/>
              </w:rPr>
              <w:t>.</w:t>
            </w:r>
            <w:r w:rsidRPr="003B2A0D">
              <w:rPr>
                <w:rFonts w:cs="Arial"/>
                <w:szCs w:val="20"/>
              </w:rPr>
              <w:t xml:space="preserve">d </w:t>
            </w:r>
            <w:r w:rsidRPr="003B2A0D" w:rsidDel="006F546F">
              <w:rPr>
                <w:rFonts w:cs="Arial"/>
                <w:szCs w:val="20"/>
              </w:rPr>
              <w:t xml:space="preserve">člena </w:t>
            </w:r>
            <w:r w:rsidRPr="003B2A0D">
              <w:rPr>
                <w:rFonts w:cs="Arial"/>
                <w:szCs w:val="20"/>
              </w:rPr>
              <w:t>Direktive 2013/34/EU, in</w:t>
            </w:r>
          </w:p>
          <w:p w14:paraId="5075F679" w14:textId="77777777" w:rsidR="000C08CA" w:rsidRPr="00605612" w:rsidRDefault="000C08CA" w:rsidP="00FE328D">
            <w:pPr>
              <w:spacing w:line="276" w:lineRule="auto"/>
              <w:jc w:val="both"/>
              <w:rPr>
                <w:rFonts w:cs="Arial"/>
                <w:szCs w:val="20"/>
              </w:rPr>
            </w:pPr>
            <w:r>
              <w:rPr>
                <w:rFonts w:cs="Arial"/>
                <w:szCs w:val="20"/>
              </w:rPr>
              <w:t>‒</w:t>
            </w:r>
            <w:r w:rsidRPr="003B2A0D">
              <w:rPr>
                <w:rFonts w:cs="Arial"/>
                <w:szCs w:val="20"/>
              </w:rPr>
              <w:t xml:space="preserve"> sta v poročilu o davčnih informacijah v zvezi z dohodki navedena firma in sedež odvisne družbe, ki je</w:t>
            </w:r>
            <w:r w:rsidRPr="003B2A0D" w:rsidDel="007E2435">
              <w:rPr>
                <w:rFonts w:cs="Arial"/>
                <w:szCs w:val="20"/>
              </w:rPr>
              <w:t xml:space="preserve"> </w:t>
            </w:r>
            <w:r w:rsidRPr="003B2A0D">
              <w:rPr>
                <w:rFonts w:cs="Arial"/>
                <w:szCs w:val="20"/>
              </w:rPr>
              <w:t>poročilo o davčnih informacijah v zvezi z dohodki predložila</w:t>
            </w:r>
            <w:r w:rsidRPr="003B2A0D" w:rsidDel="00C52C1E">
              <w:rPr>
                <w:rFonts w:cs="Arial"/>
                <w:szCs w:val="20"/>
              </w:rPr>
              <w:t xml:space="preserve"> </w:t>
            </w:r>
            <w:r w:rsidRPr="003B2A0D">
              <w:rPr>
                <w:rFonts w:cs="Arial"/>
                <w:szCs w:val="20"/>
              </w:rPr>
              <w:t>v skladu s prejšnjo alinejo</w:t>
            </w:r>
            <w:r w:rsidRPr="00605612" w:rsidDel="00252F63">
              <w:rPr>
                <w:rFonts w:cs="Arial"/>
                <w:szCs w:val="20"/>
              </w:rPr>
              <w:t>.</w:t>
            </w:r>
          </w:p>
          <w:p w14:paraId="587D55E6" w14:textId="77777777" w:rsidR="000C08CA" w:rsidRPr="00605612" w:rsidRDefault="000C08CA" w:rsidP="00FE328D">
            <w:pPr>
              <w:spacing w:line="276" w:lineRule="auto"/>
              <w:rPr>
                <w:rFonts w:cs="Arial"/>
                <w:b/>
                <w:szCs w:val="20"/>
              </w:rPr>
            </w:pPr>
          </w:p>
          <w:p w14:paraId="5B553F81" w14:textId="77777777" w:rsidR="000C08CA" w:rsidRPr="00605612" w:rsidRDefault="000C08CA" w:rsidP="00FE328D">
            <w:pPr>
              <w:spacing w:line="276" w:lineRule="auto"/>
              <w:rPr>
                <w:rFonts w:cs="Arial"/>
                <w:b/>
                <w:szCs w:val="20"/>
              </w:rPr>
            </w:pPr>
            <w:r w:rsidRPr="00605612">
              <w:rPr>
                <w:rFonts w:cs="Arial"/>
                <w:b/>
                <w:szCs w:val="20"/>
              </w:rPr>
              <w:t>K 1</w:t>
            </w:r>
            <w:r>
              <w:rPr>
                <w:rFonts w:cs="Arial"/>
                <w:b/>
                <w:szCs w:val="20"/>
              </w:rPr>
              <w:t>7</w:t>
            </w:r>
            <w:r w:rsidRPr="00605612">
              <w:rPr>
                <w:rFonts w:cs="Arial"/>
                <w:b/>
                <w:szCs w:val="20"/>
              </w:rPr>
              <w:t>. členu</w:t>
            </w:r>
          </w:p>
          <w:p w14:paraId="707227BB" w14:textId="77777777" w:rsidR="000C08CA" w:rsidRPr="00605612" w:rsidRDefault="000C08CA" w:rsidP="00FE328D">
            <w:pPr>
              <w:spacing w:line="276" w:lineRule="auto"/>
              <w:rPr>
                <w:rFonts w:cs="Arial"/>
                <w:szCs w:val="20"/>
              </w:rPr>
            </w:pPr>
          </w:p>
          <w:p w14:paraId="666B120A" w14:textId="77777777" w:rsidR="000C08CA" w:rsidRPr="00605612" w:rsidRDefault="000C08CA" w:rsidP="00FE328D">
            <w:pPr>
              <w:spacing w:line="276" w:lineRule="auto"/>
              <w:jc w:val="both"/>
              <w:rPr>
                <w:rFonts w:cs="Arial"/>
                <w:szCs w:val="20"/>
              </w:rPr>
            </w:pPr>
            <w:r w:rsidRPr="00605612">
              <w:rPr>
                <w:rFonts w:cs="Arial"/>
                <w:szCs w:val="20"/>
              </w:rPr>
              <w:t xml:space="preserve">V 71. členu ZGD-1 se z napotitvijo na smiselno uporabo določb o registru določi smiselna uporaba novega </w:t>
            </w:r>
            <w:r>
              <w:rPr>
                <w:rFonts w:cs="Arial"/>
                <w:szCs w:val="20"/>
              </w:rPr>
              <w:t>30</w:t>
            </w:r>
            <w:r w:rsidRPr="00605612">
              <w:rPr>
                <w:rFonts w:cs="Arial"/>
                <w:szCs w:val="20"/>
              </w:rPr>
              <w:t>.a člena ZGD-1 o označevanju na poslovnem naslovu tudi v primeru podjetnikov.</w:t>
            </w:r>
          </w:p>
          <w:p w14:paraId="349FF30F" w14:textId="77777777" w:rsidR="000C08CA" w:rsidRPr="00605612" w:rsidRDefault="000C08CA" w:rsidP="00FE328D">
            <w:pPr>
              <w:spacing w:line="276" w:lineRule="auto"/>
              <w:rPr>
                <w:rFonts w:cs="Arial"/>
                <w:szCs w:val="20"/>
              </w:rPr>
            </w:pPr>
          </w:p>
          <w:p w14:paraId="773C4FBA" w14:textId="77777777" w:rsidR="000C08CA" w:rsidRPr="00605612" w:rsidRDefault="000C08CA" w:rsidP="00FE328D">
            <w:pPr>
              <w:spacing w:line="276" w:lineRule="auto"/>
              <w:jc w:val="both"/>
              <w:rPr>
                <w:rFonts w:cs="Arial"/>
                <w:szCs w:val="20"/>
              </w:rPr>
            </w:pPr>
            <w:r w:rsidRPr="00605612">
              <w:rPr>
                <w:rFonts w:cs="Arial"/>
                <w:szCs w:val="20"/>
              </w:rPr>
              <w:t xml:space="preserve">Razlogi in namen novega </w:t>
            </w:r>
            <w:r>
              <w:rPr>
                <w:rFonts w:cs="Arial"/>
                <w:szCs w:val="20"/>
              </w:rPr>
              <w:t>30</w:t>
            </w:r>
            <w:r w:rsidRPr="00605612">
              <w:rPr>
                <w:rFonts w:cs="Arial"/>
                <w:szCs w:val="20"/>
              </w:rPr>
              <w:t>.a člena ZGD-1 so pojasnjeni v obrazložitvi k 2. členu predloga zakona.</w:t>
            </w:r>
          </w:p>
          <w:p w14:paraId="5FCB8522" w14:textId="77777777" w:rsidR="000C08CA" w:rsidRPr="00605612" w:rsidRDefault="000C08CA" w:rsidP="00FE328D">
            <w:pPr>
              <w:spacing w:line="276" w:lineRule="auto"/>
              <w:rPr>
                <w:rFonts w:cs="Arial"/>
                <w:b/>
                <w:szCs w:val="20"/>
              </w:rPr>
            </w:pPr>
          </w:p>
          <w:p w14:paraId="1DBF5F37" w14:textId="77777777" w:rsidR="000C08CA" w:rsidRPr="00605612" w:rsidRDefault="000C08CA" w:rsidP="00FE328D">
            <w:pPr>
              <w:spacing w:line="276" w:lineRule="auto"/>
              <w:rPr>
                <w:rFonts w:cs="Arial"/>
                <w:b/>
                <w:szCs w:val="20"/>
              </w:rPr>
            </w:pPr>
            <w:r w:rsidRPr="00605612">
              <w:rPr>
                <w:rFonts w:cs="Arial"/>
                <w:b/>
                <w:szCs w:val="20"/>
              </w:rPr>
              <w:t>K 1</w:t>
            </w:r>
            <w:r>
              <w:rPr>
                <w:rFonts w:cs="Arial"/>
                <w:b/>
                <w:szCs w:val="20"/>
              </w:rPr>
              <w:t>8</w:t>
            </w:r>
            <w:r w:rsidRPr="00605612">
              <w:rPr>
                <w:rFonts w:cs="Arial"/>
                <w:b/>
                <w:szCs w:val="20"/>
              </w:rPr>
              <w:t>. členu</w:t>
            </w:r>
          </w:p>
          <w:p w14:paraId="51B4901B" w14:textId="77777777" w:rsidR="000C08CA" w:rsidRPr="00605612" w:rsidRDefault="000C08CA" w:rsidP="00FE328D">
            <w:pPr>
              <w:spacing w:line="276" w:lineRule="auto"/>
              <w:rPr>
                <w:rFonts w:cs="Arial"/>
                <w:b/>
                <w:szCs w:val="20"/>
              </w:rPr>
            </w:pPr>
          </w:p>
          <w:p w14:paraId="17092E75" w14:textId="77777777" w:rsidR="000C08CA" w:rsidRPr="00605612" w:rsidRDefault="000C08CA" w:rsidP="00FE328D">
            <w:pPr>
              <w:spacing w:line="276" w:lineRule="auto"/>
              <w:jc w:val="both"/>
              <w:rPr>
                <w:rFonts w:cs="Arial"/>
              </w:rPr>
            </w:pPr>
            <w:r w:rsidRPr="1308966A">
              <w:rPr>
                <w:rFonts w:cs="Arial"/>
              </w:rPr>
              <w:t>V 72. členu ZGD-1 se besedilo v petem in šestem odstavku o vsebini sporočil podjetnika poenoti z besedilom 45. člena ZGD-1 o vsebini dopisov družbe, in sicer v delu, ki se nanaša na rabo izraza sporočilo. Različni izrazi odpirajo vprašanja glede njihovega pomena in inšpekcijskim organom otežujejo izvajanje nadzora.</w:t>
            </w:r>
          </w:p>
          <w:p w14:paraId="5647FF64" w14:textId="77777777" w:rsidR="000C08CA" w:rsidRPr="00605612" w:rsidRDefault="000C08CA" w:rsidP="00FE328D">
            <w:pPr>
              <w:spacing w:line="276" w:lineRule="auto"/>
              <w:jc w:val="both"/>
              <w:rPr>
                <w:rFonts w:cs="Arial"/>
                <w:szCs w:val="20"/>
              </w:rPr>
            </w:pPr>
          </w:p>
          <w:p w14:paraId="231D84B5" w14:textId="77777777" w:rsidR="000C08CA" w:rsidRPr="00605612" w:rsidRDefault="000C08CA" w:rsidP="00FE328D">
            <w:pPr>
              <w:jc w:val="both"/>
              <w:rPr>
                <w:rFonts w:eastAsia="Arial" w:cs="Arial"/>
                <w:color w:val="333333"/>
              </w:rPr>
            </w:pPr>
            <w:r w:rsidRPr="35B8F7F7">
              <w:rPr>
                <w:rFonts w:cs="Arial"/>
              </w:rPr>
              <w:t>Ker je obveščanje o registrskih podatkih družb na dopisih in naročilnicah harmonizirano z Direktivo</w:t>
            </w:r>
            <w:r w:rsidRPr="35B8F7F7">
              <w:rPr>
                <w:rFonts w:eastAsia="Arial" w:cs="Arial"/>
                <w:color w:val="333333"/>
              </w:rPr>
              <w:t xml:space="preserve"> (EU) 2017/1132 Evropskega parlamenta in Sveta z dne 14. junija 2017 o določenih vidikih prava družb (kodificirano besedilo) </w:t>
            </w:r>
            <w:r w:rsidRPr="35B8F7F7">
              <w:rPr>
                <w:rFonts w:eastAsia="Arial" w:cs="Arial"/>
                <w:i/>
                <w:color w:val="333333"/>
              </w:rPr>
              <w:t>(</w:t>
            </w:r>
            <w:r w:rsidRPr="35B8F7F7">
              <w:rPr>
                <w:rFonts w:eastAsia="Arial" w:cs="Arial"/>
                <w:color w:val="333333"/>
              </w:rPr>
              <w:t>UL L št. 169 z dne 30. 6. 2017, str. 46; v nadaljnjem besedilu: Direktiva 2017/1132/EU), se predlaga, da se izraz sporočilo v petem in šestem odstavku 72. člena ZGD-1 nadomesti z izrazom dopis iz 45. člena ZGD-1 in Direktive 2017/1132/EU. Enotno urejanje vsebine sporočil družb in podjetnikov bo prispevalo k večji jasnosti zakonskega besedila in pravni varnosti v Republiki Sloveniji.</w:t>
            </w:r>
          </w:p>
          <w:p w14:paraId="3E78E461" w14:textId="77777777" w:rsidR="000C08CA" w:rsidRDefault="000C08CA" w:rsidP="00FE328D">
            <w:pPr>
              <w:spacing w:line="276" w:lineRule="auto"/>
              <w:rPr>
                <w:rFonts w:cs="Arial"/>
                <w:b/>
                <w:szCs w:val="20"/>
              </w:rPr>
            </w:pPr>
          </w:p>
          <w:p w14:paraId="3EDE21CC" w14:textId="77777777" w:rsidR="000C08CA" w:rsidRPr="006E798C" w:rsidRDefault="000C08CA" w:rsidP="00FE328D">
            <w:pPr>
              <w:spacing w:line="276" w:lineRule="auto"/>
              <w:rPr>
                <w:rFonts w:cs="Arial"/>
                <w:b/>
                <w:szCs w:val="20"/>
              </w:rPr>
            </w:pPr>
            <w:r w:rsidRPr="006E798C">
              <w:rPr>
                <w:rFonts w:cs="Arial"/>
                <w:b/>
                <w:szCs w:val="20"/>
              </w:rPr>
              <w:t>K 1</w:t>
            </w:r>
            <w:r>
              <w:rPr>
                <w:rFonts w:cs="Arial"/>
                <w:b/>
                <w:szCs w:val="20"/>
              </w:rPr>
              <w:t>9</w:t>
            </w:r>
            <w:r w:rsidRPr="006E798C">
              <w:rPr>
                <w:rFonts w:cs="Arial"/>
                <w:b/>
                <w:szCs w:val="20"/>
              </w:rPr>
              <w:t>. členu</w:t>
            </w:r>
          </w:p>
          <w:p w14:paraId="6AC370AA" w14:textId="77777777" w:rsidR="000C08CA" w:rsidRPr="006E798C" w:rsidRDefault="000C08CA" w:rsidP="00FE328D">
            <w:pPr>
              <w:spacing w:line="276" w:lineRule="auto"/>
              <w:rPr>
                <w:rFonts w:cs="Arial"/>
                <w:b/>
                <w:szCs w:val="20"/>
              </w:rPr>
            </w:pPr>
          </w:p>
          <w:p w14:paraId="66C616A0" w14:textId="77777777" w:rsidR="000C08CA" w:rsidRPr="00CB2AB0" w:rsidRDefault="000C08CA" w:rsidP="00FE328D">
            <w:pPr>
              <w:spacing w:line="276" w:lineRule="auto"/>
              <w:jc w:val="both"/>
              <w:rPr>
                <w:rFonts w:cs="Arial"/>
                <w:szCs w:val="20"/>
              </w:rPr>
            </w:pPr>
            <w:r w:rsidRPr="00CB2AB0">
              <w:rPr>
                <w:rFonts w:cs="Arial"/>
                <w:szCs w:val="20"/>
              </w:rPr>
              <w:t>Zaradi spremembe 53. člena ZGD-1, ki omenja Uredbo 575/2013/EU in njeno okrajšavo v nadaljnjem besedilu, se ustrezno popravi tudi 168</w:t>
            </w:r>
            <w:r>
              <w:rPr>
                <w:rFonts w:cs="Arial"/>
                <w:szCs w:val="20"/>
              </w:rPr>
              <w:t>.</w:t>
            </w:r>
            <w:r w:rsidRPr="00CB2AB0">
              <w:rPr>
                <w:rFonts w:cs="Arial"/>
                <w:szCs w:val="20"/>
              </w:rPr>
              <w:t>a člen ZGD-1.</w:t>
            </w:r>
          </w:p>
          <w:p w14:paraId="585EF567" w14:textId="77777777" w:rsidR="000C08CA" w:rsidRPr="00605612" w:rsidRDefault="000C08CA" w:rsidP="00FE328D">
            <w:pPr>
              <w:spacing w:line="276" w:lineRule="auto"/>
              <w:rPr>
                <w:rFonts w:cs="Arial"/>
                <w:b/>
                <w:szCs w:val="20"/>
              </w:rPr>
            </w:pPr>
          </w:p>
          <w:p w14:paraId="4DF9653B"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20</w:t>
            </w:r>
            <w:r w:rsidRPr="00605612">
              <w:rPr>
                <w:rFonts w:cs="Arial"/>
                <w:b/>
                <w:szCs w:val="20"/>
              </w:rPr>
              <w:t>. členu</w:t>
            </w:r>
          </w:p>
          <w:p w14:paraId="73AD6917" w14:textId="77777777" w:rsidR="000C08CA" w:rsidRPr="00605612" w:rsidRDefault="000C08CA" w:rsidP="00FE328D">
            <w:pPr>
              <w:spacing w:line="276" w:lineRule="auto"/>
              <w:rPr>
                <w:rFonts w:cs="Arial"/>
                <w:b/>
                <w:szCs w:val="20"/>
              </w:rPr>
            </w:pPr>
          </w:p>
          <w:p w14:paraId="5EA57D55" w14:textId="77777777" w:rsidR="000C08CA" w:rsidRPr="00605612" w:rsidRDefault="000C08CA" w:rsidP="00FE328D">
            <w:pPr>
              <w:spacing w:line="276" w:lineRule="auto"/>
              <w:jc w:val="both"/>
              <w:rPr>
                <w:rFonts w:cs="Arial"/>
                <w:szCs w:val="20"/>
              </w:rPr>
            </w:pPr>
            <w:r w:rsidRPr="00605612">
              <w:rPr>
                <w:rFonts w:cs="Arial"/>
                <w:szCs w:val="20"/>
              </w:rPr>
              <w:t>S predlogom zakona se vstavijo novi 254.a do 254.f člena.</w:t>
            </w:r>
          </w:p>
          <w:p w14:paraId="0DC607F7" w14:textId="77777777" w:rsidR="000C08CA" w:rsidRPr="00605612" w:rsidRDefault="000C08CA" w:rsidP="00FE328D">
            <w:pPr>
              <w:spacing w:line="276" w:lineRule="auto"/>
              <w:rPr>
                <w:rFonts w:cs="Arial"/>
                <w:b/>
                <w:szCs w:val="20"/>
              </w:rPr>
            </w:pPr>
          </w:p>
          <w:p w14:paraId="012C394B" w14:textId="77777777" w:rsidR="000C08CA" w:rsidRPr="00605612" w:rsidRDefault="000C08CA" w:rsidP="00FE328D">
            <w:pPr>
              <w:spacing w:line="276" w:lineRule="auto"/>
              <w:jc w:val="both"/>
              <w:rPr>
                <w:rFonts w:cs="Arial"/>
                <w:szCs w:val="20"/>
              </w:rPr>
            </w:pPr>
            <w:r w:rsidRPr="00605612">
              <w:rPr>
                <w:rFonts w:cs="Arial"/>
                <w:szCs w:val="20"/>
              </w:rPr>
              <w:t>254.a člen</w:t>
            </w:r>
          </w:p>
          <w:p w14:paraId="189EAC51" w14:textId="77777777" w:rsidR="000C08CA" w:rsidRPr="00605612" w:rsidRDefault="000C08CA" w:rsidP="00FE328D">
            <w:pPr>
              <w:spacing w:line="276" w:lineRule="auto"/>
              <w:jc w:val="both"/>
              <w:rPr>
                <w:rFonts w:cs="Arial"/>
                <w:szCs w:val="20"/>
              </w:rPr>
            </w:pPr>
          </w:p>
          <w:p w14:paraId="1A457081" w14:textId="77777777" w:rsidR="000C08CA" w:rsidRPr="00605612" w:rsidRDefault="000C08CA" w:rsidP="00FE328D">
            <w:pPr>
              <w:spacing w:line="276" w:lineRule="auto"/>
              <w:jc w:val="both"/>
              <w:textAlignment w:val="baseline"/>
              <w:rPr>
                <w:rFonts w:cs="Arial"/>
                <w:color w:val="000000"/>
                <w:szCs w:val="20"/>
                <w:lang w:eastAsia="sl-SI"/>
              </w:rPr>
            </w:pPr>
            <w:r w:rsidRPr="00605612">
              <w:rPr>
                <w:rFonts w:cs="Arial"/>
                <w:szCs w:val="20"/>
                <w:lang w:eastAsia="sl-SI"/>
              </w:rPr>
              <w:t>Določba je napotilne narave in spodbuja družbe, da si prizadevajo doseči uravnoteženo zastopanost spolov v organih vodenja in nadzora ter med izvršnimi direktorji, tudi če niso zavezane za spreje</w:t>
            </w:r>
            <w:r>
              <w:rPr>
                <w:rFonts w:cs="Arial"/>
                <w:szCs w:val="20"/>
                <w:lang w:eastAsia="sl-SI"/>
              </w:rPr>
              <w:t>tje</w:t>
            </w:r>
            <w:r w:rsidRPr="00605612">
              <w:rPr>
                <w:rFonts w:cs="Arial"/>
                <w:szCs w:val="20"/>
                <w:lang w:eastAsia="sl-SI"/>
              </w:rPr>
              <w:t xml:space="preserve"> ukrepov po zakonu. Določba sledi </w:t>
            </w:r>
            <w:r w:rsidRPr="00605612">
              <w:rPr>
                <w:rFonts w:cs="Arial"/>
                <w:color w:val="000000"/>
                <w:szCs w:val="20"/>
                <w:lang w:eastAsia="sl-SI"/>
              </w:rPr>
              <w:t>cilju Direktive 2022/2381/EU, da se doseže bolj uravnotežen</w:t>
            </w:r>
            <w:r>
              <w:rPr>
                <w:rFonts w:cs="Arial"/>
                <w:color w:val="000000"/>
                <w:szCs w:val="20"/>
                <w:lang w:eastAsia="sl-SI"/>
              </w:rPr>
              <w:t>a</w:t>
            </w:r>
            <w:r w:rsidRPr="00605612">
              <w:rPr>
                <w:rFonts w:cs="Arial"/>
                <w:color w:val="000000"/>
                <w:szCs w:val="20"/>
                <w:lang w:eastAsia="sl-SI"/>
              </w:rPr>
              <w:t xml:space="preserve"> zastopanost žensk in moških med direktorji družb, ki kotirajo na borzi, z določitvijo učinkovitih ukrepov, </w:t>
            </w:r>
            <w:r w:rsidRPr="00605612">
              <w:rPr>
                <w:rFonts w:cs="Arial"/>
                <w:color w:val="000000"/>
                <w:szCs w:val="20"/>
                <w:lang w:eastAsia="sl-SI"/>
              </w:rPr>
              <w:lastRenderedPageBreak/>
              <w:t>katerih namen je pospešiti napredek pri zagotavljanju uravnotežene zastopanosti spolov</w:t>
            </w:r>
            <w:r>
              <w:rPr>
                <w:rFonts w:cs="Arial"/>
                <w:color w:val="000000"/>
                <w:szCs w:val="20"/>
                <w:lang w:eastAsia="sl-SI"/>
              </w:rPr>
              <w:t xml:space="preserve"> na najvišjih položajih v družbah</w:t>
            </w:r>
            <w:r w:rsidRPr="00605612">
              <w:rPr>
                <w:rFonts w:cs="Arial"/>
                <w:color w:val="000000"/>
                <w:szCs w:val="20"/>
                <w:lang w:eastAsia="sl-SI"/>
              </w:rPr>
              <w:t>.  </w:t>
            </w:r>
          </w:p>
          <w:p w14:paraId="74F9B201" w14:textId="77777777" w:rsidR="000C08CA" w:rsidRPr="00605612" w:rsidRDefault="000C08CA" w:rsidP="00FE328D">
            <w:pPr>
              <w:spacing w:line="276" w:lineRule="auto"/>
              <w:jc w:val="both"/>
              <w:textAlignment w:val="baseline"/>
              <w:rPr>
                <w:rFonts w:cs="Arial"/>
                <w:szCs w:val="20"/>
                <w:lang w:eastAsia="sl-SI"/>
              </w:rPr>
            </w:pPr>
          </w:p>
          <w:p w14:paraId="2A2ECE35" w14:textId="77777777" w:rsidR="000C08CA" w:rsidRPr="00605612" w:rsidRDefault="000C08CA" w:rsidP="00FE328D">
            <w:pPr>
              <w:spacing w:line="276" w:lineRule="auto"/>
              <w:jc w:val="both"/>
              <w:rPr>
                <w:rFonts w:cs="Arial"/>
                <w:color w:val="000000"/>
                <w:szCs w:val="20"/>
              </w:rPr>
            </w:pPr>
            <w:r>
              <w:rPr>
                <w:rStyle w:val="normaltextrun"/>
                <w:rFonts w:cs="Arial"/>
                <w:color w:val="000000"/>
                <w:szCs w:val="20"/>
                <w:shd w:val="clear" w:color="auto" w:fill="FFFFFF"/>
              </w:rPr>
              <w:t>V s</w:t>
            </w:r>
            <w:r w:rsidRPr="00605612">
              <w:rPr>
                <w:rStyle w:val="normaltextrun"/>
                <w:rFonts w:cs="Arial"/>
                <w:color w:val="000000"/>
                <w:szCs w:val="20"/>
                <w:shd w:val="clear" w:color="auto" w:fill="FFFFFF"/>
              </w:rPr>
              <w:t>klad</w:t>
            </w:r>
            <w:r>
              <w:rPr>
                <w:rStyle w:val="normaltextrun"/>
                <w:rFonts w:cs="Arial"/>
                <w:color w:val="000000"/>
                <w:szCs w:val="20"/>
                <w:shd w:val="clear" w:color="auto" w:fill="FFFFFF"/>
              </w:rPr>
              <w:t>u</w:t>
            </w:r>
            <w:r w:rsidRPr="00605612">
              <w:rPr>
                <w:rStyle w:val="normaltextrun"/>
                <w:rFonts w:cs="Arial"/>
                <w:color w:val="000000"/>
                <w:szCs w:val="20"/>
                <w:shd w:val="clear" w:color="auto" w:fill="FFFFFF"/>
              </w:rPr>
              <w:t xml:space="preserve"> z d</w:t>
            </w:r>
            <w:r w:rsidRPr="00605612">
              <w:rPr>
                <w:rFonts w:cs="Arial"/>
                <w:szCs w:val="20"/>
              </w:rPr>
              <w:t xml:space="preserve">irektivo morajo biti ukrepi v zvezi z uravnoteženo zastopanostjo </w:t>
            </w:r>
            <w:r w:rsidRPr="006E0C85">
              <w:rPr>
                <w:rFonts w:cs="Arial"/>
                <w:szCs w:val="20"/>
              </w:rPr>
              <w:t xml:space="preserve">spolov </w:t>
            </w:r>
            <w:r w:rsidRPr="00605612">
              <w:rPr>
                <w:rFonts w:cs="Arial"/>
                <w:szCs w:val="20"/>
              </w:rPr>
              <w:t xml:space="preserve">sprejeti za izvršne in neizvršne direktorje. Direktiva 2022/2381/EU opredeljuje, da je direktor član organa družbe, vključno s članom, ki je predstavnik zaposlenih. Glede na takšno določbo direktive se po ZGD-1 za direktorje štejejo člani </w:t>
            </w:r>
            <w:r w:rsidRPr="00605612">
              <w:rPr>
                <w:rFonts w:cs="Arial"/>
                <w:color w:val="000000"/>
                <w:szCs w:val="20"/>
              </w:rPr>
              <w:t>organov vodenja ali nadzora družbe</w:t>
            </w:r>
            <w:r w:rsidRPr="00605612">
              <w:rPr>
                <w:rFonts w:cs="Arial"/>
                <w:szCs w:val="20"/>
              </w:rPr>
              <w:t>, torej</w:t>
            </w:r>
            <w:r w:rsidRPr="00605612">
              <w:rPr>
                <w:rFonts w:cs="Arial"/>
                <w:color w:val="000000"/>
                <w:szCs w:val="20"/>
              </w:rPr>
              <w:t xml:space="preserve"> uprava, upravni odbor in nadzorni svet. Družba lahko izbere dvotirni sistem upravljanja družbe z upravo in nadzornim svetom ali enotirni sistem upravljanja družbe z upravnim odborom. </w:t>
            </w:r>
          </w:p>
          <w:p w14:paraId="60A99075" w14:textId="77777777" w:rsidR="000C08CA" w:rsidRPr="00605612" w:rsidRDefault="000C08CA" w:rsidP="00FE328D">
            <w:pPr>
              <w:spacing w:line="276" w:lineRule="auto"/>
              <w:jc w:val="both"/>
              <w:rPr>
                <w:rFonts w:cs="Arial"/>
                <w:color w:val="000000"/>
                <w:szCs w:val="20"/>
                <w:lang w:eastAsia="sl-SI"/>
              </w:rPr>
            </w:pPr>
          </w:p>
          <w:p w14:paraId="6417C419" w14:textId="77777777" w:rsidR="000C08CA" w:rsidRPr="00605612" w:rsidRDefault="000C08CA" w:rsidP="00FE328D">
            <w:pPr>
              <w:spacing w:line="276" w:lineRule="auto"/>
              <w:jc w:val="both"/>
              <w:rPr>
                <w:rFonts w:cs="Arial"/>
                <w:color w:val="000000"/>
                <w:szCs w:val="20"/>
                <w:lang w:eastAsia="sl-SI"/>
              </w:rPr>
            </w:pPr>
            <w:r w:rsidRPr="00605612">
              <w:rPr>
                <w:rFonts w:cs="Arial"/>
                <w:color w:val="000000"/>
                <w:szCs w:val="20"/>
                <w:lang w:eastAsia="sl-SI"/>
              </w:rPr>
              <w:t xml:space="preserve">Izvršni direktor </w:t>
            </w:r>
            <w:r w:rsidRPr="00605612">
              <w:rPr>
                <w:rFonts w:cs="Arial"/>
                <w:szCs w:val="20"/>
                <w:lang w:eastAsia="sl-SI"/>
              </w:rPr>
              <w:t xml:space="preserve">je v </w:t>
            </w:r>
            <w:r>
              <w:rPr>
                <w:rFonts w:cs="Arial"/>
                <w:szCs w:val="20"/>
                <w:lang w:eastAsia="sl-SI"/>
              </w:rPr>
              <w:t>D</w:t>
            </w:r>
            <w:r w:rsidRPr="00605612">
              <w:rPr>
                <w:rFonts w:cs="Arial"/>
                <w:szCs w:val="20"/>
                <w:lang w:eastAsia="sl-SI"/>
              </w:rPr>
              <w:t>irektivi</w:t>
            </w:r>
            <w:r>
              <w:rPr>
                <w:rFonts w:cs="Arial"/>
                <w:szCs w:val="20"/>
                <w:lang w:eastAsia="sl-SI"/>
              </w:rPr>
              <w:t xml:space="preserve"> 2022/2381/EU</w:t>
            </w:r>
            <w:r w:rsidRPr="00605612">
              <w:rPr>
                <w:rFonts w:cs="Arial"/>
                <w:szCs w:val="20"/>
                <w:lang w:eastAsia="sl-SI"/>
              </w:rPr>
              <w:t xml:space="preserve"> </w:t>
            </w:r>
            <w:r>
              <w:rPr>
                <w:rFonts w:cs="Arial"/>
                <w:szCs w:val="20"/>
                <w:lang w:eastAsia="sl-SI"/>
              </w:rPr>
              <w:t>opredeljen</w:t>
            </w:r>
            <w:r w:rsidRPr="00605612">
              <w:rPr>
                <w:rFonts w:cs="Arial"/>
                <w:szCs w:val="20"/>
                <w:lang w:eastAsia="sl-SI"/>
              </w:rPr>
              <w:t xml:space="preserve"> kot </w:t>
            </w:r>
            <w:r w:rsidRPr="00605612">
              <w:rPr>
                <w:rFonts w:cs="Arial"/>
                <w:color w:val="000000"/>
                <w:szCs w:val="20"/>
                <w:lang w:eastAsia="sl-SI"/>
              </w:rPr>
              <w:t xml:space="preserve">član upravnega odbora v enotirnem sistemu upravljanja, ki je zadolžen za vsakodnevno vodenje družbe, ali član organa družbe, ki opravlja vodstveno funkcijo v družbi v dvotirnem sistemu upravljanja. Neizvršni direktor pomeni člana upravnega odbora družbe v enotirnem sistemu upravljanja, ki ni izvršni direktor, ali člana organa, ki opravlja nadzorno funkcijo v dvotirnem sistemu upravljanja. V enotirnem sistemu lahko </w:t>
            </w:r>
            <w:r>
              <w:rPr>
                <w:rFonts w:cs="Arial"/>
                <w:color w:val="000000"/>
                <w:szCs w:val="20"/>
                <w:lang w:eastAsia="sl-SI"/>
              </w:rPr>
              <w:t xml:space="preserve">v </w:t>
            </w:r>
            <w:r w:rsidRPr="00605612">
              <w:rPr>
                <w:rFonts w:cs="Arial"/>
                <w:color w:val="000000"/>
                <w:szCs w:val="20"/>
                <w:lang w:eastAsia="sl-SI"/>
              </w:rPr>
              <w:t>sklad</w:t>
            </w:r>
            <w:r>
              <w:rPr>
                <w:rFonts w:cs="Arial"/>
                <w:color w:val="000000"/>
                <w:szCs w:val="20"/>
                <w:lang w:eastAsia="sl-SI"/>
              </w:rPr>
              <w:t>u</w:t>
            </w:r>
            <w:r w:rsidRPr="00605612">
              <w:rPr>
                <w:rFonts w:cs="Arial"/>
                <w:color w:val="000000"/>
                <w:szCs w:val="20"/>
                <w:lang w:eastAsia="sl-SI"/>
              </w:rPr>
              <w:t xml:space="preserve"> z 290. členom ZGD-1 upravni odbor, ki je pristojen za vodenje in nadzor poslov družbe</w:t>
            </w:r>
            <w:r>
              <w:rPr>
                <w:rFonts w:cs="Arial"/>
                <w:color w:val="000000"/>
                <w:szCs w:val="20"/>
                <w:lang w:eastAsia="sl-SI"/>
              </w:rPr>
              <w:t>,</w:t>
            </w:r>
            <w:r w:rsidRPr="00605612">
              <w:rPr>
                <w:rFonts w:cs="Arial"/>
                <w:color w:val="000000"/>
                <w:szCs w:val="20"/>
                <w:lang w:eastAsia="sl-SI"/>
              </w:rPr>
              <w:t xml:space="preserve"> imenuje enega ali več izvršnih direktorjev, ki niso člani upravnega odbora in nanje prenese naloge glede vodenja tekočih poslov, prijave vpisov in predložitve listin v registru, skrb za vodenje poslovnih knjig in sestavo letnega poročila. Ne glede na dejstvo, da navedeni izvršni direktorji v enotirnem sistemu niso člani organa, tj. upravnega odbora, </w:t>
            </w:r>
            <w:r w:rsidRPr="00605612">
              <w:rPr>
                <w:rFonts w:cs="Arial"/>
                <w:szCs w:val="20"/>
                <w:lang w:eastAsia="sl-SI"/>
              </w:rPr>
              <w:t xml:space="preserve">se po predlogu zakona štejejo </w:t>
            </w:r>
            <w:r w:rsidRPr="00605612">
              <w:rPr>
                <w:rFonts w:cs="Arial"/>
                <w:color w:val="000000"/>
                <w:szCs w:val="20"/>
                <w:lang w:eastAsia="sl-SI"/>
              </w:rPr>
              <w:t xml:space="preserve">v delež za doseganje </w:t>
            </w:r>
            <w:r w:rsidRPr="00605612">
              <w:rPr>
                <w:rFonts w:cs="Arial"/>
                <w:szCs w:val="20"/>
                <w:lang w:eastAsia="sl-SI"/>
              </w:rPr>
              <w:t>predvidenih ciljnih deležev glede zastopanosti spolov</w:t>
            </w:r>
            <w:r w:rsidRPr="00605612">
              <w:rPr>
                <w:rFonts w:cs="Arial"/>
                <w:color w:val="000000"/>
                <w:szCs w:val="20"/>
                <w:lang w:eastAsia="sl-SI"/>
              </w:rPr>
              <w:t>, saj s tem sledi cilju in namenu direktive, da se doseže uravnotežen</w:t>
            </w:r>
            <w:r w:rsidRPr="00605612">
              <w:rPr>
                <w:rFonts w:cs="Arial"/>
                <w:szCs w:val="20"/>
                <w:lang w:eastAsia="sl-SI"/>
              </w:rPr>
              <w:t>a</w:t>
            </w:r>
            <w:r w:rsidRPr="00605612">
              <w:rPr>
                <w:rFonts w:cs="Arial"/>
                <w:color w:val="000000"/>
                <w:szCs w:val="20"/>
                <w:lang w:eastAsia="sl-SI"/>
              </w:rPr>
              <w:t xml:space="preserve"> zastopanost spolov na najvišjih vodstvenih položajih v družbah. V skladu z navedenim je v </w:t>
            </w:r>
            <w:r w:rsidRPr="00605612">
              <w:rPr>
                <w:rFonts w:cs="Arial"/>
                <w:szCs w:val="20"/>
                <w:lang w:eastAsia="sl-SI"/>
              </w:rPr>
              <w:t>predlogu</w:t>
            </w:r>
            <w:r w:rsidRPr="00605612" w:rsidDel="00345B58">
              <w:rPr>
                <w:rFonts w:cs="Arial"/>
                <w:szCs w:val="20"/>
                <w:lang w:eastAsia="sl-SI"/>
              </w:rPr>
              <w:t xml:space="preserve"> </w:t>
            </w:r>
            <w:r w:rsidRPr="00605612">
              <w:rPr>
                <w:rFonts w:cs="Arial"/>
                <w:color w:val="000000"/>
                <w:szCs w:val="20"/>
                <w:lang w:eastAsia="sl-SI"/>
              </w:rPr>
              <w:t>zakon</w:t>
            </w:r>
            <w:r>
              <w:rPr>
                <w:rFonts w:cs="Arial"/>
                <w:color w:val="000000"/>
                <w:szCs w:val="20"/>
                <w:lang w:eastAsia="sl-SI"/>
              </w:rPr>
              <w:t>a</w:t>
            </w:r>
            <w:r w:rsidRPr="00605612">
              <w:rPr>
                <w:rFonts w:cs="Arial"/>
                <w:color w:val="000000"/>
                <w:szCs w:val="20"/>
                <w:lang w:eastAsia="sl-SI"/>
              </w:rPr>
              <w:t xml:space="preserve"> opredeljeno, da ukrepi veljajo za člane </w:t>
            </w:r>
            <w:r w:rsidRPr="00605612">
              <w:rPr>
                <w:rFonts w:cs="Arial"/>
                <w:szCs w:val="20"/>
                <w:lang w:eastAsia="sl-SI"/>
              </w:rPr>
              <w:t xml:space="preserve">organov </w:t>
            </w:r>
            <w:r w:rsidRPr="00605612">
              <w:rPr>
                <w:rFonts w:cs="Arial"/>
                <w:color w:val="000000"/>
                <w:szCs w:val="20"/>
                <w:lang w:eastAsia="sl-SI"/>
              </w:rPr>
              <w:t xml:space="preserve">vodenja in nadzora ter </w:t>
            </w:r>
            <w:r w:rsidRPr="00605612">
              <w:rPr>
                <w:rFonts w:cs="Arial"/>
                <w:szCs w:val="20"/>
                <w:lang w:eastAsia="sl-SI"/>
              </w:rPr>
              <w:t xml:space="preserve">za </w:t>
            </w:r>
            <w:r w:rsidRPr="00605612">
              <w:rPr>
                <w:rFonts w:cs="Arial"/>
                <w:color w:val="000000"/>
                <w:szCs w:val="20"/>
                <w:lang w:eastAsia="sl-SI"/>
              </w:rPr>
              <w:t>izvršne direktorje</w:t>
            </w:r>
            <w:r w:rsidRPr="00605612">
              <w:rPr>
                <w:rFonts w:cs="Arial"/>
                <w:szCs w:val="20"/>
                <w:lang w:eastAsia="sl-SI"/>
              </w:rPr>
              <w:t xml:space="preserve"> (pri čemer ni pomembno, ali so člani organov družbe ali ne</w:t>
            </w:r>
            <w:r>
              <w:rPr>
                <w:rFonts w:cs="Arial"/>
                <w:szCs w:val="20"/>
                <w:lang w:eastAsia="sl-SI"/>
              </w:rPr>
              <w:t xml:space="preserve"> v družbah z enotirnim sistemom upravljanja</w:t>
            </w:r>
            <w:r w:rsidRPr="00605612">
              <w:rPr>
                <w:rFonts w:cs="Arial"/>
                <w:szCs w:val="20"/>
                <w:lang w:eastAsia="sl-SI"/>
              </w:rPr>
              <w:t>)</w:t>
            </w:r>
            <w:r w:rsidRPr="00605612">
              <w:rPr>
                <w:rFonts w:cs="Arial"/>
                <w:color w:val="000000"/>
                <w:szCs w:val="20"/>
                <w:lang w:eastAsia="sl-SI"/>
              </w:rPr>
              <w:t>. To izhaja tudi iz 32. uvodne</w:t>
            </w:r>
            <w:r w:rsidRPr="00605612" w:rsidDel="00F55093">
              <w:rPr>
                <w:rFonts w:cs="Arial"/>
                <w:color w:val="000000"/>
                <w:szCs w:val="20"/>
                <w:lang w:eastAsia="sl-SI"/>
              </w:rPr>
              <w:t xml:space="preserve"> </w:t>
            </w:r>
            <w:r>
              <w:rPr>
                <w:rFonts w:cs="Arial"/>
                <w:color w:val="000000"/>
                <w:szCs w:val="20"/>
                <w:lang w:eastAsia="sl-SI"/>
              </w:rPr>
              <w:t>izjave</w:t>
            </w:r>
            <w:r w:rsidRPr="00605612">
              <w:rPr>
                <w:rFonts w:cs="Arial"/>
                <w:color w:val="000000"/>
                <w:szCs w:val="20"/>
                <w:lang w:eastAsia="sl-SI"/>
              </w:rPr>
              <w:t xml:space="preserve"> Direktive 2022/2381/EU, da je namen direktive zagotoviti bolj uravnoteženo zastopanost spolov v obeh kategorijah direktorjev.</w:t>
            </w:r>
          </w:p>
          <w:p w14:paraId="7ECAECFD" w14:textId="77777777" w:rsidR="000C08CA" w:rsidRPr="00605612" w:rsidRDefault="000C08CA" w:rsidP="00FE328D">
            <w:pPr>
              <w:spacing w:line="276" w:lineRule="auto"/>
              <w:jc w:val="both"/>
              <w:rPr>
                <w:rFonts w:cs="Arial"/>
                <w:color w:val="000000"/>
                <w:szCs w:val="20"/>
                <w:lang w:eastAsia="sl-SI"/>
              </w:rPr>
            </w:pPr>
          </w:p>
          <w:p w14:paraId="49F2940E"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254.b člen </w:t>
            </w:r>
          </w:p>
          <w:p w14:paraId="7A26B785"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3A5B72B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Določba določa družbe zavezanke, ki so na podlagi zakona </w:t>
            </w:r>
            <w:r>
              <w:rPr>
                <w:rFonts w:cs="Arial"/>
                <w:szCs w:val="20"/>
                <w:lang w:eastAsia="sl-SI"/>
              </w:rPr>
              <w:t>za</w:t>
            </w:r>
            <w:r w:rsidRPr="00605612">
              <w:rPr>
                <w:rFonts w:cs="Arial"/>
                <w:szCs w:val="20"/>
                <w:lang w:eastAsia="sl-SI"/>
              </w:rPr>
              <w:t xml:space="preserve">vezane sprejeti ukrepe za doseganje večje uravnoteženosti glede zastopanosti žensk in moških v organih upravljanja in nadzora ter med izvršnimi direktorji. </w:t>
            </w:r>
            <w:r>
              <w:rPr>
                <w:rFonts w:cs="Arial"/>
                <w:szCs w:val="20"/>
                <w:lang w:eastAsia="sl-SI"/>
              </w:rPr>
              <w:t>V s</w:t>
            </w:r>
            <w:r w:rsidRPr="00605612">
              <w:rPr>
                <w:rFonts w:cs="Arial"/>
                <w:szCs w:val="20"/>
                <w:lang w:eastAsia="sl-SI"/>
              </w:rPr>
              <w:t>klad</w:t>
            </w:r>
            <w:r>
              <w:rPr>
                <w:rFonts w:cs="Arial"/>
                <w:szCs w:val="20"/>
                <w:lang w:eastAsia="sl-SI"/>
              </w:rPr>
              <w:t>u</w:t>
            </w:r>
            <w:r w:rsidRPr="00605612">
              <w:rPr>
                <w:rFonts w:cs="Arial"/>
                <w:szCs w:val="20"/>
                <w:lang w:eastAsia="sl-SI"/>
              </w:rPr>
              <w:t xml:space="preserve"> s 3. členom Direktive 2022/2381/EU so k spreje</w:t>
            </w:r>
            <w:r>
              <w:rPr>
                <w:rFonts w:cs="Arial"/>
                <w:szCs w:val="20"/>
                <w:lang w:eastAsia="sl-SI"/>
              </w:rPr>
              <w:t>tj</w:t>
            </w:r>
            <w:r w:rsidRPr="00605612">
              <w:rPr>
                <w:rFonts w:cs="Arial"/>
                <w:szCs w:val="20"/>
                <w:lang w:eastAsia="sl-SI"/>
              </w:rPr>
              <w:t xml:space="preserve">u ukrepov zavezane družbe, ki izpolnjujejo tri </w:t>
            </w:r>
            <w:r>
              <w:rPr>
                <w:rFonts w:cs="Arial"/>
                <w:szCs w:val="20"/>
                <w:lang w:eastAsia="sl-SI"/>
              </w:rPr>
              <w:t>merila</w:t>
            </w:r>
            <w:r w:rsidRPr="00605612">
              <w:rPr>
                <w:rFonts w:cs="Arial"/>
                <w:szCs w:val="20"/>
                <w:lang w:eastAsia="sl-SI"/>
              </w:rPr>
              <w:t>, in sicer da se z njenimi vrednostnimi papirji</w:t>
            </w:r>
            <w:r w:rsidRPr="00605612" w:rsidDel="00AF5CBD">
              <w:rPr>
                <w:rFonts w:cs="Arial"/>
                <w:szCs w:val="20"/>
                <w:lang w:eastAsia="sl-SI"/>
              </w:rPr>
              <w:t xml:space="preserve"> </w:t>
            </w:r>
            <w:r w:rsidRPr="00605612">
              <w:rPr>
                <w:rFonts w:cs="Arial"/>
                <w:szCs w:val="20"/>
                <w:lang w:eastAsia="sl-SI"/>
              </w:rPr>
              <w:t>trguje na organiziranem trgu, ima več kot 250 zaposlenih in čisti prihod</w:t>
            </w:r>
            <w:r>
              <w:rPr>
                <w:rFonts w:cs="Arial"/>
                <w:szCs w:val="20"/>
                <w:lang w:eastAsia="sl-SI"/>
              </w:rPr>
              <w:t>ki</w:t>
            </w:r>
            <w:r w:rsidRPr="00605612">
              <w:rPr>
                <w:rFonts w:cs="Arial"/>
                <w:szCs w:val="20"/>
                <w:lang w:eastAsia="sl-SI"/>
              </w:rPr>
              <w:t xml:space="preserve"> od prodaje presega</w:t>
            </w:r>
            <w:r>
              <w:rPr>
                <w:rFonts w:cs="Arial"/>
                <w:szCs w:val="20"/>
                <w:lang w:eastAsia="sl-SI"/>
              </w:rPr>
              <w:t>jo</w:t>
            </w:r>
            <w:r w:rsidRPr="00605612">
              <w:rPr>
                <w:rFonts w:cs="Arial"/>
                <w:szCs w:val="20"/>
                <w:lang w:eastAsia="sl-SI"/>
              </w:rPr>
              <w:t xml:space="preserve"> 50</w:t>
            </w:r>
            <w:r>
              <w:rPr>
                <w:rFonts w:cs="Arial"/>
                <w:szCs w:val="20"/>
                <w:lang w:eastAsia="sl-SI"/>
              </w:rPr>
              <w:t>.</w:t>
            </w:r>
            <w:r w:rsidRPr="00605612">
              <w:rPr>
                <w:rFonts w:cs="Arial"/>
                <w:szCs w:val="20"/>
                <w:lang w:eastAsia="sl-SI"/>
              </w:rPr>
              <w:t xml:space="preserve">000.000 </w:t>
            </w:r>
            <w:r>
              <w:rPr>
                <w:rFonts w:cs="Arial"/>
                <w:szCs w:val="20"/>
                <w:lang w:eastAsia="sl-SI"/>
              </w:rPr>
              <w:t>EUR</w:t>
            </w:r>
            <w:r w:rsidRPr="00605612">
              <w:rPr>
                <w:rFonts w:cs="Arial"/>
                <w:szCs w:val="20"/>
                <w:lang w:eastAsia="sl-SI"/>
              </w:rPr>
              <w:t xml:space="preserve"> ali vrednost aktive presega 43</w:t>
            </w:r>
            <w:r>
              <w:rPr>
                <w:rFonts w:cs="Arial"/>
                <w:szCs w:val="20"/>
                <w:lang w:eastAsia="sl-SI"/>
              </w:rPr>
              <w:t>.</w:t>
            </w:r>
            <w:r w:rsidRPr="00605612">
              <w:rPr>
                <w:rFonts w:cs="Arial"/>
                <w:szCs w:val="20"/>
                <w:lang w:eastAsia="sl-SI"/>
              </w:rPr>
              <w:t xml:space="preserve">000.000 </w:t>
            </w:r>
            <w:r>
              <w:rPr>
                <w:rFonts w:cs="Arial"/>
                <w:szCs w:val="20"/>
                <w:lang w:eastAsia="sl-SI"/>
              </w:rPr>
              <w:t>EUR</w:t>
            </w:r>
            <w:r w:rsidRPr="00605612">
              <w:rPr>
                <w:rFonts w:cs="Arial"/>
                <w:szCs w:val="20"/>
                <w:lang w:eastAsia="sl-SI"/>
              </w:rPr>
              <w:t>. </w:t>
            </w:r>
          </w:p>
          <w:p w14:paraId="614D753B"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7397379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Ker sta spola v organih upravljanja in nadzora precej neuravnoteženo zastopana in ker ima Slovenija </w:t>
            </w:r>
            <w:r>
              <w:rPr>
                <w:rFonts w:cs="Arial"/>
                <w:szCs w:val="20"/>
                <w:lang w:eastAsia="sl-SI"/>
              </w:rPr>
              <w:t>razmeroma</w:t>
            </w:r>
            <w:r w:rsidRPr="00605612">
              <w:rPr>
                <w:rFonts w:cs="Arial"/>
                <w:szCs w:val="20"/>
                <w:lang w:eastAsia="sl-SI"/>
              </w:rPr>
              <w:t xml:space="preserve"> ma</w:t>
            </w:r>
            <w:r>
              <w:rPr>
                <w:rFonts w:cs="Arial"/>
                <w:szCs w:val="20"/>
                <w:lang w:eastAsia="sl-SI"/>
              </w:rPr>
              <w:t>lo</w:t>
            </w:r>
            <w:r w:rsidRPr="00605612">
              <w:rPr>
                <w:rFonts w:cs="Arial"/>
                <w:szCs w:val="20"/>
                <w:lang w:eastAsia="sl-SI"/>
              </w:rPr>
              <w:t xml:space="preserve"> družb, ki izpolnjujejo zgoraj navedene pogoje (11 v letu 2023), so kot zavezanke določene tudi </w:t>
            </w:r>
            <w:r w:rsidRPr="00605612">
              <w:rPr>
                <w:rFonts w:cs="Arial"/>
                <w:szCs w:val="20"/>
              </w:rPr>
              <w:t>družbe s kapitalsko naložbo države in lokalnih skupnosti, v katerih ima država oziroma lokalna skupnost večinski delež v kapitalu ali večino glasovalnih pravic</w:t>
            </w:r>
            <w:r>
              <w:rPr>
                <w:rFonts w:cs="Arial"/>
                <w:szCs w:val="20"/>
              </w:rPr>
              <w:t>,</w:t>
            </w:r>
            <w:r w:rsidRPr="00605612">
              <w:rPr>
                <w:rFonts w:cs="Arial"/>
                <w:szCs w:val="20"/>
              </w:rPr>
              <w:t xml:space="preserve"> imajo več kot 250 zaposlenih</w:t>
            </w:r>
            <w:r>
              <w:rPr>
                <w:rFonts w:cs="Arial"/>
                <w:szCs w:val="20"/>
              </w:rPr>
              <w:t xml:space="preserve"> in izpolnjujejo pogoje za velike družbe iz petega odstavka 55. člena tega zakona.</w:t>
            </w:r>
            <w:r w:rsidRPr="00605612">
              <w:rPr>
                <w:rFonts w:cs="Arial"/>
                <w:szCs w:val="20"/>
              </w:rPr>
              <w:t xml:space="preserve"> Družbe s kapitalsko naložbo države </w:t>
            </w:r>
            <w:r>
              <w:rPr>
                <w:rFonts w:cs="Arial"/>
                <w:szCs w:val="20"/>
              </w:rPr>
              <w:t xml:space="preserve">in lokalnih skupnosti </w:t>
            </w:r>
            <w:r w:rsidRPr="00605612">
              <w:rPr>
                <w:rFonts w:cs="Arial"/>
                <w:szCs w:val="20"/>
              </w:rPr>
              <w:t xml:space="preserve">morajo biti zgled, so prepoznavne in imajo pomembno vlogo v slovenskem gospodarskem prostoru. </w:t>
            </w:r>
            <w:r w:rsidRPr="00605612">
              <w:rPr>
                <w:rFonts w:cs="Arial"/>
                <w:szCs w:val="20"/>
                <w:lang w:eastAsia="sl-SI"/>
              </w:rPr>
              <w:t xml:space="preserve">Za te je določeno daljše prehodno obdobje za začetek uveljavitve </w:t>
            </w:r>
            <w:r>
              <w:rPr>
                <w:rFonts w:cs="Arial"/>
                <w:szCs w:val="20"/>
                <w:lang w:eastAsia="sl-SI"/>
              </w:rPr>
              <w:t>izpolnjevanja deležev</w:t>
            </w:r>
            <w:r w:rsidRPr="00605612">
              <w:rPr>
                <w:rFonts w:cs="Arial"/>
                <w:szCs w:val="20"/>
                <w:lang w:eastAsia="sl-SI"/>
              </w:rPr>
              <w:t xml:space="preserve"> glede zastopanosti spolov in izvajanja ukrepov v zvezi z uravnoteženo zastopanostjo spolov v organih vodenja in nadzora ter med izvršnimi direktorji, in sicer za njih velja rok do konca leta 2028.  </w:t>
            </w:r>
          </w:p>
          <w:p w14:paraId="0B3C8FE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2D6A1226"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254.c člen </w:t>
            </w:r>
          </w:p>
          <w:p w14:paraId="5947053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14A0A8F0"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Določba določa</w:t>
            </w:r>
            <w:r>
              <w:rPr>
                <w:rFonts w:cs="Arial"/>
                <w:szCs w:val="20"/>
                <w:lang w:eastAsia="sl-SI"/>
              </w:rPr>
              <w:t xml:space="preserve"> deleže</w:t>
            </w:r>
            <w:r w:rsidRPr="00605612">
              <w:rPr>
                <w:rFonts w:cs="Arial"/>
                <w:szCs w:val="20"/>
                <w:lang w:eastAsia="sl-SI"/>
              </w:rPr>
              <w:t xml:space="preserve">, ki jih mora družba zavezanka dosegati glede uravnotežene zastopanosti spolov in prenaša 5. člen Direktive 2022/2381/EU. Družba si lahko sama izbere, katerega od </w:t>
            </w:r>
            <w:r>
              <w:rPr>
                <w:rFonts w:cs="Arial"/>
                <w:szCs w:val="20"/>
                <w:lang w:eastAsia="sl-SI"/>
              </w:rPr>
              <w:t>deležev</w:t>
            </w:r>
            <w:r w:rsidRPr="00605612">
              <w:rPr>
                <w:rFonts w:cs="Arial"/>
                <w:szCs w:val="20"/>
                <w:lang w:eastAsia="sl-SI"/>
              </w:rPr>
              <w:t xml:space="preserve"> bo izpolnjevala, 40</w:t>
            </w:r>
            <w:r>
              <w:rPr>
                <w:rFonts w:cs="Arial"/>
                <w:szCs w:val="20"/>
                <w:lang w:eastAsia="sl-SI"/>
              </w:rPr>
              <w:t>-odstotno</w:t>
            </w:r>
            <w:r w:rsidRPr="00605612">
              <w:rPr>
                <w:rFonts w:cs="Arial"/>
                <w:szCs w:val="20"/>
                <w:lang w:eastAsia="sl-SI"/>
              </w:rPr>
              <w:t xml:space="preserve"> zastopanost manj zastopanega spola med člani organov nadzora </w:t>
            </w:r>
            <w:r w:rsidRPr="00605612">
              <w:rPr>
                <w:rFonts w:cs="Arial"/>
                <w:szCs w:val="20"/>
                <w:lang w:eastAsia="sl-SI"/>
              </w:rPr>
              <w:lastRenderedPageBreak/>
              <w:t>oziroma neizvršnimi direktorji (osebami</w:t>
            </w:r>
            <w:r>
              <w:rPr>
                <w:rFonts w:cs="Arial"/>
                <w:szCs w:val="20"/>
                <w:lang w:eastAsia="sl-SI"/>
              </w:rPr>
              <w:t>,</w:t>
            </w:r>
            <w:r w:rsidRPr="00605612">
              <w:rPr>
                <w:rFonts w:cs="Arial"/>
                <w:szCs w:val="20"/>
                <w:lang w:eastAsia="sl-SI"/>
              </w:rPr>
              <w:t xml:space="preserve"> odgovornimi za nadzor poslov družbe) ali 33</w:t>
            </w:r>
            <w:r>
              <w:rPr>
                <w:rFonts w:cs="Arial"/>
                <w:szCs w:val="20"/>
                <w:lang w:eastAsia="sl-SI"/>
              </w:rPr>
              <w:t>-odstotno</w:t>
            </w:r>
            <w:r w:rsidRPr="00605612">
              <w:rPr>
                <w:rFonts w:cs="Arial"/>
                <w:szCs w:val="20"/>
                <w:lang w:eastAsia="sl-SI"/>
              </w:rPr>
              <w:t xml:space="preserve"> zastopanost manj zastopanega spola skupno med  člani organov vodenja in nadzora ter med izvršnimi direktorji (neizvršnimi in izvršnimi direktorji), glede na trenutno stanje oz. zastopanost v organih družbe.  </w:t>
            </w:r>
          </w:p>
          <w:p w14:paraId="727DC65E"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5E2FF36A"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Družbe, </w:t>
            </w:r>
            <w:r w:rsidRPr="00605612">
              <w:rPr>
                <w:rFonts w:cs="Arial"/>
                <w:color w:val="000000"/>
                <w:szCs w:val="20"/>
                <w:lang w:eastAsia="sl-SI"/>
              </w:rPr>
              <w:t>ki bodo zavezane upoštevati pravila v zvezi z zagotavljanjem uravnotežene zastopanosti spolov med osebami</w:t>
            </w:r>
            <w:r>
              <w:rPr>
                <w:rFonts w:cs="Arial"/>
                <w:color w:val="000000"/>
                <w:szCs w:val="20"/>
                <w:lang w:eastAsia="sl-SI"/>
              </w:rPr>
              <w:t>,</w:t>
            </w:r>
            <w:r w:rsidRPr="00605612">
              <w:rPr>
                <w:rFonts w:cs="Arial"/>
                <w:color w:val="000000"/>
                <w:szCs w:val="20"/>
                <w:lang w:eastAsia="sl-SI"/>
              </w:rPr>
              <w:t xml:space="preserve"> odgovornimi za vodenje in nadzor poslov družbe (družbe zavezanke), bodo morale v politiki raznolikosti opredeliti delež </w:t>
            </w:r>
            <w:r>
              <w:rPr>
                <w:rFonts w:cs="Arial"/>
                <w:color w:val="000000"/>
                <w:szCs w:val="20"/>
                <w:lang w:eastAsia="sl-SI"/>
              </w:rPr>
              <w:t>glede</w:t>
            </w:r>
            <w:r w:rsidRPr="00605612">
              <w:rPr>
                <w:rFonts w:cs="Arial"/>
                <w:color w:val="000000"/>
                <w:szCs w:val="20"/>
                <w:lang w:eastAsia="sl-SI"/>
              </w:rPr>
              <w:t xml:space="preserve"> zastopanosti manj zastopanega spola med člani organov vodenja in nadzora ter izvršnimi direktorji, ki ga bodo dosegle. Trenutno veljavni ZGD-1 (gl. 7. točko petega odstavka 70. člena) dopušča možnost, da </w:t>
            </w:r>
            <w:r w:rsidRPr="00605612">
              <w:rPr>
                <w:rFonts w:cs="Arial"/>
                <w:color w:val="000000"/>
                <w:szCs w:val="20"/>
                <w:shd w:val="clear" w:color="auto" w:fill="FFFFFF"/>
                <w:lang w:eastAsia="sl-SI"/>
              </w:rPr>
              <w:t xml:space="preserve">se politika raznolikosti v družbi ne izvaja, kar je treba v izjavi o upravljanju obrazložiti. Obrazložitev mora vsebovati navedbo, kdaj in kako bo družba oblikovala politiko raznolikosti. </w:t>
            </w:r>
            <w:r>
              <w:rPr>
                <w:rFonts w:cs="Arial"/>
                <w:color w:val="000000"/>
                <w:szCs w:val="20"/>
                <w:shd w:val="clear" w:color="auto" w:fill="FFFFFF"/>
                <w:lang w:eastAsia="sl-SI"/>
              </w:rPr>
              <w:t>V skladu z</w:t>
            </w:r>
            <w:r w:rsidRPr="00605612">
              <w:rPr>
                <w:rFonts w:cs="Arial"/>
                <w:color w:val="000000"/>
                <w:szCs w:val="20"/>
                <w:shd w:val="clear" w:color="auto" w:fill="FFFFFF"/>
                <w:lang w:eastAsia="sl-SI"/>
              </w:rPr>
              <w:t xml:space="preserve"> drugim odstavkom 254.c člena je oblikovanje in sprejem politike raznolikosti obligatoren za družbe zavezanke. Nekateri referenčni kodeksi upravljanja družb</w:t>
            </w:r>
            <w:r>
              <w:rPr>
                <w:rStyle w:val="FootnoteReference"/>
                <w:rFonts w:cs="Arial"/>
                <w:color w:val="000000"/>
                <w:szCs w:val="20"/>
                <w:shd w:val="clear" w:color="auto" w:fill="FFFFFF"/>
                <w:lang w:eastAsia="sl-SI"/>
              </w:rPr>
              <w:footnoteReference w:id="39"/>
            </w:r>
            <w:r>
              <w:rPr>
                <w:rFonts w:cs="Arial"/>
                <w:color w:val="000000"/>
                <w:szCs w:val="20"/>
                <w:shd w:val="clear" w:color="auto" w:fill="FFFFFF"/>
                <w:vertAlign w:val="superscript"/>
                <w:lang w:eastAsia="sl-SI"/>
              </w:rPr>
              <w:t xml:space="preserve"> </w:t>
            </w:r>
            <w:r w:rsidRPr="00605612">
              <w:rPr>
                <w:rFonts w:cs="Arial"/>
                <w:color w:val="000000"/>
                <w:szCs w:val="20"/>
                <w:shd w:val="clear" w:color="auto" w:fill="FFFFFF"/>
                <w:lang w:eastAsia="sl-SI"/>
              </w:rPr>
              <w:t xml:space="preserve">vsebujejo </w:t>
            </w:r>
            <w:r>
              <w:rPr>
                <w:rFonts w:cs="Arial"/>
                <w:color w:val="000000"/>
                <w:szCs w:val="20"/>
                <w:shd w:val="clear" w:color="auto" w:fill="FFFFFF"/>
                <w:lang w:eastAsia="sl-SI"/>
              </w:rPr>
              <w:t>podrobnejša</w:t>
            </w:r>
            <w:r w:rsidRPr="00605612">
              <w:rPr>
                <w:rFonts w:cs="Arial"/>
                <w:color w:val="000000"/>
                <w:szCs w:val="20"/>
                <w:shd w:val="clear" w:color="auto" w:fill="FFFFFF"/>
                <w:lang w:eastAsia="sl-SI"/>
              </w:rPr>
              <w:t xml:space="preserve"> pojasnila in priporočila glede oblikovanja in spreje</w:t>
            </w:r>
            <w:r>
              <w:rPr>
                <w:rFonts w:cs="Arial"/>
                <w:color w:val="000000"/>
                <w:szCs w:val="20"/>
                <w:shd w:val="clear" w:color="auto" w:fill="FFFFFF"/>
                <w:lang w:eastAsia="sl-SI"/>
              </w:rPr>
              <w:t>tj</w:t>
            </w:r>
            <w:r w:rsidRPr="00605612">
              <w:rPr>
                <w:rFonts w:cs="Arial"/>
                <w:color w:val="000000"/>
                <w:szCs w:val="20"/>
                <w:shd w:val="clear" w:color="auto" w:fill="FFFFFF"/>
                <w:lang w:eastAsia="sl-SI"/>
              </w:rPr>
              <w:t xml:space="preserve">a </w:t>
            </w:r>
            <w:r>
              <w:rPr>
                <w:rFonts w:cs="Arial"/>
                <w:color w:val="000000"/>
                <w:szCs w:val="20"/>
                <w:shd w:val="clear" w:color="auto" w:fill="FFFFFF"/>
                <w:lang w:eastAsia="sl-SI"/>
              </w:rPr>
              <w:t>p</w:t>
            </w:r>
            <w:r w:rsidRPr="00605612">
              <w:rPr>
                <w:rFonts w:cs="Arial"/>
                <w:color w:val="000000"/>
                <w:szCs w:val="20"/>
                <w:shd w:val="clear" w:color="auto" w:fill="FFFFFF"/>
                <w:lang w:eastAsia="sl-SI"/>
              </w:rPr>
              <w:t xml:space="preserve">olitike raznolikosti. V </w:t>
            </w:r>
            <w:r w:rsidRPr="00605612">
              <w:rPr>
                <w:rFonts w:cs="Arial"/>
                <w:szCs w:val="20"/>
                <w:lang w:eastAsia="sl-SI"/>
              </w:rPr>
              <w:t>Slovenskem kodeksu upravljanja javnih delniških družb</w:t>
            </w:r>
            <w:r>
              <w:rPr>
                <w:rStyle w:val="FootnoteReference"/>
                <w:rFonts w:cs="Arial"/>
                <w:szCs w:val="20"/>
                <w:lang w:eastAsia="sl-SI"/>
              </w:rPr>
              <w:footnoteReference w:id="40"/>
            </w:r>
            <w:r w:rsidRPr="00605612">
              <w:rPr>
                <w:rFonts w:cs="Arial"/>
                <w:szCs w:val="20"/>
                <w:lang w:eastAsia="sl-SI"/>
              </w:rPr>
              <w:t xml:space="preserve"> je </w:t>
            </w:r>
            <w:r>
              <w:rPr>
                <w:rFonts w:cs="Arial"/>
                <w:szCs w:val="20"/>
                <w:lang w:eastAsia="sl-SI"/>
              </w:rPr>
              <w:t>p</w:t>
            </w:r>
            <w:r w:rsidRPr="00605612">
              <w:rPr>
                <w:rFonts w:cs="Arial"/>
                <w:szCs w:val="20"/>
                <w:lang w:eastAsia="sl-SI"/>
              </w:rPr>
              <w:t xml:space="preserve">olitika raznolikosti opredeljena kot dokument, ki opredeljuje zaveze družbe glede raznolikosti, ki se izvajajo v zvezi z zastopanostjo v organih vodenja in nadzora družbe glede vidikov, kot so na primer spol, starost in strokovne kompetence. Politika raznolikosti mora vsebovati konkretne cilje ter način njihovega izvajanja. Če se družba odloči, da bo izpolnjevala </w:t>
            </w:r>
            <w:r>
              <w:rPr>
                <w:rFonts w:cs="Arial"/>
                <w:szCs w:val="20"/>
                <w:lang w:eastAsia="sl-SI"/>
              </w:rPr>
              <w:t>delež</w:t>
            </w:r>
            <w:r w:rsidRPr="00605612">
              <w:rPr>
                <w:rFonts w:cs="Arial"/>
                <w:szCs w:val="20"/>
                <w:lang w:eastAsia="sl-SI"/>
              </w:rPr>
              <w:t xml:space="preserve"> 40</w:t>
            </w:r>
            <w:r>
              <w:rPr>
                <w:rFonts w:cs="Arial"/>
                <w:szCs w:val="20"/>
                <w:lang w:eastAsia="sl-SI"/>
              </w:rPr>
              <w:t>-odstotne</w:t>
            </w:r>
            <w:r w:rsidRPr="00605612">
              <w:rPr>
                <w:rFonts w:cs="Arial"/>
                <w:szCs w:val="20"/>
                <w:lang w:eastAsia="sl-SI"/>
              </w:rPr>
              <w:t xml:space="preserve"> zastopanosti manj zastopanega spola med </w:t>
            </w:r>
            <w:r>
              <w:rPr>
                <w:rFonts w:cs="Arial"/>
                <w:szCs w:val="20"/>
                <w:lang w:eastAsia="sl-SI"/>
              </w:rPr>
              <w:t xml:space="preserve">člani organa nadzora (tj. </w:t>
            </w:r>
            <w:r w:rsidRPr="00605612">
              <w:rPr>
                <w:rFonts w:cs="Arial"/>
                <w:szCs w:val="20"/>
                <w:lang w:eastAsia="sl-SI"/>
              </w:rPr>
              <w:t>neizvršnimi direktorji</w:t>
            </w:r>
            <w:r>
              <w:rPr>
                <w:rFonts w:cs="Arial"/>
                <w:szCs w:val="20"/>
                <w:lang w:eastAsia="sl-SI"/>
              </w:rPr>
              <w:t>)</w:t>
            </w:r>
            <w:r w:rsidRPr="00605612">
              <w:rPr>
                <w:rFonts w:cs="Arial"/>
                <w:szCs w:val="20"/>
                <w:lang w:eastAsia="sl-SI"/>
              </w:rPr>
              <w:t xml:space="preserve">, določba (na podlagi drugega odstavka 5. člena Direktive 2022/2381/EU) nalaga, da si mora družba sama </w:t>
            </w:r>
            <w:r>
              <w:rPr>
                <w:rFonts w:cs="Arial"/>
                <w:szCs w:val="20"/>
                <w:lang w:eastAsia="sl-SI"/>
              </w:rPr>
              <w:t>določiti</w:t>
            </w:r>
            <w:r w:rsidRPr="00605612">
              <w:rPr>
                <w:rFonts w:cs="Arial"/>
                <w:szCs w:val="20"/>
                <w:lang w:eastAsia="sl-SI"/>
              </w:rPr>
              <w:t xml:space="preserve"> </w:t>
            </w:r>
            <w:r>
              <w:rPr>
                <w:rFonts w:cs="Arial"/>
                <w:szCs w:val="20"/>
                <w:lang w:eastAsia="sl-SI"/>
              </w:rPr>
              <w:t>delež</w:t>
            </w:r>
            <w:r w:rsidRPr="00605612">
              <w:rPr>
                <w:rFonts w:cs="Arial"/>
                <w:szCs w:val="20"/>
                <w:lang w:eastAsia="sl-SI"/>
              </w:rPr>
              <w:t xml:space="preserve"> glede zastopanosti manj zastopanega spola med </w:t>
            </w:r>
            <w:r>
              <w:rPr>
                <w:rFonts w:cs="Arial"/>
                <w:szCs w:val="20"/>
                <w:lang w:eastAsia="sl-SI"/>
              </w:rPr>
              <w:t>člani organa vodenja oziroma</w:t>
            </w:r>
            <w:r w:rsidRPr="00605612">
              <w:rPr>
                <w:rFonts w:cs="Arial"/>
                <w:szCs w:val="20"/>
                <w:lang w:eastAsia="sl-SI"/>
              </w:rPr>
              <w:t xml:space="preserve"> izvršnimi direktorji</w:t>
            </w:r>
            <w:r>
              <w:rPr>
                <w:rFonts w:cs="Arial"/>
                <w:szCs w:val="20"/>
                <w:lang w:eastAsia="sl-SI"/>
              </w:rPr>
              <w:t>, ki ga bo dosegla</w:t>
            </w:r>
            <w:r w:rsidRPr="00605612">
              <w:rPr>
                <w:rFonts w:cs="Arial"/>
                <w:szCs w:val="20"/>
                <w:lang w:eastAsia="sl-SI"/>
              </w:rPr>
              <w:t>. Izvršni direktorji sprejemajo vsakodnevne odločitve, zaradi česar je pomembno, da so ženske (ki so praviloma manj zastopane) vključene v ta razmerja in lahko vplivajo na sprejem</w:t>
            </w:r>
            <w:r>
              <w:rPr>
                <w:rFonts w:cs="Arial"/>
                <w:szCs w:val="20"/>
                <w:lang w:eastAsia="sl-SI"/>
              </w:rPr>
              <w:t>anje</w:t>
            </w:r>
            <w:r w:rsidRPr="00605612">
              <w:rPr>
                <w:rFonts w:cs="Arial"/>
                <w:szCs w:val="20"/>
                <w:lang w:eastAsia="sl-SI"/>
              </w:rPr>
              <w:t xml:space="preserve"> odločitev.  </w:t>
            </w:r>
          </w:p>
          <w:p w14:paraId="709A1FAB"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63BDCE1E"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Tretji odstavek določa obveznosti Sveta delavcev v zvezi z imenovanji predstavnikov delavcev v organe vodenja in nadzora družbe. Predstavniki delavcev sodelujejo v dvotirnem sistemu upravljanja v nadzornem svetu družbe oziroma preko predstavnika delavcev v upravi družbe, v enotirnem sistemu upravljanja pa v upravnem odboru oziroma preko predstavnika delavcev med izvršnimi direktorji družbe. Število predstavnikov delavcev v nadzornem svetu se skladno z Zakonom o sodelovanju delavcev pri upravljanju (gl. 79. člen) določi s statutom družbe, vendar ne sme biti manjše od ene tretjine članov in ne večje od polovice.  V 33. uvodni</w:t>
            </w:r>
            <w:r w:rsidRPr="00605612" w:rsidDel="00F55093">
              <w:rPr>
                <w:rFonts w:cs="Arial"/>
                <w:szCs w:val="20"/>
                <w:lang w:eastAsia="sl-SI"/>
              </w:rPr>
              <w:t xml:space="preserve"> </w:t>
            </w:r>
            <w:r>
              <w:rPr>
                <w:rFonts w:cs="Arial"/>
                <w:szCs w:val="20"/>
                <w:lang w:eastAsia="sl-SI"/>
              </w:rPr>
              <w:t>izjavi</w:t>
            </w:r>
            <w:r w:rsidRPr="00605612">
              <w:rPr>
                <w:rFonts w:cs="Arial"/>
                <w:szCs w:val="20"/>
                <w:lang w:eastAsia="sl-SI"/>
              </w:rPr>
              <w:t xml:space="preserve"> Direktive 2022/2381/EU je opredeljeno, da države članice lahko ob upoštevanju nacionalnih pravil za izvolitev ali imenovanje predstavnikov zaposlenih količinske cilje uporabljajo ločeno za predstavnike delničarjev in predstavnike zaposlenih v organih vodenja in nadzora oziroma izvršne direktorje. Zaradi enakomerne porazdelitve odgovornosti pri imenovanju predstavnikov v organe vodenja in nadzora ter za izvršne direktorje je za Svet delavcev določen poseben delež v zvezi </w:t>
            </w:r>
            <w:r>
              <w:rPr>
                <w:rFonts w:cs="Arial"/>
                <w:szCs w:val="20"/>
                <w:lang w:eastAsia="sl-SI"/>
              </w:rPr>
              <w:t>z</w:t>
            </w:r>
            <w:r>
              <w:t xml:space="preserve"> </w:t>
            </w:r>
            <w:r w:rsidRPr="00F032EA">
              <w:rPr>
                <w:rFonts w:cs="Arial"/>
                <w:szCs w:val="20"/>
                <w:lang w:eastAsia="sl-SI"/>
              </w:rPr>
              <w:t>uravnoteženo</w:t>
            </w:r>
            <w:r w:rsidRPr="00605612">
              <w:rPr>
                <w:rFonts w:cs="Arial"/>
                <w:szCs w:val="20"/>
                <w:lang w:eastAsia="sl-SI"/>
              </w:rPr>
              <w:t xml:space="preserve"> zastopanostjo </w:t>
            </w:r>
            <w:r w:rsidRPr="00F032EA">
              <w:rPr>
                <w:rFonts w:cs="Arial"/>
                <w:szCs w:val="20"/>
                <w:lang w:eastAsia="sl-SI"/>
              </w:rPr>
              <w:t xml:space="preserve">spolov </w:t>
            </w:r>
            <w:r>
              <w:rPr>
                <w:rFonts w:cs="Arial"/>
                <w:szCs w:val="20"/>
                <w:lang w:eastAsia="sl-SI"/>
              </w:rPr>
              <w:t xml:space="preserve">med </w:t>
            </w:r>
            <w:r w:rsidRPr="00605612">
              <w:rPr>
                <w:rFonts w:cs="Arial"/>
                <w:szCs w:val="20"/>
                <w:lang w:eastAsia="sl-SI"/>
              </w:rPr>
              <w:t>predstavnik</w:t>
            </w:r>
            <w:r>
              <w:rPr>
                <w:rFonts w:cs="Arial"/>
                <w:szCs w:val="20"/>
                <w:lang w:eastAsia="sl-SI"/>
              </w:rPr>
              <w:t>i</w:t>
            </w:r>
            <w:r w:rsidRPr="00605612">
              <w:rPr>
                <w:rFonts w:cs="Arial"/>
                <w:szCs w:val="20"/>
                <w:lang w:eastAsia="sl-SI"/>
              </w:rPr>
              <w:t xml:space="preserve"> delavcev v organih</w:t>
            </w:r>
            <w:r>
              <w:rPr>
                <w:rFonts w:cs="Arial"/>
                <w:szCs w:val="20"/>
                <w:lang w:eastAsia="sl-SI"/>
              </w:rPr>
              <w:t xml:space="preserve"> družbe</w:t>
            </w:r>
            <w:r w:rsidRPr="00605612">
              <w:rPr>
                <w:rFonts w:cs="Arial"/>
                <w:szCs w:val="20"/>
                <w:lang w:eastAsia="sl-SI"/>
              </w:rPr>
              <w:t>, ki ga morajo upoštevati. Svet delavcev je pri imenovanju predstavnikov delavcev v organe nadzora in vodenja ter za izvršne direktorje družbe zavezanke po zakonu, ki ureja sodelovanje delavcev pri upravljanju, dolžan glede svojih predstavnikov zagotoviti vsaj 33</w:t>
            </w:r>
            <w:r>
              <w:rPr>
                <w:rFonts w:cs="Arial"/>
                <w:szCs w:val="20"/>
                <w:lang w:eastAsia="sl-SI"/>
              </w:rPr>
              <w:t>-odstotno</w:t>
            </w:r>
            <w:r w:rsidRPr="00605612">
              <w:rPr>
                <w:rFonts w:cs="Arial"/>
                <w:szCs w:val="20"/>
                <w:lang w:eastAsia="sl-SI"/>
              </w:rPr>
              <w:t xml:space="preserve"> zastopanost manj zastopanega spola. Delež je skladen z zahtevami iz Direktive 2022/2381/EU. </w:t>
            </w:r>
            <w:r w:rsidRPr="00695095">
              <w:rPr>
                <w:rFonts w:cs="Arial"/>
                <w:szCs w:val="20"/>
                <w:lang w:eastAsia="sl-SI"/>
              </w:rPr>
              <w:t>Določba dopušča tudi izjemo, k</w:t>
            </w:r>
            <w:r>
              <w:rPr>
                <w:rFonts w:cs="Arial"/>
                <w:szCs w:val="20"/>
                <w:lang w:eastAsia="sl-SI"/>
              </w:rPr>
              <w:t>adar</w:t>
            </w:r>
            <w:r w:rsidRPr="00695095">
              <w:rPr>
                <w:rFonts w:cs="Arial"/>
                <w:szCs w:val="20"/>
                <w:lang w:eastAsia="sl-SI"/>
              </w:rPr>
              <w:t xml:space="preserve"> v družbi v času imenovanja ni na voljo oseb manj zastopanega spola in zato </w:t>
            </w:r>
            <w:r>
              <w:rPr>
                <w:rFonts w:cs="Arial"/>
                <w:szCs w:val="20"/>
                <w:lang w:eastAsia="sl-SI"/>
              </w:rPr>
              <w:t>zadevnega</w:t>
            </w:r>
            <w:r w:rsidRPr="00695095">
              <w:rPr>
                <w:rFonts w:cs="Arial"/>
                <w:szCs w:val="20"/>
                <w:lang w:eastAsia="sl-SI"/>
              </w:rPr>
              <w:t xml:space="preserve"> deleža ne morejo zagotoviti. </w:t>
            </w:r>
            <w:r w:rsidRPr="00605612">
              <w:rPr>
                <w:rFonts w:cs="Arial"/>
                <w:szCs w:val="20"/>
                <w:lang w:eastAsia="sl-SI"/>
              </w:rPr>
              <w:t>Ne glede na</w:t>
            </w:r>
            <w:r w:rsidDel="004E7E2E">
              <w:rPr>
                <w:rFonts w:cs="Arial"/>
                <w:szCs w:val="20"/>
                <w:lang w:eastAsia="sl-SI"/>
              </w:rPr>
              <w:t xml:space="preserve"> </w:t>
            </w:r>
            <w:r>
              <w:rPr>
                <w:rFonts w:cs="Arial"/>
                <w:szCs w:val="20"/>
                <w:lang w:eastAsia="sl-SI"/>
              </w:rPr>
              <w:t xml:space="preserve">zadevni </w:t>
            </w:r>
            <w:r w:rsidRPr="00605612">
              <w:rPr>
                <w:rFonts w:cs="Arial"/>
                <w:szCs w:val="20"/>
                <w:lang w:eastAsia="sl-SI"/>
              </w:rPr>
              <w:t>delež, ki ga mora</w:t>
            </w:r>
            <w:r>
              <w:rPr>
                <w:rFonts w:cs="Arial"/>
                <w:szCs w:val="20"/>
                <w:lang w:eastAsia="sl-SI"/>
              </w:rPr>
              <w:t xml:space="preserve"> Svet delavcev</w:t>
            </w:r>
            <w:r w:rsidRPr="00605612">
              <w:rPr>
                <w:rFonts w:cs="Arial"/>
                <w:szCs w:val="20"/>
                <w:lang w:eastAsia="sl-SI"/>
              </w:rPr>
              <w:t xml:space="preserve"> upoštevati pri imenovanju predstavnikov delavcev, mora skupni delež določen v politiki raznolikosti izpolniti družba kot celota. </w:t>
            </w:r>
          </w:p>
          <w:p w14:paraId="03993D6D" w14:textId="77777777" w:rsidR="000C08CA" w:rsidRPr="00605612" w:rsidRDefault="000C08CA" w:rsidP="00FE328D">
            <w:pPr>
              <w:spacing w:line="276" w:lineRule="auto"/>
              <w:jc w:val="both"/>
              <w:textAlignment w:val="baseline"/>
              <w:rPr>
                <w:rFonts w:cs="Arial"/>
                <w:szCs w:val="20"/>
                <w:lang w:eastAsia="sl-SI"/>
              </w:rPr>
            </w:pPr>
          </w:p>
          <w:p w14:paraId="28D640F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Četrti odstavek opredeljuje, kdaj je izpolnjen posamez</w:t>
            </w:r>
            <w:r>
              <w:rPr>
                <w:rFonts w:cs="Arial"/>
                <w:szCs w:val="20"/>
                <w:lang w:eastAsia="sl-SI"/>
              </w:rPr>
              <w:t>ni</w:t>
            </w:r>
            <w:r w:rsidRPr="00605612">
              <w:rPr>
                <w:rFonts w:cs="Arial"/>
                <w:szCs w:val="20"/>
                <w:lang w:eastAsia="sl-SI"/>
              </w:rPr>
              <w:t xml:space="preserve"> delež</w:t>
            </w:r>
            <w:r>
              <w:rPr>
                <w:rFonts w:cs="Arial"/>
                <w:szCs w:val="20"/>
                <w:lang w:eastAsia="sl-SI"/>
              </w:rPr>
              <w:t xml:space="preserve"> glede</w:t>
            </w:r>
            <w:r w:rsidRPr="00605612">
              <w:rPr>
                <w:rFonts w:cs="Arial"/>
                <w:szCs w:val="20"/>
                <w:lang w:eastAsia="sl-SI"/>
              </w:rPr>
              <w:t xml:space="preserve"> zastopanosti manj zastopanega spola, ker pogosto ni mogoče doseči točno 40</w:t>
            </w:r>
            <w:r>
              <w:rPr>
                <w:rFonts w:cs="Arial"/>
                <w:szCs w:val="20"/>
                <w:lang w:eastAsia="sl-SI"/>
              </w:rPr>
              <w:t>-</w:t>
            </w:r>
            <w:r w:rsidRPr="00605612">
              <w:rPr>
                <w:rFonts w:cs="Arial"/>
                <w:szCs w:val="20"/>
                <w:lang w:eastAsia="sl-SI"/>
              </w:rPr>
              <w:t xml:space="preserve"> ali 33</w:t>
            </w:r>
            <w:r>
              <w:rPr>
                <w:rFonts w:cs="Arial"/>
                <w:szCs w:val="20"/>
                <w:lang w:eastAsia="sl-SI"/>
              </w:rPr>
              <w:t>-odstotne zastopanosti</w:t>
            </w:r>
            <w:r w:rsidRPr="00605612">
              <w:rPr>
                <w:rFonts w:cs="Arial"/>
                <w:szCs w:val="20"/>
                <w:lang w:eastAsia="sl-SI"/>
              </w:rPr>
              <w:t xml:space="preserve"> zaradi različne velikosti organov vodenja in nadzora vključno z izvršnimi direktorji </w:t>
            </w:r>
            <w:r>
              <w:rPr>
                <w:rFonts w:cs="Arial"/>
                <w:szCs w:val="20"/>
                <w:lang w:eastAsia="sl-SI"/>
              </w:rPr>
              <w:t>(</w:t>
            </w:r>
            <w:r w:rsidRPr="00605612">
              <w:rPr>
                <w:rFonts w:cs="Arial"/>
                <w:szCs w:val="20"/>
                <w:lang w:eastAsia="sl-SI"/>
              </w:rPr>
              <w:t>v enotirnem sistemu upravljanja</w:t>
            </w:r>
            <w:r>
              <w:rPr>
                <w:rFonts w:cs="Arial"/>
                <w:szCs w:val="20"/>
                <w:lang w:eastAsia="sl-SI"/>
              </w:rPr>
              <w:t>)</w:t>
            </w:r>
            <w:r w:rsidRPr="00605612">
              <w:rPr>
                <w:rFonts w:cs="Arial"/>
                <w:szCs w:val="20"/>
                <w:lang w:eastAsia="sl-SI"/>
              </w:rPr>
              <w:t xml:space="preserve">. Število </w:t>
            </w:r>
            <w:r w:rsidRPr="00605612">
              <w:rPr>
                <w:rFonts w:cs="Arial"/>
                <w:szCs w:val="20"/>
                <w:lang w:eastAsia="sl-SI"/>
              </w:rPr>
              <w:lastRenderedPageBreak/>
              <w:t>mest, ki jih morajo zasedati predstavniki manj zastopanega spola, je odvisen od števila mest v organu vodenja oziroma nadzora. Šteje se, da je delež 40</w:t>
            </w:r>
            <w:r>
              <w:rPr>
                <w:rFonts w:cs="Arial"/>
                <w:szCs w:val="20"/>
                <w:lang w:eastAsia="sl-SI"/>
              </w:rPr>
              <w:t>-odstotne</w:t>
            </w:r>
            <w:r w:rsidRPr="00605612">
              <w:rPr>
                <w:rFonts w:cs="Arial"/>
                <w:szCs w:val="20"/>
                <w:lang w:eastAsia="sl-SI"/>
              </w:rPr>
              <w:t xml:space="preserve"> zastopanosti manj zastopanega  spola </w:t>
            </w:r>
            <w:r>
              <w:rPr>
                <w:rFonts w:cs="Arial"/>
                <w:szCs w:val="20"/>
                <w:lang w:eastAsia="sl-SI"/>
              </w:rPr>
              <w:t>izpolnjen</w:t>
            </w:r>
            <w:r w:rsidRPr="00605612">
              <w:rPr>
                <w:rFonts w:cs="Arial"/>
                <w:szCs w:val="20"/>
                <w:lang w:eastAsia="sl-SI"/>
              </w:rPr>
              <w:t>, če je delež oseb tega spola glede na število članov organa nadzora najbližji 40 % in hkrati ne presega 49 %. Za</w:t>
            </w:r>
            <w:r>
              <w:rPr>
                <w:rFonts w:cs="Arial"/>
                <w:szCs w:val="20"/>
                <w:lang w:eastAsia="sl-SI"/>
              </w:rPr>
              <w:t xml:space="preserve"> izpolnitev</w:t>
            </w:r>
            <w:r w:rsidRPr="00605612">
              <w:rPr>
                <w:rFonts w:cs="Arial"/>
                <w:szCs w:val="20"/>
                <w:lang w:eastAsia="sl-SI"/>
              </w:rPr>
              <w:t xml:space="preserve"> delež</w:t>
            </w:r>
            <w:r>
              <w:rPr>
                <w:rFonts w:cs="Arial"/>
                <w:szCs w:val="20"/>
                <w:lang w:eastAsia="sl-SI"/>
              </w:rPr>
              <w:t>a</w:t>
            </w:r>
            <w:r w:rsidRPr="00605612">
              <w:rPr>
                <w:rFonts w:cs="Arial"/>
                <w:szCs w:val="20"/>
                <w:lang w:eastAsia="sl-SI"/>
              </w:rPr>
              <w:t xml:space="preserve"> 33</w:t>
            </w:r>
            <w:r>
              <w:rPr>
                <w:rFonts w:cs="Arial"/>
                <w:szCs w:val="20"/>
                <w:lang w:eastAsia="sl-SI"/>
              </w:rPr>
              <w:t>-odstotne</w:t>
            </w:r>
            <w:r w:rsidRPr="00605612">
              <w:rPr>
                <w:rFonts w:cs="Arial"/>
                <w:szCs w:val="20"/>
                <w:lang w:eastAsia="sl-SI"/>
              </w:rPr>
              <w:t xml:space="preserve"> zastopanosti manj zastopanega spola se šteje, če je delež oseb tega spola glede na število članov organov vodenja in nadzora ter izvršnih direktorskih mest najbližji 33 % in hkrati ne presega 49 %. V prilogi </w:t>
            </w:r>
            <w:r>
              <w:rPr>
                <w:rFonts w:cs="Arial"/>
                <w:szCs w:val="20"/>
                <w:lang w:eastAsia="sl-SI"/>
              </w:rPr>
              <w:t>D</w:t>
            </w:r>
            <w:r w:rsidRPr="00605612">
              <w:rPr>
                <w:rFonts w:cs="Arial"/>
                <w:szCs w:val="20"/>
                <w:lang w:eastAsia="sl-SI"/>
              </w:rPr>
              <w:t>irektive</w:t>
            </w:r>
            <w:r>
              <w:rPr>
                <w:rFonts w:cs="Arial"/>
                <w:szCs w:val="20"/>
                <w:lang w:eastAsia="sl-SI"/>
              </w:rPr>
              <w:t xml:space="preserve"> 2022/2381/EU</w:t>
            </w:r>
            <w:r w:rsidRPr="00605612">
              <w:rPr>
                <w:rFonts w:cs="Arial"/>
                <w:szCs w:val="20"/>
                <w:lang w:eastAsia="sl-SI"/>
              </w:rPr>
              <w:t xml:space="preserve"> je opredeljeno število mest, ki jih mora zasedati manj zastopan spol za </w:t>
            </w:r>
            <w:r>
              <w:rPr>
                <w:rFonts w:cs="Arial"/>
                <w:szCs w:val="20"/>
                <w:lang w:eastAsia="sl-SI"/>
              </w:rPr>
              <w:t>izpolnitev</w:t>
            </w:r>
            <w:r w:rsidRPr="00605612">
              <w:rPr>
                <w:rFonts w:cs="Arial"/>
                <w:szCs w:val="20"/>
                <w:lang w:eastAsia="sl-SI"/>
              </w:rPr>
              <w:t xml:space="preserve"> enega in drugega </w:t>
            </w:r>
            <w:r>
              <w:rPr>
                <w:rFonts w:cs="Arial"/>
                <w:szCs w:val="20"/>
                <w:lang w:eastAsia="sl-SI"/>
              </w:rPr>
              <w:t>deleža</w:t>
            </w:r>
            <w:r w:rsidRPr="00605612">
              <w:rPr>
                <w:rFonts w:cs="Arial"/>
                <w:szCs w:val="20"/>
                <w:lang w:eastAsia="sl-SI"/>
              </w:rPr>
              <w:t>. </w:t>
            </w:r>
          </w:p>
          <w:p w14:paraId="3E87DAD7" w14:textId="77777777" w:rsidR="000C08CA" w:rsidRDefault="000C08CA" w:rsidP="00FE328D">
            <w:pPr>
              <w:spacing w:line="276" w:lineRule="auto"/>
              <w:jc w:val="both"/>
              <w:textAlignment w:val="baseline"/>
              <w:rPr>
                <w:rFonts w:cs="Arial"/>
                <w:szCs w:val="20"/>
                <w:lang w:eastAsia="sl-SI"/>
              </w:rPr>
            </w:pPr>
          </w:p>
          <w:p w14:paraId="7CE33508" w14:textId="77777777" w:rsidR="000C08CA" w:rsidRPr="00605612" w:rsidRDefault="000C08CA" w:rsidP="00FE328D">
            <w:pPr>
              <w:spacing w:line="276" w:lineRule="auto"/>
              <w:jc w:val="both"/>
              <w:textAlignment w:val="baseline"/>
              <w:rPr>
                <w:rFonts w:cs="Arial"/>
                <w:szCs w:val="20"/>
                <w:lang w:eastAsia="sl-SI"/>
              </w:rPr>
            </w:pPr>
            <w:r>
              <w:rPr>
                <w:rFonts w:cs="Arial"/>
                <w:szCs w:val="20"/>
                <w:lang w:eastAsia="sl-SI"/>
              </w:rPr>
              <w:t xml:space="preserve">Zaradi pravne jasnosti in lažje izvedljivosti zakona je v petem odstavku določeno ravnanje družb z enotirnim sistemom upravljanja pri zagotavljanju deleža </w:t>
            </w:r>
            <w:r w:rsidRPr="00F032EA">
              <w:rPr>
                <w:rFonts w:cs="Arial"/>
                <w:szCs w:val="20"/>
                <w:lang w:eastAsia="sl-SI"/>
              </w:rPr>
              <w:t xml:space="preserve">uravnotežene </w:t>
            </w:r>
            <w:r>
              <w:rPr>
                <w:rFonts w:cs="Arial"/>
                <w:szCs w:val="20"/>
                <w:lang w:eastAsia="sl-SI"/>
              </w:rPr>
              <w:t xml:space="preserve">zastopanosti </w:t>
            </w:r>
            <w:r w:rsidRPr="00F032EA">
              <w:rPr>
                <w:rFonts w:cs="Arial"/>
                <w:szCs w:val="20"/>
                <w:lang w:eastAsia="sl-SI"/>
              </w:rPr>
              <w:t xml:space="preserve">spolov </w:t>
            </w:r>
            <w:r>
              <w:rPr>
                <w:rFonts w:cs="Arial"/>
                <w:szCs w:val="20"/>
                <w:lang w:eastAsia="sl-SI"/>
              </w:rPr>
              <w:t xml:space="preserve">med člani organov vodenja in nadzora ter izvršnimi direktorji. V teh družbah je lahko član upravnega odbora hkrati imenovan za izvršnega direktorja, zato je določeno, da se taka oseba pri izračunu deleža </w:t>
            </w:r>
            <w:r w:rsidRPr="00F032EA">
              <w:rPr>
                <w:rFonts w:cs="Arial"/>
                <w:szCs w:val="20"/>
                <w:lang w:eastAsia="sl-SI"/>
              </w:rPr>
              <w:t xml:space="preserve">uravnotežene </w:t>
            </w:r>
            <w:r>
              <w:rPr>
                <w:rFonts w:cs="Arial"/>
                <w:szCs w:val="20"/>
                <w:lang w:eastAsia="sl-SI"/>
              </w:rPr>
              <w:t xml:space="preserve">zastopanosti </w:t>
            </w:r>
            <w:r w:rsidRPr="00F032EA">
              <w:rPr>
                <w:rFonts w:cs="Arial"/>
                <w:szCs w:val="20"/>
                <w:lang w:eastAsia="sl-SI"/>
              </w:rPr>
              <w:t xml:space="preserve">spolov </w:t>
            </w:r>
            <w:r>
              <w:rPr>
                <w:rFonts w:cs="Arial"/>
                <w:szCs w:val="20"/>
                <w:lang w:eastAsia="sl-SI"/>
              </w:rPr>
              <w:t>šteje samo enkrat. Ker je upravni odbor pristojen za vodenje in nadzor izvajanja poslov družbe, je v drugem stavku opredeljeno, da so člani upravnega odbora, pristojni za nadzor, tisti, ki niso imenovani za izvršne direktorje.</w:t>
            </w:r>
          </w:p>
          <w:p w14:paraId="33766653" w14:textId="77777777" w:rsidR="000C08CA" w:rsidRPr="00605612" w:rsidRDefault="000C08CA" w:rsidP="00FE328D">
            <w:pPr>
              <w:spacing w:line="276" w:lineRule="auto"/>
              <w:jc w:val="both"/>
              <w:textAlignment w:val="baseline"/>
              <w:rPr>
                <w:rFonts w:cs="Arial"/>
                <w:szCs w:val="20"/>
                <w:lang w:eastAsia="sl-SI"/>
              </w:rPr>
            </w:pPr>
          </w:p>
          <w:p w14:paraId="60403FB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254.č člen </w:t>
            </w:r>
          </w:p>
          <w:p w14:paraId="1BD926D9"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74B424BA"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S to določbo se v zakonodajo prenaša 6. člen Direktive 2022/2381/EU, ki določa, da morajo družbe zavezanke, ki ne </w:t>
            </w:r>
            <w:r>
              <w:rPr>
                <w:rFonts w:cs="Arial"/>
                <w:szCs w:val="20"/>
                <w:lang w:eastAsia="sl-SI"/>
              </w:rPr>
              <w:t>izpolnijo</w:t>
            </w:r>
            <w:r w:rsidRPr="00605612" w:rsidDel="00F032EA">
              <w:rPr>
                <w:rFonts w:cs="Arial"/>
                <w:szCs w:val="20"/>
                <w:lang w:eastAsia="sl-SI"/>
              </w:rPr>
              <w:t xml:space="preserve"> </w:t>
            </w:r>
            <w:r>
              <w:rPr>
                <w:rFonts w:cs="Arial"/>
                <w:szCs w:val="20"/>
                <w:lang w:eastAsia="sl-SI"/>
              </w:rPr>
              <w:t>določenih</w:t>
            </w:r>
            <w:r w:rsidRPr="00605612">
              <w:rPr>
                <w:rFonts w:cs="Arial"/>
                <w:szCs w:val="20"/>
                <w:lang w:eastAsia="sl-SI"/>
              </w:rPr>
              <w:t xml:space="preserve"> deležev </w:t>
            </w:r>
            <w:r>
              <w:rPr>
                <w:rFonts w:cs="Arial"/>
                <w:szCs w:val="20"/>
                <w:lang w:eastAsia="sl-SI"/>
              </w:rPr>
              <w:t>glede</w:t>
            </w:r>
            <w:r w:rsidRPr="00605612">
              <w:rPr>
                <w:rFonts w:cs="Arial"/>
                <w:szCs w:val="20"/>
                <w:lang w:eastAsia="sl-SI"/>
              </w:rPr>
              <w:t xml:space="preserve"> </w:t>
            </w:r>
            <w:r w:rsidRPr="00F032EA">
              <w:rPr>
                <w:rFonts w:cs="Arial"/>
                <w:szCs w:val="20"/>
                <w:lang w:eastAsia="sl-SI"/>
              </w:rPr>
              <w:t>uravnotežene</w:t>
            </w:r>
            <w:r w:rsidRPr="00605612" w:rsidDel="00F032EA">
              <w:rPr>
                <w:rFonts w:cs="Arial"/>
                <w:szCs w:val="20"/>
                <w:lang w:eastAsia="sl-SI"/>
              </w:rPr>
              <w:t xml:space="preserve"> </w:t>
            </w:r>
            <w:r w:rsidRPr="00605612">
              <w:rPr>
                <w:rFonts w:cs="Arial"/>
                <w:szCs w:val="20"/>
                <w:lang w:eastAsia="sl-SI"/>
              </w:rPr>
              <w:t>zastopanosti</w:t>
            </w:r>
            <w:r>
              <w:rPr>
                <w:rFonts w:cs="Arial"/>
                <w:szCs w:val="20"/>
                <w:lang w:eastAsia="sl-SI"/>
              </w:rPr>
              <w:t xml:space="preserve"> </w:t>
            </w:r>
            <w:r w:rsidRPr="00F032EA">
              <w:rPr>
                <w:rFonts w:cs="Arial"/>
                <w:szCs w:val="20"/>
                <w:lang w:eastAsia="sl-SI"/>
              </w:rPr>
              <w:t>spolov</w:t>
            </w:r>
            <w:r w:rsidRPr="00605612">
              <w:rPr>
                <w:rFonts w:cs="Arial"/>
                <w:szCs w:val="20"/>
                <w:lang w:eastAsia="sl-SI"/>
              </w:rPr>
              <w:t xml:space="preserve">, prilagoditi postopek izbora kandidatov za imenovanje ali izvolitev </w:t>
            </w:r>
            <w:r>
              <w:rPr>
                <w:rFonts w:cs="Arial"/>
                <w:szCs w:val="20"/>
                <w:lang w:eastAsia="sl-SI"/>
              </w:rPr>
              <w:t>članov organov vodenja in nadzora ter izvršne direktorje</w:t>
            </w:r>
            <w:r w:rsidRPr="00605612">
              <w:rPr>
                <w:rFonts w:cs="Arial"/>
                <w:szCs w:val="20"/>
                <w:lang w:eastAsia="sl-SI"/>
              </w:rPr>
              <w:t>. Gre za pozitivni ukrep, ki so v 17. členu Zakona o varstvu pred diskriminacijo definiran</w:t>
            </w:r>
            <w:r>
              <w:rPr>
                <w:rFonts w:cs="Arial"/>
                <w:szCs w:val="20"/>
                <w:lang w:eastAsia="sl-SI"/>
              </w:rPr>
              <w:t>i</w:t>
            </w:r>
            <w:r w:rsidRPr="00605612">
              <w:rPr>
                <w:rFonts w:cs="Arial"/>
                <w:szCs w:val="20"/>
                <w:lang w:eastAsia="sl-SI"/>
              </w:rPr>
              <w:t xml:space="preserve"> kot ukrepi, ki ob enakem izpolnjevanju predpisanih meril in pogojev dajejo prednost osebam z določeno osebno okoliščino in se lahko uporabijo zlasti, kadar pri teh osebah obstaja očitno nesorazmerje v možnostih dostopa do uveljavljanja pravic, dobrin, storitev ali ugodnosti. Če sta kandidata, med katerima se izbira, z vidika primernosti, usposobljenosti in delovne uspešnosti enako kvalificirana, se da prednost osebi, ki je oseba nezadostno zastopanega spola. Takšen postopek mora družba zavezanka uporabiti, če ne izpolnjuje deležev</w:t>
            </w:r>
            <w:r>
              <w:rPr>
                <w:rFonts w:cs="Arial"/>
                <w:szCs w:val="20"/>
                <w:lang w:eastAsia="sl-SI"/>
              </w:rPr>
              <w:t xml:space="preserve"> glede</w:t>
            </w:r>
            <w:r w:rsidDel="00F032EA">
              <w:rPr>
                <w:rFonts w:cs="Arial"/>
                <w:szCs w:val="20"/>
                <w:lang w:eastAsia="sl-SI"/>
              </w:rPr>
              <w:t xml:space="preserve"> </w:t>
            </w:r>
            <w:r w:rsidRPr="00F032EA">
              <w:rPr>
                <w:rFonts w:cs="Arial"/>
                <w:szCs w:val="20"/>
                <w:lang w:eastAsia="sl-SI"/>
              </w:rPr>
              <w:t xml:space="preserve">uravnotežene </w:t>
            </w:r>
            <w:r>
              <w:rPr>
                <w:rFonts w:cs="Arial"/>
                <w:szCs w:val="20"/>
                <w:lang w:eastAsia="sl-SI"/>
              </w:rPr>
              <w:t>zastopanosti</w:t>
            </w:r>
            <w:r>
              <w:t xml:space="preserve"> </w:t>
            </w:r>
            <w:r w:rsidRPr="00F032EA">
              <w:rPr>
                <w:rFonts w:cs="Arial"/>
                <w:szCs w:val="20"/>
                <w:lang w:eastAsia="sl-SI"/>
              </w:rPr>
              <w:t>spolov</w:t>
            </w:r>
            <w:r w:rsidRPr="00605612">
              <w:rPr>
                <w:rFonts w:cs="Arial"/>
                <w:szCs w:val="20"/>
                <w:lang w:eastAsia="sl-SI"/>
              </w:rPr>
              <w:t xml:space="preserve">, ki jih je </w:t>
            </w:r>
            <w:r>
              <w:rPr>
                <w:rFonts w:cs="Arial"/>
                <w:szCs w:val="20"/>
                <w:lang w:eastAsia="sl-SI"/>
              </w:rPr>
              <w:t xml:space="preserve">v </w:t>
            </w:r>
            <w:r w:rsidRPr="00605612">
              <w:rPr>
                <w:rFonts w:cs="Arial"/>
                <w:szCs w:val="20"/>
                <w:lang w:eastAsia="sl-SI"/>
              </w:rPr>
              <w:t>sklad</w:t>
            </w:r>
            <w:r>
              <w:rPr>
                <w:rFonts w:cs="Arial"/>
                <w:szCs w:val="20"/>
                <w:lang w:eastAsia="sl-SI"/>
              </w:rPr>
              <w:t>u</w:t>
            </w:r>
            <w:r w:rsidRPr="00605612">
              <w:rPr>
                <w:rFonts w:cs="Arial"/>
                <w:szCs w:val="20"/>
                <w:lang w:eastAsia="sl-SI"/>
              </w:rPr>
              <w:t xml:space="preserve"> z 254.c členom določila v politiki raznolikosti, in sicer tako za imenovanje v organe vodenja kot tudi organe nadzora, torej za imenovanje v upravo in nadzorni svet v dvotirnem sistemu ali v upravni odbor v enotirnem sistemu oziroma za imenovanje izvršnih direktorjev. V posebej utemeljenih primerih se lahko tudi v tem primeru imenuje osebo, ki ni oseba manj zastopanega spola, kot na primer zaradi upoštevanja drugih politik raznolikosti družbe</w:t>
            </w:r>
            <w:r>
              <w:rPr>
                <w:rFonts w:cs="Arial"/>
                <w:szCs w:val="20"/>
                <w:lang w:eastAsia="sl-SI"/>
              </w:rPr>
              <w:t xml:space="preserve"> na podlagi drugih osebnih okoliščin. Primeri drugih osebnih okoliščin, ki bi pri določitvi meril v izbirnih postopkih lahko prevladali nad spolom so: nacionalnost, starost, invalidnost, itd</w:t>
            </w:r>
            <w:r w:rsidRPr="00605612">
              <w:rPr>
                <w:rFonts w:cs="Arial"/>
                <w:szCs w:val="20"/>
                <w:lang w:eastAsia="sl-SI"/>
              </w:rPr>
              <w:t>. Tovrstni primeri bi morali biti izjema in morajo temeljiti na oceni posameznega primera ter biti utemeljeni z objektivnimi merili. Družba bo morala v primeru uveljavljanja izjeme, to utemeljiti pri sprejetju odločitve v izbirnem postopku, prav tako bo morala to pojasniti v primeru, če to zahteva kateri koli upravičenec do teh informacij (neizbran kandidat, pristojni nadzorni organ, sodišče itd.). </w:t>
            </w:r>
          </w:p>
          <w:p w14:paraId="3DF1E1DD"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0372C384" w14:textId="77777777" w:rsidR="000C08CA" w:rsidRPr="00605612" w:rsidRDefault="000C08CA" w:rsidP="00FE328D">
            <w:pPr>
              <w:spacing w:line="276" w:lineRule="auto"/>
              <w:jc w:val="both"/>
              <w:textAlignment w:val="baseline"/>
              <w:rPr>
                <w:rFonts w:cs="Arial"/>
                <w:szCs w:val="20"/>
                <w:lang w:eastAsia="sl-SI"/>
              </w:rPr>
            </w:pPr>
            <w:r w:rsidRPr="00605612">
              <w:rPr>
                <w:rFonts w:cs="Arial"/>
                <w:color w:val="000000"/>
                <w:szCs w:val="20"/>
                <w:shd w:val="clear" w:color="auto" w:fill="FFFFFF"/>
                <w:lang w:eastAsia="sl-SI"/>
              </w:rPr>
              <w:t>Trenutno pomanjkanje preglednosti pri izbirnih postopkih in merilih glede kvalifikacij za vodilna mesta v družbah močno ovirajo doseganje bolj uravnotežene zastopanosti spolov med osebami</w:t>
            </w:r>
            <w:r>
              <w:rPr>
                <w:rFonts w:cs="Arial"/>
                <w:color w:val="000000"/>
                <w:szCs w:val="20"/>
                <w:shd w:val="clear" w:color="auto" w:fill="FFFFFF"/>
                <w:lang w:eastAsia="sl-SI"/>
              </w:rPr>
              <w:t>,</w:t>
            </w:r>
            <w:r w:rsidRPr="00605612">
              <w:rPr>
                <w:rFonts w:cs="Arial"/>
                <w:color w:val="000000"/>
                <w:szCs w:val="20"/>
                <w:shd w:val="clear" w:color="auto" w:fill="FFFFFF"/>
                <w:lang w:eastAsia="sl-SI"/>
              </w:rPr>
              <w:t xml:space="preserve"> odgovornimi za nadzor in vodenje poslov, zato </w:t>
            </w:r>
            <w:r w:rsidRPr="00605612">
              <w:rPr>
                <w:rFonts w:cs="Arial"/>
                <w:color w:val="000000"/>
                <w:szCs w:val="20"/>
                <w:lang w:eastAsia="sl-SI"/>
              </w:rPr>
              <w:t>se</w:t>
            </w:r>
            <w:r w:rsidRPr="00605612">
              <w:rPr>
                <w:rFonts w:cs="Arial"/>
                <w:color w:val="000000"/>
                <w:szCs w:val="20"/>
                <w:shd w:val="clear" w:color="auto" w:fill="FFFFFF"/>
                <w:lang w:eastAsia="sl-SI"/>
              </w:rPr>
              <w:t xml:space="preserve"> z zakonom določa minimalne pogoje glede izbirnih postopkov kandidatov za imenovanje na ta mesta. </w:t>
            </w:r>
            <w:r w:rsidRPr="00605612">
              <w:rPr>
                <w:rFonts w:cs="Arial"/>
                <w:szCs w:val="20"/>
                <w:lang w:eastAsia="sl-SI"/>
              </w:rPr>
              <w:t>V drugem odstavku je določeno, da mora družba, ki ne doseže</w:t>
            </w:r>
            <w:r>
              <w:rPr>
                <w:rFonts w:cs="Arial"/>
                <w:szCs w:val="20"/>
                <w:lang w:eastAsia="sl-SI"/>
              </w:rPr>
              <w:t xml:space="preserve"> </w:t>
            </w:r>
            <w:r w:rsidRPr="00605612">
              <w:rPr>
                <w:rFonts w:cs="Arial"/>
                <w:szCs w:val="20"/>
                <w:lang w:eastAsia="sl-SI"/>
              </w:rPr>
              <w:t xml:space="preserve">deležev </w:t>
            </w:r>
            <w:r>
              <w:rPr>
                <w:rFonts w:cs="Arial"/>
                <w:szCs w:val="20"/>
                <w:lang w:eastAsia="sl-SI"/>
              </w:rPr>
              <w:t xml:space="preserve">glede </w:t>
            </w:r>
            <w:r w:rsidRPr="00F032EA">
              <w:rPr>
                <w:rFonts w:cs="Arial"/>
                <w:szCs w:val="20"/>
                <w:lang w:eastAsia="sl-SI"/>
              </w:rPr>
              <w:t>uravnotežene</w:t>
            </w:r>
            <w:r w:rsidRPr="00605612" w:rsidDel="00F032EA">
              <w:rPr>
                <w:rFonts w:cs="Arial"/>
                <w:szCs w:val="20"/>
                <w:lang w:eastAsia="sl-SI"/>
              </w:rPr>
              <w:t xml:space="preserve"> </w:t>
            </w:r>
            <w:r w:rsidRPr="00605612">
              <w:rPr>
                <w:rFonts w:cs="Arial"/>
                <w:szCs w:val="20"/>
                <w:lang w:eastAsia="sl-SI"/>
              </w:rPr>
              <w:t xml:space="preserve">zastopanosti </w:t>
            </w:r>
            <w:r w:rsidRPr="00F032EA">
              <w:rPr>
                <w:rFonts w:cs="Arial"/>
                <w:szCs w:val="20"/>
                <w:lang w:eastAsia="sl-SI"/>
              </w:rPr>
              <w:t xml:space="preserve">spolov </w:t>
            </w:r>
            <w:r w:rsidRPr="00605612">
              <w:rPr>
                <w:rFonts w:cs="Arial"/>
                <w:szCs w:val="20"/>
                <w:lang w:eastAsia="sl-SI"/>
              </w:rPr>
              <w:t>med člani organov vodenja in nadzora ter izvršnimi direktorji, pred izbirnim postopkom določiti jasna, nevtralna in nedvoumna merila ter pogoje, ki jih morajo kandidati izpolnjevati in na podlagi katerih se odloča o kandidatih. Namen določbe je zagotoviti, da lahko družbe izberejo najbolj kvalificirane kandidate za imenovanje v organe na vodilne položaje na podlagi primerjalne ocene z uporabo določenih meril in pogojev. Kot primeri meril in pogojev, ki jih družbe lahko uporabijo v izbirnih postopkih so v 39. uvodni</w:t>
            </w:r>
            <w:r w:rsidRPr="00605612" w:rsidDel="00F55093">
              <w:rPr>
                <w:rFonts w:cs="Arial"/>
                <w:szCs w:val="20"/>
                <w:lang w:eastAsia="sl-SI"/>
              </w:rPr>
              <w:t xml:space="preserve"> </w:t>
            </w:r>
            <w:r>
              <w:rPr>
                <w:rFonts w:cs="Arial"/>
                <w:szCs w:val="20"/>
                <w:lang w:eastAsia="sl-SI"/>
              </w:rPr>
              <w:t>izjavi</w:t>
            </w:r>
            <w:r w:rsidRPr="00605612">
              <w:rPr>
                <w:rFonts w:cs="Arial"/>
                <w:szCs w:val="20"/>
                <w:lang w:eastAsia="sl-SI"/>
              </w:rPr>
              <w:t xml:space="preserve"> Direktive 2022/2381/EU navedene poklicne izkušnje pri izvajanju vodstvenih ali nadzornih nalog, mednarodne </w:t>
            </w:r>
            <w:r w:rsidRPr="00605612">
              <w:rPr>
                <w:rFonts w:cs="Arial"/>
                <w:szCs w:val="20"/>
                <w:lang w:eastAsia="sl-SI"/>
              </w:rPr>
              <w:lastRenderedPageBreak/>
              <w:t>izkušnje, multidisciplinarnosti, vodstvene, komunikacijske spretnosti, sposobnosti mreženja in poznavanje specifičnih ustreznih področij, kot so finance, finančni nadzor ali upravljanje človeških virov. </w:t>
            </w:r>
          </w:p>
          <w:p w14:paraId="64C3457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324CCE02"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S tretjim odstavkom se prenaša peti odstavek 6. člena Direktive 2022/2381/EU in določa, da je treba, če se o kandidatu glasuje</w:t>
            </w:r>
            <w:r>
              <w:rPr>
                <w:rFonts w:cs="Arial"/>
                <w:szCs w:val="20"/>
                <w:lang w:eastAsia="sl-SI"/>
              </w:rPr>
              <w:t>,</w:t>
            </w:r>
            <w:r w:rsidRPr="00605612">
              <w:rPr>
                <w:rFonts w:cs="Arial"/>
                <w:szCs w:val="20"/>
                <w:lang w:eastAsia="sl-SI"/>
              </w:rPr>
              <w:t xml:space="preserve"> vsem, ki imajo glasovalno pravico</w:t>
            </w:r>
            <w:r>
              <w:rPr>
                <w:rFonts w:cs="Arial"/>
                <w:szCs w:val="20"/>
                <w:lang w:eastAsia="sl-SI"/>
              </w:rPr>
              <w:t>,</w:t>
            </w:r>
            <w:r w:rsidRPr="00605612">
              <w:rPr>
                <w:rFonts w:cs="Arial"/>
                <w:szCs w:val="20"/>
                <w:lang w:eastAsia="sl-SI"/>
              </w:rPr>
              <w:t xml:space="preserve"> zagotoviti informacije o tem, ka</w:t>
            </w:r>
            <w:r>
              <w:rPr>
                <w:rFonts w:cs="Arial"/>
                <w:szCs w:val="20"/>
                <w:lang w:eastAsia="sl-SI"/>
              </w:rPr>
              <w:t>tere</w:t>
            </w:r>
            <w:r w:rsidRPr="00605612">
              <w:rPr>
                <w:rFonts w:cs="Arial"/>
                <w:szCs w:val="20"/>
                <w:lang w:eastAsia="sl-SI"/>
              </w:rPr>
              <w:t xml:space="preserve"> so obveznosti družbe v konkretnem primeru, razloge, zaradi katerih se predlaga izbranega kandidata</w:t>
            </w:r>
            <w:r>
              <w:rPr>
                <w:rFonts w:cs="Arial"/>
                <w:szCs w:val="20"/>
                <w:lang w:eastAsia="sl-SI"/>
              </w:rPr>
              <w:t>,</w:t>
            </w:r>
            <w:r w:rsidRPr="00605612">
              <w:rPr>
                <w:rFonts w:cs="Arial"/>
                <w:szCs w:val="20"/>
                <w:lang w:eastAsia="sl-SI"/>
              </w:rPr>
              <w:t xml:space="preserve"> </w:t>
            </w:r>
            <w:r>
              <w:rPr>
                <w:rFonts w:cs="Arial"/>
                <w:szCs w:val="20"/>
                <w:lang w:eastAsia="sl-SI"/>
              </w:rPr>
              <w:t>in</w:t>
            </w:r>
            <w:r w:rsidRPr="00605612" w:rsidDel="004E7E2E">
              <w:rPr>
                <w:rFonts w:cs="Arial"/>
                <w:szCs w:val="20"/>
                <w:lang w:eastAsia="sl-SI"/>
              </w:rPr>
              <w:t xml:space="preserve"> </w:t>
            </w:r>
            <w:r w:rsidRPr="00605612">
              <w:rPr>
                <w:rFonts w:cs="Arial"/>
                <w:szCs w:val="20"/>
                <w:lang w:eastAsia="sl-SI"/>
              </w:rPr>
              <w:t>sankcije, ki lahko doletijo družbo, če svojih obveznosti ne izpolni.  </w:t>
            </w:r>
          </w:p>
          <w:p w14:paraId="4787EC28"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447B94A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254.d člen </w:t>
            </w:r>
          </w:p>
          <w:p w14:paraId="540351AA"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1E60D60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Določba določa pravice neizbranega kandidata in povzema tretji in četrti odstavek 6. člena Direktive 2022/2381/EU.  </w:t>
            </w:r>
          </w:p>
          <w:p w14:paraId="03FF9A45"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7FCE06BB"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V prvem odstavku je opredeljena pravica neizbranega kandidata, da od družbe pridobi podatke o pogojih in merilih, o objektivni primerjalni oceni med njim in izbranim kandidatom ter o morebitnem obstoju pravno utemeljenih razlogov, zaradi katerih je bil izbran za imenovanje kandidat, ki ni oseba manj zastopanega spola. Pri razkritju predhodno navedenih informacij o izbranem kandidatu mora družba upoštevati predpise s področja varstva osebnih podatkov. </w:t>
            </w:r>
          </w:p>
          <w:p w14:paraId="1DE52095"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7A1FB64A" w14:textId="77777777" w:rsidR="000C08CA" w:rsidRDefault="000C08CA" w:rsidP="00FE328D">
            <w:pPr>
              <w:jc w:val="both"/>
            </w:pPr>
            <w:r w:rsidRPr="00605612">
              <w:rPr>
                <w:rFonts w:cs="Arial"/>
                <w:szCs w:val="20"/>
                <w:lang w:eastAsia="sl-SI"/>
              </w:rPr>
              <w:t xml:space="preserve">Drugi odstavek določa obrnjeno dokazno breme, </w:t>
            </w:r>
            <w:r>
              <w:rPr>
                <w:rFonts w:cs="Arial"/>
                <w:szCs w:val="20"/>
                <w:lang w:eastAsia="sl-SI"/>
              </w:rPr>
              <w:t>kadar</w:t>
            </w:r>
            <w:r w:rsidRPr="00605612">
              <w:rPr>
                <w:rFonts w:cs="Arial"/>
                <w:szCs w:val="20"/>
                <w:lang w:eastAsia="sl-SI"/>
              </w:rPr>
              <w:t xml:space="preserve"> neizbrani kandidat pri </w:t>
            </w:r>
            <w:r>
              <w:rPr>
                <w:rFonts w:cs="Arial"/>
                <w:szCs w:val="20"/>
                <w:lang w:eastAsia="sl-SI"/>
              </w:rPr>
              <w:t>Z</w:t>
            </w:r>
            <w:r w:rsidRPr="00605612">
              <w:rPr>
                <w:rFonts w:cs="Arial"/>
                <w:szCs w:val="20"/>
                <w:lang w:eastAsia="sl-SI"/>
              </w:rPr>
              <w:t xml:space="preserve">agovorniku načela enakosti, pristojni inšpekciji ali v drugem postopku izkaže dejstva, ki </w:t>
            </w:r>
            <w:r>
              <w:rPr>
                <w:rFonts w:cs="Arial"/>
                <w:szCs w:val="20"/>
                <w:lang w:eastAsia="sl-SI"/>
              </w:rPr>
              <w:t>u</w:t>
            </w:r>
            <w:r w:rsidRPr="00605612">
              <w:rPr>
                <w:rFonts w:cs="Arial"/>
                <w:szCs w:val="20"/>
                <w:lang w:eastAsia="sl-SI"/>
              </w:rPr>
              <w:t>pravičujejo domnevo, da je bil enako kvalificiran kot izbrani kandidat nasprotnega spola, mora družba zavezanka izkazati, da ni kršila prvega odstavka 254.č člena, da je torej v organ vodenja ali nadzora ali za izvršnega direktorja imenovala bolj kvalificiranega kandidata oziroma da obstajajo pravno utemeljen</w:t>
            </w:r>
            <w:r>
              <w:rPr>
                <w:rFonts w:cs="Arial"/>
                <w:szCs w:val="20"/>
                <w:lang w:eastAsia="sl-SI"/>
              </w:rPr>
              <w:t>i</w:t>
            </w:r>
            <w:r w:rsidRPr="00605612">
              <w:rPr>
                <w:rFonts w:cs="Arial"/>
                <w:szCs w:val="20"/>
                <w:lang w:eastAsia="sl-SI"/>
              </w:rPr>
              <w:t xml:space="preserve"> razlogi, zaradi katerih je bil imenovan kandidat, ki ni oseba manj zastopanega spola. </w:t>
            </w:r>
            <w:r>
              <w:t xml:space="preserve">Namen teh določb je olajšati dokazovanje diskriminacije, saj kršitelji v večini primerov ne priznajo ali celo ne zaznajo, da so osebo drugače obravnavali zaradi neke osebne okoliščine. Zato je bil na ravni EU sprejet dokazni standard, na podlagi katerega se po vzpostavitvi prima facie diskriminacije dokazno breme, da ni diskriminirala oz. da razlikovanje temelji na objektivnih merilih, ki niso povezani z osebno okoliščino osebe, prevali na toženo stranko. Tožena stranka se svoje odgovornosti reši tako, da dokaže, da ni vzročne zveze med osebno okoliščino in drugačno obravnavo ali da izkaže, da ima drugačna obravnava razumno in objektivno utemeljitev, čeprav je povezana z neko osebno okoliščino. Če domnevni kršitelj ne more dokazati enega ali drugega, je odgovoren za diskriminacijo. Predlagani 254.d člen bo veljal, kadar bo kršeno pravilo glede zagotavljanja prednosti enako kvalificiranemu kandidatu manj zastopanega spola. Pravilo se bo uporabljalo v primerih, ko bo neizbrani kandidat manj spola v postopku izkazal, da je bil enako usposobljen kot kandidat nasprotnega spola, ki je bil izbran, družba pa ne bo izpolnjevala deležev glede zastopanosti spolov. Družba bo lahko v postopku dokazovala, da je bil izbrani kandidat bolj usposobljen od neizbranega kandidata ali kandidatke, da že dosega deleže glede zastopanosti spolov ali da za izbiro drugega kandidata obstajajo utemeljeni objektivni razlogi. Pravilnost imenovanja se bo lahko presojala v več postopkih, in sicer pred Zagovornikom načela enakosti, v postopku pred okrajnim sodiščem, ki bo odločalo o morebitnem nadomestilu zaradi diskriminacije, ki je urejeno v 39. členu zakona, ki ureja varstvo pred diskriminacijo, možni pa sta tudi odškodninska tožba na podlagi zakona, ki ureja delovna razmerja (pred delovnim in socialnim sodiščem), če bi kandidat sklenil delovno razmerje, oziroma splošna odškodninska tožba po splošnih pravilih civilnega prava. Poleg tega bo stvarno pristojno tudi upravno sodišče, ki je že po zakonu, ki ureja varstvo pred diskriminacijo, pristojno za presojo odločitev Zagovornika načela enakosti. V vseh navedenih primerih so sodišča zavezana upoštevati obrnjeno dokazno breme, če so izkazana dejstva, ki opravičujejo domnevo, da je bila kršena prepoved diskriminacije. </w:t>
            </w:r>
          </w:p>
          <w:p w14:paraId="2DA11DA2" w14:textId="77777777" w:rsidR="000C08CA" w:rsidRPr="00605612" w:rsidRDefault="000C08CA" w:rsidP="00FE328D">
            <w:pPr>
              <w:jc w:val="both"/>
              <w:rPr>
                <w:rFonts w:cs="Arial"/>
                <w:szCs w:val="20"/>
                <w:lang w:eastAsia="sl-SI"/>
              </w:rPr>
            </w:pPr>
            <w:r w:rsidRPr="00605612">
              <w:rPr>
                <w:rFonts w:cs="Arial"/>
                <w:szCs w:val="20"/>
                <w:lang w:eastAsia="sl-SI"/>
              </w:rPr>
              <w:t> </w:t>
            </w:r>
          </w:p>
          <w:p w14:paraId="18FAA74C" w14:textId="77777777" w:rsidR="000C08CA" w:rsidRPr="00605612" w:rsidRDefault="000C08CA" w:rsidP="00FE328D">
            <w:pPr>
              <w:shd w:val="clear" w:color="auto" w:fill="FFFFFF"/>
              <w:spacing w:line="276" w:lineRule="auto"/>
              <w:jc w:val="both"/>
              <w:textAlignment w:val="baseline"/>
              <w:rPr>
                <w:rFonts w:cs="Arial"/>
                <w:szCs w:val="20"/>
                <w:lang w:eastAsia="sl-SI"/>
              </w:rPr>
            </w:pPr>
            <w:bookmarkStart w:id="74" w:name="_Hlk146617009"/>
            <w:r w:rsidRPr="00605612">
              <w:rPr>
                <w:rFonts w:cs="Arial"/>
                <w:szCs w:val="20"/>
                <w:lang w:eastAsia="sl-SI"/>
              </w:rPr>
              <w:t xml:space="preserve">V tretjem odstavku je urejena izjema od veljavnega 392. člena ZGD-1, v katerem je urejena ničnost volitev nadzornega sveta ali upravnega odbora. V zadevnem členu so kot razlogi za ničnost </w:t>
            </w:r>
            <w:r w:rsidRPr="00605612">
              <w:rPr>
                <w:rFonts w:cs="Arial"/>
                <w:color w:val="000000"/>
                <w:szCs w:val="20"/>
                <w:lang w:eastAsia="sl-SI"/>
              </w:rPr>
              <w:t>volitev članov nadzornega sveta ali upravnega odbora navedeni: </w:t>
            </w:r>
          </w:p>
          <w:p w14:paraId="62F0C11C" w14:textId="77777777" w:rsidR="000C08CA" w:rsidRPr="00605612" w:rsidRDefault="000C08CA" w:rsidP="00FE328D">
            <w:pPr>
              <w:shd w:val="clear" w:color="auto" w:fill="FFFFFF"/>
              <w:spacing w:line="276" w:lineRule="auto"/>
              <w:ind w:left="420" w:hanging="420"/>
              <w:jc w:val="both"/>
              <w:textAlignment w:val="baseline"/>
              <w:rPr>
                <w:rFonts w:cs="Arial"/>
                <w:szCs w:val="20"/>
                <w:lang w:eastAsia="sl-SI"/>
              </w:rPr>
            </w:pPr>
            <w:r>
              <w:rPr>
                <w:rFonts w:cs="Arial"/>
                <w:color w:val="000000"/>
                <w:szCs w:val="20"/>
                <w:lang w:eastAsia="sl-SI"/>
              </w:rPr>
              <w:lastRenderedPageBreak/>
              <w:t>‒</w:t>
            </w:r>
            <w:r w:rsidRPr="00605612">
              <w:rPr>
                <w:rFonts w:cs="Arial"/>
                <w:color w:val="000000"/>
                <w:szCs w:val="20"/>
                <w:lang w:eastAsia="sl-SI"/>
              </w:rPr>
              <w:t>        nadzorni svet ali upravni odbor je sestavljen v nasprotju z zakonom ali statutom</w:t>
            </w:r>
            <w:r>
              <w:rPr>
                <w:rFonts w:cs="Arial"/>
                <w:color w:val="000000"/>
                <w:szCs w:val="20"/>
                <w:lang w:eastAsia="sl-SI"/>
              </w:rPr>
              <w:t>,</w:t>
            </w:r>
            <w:r w:rsidRPr="00605612">
              <w:rPr>
                <w:rFonts w:cs="Arial"/>
                <w:color w:val="000000"/>
                <w:szCs w:val="20"/>
                <w:lang w:eastAsia="sl-SI"/>
              </w:rPr>
              <w:t> </w:t>
            </w:r>
          </w:p>
          <w:p w14:paraId="492D3958" w14:textId="77777777" w:rsidR="000C08CA" w:rsidRPr="00605612" w:rsidRDefault="000C08CA" w:rsidP="00FE328D">
            <w:pPr>
              <w:shd w:val="clear" w:color="auto" w:fill="FFFFFF"/>
              <w:spacing w:line="276" w:lineRule="auto"/>
              <w:ind w:left="420" w:hanging="420"/>
              <w:jc w:val="both"/>
              <w:textAlignment w:val="baseline"/>
              <w:rPr>
                <w:rFonts w:cs="Arial"/>
                <w:szCs w:val="20"/>
                <w:lang w:eastAsia="sl-SI"/>
              </w:rPr>
            </w:pPr>
            <w:r>
              <w:rPr>
                <w:rFonts w:cs="Arial"/>
                <w:color w:val="000000"/>
                <w:szCs w:val="20"/>
                <w:lang w:eastAsia="sl-SI"/>
              </w:rPr>
              <w:t>‒</w:t>
            </w:r>
            <w:r w:rsidRPr="00605612">
              <w:rPr>
                <w:rFonts w:cs="Arial"/>
                <w:color w:val="000000"/>
                <w:szCs w:val="20"/>
                <w:lang w:eastAsia="sl-SI"/>
              </w:rPr>
              <w:t>        skupščina izvoli osebo, ki ni bila predlagana v skladu z zakonom ali statutom, ali </w:t>
            </w:r>
          </w:p>
          <w:p w14:paraId="66FDCD91" w14:textId="77777777" w:rsidR="000C08CA" w:rsidRPr="00605612" w:rsidRDefault="000C08CA" w:rsidP="00FE328D">
            <w:pPr>
              <w:shd w:val="clear" w:color="auto" w:fill="FFFFFF"/>
              <w:spacing w:line="276" w:lineRule="auto"/>
              <w:ind w:left="420" w:hanging="420"/>
              <w:jc w:val="both"/>
              <w:textAlignment w:val="baseline"/>
              <w:rPr>
                <w:rFonts w:cs="Arial"/>
                <w:szCs w:val="20"/>
                <w:lang w:eastAsia="sl-SI"/>
              </w:rPr>
            </w:pPr>
            <w:r>
              <w:rPr>
                <w:rFonts w:cs="Arial"/>
                <w:color w:val="000000"/>
                <w:szCs w:val="20"/>
                <w:lang w:eastAsia="sl-SI"/>
              </w:rPr>
              <w:t>‒</w:t>
            </w:r>
            <w:r w:rsidRPr="00605612">
              <w:rPr>
                <w:rFonts w:cs="Arial"/>
                <w:color w:val="000000"/>
                <w:szCs w:val="20"/>
                <w:lang w:eastAsia="sl-SI"/>
              </w:rPr>
              <w:t>        izvoljenih je več članov, kot je to določeno z zakonom ali statutom. </w:t>
            </w:r>
          </w:p>
          <w:p w14:paraId="31C42365" w14:textId="77777777" w:rsidR="000C08CA" w:rsidRPr="00605612" w:rsidRDefault="000C08CA" w:rsidP="00FE328D">
            <w:pPr>
              <w:shd w:val="clear" w:color="auto" w:fill="FFFFFF"/>
              <w:spacing w:line="276" w:lineRule="auto"/>
              <w:jc w:val="both"/>
              <w:textAlignment w:val="baseline"/>
              <w:rPr>
                <w:rFonts w:cs="Arial"/>
                <w:szCs w:val="20"/>
                <w:lang w:eastAsia="sl-SI"/>
              </w:rPr>
            </w:pPr>
            <w:r w:rsidRPr="00605612">
              <w:rPr>
                <w:rFonts w:cs="Arial"/>
                <w:color w:val="000000"/>
                <w:szCs w:val="20"/>
                <w:lang w:eastAsia="sl-SI"/>
              </w:rPr>
              <w:t>Direktiva 2022/2381/EU</w:t>
            </w:r>
            <w:r w:rsidRPr="00605612" w:rsidDel="00B426FA">
              <w:rPr>
                <w:rFonts w:cs="Arial"/>
                <w:color w:val="000000"/>
                <w:szCs w:val="20"/>
                <w:lang w:eastAsia="sl-SI"/>
              </w:rPr>
              <w:t xml:space="preserve"> </w:t>
            </w:r>
            <w:r w:rsidRPr="00605612">
              <w:rPr>
                <w:rFonts w:cs="Arial"/>
                <w:color w:val="000000"/>
                <w:szCs w:val="20"/>
                <w:lang w:eastAsia="sl-SI"/>
              </w:rPr>
              <w:t xml:space="preserve">državam članicam dopušča na voljo, da kot sankcijo v primeru kršitev izbirnih postopkov za imenovanje članov vodenja in nadzora </w:t>
            </w:r>
            <w:r>
              <w:rPr>
                <w:rFonts w:cs="Arial"/>
                <w:color w:val="000000"/>
                <w:szCs w:val="20"/>
                <w:lang w:eastAsia="sl-SI"/>
              </w:rPr>
              <w:t>ter izvršne direktorje</w:t>
            </w:r>
            <w:r w:rsidRPr="00605612">
              <w:rPr>
                <w:rFonts w:cs="Arial"/>
                <w:color w:val="000000"/>
                <w:szCs w:val="20"/>
                <w:lang w:eastAsia="sl-SI"/>
              </w:rPr>
              <w:t xml:space="preserve"> določijo, da se lahko odločitev o izboru za direktorja razglasi za nično. Zaradi pravne jasnosti smo določili izjemo od veljavnega 392. člena.</w:t>
            </w:r>
            <w:r>
              <w:rPr>
                <w:rFonts w:cs="Arial"/>
                <w:color w:val="000000"/>
                <w:szCs w:val="20"/>
                <w:lang w:eastAsia="sl-SI"/>
              </w:rPr>
              <w:t xml:space="preserve"> </w:t>
            </w:r>
            <w:r w:rsidRPr="00605612">
              <w:rPr>
                <w:rFonts w:cs="Arial"/>
                <w:color w:val="000000"/>
                <w:szCs w:val="20"/>
                <w:lang w:eastAsia="sl-SI"/>
              </w:rPr>
              <w:t xml:space="preserve">Glede na veljavni 392. člen bi lahko tolmačili, da bo ničnost veljala tudi v primeru kršitev iz 254.č člena, ki ureja izbirni postopek kandidatov za imenovanje v organe vodenja in nadzora ter za izvršne direktorje. Za tovrstne kršitve so določene druge sankcije za družbo v 686. členu ZGD-1. Zato je v tretjem odstavku navedeno, </w:t>
            </w:r>
            <w:r w:rsidRPr="00605612">
              <w:rPr>
                <w:rFonts w:cs="Arial"/>
                <w:szCs w:val="20"/>
                <w:lang w:eastAsia="sl-SI"/>
              </w:rPr>
              <w:t xml:space="preserve">če je bila v izbirnem postopku za imenovanje kandidata na prosto mesto v nasprotju s prvim </w:t>
            </w:r>
            <w:r>
              <w:rPr>
                <w:rFonts w:cs="Arial"/>
                <w:szCs w:val="20"/>
                <w:lang w:eastAsia="sl-SI"/>
              </w:rPr>
              <w:t>in drugim</w:t>
            </w:r>
            <w:r w:rsidRPr="00605612">
              <w:rPr>
                <w:rFonts w:cs="Arial"/>
                <w:szCs w:val="20"/>
                <w:lang w:eastAsia="sl-SI"/>
              </w:rPr>
              <w:t xml:space="preserve"> odstavkom 254.č členom imenovana oseba, ki ni oseba manj zastopanega spola, se ne glede 392. člen tega zakona imenovanje šteje za veljavno, neizbrani kandidat pa ima pravico do odškodnine po splošnih pravilih civilnega prava in pravico do nadomestila zaradi diskriminacije skladno z zakonom, ki ureja varstvo pred diskriminacijo. </w:t>
            </w:r>
          </w:p>
          <w:bookmarkEnd w:id="74"/>
          <w:p w14:paraId="4C8EACDD"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188A659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254.e člen </w:t>
            </w:r>
          </w:p>
          <w:p w14:paraId="10681A64"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04C91B3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V prvem odstavku 254.e člena so opredeljeni podatki, ki jih morajo družbe zavezanke letno objaviti v letnih poročilih </w:t>
            </w:r>
            <w:r>
              <w:rPr>
                <w:rFonts w:cs="Arial"/>
                <w:szCs w:val="20"/>
                <w:lang w:eastAsia="sl-SI"/>
              </w:rPr>
              <w:t>in</w:t>
            </w:r>
            <w:r w:rsidRPr="00605612">
              <w:rPr>
                <w:rFonts w:cs="Arial"/>
                <w:szCs w:val="20"/>
                <w:lang w:eastAsia="sl-SI"/>
              </w:rPr>
              <w:t xml:space="preserve"> na svoji spletni strani. Direktiva 2022/2381/EU v 7. členu določa, katere podatke je družba dolžna javno objavljati,</w:t>
            </w:r>
            <w:r>
              <w:rPr>
                <w:rFonts w:cs="Arial"/>
                <w:szCs w:val="20"/>
                <w:lang w:eastAsia="sl-SI"/>
              </w:rPr>
              <w:t xml:space="preserve"> te podatke</w:t>
            </w:r>
            <w:r w:rsidRPr="00605612" w:rsidDel="00B426FA">
              <w:rPr>
                <w:rFonts w:cs="Arial"/>
                <w:szCs w:val="20"/>
                <w:lang w:eastAsia="sl-SI"/>
              </w:rPr>
              <w:t xml:space="preserve"> </w:t>
            </w:r>
            <w:r w:rsidRPr="00605612">
              <w:rPr>
                <w:rFonts w:cs="Arial"/>
                <w:szCs w:val="20"/>
                <w:lang w:eastAsia="sl-SI"/>
              </w:rPr>
              <w:t xml:space="preserve">povzema tudi predlagana določba. Družbe so tako zavezane, da objavijo podatke o deležu zastopanosti posameznega spola med neizvršnimi in izvršnimi direktorji, o sprejetih ukrepih za doseganje deležev, ki si jih je sama določila v politiki raznolikosti na podlagi zakona in morebitnih razlogih, če tako določenih deležev ne dosega, z </w:t>
            </w:r>
            <w:r>
              <w:rPr>
                <w:rFonts w:cs="Arial"/>
                <w:szCs w:val="20"/>
                <w:lang w:eastAsia="sl-SI"/>
              </w:rPr>
              <w:t>navedbo</w:t>
            </w:r>
            <w:r w:rsidRPr="00605612">
              <w:rPr>
                <w:rFonts w:cs="Arial"/>
                <w:szCs w:val="20"/>
                <w:lang w:eastAsia="sl-SI"/>
              </w:rPr>
              <w:t xml:space="preserve"> ukrepov, ki jih je družba izvedla oziroma jih namerava izvesti za njihovo izpolnitev. V skladu s tretjim odstavkom 7. člena Direktive 2022/2381/EU direktiva predvideva vključitev navedenih podatkov v Izjavo o upravljanju. Na podlagi navedenega je določeno, da družba zavezanka vključi predpisane podatke v izjavo o upravljanju, ki je del poslovnega poročila, </w:t>
            </w:r>
            <w:r>
              <w:rPr>
                <w:rFonts w:cs="Arial"/>
                <w:szCs w:val="20"/>
                <w:lang w:eastAsia="sl-SI"/>
              </w:rPr>
              <w:t>ta</w:t>
            </w:r>
            <w:r w:rsidRPr="00605612">
              <w:rPr>
                <w:rFonts w:cs="Arial"/>
                <w:szCs w:val="20"/>
                <w:lang w:eastAsia="sl-SI"/>
              </w:rPr>
              <w:t xml:space="preserve"> pa je del letnega poročila. Skladno z veljavnimi določbami ZGD-1 (gl. peti odstavek 7. točka 70. člena ZGD-1) lahko družba ločeno objavi </w:t>
            </w:r>
            <w:r>
              <w:rPr>
                <w:rFonts w:cs="Arial"/>
                <w:szCs w:val="20"/>
                <w:lang w:eastAsia="sl-SI"/>
              </w:rPr>
              <w:t>i</w:t>
            </w:r>
            <w:r w:rsidRPr="00605612">
              <w:rPr>
                <w:rFonts w:cs="Arial"/>
                <w:szCs w:val="20"/>
                <w:lang w:eastAsia="sl-SI"/>
              </w:rPr>
              <w:t>zjavo o upravljanju v elektronskem mediju, na katerega naredi sklic v poslovnem poročilu. P</w:t>
            </w:r>
            <w:r>
              <w:rPr>
                <w:rFonts w:cs="Arial"/>
                <w:szCs w:val="20"/>
                <w:lang w:eastAsia="sl-SI"/>
              </w:rPr>
              <w:t>oleg tega</w:t>
            </w:r>
            <w:r w:rsidRPr="00605612">
              <w:rPr>
                <w:rFonts w:cs="Arial"/>
                <w:szCs w:val="20"/>
                <w:lang w:eastAsia="sl-SI"/>
              </w:rPr>
              <w:t xml:space="preserve"> so </w:t>
            </w:r>
            <w:r>
              <w:rPr>
                <w:rFonts w:cs="Arial"/>
                <w:szCs w:val="20"/>
                <w:lang w:eastAsia="sl-SI"/>
              </w:rPr>
              <w:t xml:space="preserve">v </w:t>
            </w:r>
            <w:r w:rsidRPr="00605612">
              <w:rPr>
                <w:rFonts w:cs="Arial"/>
                <w:szCs w:val="20"/>
                <w:lang w:eastAsia="sl-SI"/>
              </w:rPr>
              <w:t>sklad</w:t>
            </w:r>
            <w:r>
              <w:rPr>
                <w:rFonts w:cs="Arial"/>
                <w:szCs w:val="20"/>
                <w:lang w:eastAsia="sl-SI"/>
              </w:rPr>
              <w:t>u</w:t>
            </w:r>
            <w:r w:rsidRPr="00605612">
              <w:rPr>
                <w:rFonts w:cs="Arial"/>
                <w:szCs w:val="20"/>
                <w:lang w:eastAsia="sl-SI"/>
              </w:rPr>
              <w:t xml:space="preserve"> s 7. točko</w:t>
            </w:r>
            <w:r w:rsidRPr="00605612" w:rsidDel="00475E1A">
              <w:rPr>
                <w:rFonts w:cs="Arial"/>
                <w:szCs w:val="20"/>
                <w:lang w:eastAsia="sl-SI"/>
              </w:rPr>
              <w:t xml:space="preserve"> </w:t>
            </w:r>
            <w:r w:rsidRPr="00605612">
              <w:rPr>
                <w:rFonts w:cs="Arial"/>
                <w:szCs w:val="20"/>
                <w:lang w:eastAsia="sl-SI"/>
              </w:rPr>
              <w:t>pet</w:t>
            </w:r>
            <w:r>
              <w:rPr>
                <w:rFonts w:cs="Arial"/>
                <w:szCs w:val="20"/>
                <w:lang w:eastAsia="sl-SI"/>
              </w:rPr>
              <w:t>ega</w:t>
            </w:r>
            <w:r w:rsidRPr="00605612">
              <w:rPr>
                <w:rFonts w:cs="Arial"/>
                <w:szCs w:val="20"/>
                <w:lang w:eastAsia="sl-SI"/>
              </w:rPr>
              <w:t xml:space="preserve"> odstavk</w:t>
            </w:r>
            <w:r>
              <w:rPr>
                <w:rFonts w:cs="Arial"/>
                <w:szCs w:val="20"/>
                <w:lang w:eastAsia="sl-SI"/>
              </w:rPr>
              <w:t>a</w:t>
            </w:r>
            <w:r w:rsidRPr="00605612">
              <w:rPr>
                <w:rFonts w:cs="Arial"/>
                <w:szCs w:val="20"/>
                <w:lang w:eastAsia="sl-SI"/>
              </w:rPr>
              <w:t xml:space="preserve"> 70. člena ZGD-1 v </w:t>
            </w:r>
            <w:r>
              <w:rPr>
                <w:rFonts w:cs="Arial"/>
                <w:szCs w:val="20"/>
                <w:lang w:eastAsia="sl-SI"/>
              </w:rPr>
              <w:t>i</w:t>
            </w:r>
            <w:r w:rsidRPr="00605612">
              <w:rPr>
                <w:rFonts w:cs="Arial"/>
                <w:szCs w:val="20"/>
                <w:lang w:eastAsia="sl-SI"/>
              </w:rPr>
              <w:t xml:space="preserve">zjavo v upravljanju vključeni že nekateri od zahtevanih podatkov v okviru opisa politike raznolikosti, in sicer v zvezi z </w:t>
            </w:r>
            <w:r w:rsidRPr="00605612">
              <w:rPr>
                <w:rFonts w:cs="Arial"/>
                <w:color w:val="000000"/>
                <w:szCs w:val="20"/>
                <w:shd w:val="clear" w:color="auto" w:fill="FFFFFF"/>
                <w:lang w:eastAsia="sl-SI"/>
              </w:rPr>
              <w:t>navedbo razmerja obeh spolov v organih vodenja ali nadzora družbe, ki je primerno za družbo glede na njeno velikost, cilje, ki jim družba sledi, in vpliv na postopke izbire članov organov vodenja ali nadzora družbe ter druge postopke v družbi. Skladno z navedenim se</w:t>
            </w:r>
            <w:r w:rsidRPr="00605612" w:rsidDel="00AF4D7D">
              <w:rPr>
                <w:rFonts w:cs="Arial"/>
                <w:color w:val="000000"/>
                <w:szCs w:val="20"/>
                <w:shd w:val="clear" w:color="auto" w:fill="FFFFFF"/>
                <w:lang w:eastAsia="sl-SI"/>
              </w:rPr>
              <w:t xml:space="preserve"> </w:t>
            </w:r>
            <w:r w:rsidRPr="00605612">
              <w:rPr>
                <w:rFonts w:cs="Arial"/>
                <w:color w:val="000000"/>
                <w:szCs w:val="20"/>
                <w:shd w:val="clear" w:color="auto" w:fill="FFFFFF"/>
                <w:lang w:eastAsia="sl-SI"/>
              </w:rPr>
              <w:t xml:space="preserve">pravila glede opisa politike raznolikosti v </w:t>
            </w:r>
            <w:r>
              <w:rPr>
                <w:rFonts w:cs="Arial"/>
                <w:color w:val="000000"/>
                <w:szCs w:val="20"/>
                <w:shd w:val="clear" w:color="auto" w:fill="FFFFFF"/>
                <w:lang w:eastAsia="sl-SI"/>
              </w:rPr>
              <w:t>i</w:t>
            </w:r>
            <w:r w:rsidRPr="00605612">
              <w:rPr>
                <w:rFonts w:cs="Arial"/>
                <w:color w:val="000000"/>
                <w:szCs w:val="20"/>
                <w:shd w:val="clear" w:color="auto" w:fill="FFFFFF"/>
                <w:lang w:eastAsia="sl-SI"/>
              </w:rPr>
              <w:t xml:space="preserve">zjavi o upravljanju dopolnijo z bolj natančnimi zahtevami glede podatkov v zvezi </w:t>
            </w:r>
            <w:r>
              <w:rPr>
                <w:rFonts w:cs="Arial"/>
                <w:color w:val="000000"/>
                <w:szCs w:val="20"/>
                <w:shd w:val="clear" w:color="auto" w:fill="FFFFFF"/>
                <w:lang w:eastAsia="sl-SI"/>
              </w:rPr>
              <w:t>z</w:t>
            </w:r>
            <w:r>
              <w:t xml:space="preserve"> </w:t>
            </w:r>
            <w:r w:rsidRPr="00F032EA">
              <w:rPr>
                <w:rFonts w:cs="Arial"/>
                <w:color w:val="000000"/>
                <w:szCs w:val="20"/>
                <w:shd w:val="clear" w:color="auto" w:fill="FFFFFF"/>
                <w:lang w:eastAsia="sl-SI"/>
              </w:rPr>
              <w:t>uravnoteženo</w:t>
            </w:r>
            <w:r w:rsidRPr="00605612">
              <w:rPr>
                <w:rFonts w:cs="Arial"/>
                <w:color w:val="000000"/>
                <w:szCs w:val="20"/>
                <w:shd w:val="clear" w:color="auto" w:fill="FFFFFF"/>
                <w:lang w:eastAsia="sl-SI"/>
              </w:rPr>
              <w:t xml:space="preserve"> zastopanostjo </w:t>
            </w:r>
            <w:r w:rsidRPr="00F032EA">
              <w:rPr>
                <w:rFonts w:cs="Arial"/>
                <w:color w:val="000000"/>
                <w:szCs w:val="20"/>
                <w:shd w:val="clear" w:color="auto" w:fill="FFFFFF"/>
                <w:lang w:eastAsia="sl-SI"/>
              </w:rPr>
              <w:t xml:space="preserve">spolov </w:t>
            </w:r>
            <w:r w:rsidRPr="00605612">
              <w:rPr>
                <w:rFonts w:cs="Arial"/>
                <w:color w:val="000000"/>
                <w:szCs w:val="20"/>
                <w:shd w:val="clear" w:color="auto" w:fill="FFFFFF"/>
                <w:lang w:eastAsia="sl-SI"/>
              </w:rPr>
              <w:t xml:space="preserve">med člani organov vodenja in nadzora ter izvršnimi direktorji </w:t>
            </w:r>
            <w:r>
              <w:rPr>
                <w:rFonts w:cs="Arial"/>
                <w:color w:val="000000"/>
                <w:szCs w:val="20"/>
                <w:shd w:val="clear" w:color="auto" w:fill="FFFFFF"/>
                <w:lang w:eastAsia="sl-SI"/>
              </w:rPr>
              <w:t>ter</w:t>
            </w:r>
            <w:r w:rsidRPr="00605612">
              <w:rPr>
                <w:rFonts w:cs="Arial"/>
                <w:color w:val="000000"/>
                <w:szCs w:val="20"/>
                <w:shd w:val="clear" w:color="auto" w:fill="FFFFFF"/>
                <w:lang w:eastAsia="sl-SI"/>
              </w:rPr>
              <w:t xml:space="preserve"> </w:t>
            </w:r>
            <w:r>
              <w:rPr>
                <w:rFonts w:cs="Arial"/>
                <w:color w:val="000000"/>
                <w:szCs w:val="20"/>
                <w:shd w:val="clear" w:color="auto" w:fill="FFFFFF"/>
                <w:lang w:eastAsia="sl-SI"/>
              </w:rPr>
              <w:t>s</w:t>
            </w:r>
            <w:r w:rsidRPr="00605612">
              <w:rPr>
                <w:rFonts w:cs="Arial"/>
                <w:color w:val="000000"/>
                <w:szCs w:val="20"/>
                <w:shd w:val="clear" w:color="auto" w:fill="FFFFFF"/>
                <w:lang w:eastAsia="sl-SI"/>
              </w:rPr>
              <w:t xml:space="preserve"> cilji in sprejetimi oz. načrtovanimi ukrepi na področju</w:t>
            </w:r>
            <w:r>
              <w:rPr>
                <w:rFonts w:cs="Arial"/>
                <w:color w:val="000000"/>
                <w:szCs w:val="20"/>
                <w:lang w:eastAsia="sl-SI"/>
              </w:rPr>
              <w:t>, ki bodo veljala za družbe zavezanke v skladu z 254.b členom.</w:t>
            </w:r>
          </w:p>
          <w:p w14:paraId="3225B8E4" w14:textId="77777777" w:rsidR="000C08CA" w:rsidRPr="00605612" w:rsidRDefault="000C08CA" w:rsidP="00FE328D">
            <w:pPr>
              <w:spacing w:line="276" w:lineRule="auto"/>
              <w:jc w:val="both"/>
              <w:textAlignment w:val="baseline"/>
              <w:rPr>
                <w:rFonts w:cs="Arial"/>
                <w:szCs w:val="20"/>
                <w:lang w:eastAsia="sl-SI"/>
              </w:rPr>
            </w:pPr>
          </w:p>
          <w:p w14:paraId="6C32C73C"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V drugem odstavku določba v skladu z zahtevami </w:t>
            </w:r>
            <w:r>
              <w:rPr>
                <w:rFonts w:cs="Arial"/>
                <w:szCs w:val="20"/>
                <w:lang w:eastAsia="sl-SI"/>
              </w:rPr>
              <w:t xml:space="preserve">iz </w:t>
            </w:r>
            <w:r w:rsidRPr="00605612">
              <w:rPr>
                <w:rFonts w:cs="Arial"/>
                <w:szCs w:val="20"/>
                <w:lang w:eastAsia="sl-SI"/>
              </w:rPr>
              <w:t>direktive od družb zavezank zahteva, da te informacije objavijo na svojih spletnih straneh (gl. prvi odstavek 7. člena Direktive 2022/2381/EU)</w:t>
            </w:r>
            <w:r>
              <w:rPr>
                <w:rFonts w:cs="Arial"/>
                <w:szCs w:val="20"/>
                <w:lang w:eastAsia="sl-SI"/>
              </w:rPr>
              <w:t>.</w:t>
            </w:r>
          </w:p>
          <w:p w14:paraId="731242C7" w14:textId="77777777" w:rsidR="000C08CA" w:rsidRDefault="000C08CA" w:rsidP="00FE328D">
            <w:pPr>
              <w:spacing w:line="276" w:lineRule="auto"/>
              <w:jc w:val="both"/>
              <w:textAlignment w:val="baseline"/>
              <w:rPr>
                <w:rFonts w:cs="Arial"/>
                <w:szCs w:val="20"/>
                <w:lang w:eastAsia="sl-SI"/>
              </w:rPr>
            </w:pPr>
          </w:p>
          <w:p w14:paraId="1E98C169" w14:textId="77777777" w:rsidR="000C08CA" w:rsidRPr="00B60F59" w:rsidRDefault="000C08CA" w:rsidP="00FE328D">
            <w:pPr>
              <w:spacing w:line="276" w:lineRule="auto"/>
              <w:jc w:val="both"/>
              <w:textAlignment w:val="baseline"/>
              <w:rPr>
                <w:rFonts w:cs="Arial"/>
                <w:color w:val="000000"/>
                <w:szCs w:val="20"/>
                <w:lang w:eastAsia="sl-SI"/>
              </w:rPr>
            </w:pPr>
            <w:r>
              <w:rPr>
                <w:rFonts w:cs="Arial"/>
                <w:color w:val="000000"/>
                <w:szCs w:val="20"/>
                <w:lang w:eastAsia="sl-SI"/>
              </w:rPr>
              <w:t>V tretjem</w:t>
            </w:r>
            <w:r w:rsidRPr="00605612">
              <w:rPr>
                <w:rFonts w:cs="Arial"/>
                <w:color w:val="000000"/>
                <w:szCs w:val="20"/>
                <w:lang w:eastAsia="sl-SI"/>
              </w:rPr>
              <w:t xml:space="preserve"> odstavk</w:t>
            </w:r>
            <w:r>
              <w:rPr>
                <w:rFonts w:cs="Arial"/>
                <w:color w:val="000000"/>
                <w:szCs w:val="20"/>
                <w:lang w:eastAsia="sl-SI"/>
              </w:rPr>
              <w:t>u je</w:t>
            </w:r>
            <w:r w:rsidRPr="00605612">
              <w:rPr>
                <w:rFonts w:cs="Arial"/>
                <w:color w:val="000000"/>
                <w:szCs w:val="20"/>
                <w:lang w:eastAsia="sl-SI"/>
              </w:rPr>
              <w:t xml:space="preserve"> določ</w:t>
            </w:r>
            <w:r>
              <w:rPr>
                <w:rFonts w:cs="Arial"/>
                <w:color w:val="000000"/>
                <w:szCs w:val="20"/>
                <w:lang w:eastAsia="sl-SI"/>
              </w:rPr>
              <w:t>eno</w:t>
            </w:r>
            <w:r w:rsidRPr="00605612">
              <w:rPr>
                <w:rFonts w:cs="Arial"/>
                <w:color w:val="000000"/>
                <w:szCs w:val="20"/>
                <w:lang w:eastAsia="sl-SI"/>
              </w:rPr>
              <w:t>, da bo na spletni strani </w:t>
            </w:r>
            <w:r>
              <w:rPr>
                <w:rFonts w:cs="Arial"/>
                <w:color w:val="000000"/>
                <w:szCs w:val="20"/>
                <w:lang w:eastAsia="sl-SI"/>
              </w:rPr>
              <w:t>ministrstva, pristojnega za gospodarstvo,</w:t>
            </w:r>
            <w:r w:rsidRPr="00605612">
              <w:rPr>
                <w:rFonts w:cs="Arial"/>
                <w:color w:val="000000"/>
                <w:szCs w:val="20"/>
                <w:lang w:eastAsia="sl-SI"/>
              </w:rPr>
              <w:t xml:space="preserve"> objavljen seznam družb, ki so zavezanke za spreje</w:t>
            </w:r>
            <w:r>
              <w:rPr>
                <w:rFonts w:cs="Arial"/>
                <w:color w:val="000000"/>
                <w:szCs w:val="20"/>
                <w:lang w:eastAsia="sl-SI"/>
              </w:rPr>
              <w:t>tje</w:t>
            </w:r>
            <w:r w:rsidRPr="00605612">
              <w:rPr>
                <w:rFonts w:cs="Arial"/>
                <w:color w:val="000000"/>
                <w:szCs w:val="20"/>
                <w:lang w:eastAsia="sl-SI"/>
              </w:rPr>
              <w:t xml:space="preserve"> ukrepov v skladu z zakonom</w:t>
            </w:r>
            <w:r>
              <w:rPr>
                <w:rFonts w:cs="Arial"/>
                <w:color w:val="000000"/>
                <w:szCs w:val="20"/>
                <w:lang w:eastAsia="sl-SI"/>
              </w:rPr>
              <w:t>,</w:t>
            </w:r>
            <w:r w:rsidRPr="00605612">
              <w:rPr>
                <w:rFonts w:cs="Arial"/>
                <w:color w:val="000000"/>
                <w:szCs w:val="20"/>
                <w:lang w:eastAsia="sl-SI"/>
              </w:rPr>
              <w:t xml:space="preserve"> in doseženi deleži glede zastopanosti spolov v organih upravljanja in nadzora ter med izvršnimi direktorji. </w:t>
            </w:r>
            <w:r>
              <w:rPr>
                <w:rFonts w:cs="Arial"/>
                <w:color w:val="000000"/>
                <w:szCs w:val="20"/>
                <w:lang w:eastAsia="sl-SI"/>
              </w:rPr>
              <w:t>V</w:t>
            </w:r>
            <w:r w:rsidRPr="00605612">
              <w:rPr>
                <w:rFonts w:cs="Arial"/>
                <w:color w:val="000000"/>
                <w:szCs w:val="20"/>
                <w:lang w:eastAsia="sl-SI"/>
              </w:rPr>
              <w:t xml:space="preserve"> prvem odstavku 7. člena Direktive 2022/2381/EU je </w:t>
            </w:r>
            <w:r>
              <w:rPr>
                <w:rFonts w:cs="Arial"/>
                <w:color w:val="000000"/>
                <w:szCs w:val="20"/>
                <w:lang w:eastAsia="sl-SI"/>
              </w:rPr>
              <w:t xml:space="preserve">namreč </w:t>
            </w:r>
            <w:r w:rsidRPr="00605612">
              <w:rPr>
                <w:rFonts w:cs="Arial"/>
                <w:color w:val="000000"/>
                <w:szCs w:val="20"/>
                <w:lang w:eastAsia="sl-SI"/>
              </w:rPr>
              <w:t>določeno, da morajo države članice</w:t>
            </w:r>
            <w:r>
              <w:rPr>
                <w:rFonts w:cs="Arial"/>
                <w:color w:val="000000"/>
                <w:szCs w:val="20"/>
                <w:lang w:eastAsia="sl-SI"/>
              </w:rPr>
              <w:t xml:space="preserve"> </w:t>
            </w:r>
            <w:r w:rsidRPr="00605612">
              <w:rPr>
                <w:rFonts w:cs="Arial"/>
                <w:color w:val="000000"/>
                <w:szCs w:val="20"/>
                <w:lang w:eastAsia="sl-SI"/>
              </w:rPr>
              <w:t xml:space="preserve"> zagotoviti, da </w:t>
            </w:r>
            <w:r>
              <w:rPr>
                <w:rFonts w:cs="Arial"/>
                <w:color w:val="000000"/>
                <w:szCs w:val="20"/>
                <w:lang w:eastAsia="sl-SI"/>
              </w:rPr>
              <w:t>so</w:t>
            </w:r>
            <w:r w:rsidRPr="00605612">
              <w:rPr>
                <w:rFonts w:cs="Arial"/>
                <w:color w:val="000000"/>
                <w:szCs w:val="20"/>
                <w:lang w:eastAsia="sl-SI"/>
              </w:rPr>
              <w:t xml:space="preserve"> seznam družb zavezank in njihovi predloženi podatki v zvezi</w:t>
            </w:r>
            <w:r>
              <w:rPr>
                <w:rFonts w:cs="Arial"/>
                <w:color w:val="000000"/>
                <w:szCs w:val="20"/>
                <w:lang w:eastAsia="sl-SI"/>
              </w:rPr>
              <w:t xml:space="preserve"> z</w:t>
            </w:r>
            <w:r w:rsidRPr="00605612">
              <w:rPr>
                <w:rFonts w:cs="Arial"/>
                <w:color w:val="000000"/>
                <w:szCs w:val="20"/>
                <w:lang w:eastAsia="sl-SI"/>
              </w:rPr>
              <w:t xml:space="preserve"> doseženimi </w:t>
            </w:r>
            <w:r>
              <w:rPr>
                <w:rFonts w:cs="Arial"/>
                <w:color w:val="000000"/>
                <w:szCs w:val="20"/>
                <w:lang w:eastAsia="sl-SI"/>
              </w:rPr>
              <w:t>deleži</w:t>
            </w:r>
            <w:r w:rsidRPr="00605612">
              <w:rPr>
                <w:rFonts w:cs="Arial"/>
                <w:color w:val="000000"/>
                <w:szCs w:val="20"/>
                <w:lang w:eastAsia="sl-SI"/>
              </w:rPr>
              <w:t xml:space="preserve"> glede </w:t>
            </w:r>
            <w:r w:rsidRPr="00F032EA">
              <w:rPr>
                <w:rFonts w:cs="Arial"/>
                <w:color w:val="000000"/>
                <w:szCs w:val="20"/>
                <w:lang w:eastAsia="sl-SI"/>
              </w:rPr>
              <w:t>uravnotežene</w:t>
            </w:r>
            <w:r w:rsidRPr="00F032EA" w:rsidDel="00F032EA">
              <w:rPr>
                <w:rFonts w:cs="Arial"/>
                <w:color w:val="000000"/>
                <w:szCs w:val="20"/>
                <w:lang w:eastAsia="sl-SI"/>
              </w:rPr>
              <w:t xml:space="preserve"> </w:t>
            </w:r>
            <w:r w:rsidRPr="00605612">
              <w:rPr>
                <w:rFonts w:cs="Arial"/>
                <w:color w:val="000000"/>
                <w:szCs w:val="20"/>
                <w:lang w:eastAsia="sl-SI"/>
              </w:rPr>
              <w:t xml:space="preserve">zastopanosti </w:t>
            </w:r>
            <w:r w:rsidRPr="00F032EA">
              <w:rPr>
                <w:rFonts w:cs="Arial"/>
                <w:color w:val="000000"/>
                <w:szCs w:val="20"/>
                <w:lang w:eastAsia="sl-SI"/>
              </w:rPr>
              <w:t xml:space="preserve">spolov </w:t>
            </w:r>
            <w:r w:rsidRPr="00605612">
              <w:rPr>
                <w:rFonts w:cs="Arial"/>
                <w:color w:val="000000"/>
                <w:szCs w:val="20"/>
                <w:lang w:eastAsia="sl-SI"/>
              </w:rPr>
              <w:t>med člani organov vodenja in nadzora ter izvršnimi direktorji na lahko dostopen in centraliziran način objavljen</w:t>
            </w:r>
            <w:r>
              <w:rPr>
                <w:rFonts w:cs="Arial"/>
                <w:color w:val="000000"/>
                <w:szCs w:val="20"/>
                <w:lang w:eastAsia="sl-SI"/>
              </w:rPr>
              <w:t>i in</w:t>
            </w:r>
            <w:r w:rsidRPr="00605612" w:rsidDel="00AF4D7D">
              <w:rPr>
                <w:rFonts w:cs="Arial"/>
                <w:color w:val="000000"/>
                <w:szCs w:val="20"/>
                <w:lang w:eastAsia="sl-SI"/>
              </w:rPr>
              <w:t xml:space="preserve"> </w:t>
            </w:r>
            <w:r w:rsidRPr="00605612">
              <w:rPr>
                <w:rFonts w:cs="Arial"/>
                <w:color w:val="000000"/>
                <w:szCs w:val="20"/>
                <w:lang w:eastAsia="sl-SI"/>
              </w:rPr>
              <w:t>redno posodobljen</w:t>
            </w:r>
            <w:r>
              <w:rPr>
                <w:rFonts w:cs="Arial"/>
                <w:color w:val="000000"/>
                <w:szCs w:val="20"/>
                <w:lang w:eastAsia="sl-SI"/>
              </w:rPr>
              <w:t>i</w:t>
            </w:r>
            <w:r w:rsidRPr="00605612">
              <w:rPr>
                <w:rFonts w:cs="Arial"/>
                <w:color w:val="000000"/>
                <w:szCs w:val="20"/>
                <w:lang w:eastAsia="sl-SI"/>
              </w:rPr>
              <w:t>.  </w:t>
            </w:r>
          </w:p>
          <w:p w14:paraId="65408906" w14:textId="77777777" w:rsidR="000C08CA" w:rsidRPr="00605612" w:rsidRDefault="000C08CA" w:rsidP="00FE328D">
            <w:pPr>
              <w:spacing w:line="276" w:lineRule="auto"/>
              <w:jc w:val="both"/>
              <w:textAlignment w:val="baseline"/>
              <w:rPr>
                <w:rFonts w:cs="Arial"/>
                <w:szCs w:val="20"/>
                <w:lang w:eastAsia="sl-SI"/>
              </w:rPr>
            </w:pPr>
          </w:p>
          <w:p w14:paraId="77D587A3"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254.f člen </w:t>
            </w:r>
          </w:p>
          <w:p w14:paraId="55C17DF6"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w:t>
            </w:r>
          </w:p>
          <w:p w14:paraId="7B0A290B" w14:textId="77777777" w:rsidR="000C08CA" w:rsidRPr="00862B1C" w:rsidRDefault="000C08CA" w:rsidP="00FE328D">
            <w:pPr>
              <w:spacing w:line="276" w:lineRule="auto"/>
              <w:jc w:val="both"/>
              <w:textAlignment w:val="baseline"/>
              <w:rPr>
                <w:rFonts w:cs="Arial"/>
                <w:color w:val="000000"/>
                <w:szCs w:val="20"/>
                <w:lang w:eastAsia="sl-SI"/>
              </w:rPr>
            </w:pPr>
            <w:r>
              <w:rPr>
                <w:rFonts w:cs="Arial"/>
                <w:szCs w:val="20"/>
                <w:lang w:eastAsia="sl-SI"/>
              </w:rPr>
              <w:lastRenderedPageBreak/>
              <w:t>V s</w:t>
            </w:r>
            <w:r w:rsidRPr="00605612">
              <w:rPr>
                <w:rFonts w:cs="Arial"/>
                <w:szCs w:val="20"/>
                <w:lang w:eastAsia="sl-SI"/>
              </w:rPr>
              <w:t>klad</w:t>
            </w:r>
            <w:r>
              <w:rPr>
                <w:rFonts w:cs="Arial"/>
                <w:szCs w:val="20"/>
                <w:lang w:eastAsia="sl-SI"/>
              </w:rPr>
              <w:t>u</w:t>
            </w:r>
            <w:r w:rsidRPr="00605612">
              <w:rPr>
                <w:rFonts w:cs="Arial"/>
                <w:szCs w:val="20"/>
                <w:lang w:eastAsia="sl-SI"/>
              </w:rPr>
              <w:t xml:space="preserve"> z </w:t>
            </w:r>
            <w:r w:rsidRPr="00605612">
              <w:rPr>
                <w:rFonts w:cs="Arial"/>
                <w:color w:val="000000"/>
                <w:szCs w:val="20"/>
                <w:lang w:eastAsia="sl-SI"/>
              </w:rPr>
              <w:t xml:space="preserve">10. členom Direktive 2022/2381/EU morajo države članice imenovati enega ali več organov, zadolženih za spodbujanje, analiziranje, spremljanje in podpiranje uravnotežene zastopanosti spolov v organih družb. </w:t>
            </w:r>
            <w:r>
              <w:rPr>
                <w:rFonts w:cs="Arial"/>
                <w:color w:val="000000"/>
                <w:szCs w:val="20"/>
                <w:lang w:eastAsia="sl-SI"/>
              </w:rPr>
              <w:t>V</w:t>
            </w:r>
            <w:r w:rsidRPr="00605612">
              <w:rPr>
                <w:rFonts w:cs="Arial"/>
                <w:color w:val="000000"/>
                <w:szCs w:val="20"/>
                <w:lang w:eastAsia="sl-SI"/>
              </w:rPr>
              <w:t xml:space="preserve"> zadevnem členu </w:t>
            </w:r>
            <w:r>
              <w:rPr>
                <w:rFonts w:cs="Arial"/>
                <w:color w:val="000000"/>
                <w:szCs w:val="20"/>
                <w:lang w:eastAsia="sl-SI"/>
              </w:rPr>
              <w:t xml:space="preserve">je tudi </w:t>
            </w:r>
            <w:r w:rsidRPr="00605612">
              <w:rPr>
                <w:rFonts w:cs="Arial"/>
                <w:color w:val="000000"/>
                <w:szCs w:val="20"/>
                <w:lang w:eastAsia="sl-SI"/>
              </w:rPr>
              <w:t>napotilo, da lahko države članice</w:t>
            </w:r>
            <w:r>
              <w:rPr>
                <w:rFonts w:cs="Arial"/>
                <w:color w:val="000000"/>
                <w:szCs w:val="20"/>
                <w:lang w:eastAsia="sl-SI"/>
              </w:rPr>
              <w:t xml:space="preserve"> </w:t>
            </w:r>
            <w:r w:rsidRPr="00605612">
              <w:rPr>
                <w:rFonts w:cs="Arial"/>
                <w:color w:val="000000"/>
                <w:szCs w:val="20"/>
                <w:lang w:eastAsia="sl-SI"/>
              </w:rPr>
              <w:t>imenujejo organe za enakost</w:t>
            </w:r>
            <w:r>
              <w:rPr>
                <w:rFonts w:cs="Arial"/>
                <w:color w:val="000000"/>
                <w:szCs w:val="20"/>
                <w:lang w:eastAsia="sl-SI"/>
              </w:rPr>
              <w:t>,</w:t>
            </w:r>
            <w:r w:rsidRPr="00605612">
              <w:rPr>
                <w:rFonts w:cs="Arial"/>
                <w:color w:val="000000"/>
                <w:szCs w:val="20"/>
                <w:lang w:eastAsia="sl-SI"/>
              </w:rPr>
              <w:t xml:space="preserve"> imenovane na podlagi 20. člena Direktive 2006/54/ES, kar je v Republiki Sloveniji Zagovornik načela enakosti. </w:t>
            </w:r>
            <w:r>
              <w:rPr>
                <w:rFonts w:cs="Arial"/>
                <w:color w:val="000000"/>
                <w:szCs w:val="20"/>
                <w:lang w:eastAsia="sl-SI"/>
              </w:rPr>
              <w:t xml:space="preserve">Tako </w:t>
            </w:r>
            <w:r w:rsidRPr="00605612">
              <w:rPr>
                <w:rFonts w:cs="Arial"/>
                <w:color w:val="000000"/>
                <w:szCs w:val="20"/>
                <w:lang w:eastAsia="sl-SI"/>
              </w:rPr>
              <w:t xml:space="preserve">je </w:t>
            </w:r>
            <w:r w:rsidRPr="00605612">
              <w:rPr>
                <w:rFonts w:cs="Arial"/>
                <w:szCs w:val="20"/>
                <w:lang w:eastAsia="sl-SI"/>
              </w:rPr>
              <w:t>v prvem odstavku določeno</w:t>
            </w:r>
            <w:r w:rsidRPr="00605612">
              <w:rPr>
                <w:rFonts w:cs="Arial"/>
                <w:color w:val="000000"/>
                <w:szCs w:val="20"/>
                <w:lang w:eastAsia="sl-SI"/>
              </w:rPr>
              <w:t>, da je Zagovornik načela enakost pristojen za naloge, ki jih 10. člen Direktive 2022/2381/EU določa glede organov za enakost.  </w:t>
            </w:r>
          </w:p>
          <w:p w14:paraId="4FD593AA" w14:textId="77777777" w:rsidR="000C08CA" w:rsidRPr="00605612" w:rsidRDefault="000C08CA" w:rsidP="00FE328D">
            <w:pPr>
              <w:spacing w:line="276" w:lineRule="auto"/>
              <w:jc w:val="both"/>
              <w:textAlignment w:val="baseline"/>
              <w:rPr>
                <w:rFonts w:cs="Arial"/>
                <w:szCs w:val="20"/>
                <w:lang w:eastAsia="sl-SI"/>
              </w:rPr>
            </w:pPr>
          </w:p>
          <w:p w14:paraId="33653C90" w14:textId="644FFC54" w:rsidR="000C08CA" w:rsidRPr="00BE145A" w:rsidRDefault="000C08CA" w:rsidP="00BE145A">
            <w:pPr>
              <w:spacing w:line="276" w:lineRule="auto"/>
              <w:jc w:val="both"/>
              <w:textAlignment w:val="baseline"/>
              <w:rPr>
                <w:rFonts w:cs="Arial"/>
                <w:szCs w:val="20"/>
                <w:lang w:eastAsia="sl-SI"/>
              </w:rPr>
            </w:pPr>
            <w:r w:rsidRPr="00605612">
              <w:rPr>
                <w:rFonts w:cs="Arial"/>
                <w:color w:val="000000"/>
                <w:szCs w:val="20"/>
                <w:lang w:eastAsia="sl-SI"/>
              </w:rPr>
              <w:t xml:space="preserve">Zagovornik </w:t>
            </w:r>
            <w:r>
              <w:rPr>
                <w:rFonts w:cs="Arial"/>
                <w:color w:val="000000"/>
                <w:szCs w:val="20"/>
                <w:lang w:eastAsia="sl-SI"/>
              </w:rPr>
              <w:t>načela enakosti</w:t>
            </w:r>
            <w:r w:rsidRPr="00605612">
              <w:rPr>
                <w:rFonts w:cs="Arial"/>
                <w:color w:val="000000"/>
                <w:szCs w:val="20"/>
                <w:lang w:eastAsia="sl-SI"/>
              </w:rPr>
              <w:t xml:space="preserve"> bo tudi nadzorni organ za prekrške</w:t>
            </w:r>
            <w:r>
              <w:rPr>
                <w:rFonts w:cs="Arial"/>
                <w:color w:val="000000"/>
                <w:szCs w:val="20"/>
                <w:lang w:eastAsia="sl-SI"/>
              </w:rPr>
              <w:t>,</w:t>
            </w:r>
            <w:r w:rsidRPr="00605612">
              <w:rPr>
                <w:rFonts w:cs="Arial"/>
                <w:color w:val="000000"/>
                <w:szCs w:val="20"/>
                <w:lang w:eastAsia="sl-SI"/>
              </w:rPr>
              <w:t xml:space="preserve"> </w:t>
            </w:r>
            <w:r>
              <w:rPr>
                <w:rFonts w:cs="Arial"/>
                <w:color w:val="000000"/>
                <w:szCs w:val="20"/>
                <w:lang w:eastAsia="sl-SI"/>
              </w:rPr>
              <w:t xml:space="preserve">ki jih </w:t>
            </w:r>
            <w:r w:rsidRPr="00605612">
              <w:rPr>
                <w:rFonts w:cs="Arial"/>
                <w:color w:val="000000"/>
                <w:szCs w:val="20"/>
                <w:lang w:eastAsia="sl-SI"/>
              </w:rPr>
              <w:t>stor</w:t>
            </w:r>
            <w:r>
              <w:rPr>
                <w:rFonts w:cs="Arial"/>
                <w:color w:val="000000"/>
                <w:szCs w:val="20"/>
                <w:lang w:eastAsia="sl-SI"/>
              </w:rPr>
              <w:t>i</w:t>
            </w:r>
            <w:r w:rsidRPr="00605612">
              <w:rPr>
                <w:rFonts w:cs="Arial"/>
                <w:color w:val="000000"/>
                <w:szCs w:val="20"/>
                <w:lang w:eastAsia="sl-SI"/>
              </w:rPr>
              <w:t>j</w:t>
            </w:r>
            <w:r>
              <w:rPr>
                <w:rFonts w:cs="Arial"/>
                <w:color w:val="000000"/>
                <w:szCs w:val="20"/>
                <w:lang w:eastAsia="sl-SI"/>
              </w:rPr>
              <w:t>o</w:t>
            </w:r>
            <w:r w:rsidRPr="00605612">
              <w:rPr>
                <w:rFonts w:cs="Arial"/>
                <w:color w:val="000000"/>
                <w:szCs w:val="20"/>
                <w:lang w:eastAsia="sl-SI"/>
              </w:rPr>
              <w:t xml:space="preserve"> družb</w:t>
            </w:r>
            <w:r>
              <w:rPr>
                <w:rFonts w:cs="Arial"/>
                <w:color w:val="000000"/>
                <w:szCs w:val="20"/>
                <w:lang w:eastAsia="sl-SI"/>
              </w:rPr>
              <w:t>e</w:t>
            </w:r>
            <w:r w:rsidRPr="00605612">
              <w:rPr>
                <w:rFonts w:cs="Arial"/>
                <w:color w:val="000000"/>
                <w:szCs w:val="20"/>
                <w:lang w:eastAsia="sl-SI"/>
              </w:rPr>
              <w:t xml:space="preserve"> zavezank</w:t>
            </w:r>
            <w:r>
              <w:rPr>
                <w:rFonts w:cs="Arial"/>
                <w:color w:val="000000"/>
                <w:szCs w:val="20"/>
                <w:lang w:eastAsia="sl-SI"/>
              </w:rPr>
              <w:t>e</w:t>
            </w:r>
            <w:r w:rsidRPr="00605612">
              <w:rPr>
                <w:rFonts w:cs="Arial"/>
                <w:color w:val="000000"/>
                <w:szCs w:val="20"/>
                <w:lang w:eastAsia="sl-SI"/>
              </w:rPr>
              <w:t xml:space="preserve"> v zvezi z določbami iz tega zakona, ki se nanašajo na zagotavljanje uravnotežene zastopanosti spolov v organih družb. </w:t>
            </w:r>
            <w:r>
              <w:rPr>
                <w:rFonts w:cs="Arial"/>
                <w:color w:val="000000"/>
                <w:szCs w:val="20"/>
                <w:lang w:eastAsia="sl-SI"/>
              </w:rPr>
              <w:t>V s</w:t>
            </w:r>
            <w:r w:rsidRPr="00605612">
              <w:rPr>
                <w:rFonts w:cs="Arial"/>
                <w:color w:val="000000"/>
                <w:szCs w:val="20"/>
                <w:lang w:eastAsia="sl-SI"/>
              </w:rPr>
              <w:t>klad</w:t>
            </w:r>
            <w:r>
              <w:rPr>
                <w:rFonts w:cs="Arial"/>
                <w:color w:val="000000"/>
                <w:szCs w:val="20"/>
                <w:lang w:eastAsia="sl-SI"/>
              </w:rPr>
              <w:t>u</w:t>
            </w:r>
            <w:r w:rsidRPr="00605612">
              <w:rPr>
                <w:rFonts w:cs="Arial"/>
                <w:color w:val="000000"/>
                <w:szCs w:val="20"/>
                <w:lang w:eastAsia="sl-SI"/>
              </w:rPr>
              <w:t xml:space="preserve"> z navedenim bo na podlagi </w:t>
            </w:r>
            <w:r>
              <w:rPr>
                <w:rFonts w:cs="Arial"/>
                <w:color w:val="000000"/>
                <w:szCs w:val="20"/>
                <w:lang w:eastAsia="sl-SI"/>
              </w:rPr>
              <w:t>drugega</w:t>
            </w:r>
            <w:r w:rsidRPr="00605612">
              <w:rPr>
                <w:rFonts w:cs="Arial"/>
                <w:color w:val="000000"/>
                <w:szCs w:val="20"/>
                <w:lang w:eastAsia="sl-SI"/>
              </w:rPr>
              <w:t xml:space="preserve"> odstavka Zagovornik </w:t>
            </w:r>
            <w:r>
              <w:rPr>
                <w:rFonts w:cs="Arial"/>
                <w:color w:val="000000"/>
                <w:szCs w:val="20"/>
                <w:lang w:eastAsia="sl-SI"/>
              </w:rPr>
              <w:t>načela enakosti</w:t>
            </w:r>
            <w:r w:rsidRPr="00605612">
              <w:rPr>
                <w:rFonts w:cs="Arial"/>
                <w:color w:val="000000"/>
                <w:szCs w:val="20"/>
                <w:lang w:eastAsia="sl-SI"/>
              </w:rPr>
              <w:t xml:space="preserve"> presojal, ali je bil postopek izbire kandidata za imenovanje člana organa vodenja oziroma nadzora ali izvršnega direktorja, </w:t>
            </w:r>
            <w:r>
              <w:rPr>
                <w:rFonts w:cs="Arial"/>
                <w:color w:val="000000"/>
                <w:szCs w:val="20"/>
                <w:lang w:eastAsia="sl-SI"/>
              </w:rPr>
              <w:t>če</w:t>
            </w:r>
            <w:r w:rsidRPr="00605612">
              <w:rPr>
                <w:rFonts w:cs="Arial"/>
                <w:color w:val="000000"/>
                <w:szCs w:val="20"/>
                <w:lang w:eastAsia="sl-SI"/>
              </w:rPr>
              <w:t xml:space="preserve"> družba ne dosega </w:t>
            </w:r>
            <w:r>
              <w:rPr>
                <w:rFonts w:cs="Arial"/>
                <w:color w:val="000000"/>
                <w:szCs w:val="20"/>
                <w:lang w:eastAsia="sl-SI"/>
              </w:rPr>
              <w:t>zadevnih</w:t>
            </w:r>
            <w:r w:rsidRPr="00605612">
              <w:rPr>
                <w:rFonts w:cs="Arial"/>
                <w:color w:val="000000"/>
                <w:szCs w:val="20"/>
                <w:lang w:eastAsia="sl-SI"/>
              </w:rPr>
              <w:t xml:space="preserve"> deležev</w:t>
            </w:r>
            <w:r>
              <w:rPr>
                <w:rFonts w:cs="Arial"/>
                <w:color w:val="000000"/>
                <w:szCs w:val="20"/>
                <w:lang w:eastAsia="sl-SI"/>
              </w:rPr>
              <w:t xml:space="preserve"> glede </w:t>
            </w:r>
            <w:r w:rsidRPr="00F032EA">
              <w:rPr>
                <w:rFonts w:cs="Arial"/>
                <w:color w:val="000000"/>
                <w:szCs w:val="20"/>
                <w:lang w:eastAsia="sl-SI"/>
              </w:rPr>
              <w:t>uravnotežene</w:t>
            </w:r>
            <w:r w:rsidRPr="00F032EA" w:rsidDel="00F032EA">
              <w:rPr>
                <w:rFonts w:cs="Arial"/>
                <w:color w:val="000000"/>
                <w:szCs w:val="20"/>
                <w:lang w:eastAsia="sl-SI"/>
              </w:rPr>
              <w:t xml:space="preserve"> </w:t>
            </w:r>
            <w:r>
              <w:rPr>
                <w:rFonts w:cs="Arial"/>
                <w:color w:val="000000"/>
                <w:szCs w:val="20"/>
                <w:lang w:eastAsia="sl-SI"/>
              </w:rPr>
              <w:t xml:space="preserve">zastopanosti </w:t>
            </w:r>
            <w:r w:rsidRPr="00F032EA">
              <w:rPr>
                <w:rFonts w:cs="Arial"/>
                <w:color w:val="000000"/>
                <w:szCs w:val="20"/>
                <w:lang w:eastAsia="sl-SI"/>
              </w:rPr>
              <w:t>spolov</w:t>
            </w:r>
            <w:r w:rsidRPr="00605612">
              <w:rPr>
                <w:rFonts w:cs="Arial"/>
                <w:color w:val="000000"/>
                <w:szCs w:val="20"/>
                <w:lang w:eastAsia="sl-SI"/>
              </w:rPr>
              <w:t xml:space="preserve">, izveden </w:t>
            </w:r>
            <w:r>
              <w:rPr>
                <w:rFonts w:cs="Arial"/>
                <w:color w:val="000000"/>
                <w:szCs w:val="20"/>
                <w:lang w:eastAsia="sl-SI"/>
              </w:rPr>
              <w:t xml:space="preserve">v </w:t>
            </w:r>
            <w:r w:rsidRPr="00605612">
              <w:rPr>
                <w:rFonts w:cs="Arial"/>
                <w:color w:val="000000"/>
                <w:szCs w:val="20"/>
                <w:lang w:eastAsia="sl-SI"/>
              </w:rPr>
              <w:t>sklad</w:t>
            </w:r>
            <w:r>
              <w:rPr>
                <w:rFonts w:cs="Arial"/>
                <w:color w:val="000000"/>
                <w:szCs w:val="20"/>
                <w:lang w:eastAsia="sl-SI"/>
              </w:rPr>
              <w:t xml:space="preserve">u </w:t>
            </w:r>
            <w:r w:rsidRPr="00605612">
              <w:rPr>
                <w:rFonts w:cs="Arial"/>
                <w:color w:val="000000"/>
                <w:szCs w:val="20"/>
                <w:lang w:eastAsia="sl-SI"/>
              </w:rPr>
              <w:t>z 254.č členom zakona.   </w:t>
            </w:r>
          </w:p>
          <w:p w14:paraId="4DD13282" w14:textId="77777777" w:rsidR="000C08CA" w:rsidRDefault="000C08CA" w:rsidP="00FE328D">
            <w:pPr>
              <w:spacing w:line="276" w:lineRule="auto"/>
              <w:rPr>
                <w:rFonts w:cs="Arial"/>
                <w:b/>
                <w:szCs w:val="20"/>
              </w:rPr>
            </w:pPr>
          </w:p>
          <w:p w14:paraId="6D8B8907" w14:textId="77777777" w:rsidR="000C08CA" w:rsidRPr="00605612" w:rsidRDefault="000C08CA" w:rsidP="00FE328D">
            <w:pPr>
              <w:spacing w:line="276" w:lineRule="auto"/>
              <w:rPr>
                <w:rFonts w:cs="Arial"/>
                <w:b/>
                <w:szCs w:val="20"/>
              </w:rPr>
            </w:pPr>
            <w:r>
              <w:rPr>
                <w:rFonts w:cs="Arial"/>
                <w:b/>
                <w:szCs w:val="20"/>
              </w:rPr>
              <w:t>K 21. členu</w:t>
            </w:r>
          </w:p>
          <w:p w14:paraId="1D14CFA6" w14:textId="77777777" w:rsidR="000C08CA" w:rsidRPr="00605612" w:rsidRDefault="000C08CA" w:rsidP="00FE328D">
            <w:pPr>
              <w:spacing w:line="276" w:lineRule="auto"/>
              <w:rPr>
                <w:rFonts w:cs="Arial"/>
                <w:b/>
                <w:szCs w:val="20"/>
              </w:rPr>
            </w:pPr>
          </w:p>
          <w:p w14:paraId="426EE1C1" w14:textId="77777777" w:rsidR="000C08CA" w:rsidRPr="00605612" w:rsidRDefault="000C08CA" w:rsidP="00FE328D">
            <w:pPr>
              <w:spacing w:line="276" w:lineRule="auto"/>
              <w:jc w:val="both"/>
              <w:rPr>
                <w:rFonts w:cs="Arial"/>
                <w:bCs/>
                <w:szCs w:val="20"/>
              </w:rPr>
            </w:pPr>
            <w:r w:rsidRPr="00605612">
              <w:rPr>
                <w:rFonts w:cs="Arial"/>
                <w:bCs/>
                <w:szCs w:val="20"/>
              </w:rPr>
              <w:t xml:space="preserve">Kot že pojasnjeno z </w:t>
            </w:r>
            <w:r w:rsidRPr="00605612">
              <w:rPr>
                <w:rFonts w:cs="Arial"/>
                <w:bCs/>
                <w:szCs w:val="20"/>
                <w:u w:val="single"/>
              </w:rPr>
              <w:t>Direktivo 2022/2464/EU</w:t>
            </w:r>
            <w:r>
              <w:rPr>
                <w:rFonts w:cs="Arial"/>
                <w:bCs/>
                <w:szCs w:val="20"/>
                <w:u w:val="single"/>
              </w:rPr>
              <w:t>,</w:t>
            </w:r>
            <w:r w:rsidRPr="00605612">
              <w:rPr>
                <w:rFonts w:cs="Arial"/>
                <w:bCs/>
                <w:szCs w:val="20"/>
              </w:rPr>
              <w:t xml:space="preserve"> spremenjena določba prvega odstavka 34. člena Direktive 2013/34/EU določa, da mora revizor podati mnenje glede skladnosti poročanja o trajnostnosti z zahtevami direktive.  </w:t>
            </w:r>
          </w:p>
          <w:p w14:paraId="32D789C6" w14:textId="77777777" w:rsidR="000C08CA" w:rsidRPr="00605612" w:rsidRDefault="000C08CA" w:rsidP="00FE328D">
            <w:pPr>
              <w:spacing w:line="276" w:lineRule="auto"/>
              <w:jc w:val="both"/>
              <w:rPr>
                <w:rFonts w:cs="Arial"/>
                <w:bCs/>
                <w:szCs w:val="20"/>
              </w:rPr>
            </w:pPr>
          </w:p>
          <w:p w14:paraId="11CD308C" w14:textId="77777777" w:rsidR="000C08CA" w:rsidRPr="00605612" w:rsidRDefault="000C08CA" w:rsidP="00FE328D">
            <w:pPr>
              <w:spacing w:line="276" w:lineRule="auto"/>
              <w:jc w:val="both"/>
              <w:rPr>
                <w:rFonts w:cs="Arial"/>
                <w:b/>
                <w:szCs w:val="20"/>
              </w:rPr>
            </w:pPr>
            <w:r w:rsidRPr="00605612">
              <w:rPr>
                <w:rFonts w:cs="Arial"/>
                <w:bCs/>
                <w:szCs w:val="20"/>
              </w:rPr>
              <w:t xml:space="preserve">Tretji odstavek 280. člena ZGD-1 določa obveznosti revizijske komisije. Zaradi nove obveznosti revizorja, in sicer da </w:t>
            </w:r>
            <w:r>
              <w:rPr>
                <w:rFonts w:cs="Arial"/>
                <w:bCs/>
                <w:szCs w:val="20"/>
              </w:rPr>
              <w:t>pregled</w:t>
            </w:r>
            <w:r w:rsidRPr="00605612">
              <w:rPr>
                <w:rFonts w:cs="Arial"/>
                <w:bCs/>
                <w:szCs w:val="20"/>
              </w:rPr>
              <w:t>a poročilo o trajnostnosti, kadar ga je družba dolžna pripraviti, se pristojnosti revizijske komisije razširijo, in sicer predvsem na spremljanje postopka poročanja o trajnostnosti, na izbiro revizorja poročila o trajnostnosti in spremljanje postopka revidiranja poročila o trajnostnosti, zato se ustrezno spremeni tretji odstavek 280. člena ZGD-1.</w:t>
            </w:r>
            <w:r w:rsidRPr="00605612" w:rsidDel="001C10F9">
              <w:rPr>
                <w:rFonts w:cs="Arial"/>
                <w:b/>
                <w:szCs w:val="20"/>
                <w:highlight w:val="yellow"/>
              </w:rPr>
              <w:t xml:space="preserve"> </w:t>
            </w:r>
          </w:p>
          <w:p w14:paraId="07CC2682" w14:textId="77777777" w:rsidR="000C08CA" w:rsidRPr="00605612" w:rsidRDefault="000C08CA" w:rsidP="00FE328D">
            <w:pPr>
              <w:spacing w:line="276" w:lineRule="auto"/>
              <w:rPr>
                <w:rFonts w:cs="Arial"/>
                <w:b/>
                <w:szCs w:val="20"/>
              </w:rPr>
            </w:pPr>
          </w:p>
          <w:p w14:paraId="3DEDECD1"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22</w:t>
            </w:r>
            <w:r w:rsidRPr="00605612">
              <w:rPr>
                <w:rFonts w:cs="Arial"/>
                <w:b/>
                <w:szCs w:val="20"/>
              </w:rPr>
              <w:t>. členu</w:t>
            </w:r>
          </w:p>
          <w:p w14:paraId="6BA2F27A" w14:textId="77777777" w:rsidR="000C08CA" w:rsidRPr="00605612" w:rsidRDefault="000C08CA" w:rsidP="00FE328D">
            <w:pPr>
              <w:spacing w:line="276" w:lineRule="auto"/>
              <w:rPr>
                <w:rFonts w:cs="Arial"/>
                <w:b/>
                <w:szCs w:val="20"/>
              </w:rPr>
            </w:pPr>
          </w:p>
          <w:p w14:paraId="653D2961" w14:textId="77777777" w:rsidR="000C08CA" w:rsidRPr="00605612" w:rsidRDefault="000C08CA" w:rsidP="00FE328D">
            <w:pPr>
              <w:spacing w:line="276" w:lineRule="auto"/>
              <w:jc w:val="both"/>
              <w:rPr>
                <w:rFonts w:cs="Arial"/>
                <w:bCs/>
                <w:szCs w:val="20"/>
              </w:rPr>
            </w:pPr>
            <w:r w:rsidRPr="00605612">
              <w:rPr>
                <w:rFonts w:cs="Arial"/>
                <w:bCs/>
                <w:szCs w:val="20"/>
              </w:rPr>
              <w:t xml:space="preserve">Drugi odstavek 281. člena se dopolni zaradi možnosti, da lahko družba za poročilo o trajnostnosti   </w:t>
            </w:r>
            <w:r>
              <w:rPr>
                <w:rFonts w:cs="Arial"/>
                <w:bCs/>
                <w:szCs w:val="20"/>
              </w:rPr>
              <w:t>najame</w:t>
            </w:r>
            <w:r w:rsidRPr="00605612">
              <w:rPr>
                <w:rFonts w:cs="Arial"/>
                <w:bCs/>
                <w:szCs w:val="20"/>
              </w:rPr>
              <w:t xml:space="preserve"> drugega revizorja</w:t>
            </w:r>
            <w:r>
              <w:rPr>
                <w:rFonts w:cs="Arial"/>
                <w:bCs/>
                <w:szCs w:val="20"/>
              </w:rPr>
              <w:t>,</w:t>
            </w:r>
            <w:r w:rsidRPr="00605612">
              <w:rPr>
                <w:rFonts w:cs="Arial"/>
                <w:bCs/>
                <w:szCs w:val="20"/>
              </w:rPr>
              <w:t xml:space="preserve"> kot je tisti, ki bo pregledoval preostali del letnega poročila (več pri obrazložitvi k </w:t>
            </w:r>
            <w:r>
              <w:rPr>
                <w:rFonts w:cs="Arial"/>
                <w:bCs/>
                <w:szCs w:val="20"/>
              </w:rPr>
              <w:t>6</w:t>
            </w:r>
            <w:r w:rsidRPr="00605612">
              <w:rPr>
                <w:rFonts w:cs="Arial"/>
                <w:bCs/>
                <w:szCs w:val="20"/>
              </w:rPr>
              <w:t>. členu). Zato se besedilo dopolni s pooblastilom</w:t>
            </w:r>
            <w:r w:rsidRPr="00605612" w:rsidDel="00AF4D7D">
              <w:rPr>
                <w:rFonts w:cs="Arial"/>
                <w:bCs/>
                <w:szCs w:val="20"/>
              </w:rPr>
              <w:t xml:space="preserve"> </w:t>
            </w:r>
            <w:r w:rsidRPr="00605612">
              <w:rPr>
                <w:rFonts w:cs="Arial"/>
                <w:bCs/>
                <w:szCs w:val="20"/>
              </w:rPr>
              <w:t xml:space="preserve">predsedniku nadzornega sveta, da zastopa družbo tudi pri sklenitvi pogodbe z revizorjem poročila o trajnostnosti, kadar </w:t>
            </w:r>
            <w:r w:rsidRPr="00605612" w:rsidDel="00AF4D7D">
              <w:rPr>
                <w:rFonts w:cs="Arial"/>
                <w:bCs/>
                <w:szCs w:val="20"/>
              </w:rPr>
              <w:t>gre za drugega revizorja</w:t>
            </w:r>
            <w:r w:rsidRPr="00605612">
              <w:rPr>
                <w:rFonts w:cs="Arial"/>
                <w:bCs/>
                <w:szCs w:val="20"/>
              </w:rPr>
              <w:t>.</w:t>
            </w:r>
          </w:p>
          <w:p w14:paraId="76696034" w14:textId="77777777" w:rsidR="000C08CA" w:rsidRPr="00605612" w:rsidRDefault="000C08CA" w:rsidP="00FE328D">
            <w:pPr>
              <w:spacing w:line="276" w:lineRule="auto"/>
              <w:rPr>
                <w:rFonts w:cs="Arial"/>
                <w:b/>
                <w:szCs w:val="20"/>
              </w:rPr>
            </w:pPr>
          </w:p>
          <w:p w14:paraId="439C8F4B"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23</w:t>
            </w:r>
            <w:r w:rsidRPr="00605612">
              <w:rPr>
                <w:rFonts w:cs="Arial"/>
                <w:b/>
                <w:szCs w:val="20"/>
              </w:rPr>
              <w:t>. členu</w:t>
            </w:r>
          </w:p>
          <w:p w14:paraId="6832195E" w14:textId="77777777" w:rsidR="000C08CA" w:rsidRPr="00605612" w:rsidRDefault="000C08CA" w:rsidP="00FE328D">
            <w:pPr>
              <w:spacing w:line="276" w:lineRule="auto"/>
              <w:rPr>
                <w:rFonts w:cs="Arial"/>
                <w:b/>
                <w:szCs w:val="20"/>
              </w:rPr>
            </w:pPr>
          </w:p>
          <w:p w14:paraId="65042548" w14:textId="77777777" w:rsidR="000C08CA" w:rsidRPr="00605612" w:rsidRDefault="000C08CA" w:rsidP="00FE328D">
            <w:pPr>
              <w:spacing w:line="276" w:lineRule="auto"/>
              <w:jc w:val="both"/>
              <w:rPr>
                <w:rFonts w:cs="Arial"/>
                <w:szCs w:val="20"/>
              </w:rPr>
            </w:pPr>
            <w:r w:rsidRPr="00605612">
              <w:rPr>
                <w:rFonts w:cs="Arial"/>
                <w:bCs/>
                <w:szCs w:val="20"/>
              </w:rPr>
              <w:t xml:space="preserve">V 522. členu je za družbe z omejeno odgovornostjo urejena </w:t>
            </w:r>
            <w:r>
              <w:rPr>
                <w:rFonts w:cs="Arial"/>
                <w:bCs/>
                <w:szCs w:val="20"/>
              </w:rPr>
              <w:t>veljavnost</w:t>
            </w:r>
            <w:r w:rsidRPr="00605612">
              <w:rPr>
                <w:rFonts w:cs="Arial"/>
                <w:bCs/>
                <w:szCs w:val="20"/>
              </w:rPr>
              <w:t xml:space="preserve"> določb o delniških družbah. Dodan je drugi odstavek zaradi ustreznega izvajanja </w:t>
            </w:r>
            <w:r w:rsidRPr="00605612">
              <w:rPr>
                <w:rFonts w:cs="Arial"/>
                <w:szCs w:val="20"/>
              </w:rPr>
              <w:t>ukrepov za spodbujanje uravnotežene zastopanosti spolov med člani organov vodenja in nadzora ter izvršnimi direktorji, ker so družbe zavezanke lahko tudi družbe z omejeno odgovornostjo.</w:t>
            </w:r>
            <w:r>
              <w:rPr>
                <w:rFonts w:cs="Arial"/>
                <w:szCs w:val="20"/>
              </w:rPr>
              <w:t xml:space="preserve"> Ker je v</w:t>
            </w:r>
            <w:r w:rsidRPr="00695095">
              <w:rPr>
                <w:rFonts w:cs="Arial"/>
                <w:szCs w:val="20"/>
              </w:rPr>
              <w:t xml:space="preserve"> teh družbah pogosto imenovano samo poslovodstvo in nimajo organa nadzora, je določeno, da za njih velja cilj iz druge alineje prvega odstavka 254.c člena tega zakona, ki določa, da morajo zagotoviti </w:t>
            </w:r>
            <w:r w:rsidRPr="00695095">
              <w:rPr>
                <w:rStyle w:val="normaltextrun"/>
                <w:rFonts w:cs="Arial"/>
                <w:szCs w:val="20"/>
              </w:rPr>
              <w:t>vsaj 33</w:t>
            </w:r>
            <w:r>
              <w:rPr>
                <w:rStyle w:val="normaltextrun"/>
                <w:rFonts w:cs="Arial"/>
                <w:szCs w:val="20"/>
              </w:rPr>
              <w:t>-odstotno</w:t>
            </w:r>
            <w:r w:rsidRPr="00695095">
              <w:rPr>
                <w:rStyle w:val="normaltextrun"/>
                <w:rFonts w:cs="Arial"/>
                <w:szCs w:val="20"/>
              </w:rPr>
              <w:t xml:space="preserve"> zastopanost manj zastopanega spola skupno med člani organov vodenja in nadzora ter izvršnimi direktorji. Družbe z omejeno odgovornostjo brez nadzornega organa bodo tako zagotovile vsaj 33</w:t>
            </w:r>
            <w:r>
              <w:rPr>
                <w:rStyle w:val="normaltextrun"/>
                <w:rFonts w:cs="Arial"/>
                <w:szCs w:val="20"/>
              </w:rPr>
              <w:t>-odstotno</w:t>
            </w:r>
            <w:r w:rsidRPr="00695095">
              <w:rPr>
                <w:rStyle w:val="normaltextrun"/>
                <w:rFonts w:cs="Arial"/>
                <w:szCs w:val="20"/>
              </w:rPr>
              <w:t xml:space="preserve"> zastopanost manj zastopanega spola med poslovodji.</w:t>
            </w:r>
          </w:p>
          <w:p w14:paraId="6B1717D7" w14:textId="77777777" w:rsidR="000C08CA" w:rsidRPr="00605612" w:rsidRDefault="000C08CA" w:rsidP="00FE328D">
            <w:pPr>
              <w:spacing w:line="276" w:lineRule="auto"/>
              <w:jc w:val="both"/>
              <w:rPr>
                <w:rFonts w:cs="Arial"/>
                <w:szCs w:val="20"/>
              </w:rPr>
            </w:pPr>
          </w:p>
          <w:p w14:paraId="6FFA8764" w14:textId="77777777" w:rsidR="000C08CA" w:rsidRPr="00605612" w:rsidRDefault="000C08CA" w:rsidP="00FE328D">
            <w:pPr>
              <w:spacing w:line="276" w:lineRule="auto"/>
              <w:rPr>
                <w:rFonts w:cs="Arial"/>
                <w:b/>
                <w:szCs w:val="20"/>
              </w:rPr>
            </w:pPr>
            <w:r w:rsidRPr="00605612">
              <w:rPr>
                <w:rFonts w:cs="Arial"/>
                <w:b/>
                <w:szCs w:val="20"/>
              </w:rPr>
              <w:t>K 2</w:t>
            </w:r>
            <w:r>
              <w:rPr>
                <w:rFonts w:cs="Arial"/>
                <w:b/>
                <w:szCs w:val="20"/>
              </w:rPr>
              <w:t>4</w:t>
            </w:r>
            <w:r w:rsidRPr="00605612">
              <w:rPr>
                <w:rFonts w:cs="Arial"/>
                <w:b/>
                <w:szCs w:val="20"/>
              </w:rPr>
              <w:t>. členu</w:t>
            </w:r>
          </w:p>
          <w:p w14:paraId="792903EE" w14:textId="77777777" w:rsidR="000C08CA" w:rsidRPr="00605612" w:rsidRDefault="000C08CA" w:rsidP="00FE328D">
            <w:pPr>
              <w:spacing w:line="276" w:lineRule="auto"/>
              <w:rPr>
                <w:rFonts w:cs="Arial"/>
                <w:b/>
                <w:szCs w:val="20"/>
              </w:rPr>
            </w:pPr>
          </w:p>
          <w:p w14:paraId="3588C45D" w14:textId="77777777" w:rsidR="000C08CA" w:rsidRPr="00605612" w:rsidRDefault="000C08CA" w:rsidP="00FE328D">
            <w:pPr>
              <w:spacing w:line="276" w:lineRule="auto"/>
              <w:jc w:val="both"/>
              <w:rPr>
                <w:rFonts w:cs="Arial"/>
                <w:szCs w:val="20"/>
              </w:rPr>
            </w:pPr>
            <w:r w:rsidRPr="00605612">
              <w:rPr>
                <w:rFonts w:cs="Arial"/>
                <w:szCs w:val="20"/>
              </w:rPr>
              <w:t>Z 2</w:t>
            </w:r>
            <w:r>
              <w:rPr>
                <w:rFonts w:cs="Arial"/>
                <w:szCs w:val="20"/>
              </w:rPr>
              <w:t>0</w:t>
            </w:r>
            <w:r w:rsidRPr="00605612">
              <w:rPr>
                <w:rFonts w:cs="Arial"/>
                <w:szCs w:val="20"/>
              </w:rPr>
              <w:t xml:space="preserve">. členom predloga zakona se v ZGD-1 </w:t>
            </w:r>
            <w:r>
              <w:rPr>
                <w:rFonts w:cs="Arial"/>
                <w:szCs w:val="20"/>
              </w:rPr>
              <w:t>dodajo</w:t>
            </w:r>
            <w:r w:rsidRPr="00605612">
              <w:rPr>
                <w:rFonts w:cs="Arial"/>
                <w:szCs w:val="20"/>
              </w:rPr>
              <w:t xml:space="preserve"> novi 683.b do 683.d člen, s katerimi se sistematično določa poslovanje podružnice tujega podjetja v zvezi s poročanjem o trajnostnosti ter poročanjem </w:t>
            </w:r>
            <w:r>
              <w:rPr>
                <w:rFonts w:cs="Arial"/>
                <w:color w:val="000000" w:themeColor="text1"/>
                <w:szCs w:val="20"/>
              </w:rPr>
              <w:t xml:space="preserve">o davčnih informacijah </w:t>
            </w:r>
            <w:r w:rsidRPr="00605612">
              <w:rPr>
                <w:rFonts w:cs="Arial"/>
                <w:szCs w:val="20"/>
              </w:rPr>
              <w:t xml:space="preserve">v zvezi z dohodki. Podružnicam se smiselno enako kot odvisnim družbam na </w:t>
            </w:r>
            <w:r w:rsidRPr="00605612">
              <w:rPr>
                <w:rFonts w:cs="Arial"/>
                <w:szCs w:val="20"/>
              </w:rPr>
              <w:lastRenderedPageBreak/>
              <w:t>novo nalaga obveznost priprave poročila o trajnostnosti, določa</w:t>
            </w:r>
            <w:r>
              <w:rPr>
                <w:rFonts w:cs="Arial"/>
                <w:szCs w:val="20"/>
              </w:rPr>
              <w:t>j</w:t>
            </w:r>
            <w:r>
              <w:t>o</w:t>
            </w:r>
            <w:r w:rsidRPr="00605612">
              <w:rPr>
                <w:rFonts w:cs="Arial"/>
                <w:szCs w:val="20"/>
              </w:rPr>
              <w:t xml:space="preserve"> pa se tudi obveznost, prenehanje obveznosti in izjeme glede obveznosti poročanja </w:t>
            </w:r>
            <w:r>
              <w:rPr>
                <w:rFonts w:cs="Arial"/>
                <w:color w:val="000000" w:themeColor="text1"/>
                <w:szCs w:val="20"/>
              </w:rPr>
              <w:t xml:space="preserve">o davčnih informacijah </w:t>
            </w:r>
            <w:r w:rsidRPr="00605612">
              <w:rPr>
                <w:rFonts w:cs="Arial"/>
                <w:szCs w:val="20"/>
              </w:rPr>
              <w:t xml:space="preserve">v zvezi z dohodki. </w:t>
            </w:r>
          </w:p>
          <w:p w14:paraId="5AE1E3D9" w14:textId="77777777" w:rsidR="000C08CA" w:rsidRPr="00605612" w:rsidRDefault="000C08CA" w:rsidP="00FE328D">
            <w:pPr>
              <w:spacing w:line="276" w:lineRule="auto"/>
              <w:jc w:val="both"/>
              <w:rPr>
                <w:rFonts w:cs="Arial"/>
                <w:szCs w:val="20"/>
              </w:rPr>
            </w:pPr>
          </w:p>
          <w:p w14:paraId="26EEE149" w14:textId="77777777" w:rsidR="000C08CA" w:rsidRPr="00605612" w:rsidRDefault="000C08CA" w:rsidP="00FE328D">
            <w:pPr>
              <w:spacing w:line="276" w:lineRule="auto"/>
              <w:jc w:val="both"/>
              <w:rPr>
                <w:rFonts w:cs="Arial"/>
                <w:szCs w:val="20"/>
              </w:rPr>
            </w:pPr>
            <w:r w:rsidRPr="00605612">
              <w:rPr>
                <w:rFonts w:cs="Arial"/>
                <w:szCs w:val="20"/>
              </w:rPr>
              <w:t>683.b</w:t>
            </w:r>
          </w:p>
          <w:p w14:paraId="3545851D" w14:textId="77777777" w:rsidR="000C08CA" w:rsidRPr="00605612" w:rsidRDefault="000C08CA" w:rsidP="00FE328D">
            <w:pPr>
              <w:spacing w:line="276" w:lineRule="auto"/>
              <w:jc w:val="both"/>
              <w:rPr>
                <w:rFonts w:cs="Arial"/>
                <w:szCs w:val="20"/>
              </w:rPr>
            </w:pPr>
          </w:p>
          <w:p w14:paraId="471069F9" w14:textId="77777777" w:rsidR="000C08CA" w:rsidRPr="00EF02A5" w:rsidRDefault="000C08CA" w:rsidP="00FE328D">
            <w:pPr>
              <w:spacing w:line="276" w:lineRule="auto"/>
              <w:jc w:val="both"/>
              <w:rPr>
                <w:rFonts w:cs="Arial"/>
                <w:szCs w:val="20"/>
              </w:rPr>
            </w:pPr>
            <w:r w:rsidRPr="00605612">
              <w:rPr>
                <w:rFonts w:cs="Arial"/>
                <w:szCs w:val="20"/>
              </w:rPr>
              <w:t>Kot že omenjeno v obrazložitvi k 1</w:t>
            </w:r>
            <w:r>
              <w:rPr>
                <w:rFonts w:cs="Arial"/>
                <w:szCs w:val="20"/>
              </w:rPr>
              <w:t>5</w:t>
            </w:r>
            <w:r w:rsidRPr="00605612">
              <w:rPr>
                <w:rFonts w:cs="Arial"/>
                <w:szCs w:val="20"/>
              </w:rPr>
              <w:t>. členu, se enako kot pri novem 70.d členu ZGD-1 tudi v novem 683.b členu ZGD-1 v nacionalno zakonodajo prenašajo z Direktivo 2022/2464/EU dodane nove določbe 40</w:t>
            </w:r>
            <w:r w:rsidRPr="00605612" w:rsidDel="00AF4D7D">
              <w:rPr>
                <w:rFonts w:cs="Arial"/>
                <w:szCs w:val="20"/>
              </w:rPr>
              <w:t>.</w:t>
            </w:r>
            <w:r w:rsidRPr="00605612">
              <w:rPr>
                <w:rFonts w:cs="Arial"/>
                <w:szCs w:val="20"/>
              </w:rPr>
              <w:t>a do 40</w:t>
            </w:r>
            <w:r w:rsidRPr="00605612" w:rsidDel="00AF4D7D">
              <w:rPr>
                <w:rFonts w:cs="Arial"/>
                <w:szCs w:val="20"/>
              </w:rPr>
              <w:t>.</w:t>
            </w:r>
            <w:r w:rsidRPr="00605612">
              <w:rPr>
                <w:rFonts w:cs="Arial"/>
                <w:szCs w:val="20"/>
              </w:rPr>
              <w:t xml:space="preserve">d </w:t>
            </w:r>
            <w:r w:rsidRPr="00605612" w:rsidDel="00AF4D7D">
              <w:rPr>
                <w:rFonts w:cs="Arial"/>
                <w:szCs w:val="20"/>
              </w:rPr>
              <w:t xml:space="preserve">člena </w:t>
            </w:r>
            <w:r w:rsidRPr="00605612">
              <w:rPr>
                <w:rFonts w:cs="Arial"/>
                <w:szCs w:val="20"/>
              </w:rPr>
              <w:t xml:space="preserve">Direktive 2013/34/EU. Te poleg določb o posebnem poročilu o trajnostnosti za odvisne družbe s sedežem v Republiki Sloveniji, ki jih obvladuje </w:t>
            </w:r>
            <w:r>
              <w:rPr>
                <w:rFonts w:cs="Arial"/>
                <w:szCs w:val="20"/>
              </w:rPr>
              <w:t>tuje podjetje</w:t>
            </w:r>
            <w:r w:rsidRPr="00605612">
              <w:rPr>
                <w:rFonts w:cs="Arial"/>
                <w:szCs w:val="20"/>
              </w:rPr>
              <w:t xml:space="preserve"> iz tretje države (ki so prenesene v nov</w:t>
            </w:r>
            <w:r>
              <w:rPr>
                <w:rFonts w:cs="Arial"/>
                <w:szCs w:val="20"/>
              </w:rPr>
              <w:t>i</w:t>
            </w:r>
            <w:r w:rsidRPr="00605612">
              <w:rPr>
                <w:rFonts w:cs="Arial"/>
                <w:szCs w:val="20"/>
              </w:rPr>
              <w:t xml:space="preserve"> 70.d člen ZGD-1), urejajo tudi posebno poročilo o trajnostnosti za podružnice tujega </w:t>
            </w:r>
            <w:r w:rsidRPr="00455CAE">
              <w:rPr>
                <w:rFonts w:cs="Arial"/>
                <w:szCs w:val="20"/>
              </w:rPr>
              <w:t>podjetja iz tretje države, ki je v predhodnem poslovnem letu ustvarila čisti prihodek (od prodaje) v višini več kot 40 milijonov EUR. Gre za</w:t>
            </w:r>
            <w:r w:rsidRPr="00455CAE" w:rsidDel="00AF4D7D">
              <w:rPr>
                <w:rFonts w:cs="Arial"/>
                <w:szCs w:val="20"/>
              </w:rPr>
              <w:t xml:space="preserve"> </w:t>
            </w:r>
            <w:r w:rsidRPr="00455CAE">
              <w:rPr>
                <w:rFonts w:cs="Arial"/>
                <w:szCs w:val="20"/>
              </w:rPr>
              <w:t xml:space="preserve">poročilo o trajnostnosti v zvezi s tujim podjetjem iz tretje države. </w:t>
            </w:r>
            <w:r w:rsidRPr="00CF1649">
              <w:rPr>
                <w:rFonts w:cs="Arial"/>
                <w:szCs w:val="20"/>
              </w:rPr>
              <w:t>Obveznost velja,</w:t>
            </w:r>
            <w:r>
              <w:rPr>
                <w:rFonts w:cs="Arial"/>
                <w:szCs w:val="20"/>
              </w:rPr>
              <w:t xml:space="preserve"> kadar je podružnico</w:t>
            </w:r>
            <w:r w:rsidRPr="00EF02A5">
              <w:rPr>
                <w:rFonts w:cs="Arial"/>
                <w:szCs w:val="20"/>
              </w:rPr>
              <w:t xml:space="preserve"> v Republiki Sloveniji ustanovilo:</w:t>
            </w:r>
          </w:p>
          <w:p w14:paraId="5BBE5763" w14:textId="77777777" w:rsidR="000C08CA" w:rsidRPr="00EF02A5" w:rsidRDefault="000C08CA" w:rsidP="00FE328D">
            <w:pPr>
              <w:spacing w:line="276" w:lineRule="auto"/>
              <w:jc w:val="both"/>
              <w:rPr>
                <w:rFonts w:cs="Arial"/>
                <w:szCs w:val="20"/>
              </w:rPr>
            </w:pPr>
            <w:r>
              <w:rPr>
                <w:rFonts w:cs="Arial"/>
                <w:szCs w:val="20"/>
              </w:rPr>
              <w:t>‒</w:t>
            </w:r>
            <w:r w:rsidRPr="00CF1649">
              <w:rPr>
                <w:rFonts w:cs="Arial"/>
                <w:szCs w:val="20"/>
              </w:rPr>
              <w:t xml:space="preserve"> tuje podjetje iz tretje države</w:t>
            </w:r>
            <w:r w:rsidRPr="00EF02A5">
              <w:rPr>
                <w:rFonts w:cs="Arial"/>
                <w:szCs w:val="20"/>
              </w:rPr>
              <w:t>, ki ni v skupini</w:t>
            </w:r>
            <w:r>
              <w:rPr>
                <w:rFonts w:cs="Arial"/>
                <w:szCs w:val="20"/>
              </w:rPr>
              <w:t>,</w:t>
            </w:r>
            <w:r w:rsidRPr="00EF02A5">
              <w:rPr>
                <w:rFonts w:cs="Arial"/>
                <w:szCs w:val="20"/>
              </w:rPr>
              <w:t xml:space="preserve"> ali</w:t>
            </w:r>
          </w:p>
          <w:p w14:paraId="302B5A51" w14:textId="77777777" w:rsidR="000C08CA" w:rsidRDefault="000C08CA" w:rsidP="00FE328D">
            <w:pPr>
              <w:spacing w:line="276" w:lineRule="auto"/>
              <w:jc w:val="both"/>
              <w:rPr>
                <w:rFonts w:cs="Arial"/>
                <w:szCs w:val="20"/>
              </w:rPr>
            </w:pPr>
            <w:r>
              <w:rPr>
                <w:rFonts w:cs="Arial"/>
                <w:szCs w:val="20"/>
              </w:rPr>
              <w:t>‒</w:t>
            </w:r>
            <w:r w:rsidRPr="00EF02A5">
              <w:rPr>
                <w:rFonts w:cs="Arial"/>
                <w:szCs w:val="20"/>
              </w:rPr>
              <w:t xml:space="preserve"> tuje podjetje iz tretje države, ki je v skupini, v kateri je zavezano pripraviti konsolidirano letno poročilo za najširši krog družb v skupini tuje podjetje iz tretje države</w:t>
            </w:r>
            <w:r>
              <w:rPr>
                <w:rFonts w:cs="Arial"/>
                <w:szCs w:val="20"/>
              </w:rPr>
              <w:t xml:space="preserve">. Tuje podjetje iz tretje države, ki </w:t>
            </w:r>
            <w:r w:rsidRPr="00315BDF">
              <w:rPr>
                <w:rFonts w:cs="Arial"/>
                <w:szCs w:val="20"/>
              </w:rPr>
              <w:t>je zavezano pripraviti konsolidirano letno poročilo za najširši krog družb v skupini</w:t>
            </w:r>
            <w:r>
              <w:rPr>
                <w:rFonts w:cs="Arial"/>
                <w:szCs w:val="20"/>
              </w:rPr>
              <w:t xml:space="preserve">, je lahko tisto, ki je ustanovilo podružnico, lahko pa gre za drugo podjetje (eno tuje podjetje iz tretje države ustanovi podružnico, drugo tuje podjetje iz tretje države pa le-tega obvladuje in je </w:t>
            </w:r>
            <w:r w:rsidRPr="00CF1309">
              <w:rPr>
                <w:rFonts w:cs="Arial"/>
                <w:szCs w:val="20"/>
              </w:rPr>
              <w:t>zavezano pripraviti konsolidirano letno poročilo za najširši krog družb v skupini</w:t>
            </w:r>
            <w:r>
              <w:rPr>
                <w:rFonts w:cs="Arial"/>
                <w:szCs w:val="20"/>
              </w:rPr>
              <w:t>).</w:t>
            </w:r>
          </w:p>
          <w:p w14:paraId="0A3497BE" w14:textId="77777777" w:rsidR="000C08CA" w:rsidRDefault="000C08CA" w:rsidP="00FE328D">
            <w:pPr>
              <w:spacing w:line="276" w:lineRule="auto"/>
              <w:jc w:val="both"/>
              <w:rPr>
                <w:rFonts w:cs="Arial"/>
                <w:szCs w:val="20"/>
              </w:rPr>
            </w:pPr>
          </w:p>
          <w:p w14:paraId="1EADFDFC" w14:textId="77777777" w:rsidR="000C08CA" w:rsidRDefault="000C08CA" w:rsidP="00FE328D">
            <w:pPr>
              <w:spacing w:line="276" w:lineRule="auto"/>
              <w:jc w:val="both"/>
              <w:rPr>
                <w:rFonts w:cs="Arial"/>
                <w:szCs w:val="20"/>
              </w:rPr>
            </w:pPr>
            <w:r w:rsidRPr="00361E2C">
              <w:rPr>
                <w:rFonts w:cs="Arial"/>
                <w:szCs w:val="20"/>
              </w:rPr>
              <w:t>Zapis »je zavezano pripraviti konsolidirano letno poročilo za najširši krog družb v skupini</w:t>
            </w:r>
            <w:r>
              <w:rPr>
                <w:rFonts w:cs="Arial"/>
                <w:szCs w:val="20"/>
              </w:rPr>
              <w:t>,</w:t>
            </w:r>
            <w:r w:rsidRPr="00361E2C">
              <w:rPr>
                <w:rFonts w:cs="Arial"/>
                <w:szCs w:val="20"/>
              </w:rPr>
              <w:t xml:space="preserve"> tuje podjetje iz tretje države« pomeni, da mora biti končna obvladujoča družba iz tretje države. </w:t>
            </w:r>
            <w:r>
              <w:rPr>
                <w:rFonts w:cs="Arial"/>
                <w:szCs w:val="20"/>
              </w:rPr>
              <w:t xml:space="preserve">Podružnica tako ni zavezana pripraviti </w:t>
            </w:r>
            <w:r w:rsidRPr="00D745A3">
              <w:rPr>
                <w:rFonts w:cs="Arial"/>
                <w:szCs w:val="20"/>
              </w:rPr>
              <w:t>poročil</w:t>
            </w:r>
            <w:r>
              <w:rPr>
                <w:rFonts w:cs="Arial"/>
                <w:szCs w:val="20"/>
              </w:rPr>
              <w:t>a</w:t>
            </w:r>
            <w:r w:rsidRPr="00D745A3">
              <w:rPr>
                <w:rFonts w:cs="Arial"/>
                <w:szCs w:val="20"/>
              </w:rPr>
              <w:t xml:space="preserve"> o trajnostnosti v zvezi s tujim podjetjem iz tretje države</w:t>
            </w:r>
            <w:r>
              <w:rPr>
                <w:rFonts w:cs="Arial"/>
                <w:szCs w:val="20"/>
              </w:rPr>
              <w:t xml:space="preserve">, če jo je </w:t>
            </w:r>
            <w:r w:rsidRPr="00D745A3">
              <w:rPr>
                <w:rFonts w:cs="Arial"/>
                <w:szCs w:val="20"/>
              </w:rPr>
              <w:t xml:space="preserve">ustanovilo tuje podjetje iz tretje države, ki je v skupini, v kateri je zavezano pripraviti konsolidirano letno poročilo za najširši krog družb v skupini </w:t>
            </w:r>
            <w:r w:rsidRPr="00D64082">
              <w:rPr>
                <w:rFonts w:cs="Arial"/>
                <w:szCs w:val="20"/>
              </w:rPr>
              <w:t>tuje podjetje iz države članice (</w:t>
            </w:r>
            <w:r>
              <w:rPr>
                <w:rFonts w:cs="Arial"/>
                <w:szCs w:val="20"/>
              </w:rPr>
              <w:t>to je končna obvladujoča družba</w:t>
            </w:r>
            <w:r w:rsidRPr="00D745A3">
              <w:rPr>
                <w:rFonts w:cs="Arial"/>
                <w:szCs w:val="20"/>
              </w:rPr>
              <w:t xml:space="preserve"> iz </w:t>
            </w:r>
            <w:r>
              <w:rPr>
                <w:rFonts w:cs="Arial"/>
                <w:szCs w:val="20"/>
              </w:rPr>
              <w:t>države članice</w:t>
            </w:r>
            <w:r w:rsidRPr="00D64082">
              <w:rPr>
                <w:rFonts w:cs="Arial"/>
                <w:szCs w:val="20"/>
              </w:rPr>
              <w:t>).</w:t>
            </w:r>
            <w:r>
              <w:rPr>
                <w:rFonts w:cs="Arial"/>
                <w:szCs w:val="20"/>
              </w:rPr>
              <w:t xml:space="preserve"> V takšnem primeru je namreč že to tuje podjetje zavezano poročati o trajnostnosti skladno s pravom Evropske unije.</w:t>
            </w:r>
          </w:p>
          <w:p w14:paraId="13F57B99" w14:textId="77777777" w:rsidR="000C08CA" w:rsidRDefault="000C08CA" w:rsidP="00FE328D">
            <w:pPr>
              <w:spacing w:line="276" w:lineRule="auto"/>
              <w:jc w:val="both"/>
              <w:rPr>
                <w:rFonts w:cs="Arial"/>
                <w:szCs w:val="20"/>
              </w:rPr>
            </w:pPr>
          </w:p>
          <w:p w14:paraId="4B936842" w14:textId="77777777" w:rsidR="000C08CA" w:rsidRDefault="000C08CA" w:rsidP="00FE328D">
            <w:pPr>
              <w:spacing w:line="276" w:lineRule="auto"/>
              <w:jc w:val="both"/>
              <w:rPr>
                <w:rFonts w:cs="Arial"/>
                <w:szCs w:val="20"/>
              </w:rPr>
            </w:pPr>
            <w:r w:rsidRPr="00C90D63">
              <w:rPr>
                <w:rFonts w:cs="Arial"/>
                <w:szCs w:val="20"/>
              </w:rPr>
              <w:t>Podružnica je zavezana poročati v skladu s tem členom le, kadar čisti prihodki od prodaje tujega podjetja iz tretje države (kadar to ni v skupini) ali njegove skupine (kadar je tuje podjetje iz tretje države, ki je ustanovilo podružnico, v skupini), na podlagi podatkov zadnjih dveh zaporednih poslovnih let na bilančni presečni dan bilance stanja obakrat presežejo 150</w:t>
            </w:r>
            <w:r>
              <w:rPr>
                <w:rFonts w:cs="Arial"/>
                <w:szCs w:val="20"/>
              </w:rPr>
              <w:t>.</w:t>
            </w:r>
            <w:r w:rsidRPr="00C90D63">
              <w:rPr>
                <w:rFonts w:cs="Arial"/>
                <w:szCs w:val="20"/>
              </w:rPr>
              <w:t>000.000 eurov</w:t>
            </w:r>
            <w:r>
              <w:rPr>
                <w:rFonts w:cs="Arial"/>
                <w:szCs w:val="20"/>
              </w:rPr>
              <w:t xml:space="preserve">. </w:t>
            </w:r>
            <w:r w:rsidRPr="00455CAE">
              <w:rPr>
                <w:rFonts w:cs="Arial"/>
                <w:szCs w:val="20"/>
              </w:rPr>
              <w:t>Določbe 40</w:t>
            </w:r>
            <w:r w:rsidRPr="00455CAE" w:rsidDel="00D35886">
              <w:rPr>
                <w:rFonts w:cs="Arial"/>
                <w:szCs w:val="20"/>
              </w:rPr>
              <w:t>.</w:t>
            </w:r>
            <w:r w:rsidRPr="00455CAE">
              <w:rPr>
                <w:rFonts w:cs="Arial"/>
                <w:szCs w:val="20"/>
              </w:rPr>
              <w:t>a do 40</w:t>
            </w:r>
            <w:r w:rsidRPr="00455CAE" w:rsidDel="00D35886">
              <w:rPr>
                <w:rFonts w:cs="Arial"/>
                <w:szCs w:val="20"/>
              </w:rPr>
              <w:t>.</w:t>
            </w:r>
            <w:r w:rsidRPr="00455CAE">
              <w:rPr>
                <w:rFonts w:cs="Arial"/>
                <w:szCs w:val="20"/>
              </w:rPr>
              <w:t xml:space="preserve">d </w:t>
            </w:r>
            <w:r w:rsidRPr="00455CAE" w:rsidDel="00D35886">
              <w:rPr>
                <w:rFonts w:cs="Arial"/>
                <w:szCs w:val="20"/>
              </w:rPr>
              <w:t xml:space="preserve">člena </w:t>
            </w:r>
            <w:r w:rsidRPr="00455CAE">
              <w:rPr>
                <w:rFonts w:cs="Arial"/>
                <w:szCs w:val="20"/>
              </w:rPr>
              <w:t>Direktive 2013/34/EU za odvisne družbe, ki jih obvladuje tuje podjetje iz tretje države, in za podružnice tujega podjetja iz tretje države so smiselno enake, zato je že v obrazložitvi  k 1</w:t>
            </w:r>
            <w:r>
              <w:rPr>
                <w:rFonts w:cs="Arial"/>
                <w:szCs w:val="20"/>
              </w:rPr>
              <w:t>5</w:t>
            </w:r>
            <w:r w:rsidRPr="00455CAE">
              <w:rPr>
                <w:rFonts w:cs="Arial"/>
                <w:szCs w:val="20"/>
              </w:rPr>
              <w:t>. členu pri novem 70.d členu ZGD-1 vključeno pojasnilo glede vsebine in pomena novih določb.</w:t>
            </w:r>
          </w:p>
          <w:p w14:paraId="71139759" w14:textId="77777777" w:rsidR="000C08CA" w:rsidRPr="00605612" w:rsidRDefault="000C08CA" w:rsidP="00FE328D">
            <w:pPr>
              <w:spacing w:line="276" w:lineRule="auto"/>
              <w:jc w:val="both"/>
              <w:rPr>
                <w:rFonts w:cs="Arial"/>
                <w:szCs w:val="20"/>
              </w:rPr>
            </w:pPr>
          </w:p>
          <w:p w14:paraId="17A21657" w14:textId="77777777" w:rsidR="000C08CA" w:rsidRPr="00605612" w:rsidRDefault="000C08CA" w:rsidP="00FE328D">
            <w:pPr>
              <w:spacing w:line="276" w:lineRule="auto"/>
              <w:jc w:val="both"/>
              <w:rPr>
                <w:rFonts w:cs="Arial"/>
                <w:szCs w:val="20"/>
              </w:rPr>
            </w:pPr>
            <w:r w:rsidRPr="00605612">
              <w:rPr>
                <w:rFonts w:cs="Arial"/>
                <w:szCs w:val="20"/>
              </w:rPr>
              <w:t>683.c</w:t>
            </w:r>
          </w:p>
          <w:p w14:paraId="403FB563" w14:textId="77777777" w:rsidR="000C08CA" w:rsidRPr="00605612" w:rsidRDefault="000C08CA" w:rsidP="00FE328D">
            <w:pPr>
              <w:spacing w:line="276" w:lineRule="auto"/>
              <w:jc w:val="both"/>
              <w:rPr>
                <w:rFonts w:cs="Arial"/>
                <w:szCs w:val="20"/>
              </w:rPr>
            </w:pPr>
          </w:p>
          <w:p w14:paraId="671E7021" w14:textId="77777777" w:rsidR="000C08CA" w:rsidRPr="003B2A0D" w:rsidRDefault="000C08CA" w:rsidP="00FE328D">
            <w:pPr>
              <w:spacing w:line="276" w:lineRule="auto"/>
              <w:jc w:val="both"/>
              <w:rPr>
                <w:rFonts w:cs="Arial"/>
                <w:szCs w:val="20"/>
              </w:rPr>
            </w:pPr>
            <w:r w:rsidRPr="00605612">
              <w:rPr>
                <w:rFonts w:cs="Arial"/>
                <w:szCs w:val="20"/>
              </w:rPr>
              <w:t>S 683.c členom se v skladu z Direktivo 2013/34/EU, ki se dopolnjuje z Direktivo 2021/2101/EU, določa obveznost za podružnice tujega podjetja iz tretje države</w:t>
            </w:r>
            <w:r>
              <w:rPr>
                <w:rFonts w:cs="Arial"/>
                <w:szCs w:val="20"/>
              </w:rPr>
              <w:t>, da se</w:t>
            </w:r>
            <w:r w:rsidRPr="00605612">
              <w:rPr>
                <w:rFonts w:cs="Arial"/>
                <w:szCs w:val="20"/>
              </w:rPr>
              <w:t xml:space="preserve">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predloži AJPES</w:t>
            </w:r>
            <w:r w:rsidRPr="00605612" w:rsidDel="0014101E">
              <w:rPr>
                <w:rFonts w:cs="Arial"/>
                <w:szCs w:val="20"/>
              </w:rPr>
              <w:t xml:space="preserve"> </w:t>
            </w:r>
            <w:r>
              <w:rPr>
                <w:rFonts w:cs="Arial"/>
                <w:szCs w:val="20"/>
              </w:rPr>
              <w:t>in objavi na spletni strani</w:t>
            </w:r>
            <w:r w:rsidRPr="00605612">
              <w:rPr>
                <w:rFonts w:cs="Arial"/>
                <w:szCs w:val="20"/>
              </w:rPr>
              <w:t>. Prvi odstavek v zvezi z obveznostjo podružnic tujega podjetja iz tretje države</w:t>
            </w:r>
            <w:r>
              <w:rPr>
                <w:rFonts w:cs="Arial"/>
                <w:szCs w:val="20"/>
              </w:rPr>
              <w:t>,</w:t>
            </w:r>
            <w:r w:rsidRPr="00605612">
              <w:rPr>
                <w:rFonts w:cs="Arial"/>
                <w:szCs w:val="20"/>
              </w:rPr>
              <w:t xml:space="preserve"> </w:t>
            </w:r>
            <w:r>
              <w:rPr>
                <w:rFonts w:cs="Arial"/>
                <w:szCs w:val="20"/>
              </w:rPr>
              <w:t xml:space="preserve">da </w:t>
            </w:r>
            <w:r w:rsidRPr="00605612">
              <w:rPr>
                <w:rFonts w:cs="Arial"/>
                <w:szCs w:val="20"/>
              </w:rPr>
              <w:t>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w:t>
            </w:r>
            <w:r>
              <w:rPr>
                <w:rFonts w:cs="Arial"/>
                <w:szCs w:val="20"/>
              </w:rPr>
              <w:t>predloži AJPES,</w:t>
            </w:r>
            <w:r w:rsidRPr="00605612">
              <w:rPr>
                <w:rFonts w:cs="Arial"/>
                <w:szCs w:val="20"/>
              </w:rPr>
              <w:t xml:space="preserve"> določa smiselno uporabo določb, ki veljajo za odvisne družbe. </w:t>
            </w:r>
            <w:r>
              <w:rPr>
                <w:rFonts w:cs="Arial"/>
                <w:szCs w:val="20"/>
              </w:rPr>
              <w:t>Čeprav</w:t>
            </w:r>
            <w:r w:rsidRPr="00605612" w:rsidDel="00D35886">
              <w:rPr>
                <w:rFonts w:cs="Arial"/>
                <w:szCs w:val="20"/>
              </w:rPr>
              <w:t xml:space="preserve"> </w:t>
            </w:r>
            <w:r w:rsidRPr="00605612">
              <w:rPr>
                <w:rFonts w:cs="Arial"/>
                <w:szCs w:val="20"/>
              </w:rPr>
              <w:t>direktiva odvisne družbe in podružnice v četrtem in petem odstavku 48</w:t>
            </w:r>
            <w:r w:rsidRPr="00605612" w:rsidDel="00D35886">
              <w:rPr>
                <w:rFonts w:cs="Arial"/>
                <w:szCs w:val="20"/>
              </w:rPr>
              <w:t>.</w:t>
            </w:r>
            <w:r w:rsidRPr="00605612">
              <w:rPr>
                <w:rFonts w:cs="Arial"/>
                <w:szCs w:val="20"/>
              </w:rPr>
              <w:t xml:space="preserve">b </w:t>
            </w:r>
            <w:r w:rsidRPr="00605612" w:rsidDel="00D35886">
              <w:rPr>
                <w:rFonts w:cs="Arial"/>
                <w:szCs w:val="20"/>
              </w:rPr>
              <w:t xml:space="preserve">člena </w:t>
            </w:r>
            <w:r w:rsidRPr="00605612">
              <w:rPr>
                <w:rFonts w:cs="Arial"/>
                <w:szCs w:val="20"/>
              </w:rPr>
              <w:t xml:space="preserve">ureja podobno, velja za podružnice več omejitev, na podlagi katerih je obveznost poročanja </w:t>
            </w:r>
            <w:r>
              <w:rPr>
                <w:rFonts w:cs="Arial"/>
                <w:color w:val="000000" w:themeColor="text1"/>
                <w:szCs w:val="20"/>
              </w:rPr>
              <w:t>o davčnih informacijah</w:t>
            </w:r>
            <w:r w:rsidRPr="00605612">
              <w:rPr>
                <w:rFonts w:cs="Arial"/>
                <w:szCs w:val="20"/>
              </w:rPr>
              <w:t xml:space="preserve"> v zvezi z dohodki zanje manj stroga kot za odvisne družbe. Obveznost</w:t>
            </w:r>
            <w:r w:rsidRPr="00605612" w:rsidDel="00612DB4">
              <w:rPr>
                <w:rFonts w:cs="Arial"/>
                <w:szCs w:val="20"/>
              </w:rPr>
              <w:t xml:space="preserve"> </w:t>
            </w:r>
            <w:r w:rsidRPr="00605612">
              <w:rPr>
                <w:rFonts w:cs="Arial"/>
                <w:szCs w:val="20"/>
              </w:rPr>
              <w:t xml:space="preserve">glede poročanja </w:t>
            </w:r>
            <w:r>
              <w:rPr>
                <w:rFonts w:cs="Arial"/>
                <w:szCs w:val="20"/>
              </w:rPr>
              <w:t>nastopi</w:t>
            </w:r>
            <w:r w:rsidRPr="003B2A0D">
              <w:rPr>
                <w:rFonts w:cs="Arial"/>
                <w:szCs w:val="20"/>
              </w:rPr>
              <w:t xml:space="preserve"> za podružnice, ki jo je v Republiki Sloveniji ustanovilo tuje podjetje iz tretje države, ki ni v skupini</w:t>
            </w:r>
            <w:r>
              <w:rPr>
                <w:rFonts w:cs="Arial"/>
                <w:szCs w:val="20"/>
              </w:rPr>
              <w:t>,</w:t>
            </w:r>
            <w:r w:rsidRPr="003B2A0D">
              <w:rPr>
                <w:rFonts w:cs="Arial"/>
                <w:szCs w:val="20"/>
              </w:rPr>
              <w:t xml:space="preserve"> ali tuje podjetje tretje države, ki je v skupini</w:t>
            </w:r>
            <w:r>
              <w:rPr>
                <w:rFonts w:cs="Arial"/>
                <w:szCs w:val="20"/>
              </w:rPr>
              <w:t>,</w:t>
            </w:r>
            <w:r w:rsidRPr="003B2A0D">
              <w:rPr>
                <w:rFonts w:cs="Arial"/>
                <w:szCs w:val="20"/>
              </w:rPr>
              <w:t xml:space="preserve"> v kateri je zavezano pripraviti konsolidirano letno poročilo za najširši krog družb v skupini</w:t>
            </w:r>
            <w:r>
              <w:rPr>
                <w:rFonts w:cs="Arial"/>
                <w:szCs w:val="20"/>
              </w:rPr>
              <w:t>,</w:t>
            </w:r>
            <w:r w:rsidRPr="003B2A0D">
              <w:rPr>
                <w:rFonts w:cs="Arial"/>
                <w:szCs w:val="20"/>
              </w:rPr>
              <w:t xml:space="preserve"> tuje podjetje iz tretje države.</w:t>
            </w:r>
            <w:r>
              <w:rPr>
                <w:rFonts w:cs="Arial"/>
                <w:szCs w:val="20"/>
              </w:rPr>
              <w:t xml:space="preserve"> </w:t>
            </w:r>
            <w:r w:rsidRPr="00D06CBB">
              <w:rPr>
                <w:rFonts w:cs="Arial"/>
                <w:szCs w:val="20"/>
              </w:rPr>
              <w:t xml:space="preserve">Tuje podjetje iz tretje države, ki je zavezano pripraviti konsolidirano letno poročilo za najširši krog družb v skupini, je lahko tisto, ki je ustanovilo podružnico, lahko pa gre za drugo podjetje (eno tuje podjetje iz tretje države ustanovi podružnico, drugo tuje podjetje iz tretje države pa le-tega </w:t>
            </w:r>
            <w:r w:rsidRPr="00D06CBB">
              <w:rPr>
                <w:rFonts w:cs="Arial"/>
                <w:szCs w:val="20"/>
              </w:rPr>
              <w:lastRenderedPageBreak/>
              <w:t>obvladuje in je zavezano pripraviti konsolidirano letno poročilo za najširši krog družb v skupini).</w:t>
            </w:r>
            <w:r>
              <w:rPr>
                <w:rFonts w:cs="Arial"/>
                <w:szCs w:val="20"/>
              </w:rPr>
              <w:t xml:space="preserve"> </w:t>
            </w:r>
            <w:r w:rsidRPr="003B2A0D">
              <w:rPr>
                <w:rFonts w:cs="Arial"/>
                <w:szCs w:val="20"/>
              </w:rPr>
              <w:t>Obveznost podružnice je podana, če:</w:t>
            </w:r>
          </w:p>
          <w:p w14:paraId="15C081AD"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jo je ustanovilo tuje podjetje iz tretje države, ki je organizirano kot kapitalska družba ali kot druga istovrstna pravnoorganizacijska oblika po pravu države sedeža;</w:t>
            </w:r>
          </w:p>
          <w:p w14:paraId="153B7B9A"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tuje podjetje iz tretje države iz druge alineje prejšnjega odstavka nima odvisne družbe, za katero velja 70.j člen tega zakona;;</w:t>
            </w:r>
          </w:p>
          <w:p w14:paraId="26018DCD" w14:textId="77777777" w:rsidR="000C08CA" w:rsidRPr="003B2A0D" w:rsidRDefault="000C08CA" w:rsidP="00FE328D">
            <w:pPr>
              <w:jc w:val="both"/>
              <w:rPr>
                <w:rFonts w:cs="Arial"/>
                <w:szCs w:val="20"/>
              </w:rPr>
            </w:pPr>
            <w:r>
              <w:rPr>
                <w:rFonts w:cs="Arial"/>
                <w:szCs w:val="20"/>
              </w:rPr>
              <w:t>‒</w:t>
            </w:r>
            <w:r w:rsidRPr="003B2A0D">
              <w:rPr>
                <w:rFonts w:cs="Arial"/>
                <w:szCs w:val="20"/>
              </w:rPr>
              <w:t xml:space="preserve"> prihodki tujega podjetja iz tretje države ali skupine prejšnjega odstavka na podlagi podatkov zadnjih dveh zaporednih poslovnih let na bilančni presečni dan bilance stanja obakrat presežejo 750</w:t>
            </w:r>
            <w:r w:rsidRPr="003B2A0D" w:rsidDel="00D35886">
              <w:rPr>
                <w:rFonts w:cs="Arial"/>
                <w:szCs w:val="20"/>
              </w:rPr>
              <w:t>.</w:t>
            </w:r>
            <w:r w:rsidRPr="003B2A0D">
              <w:rPr>
                <w:rFonts w:cs="Arial"/>
                <w:szCs w:val="20"/>
              </w:rPr>
              <w:t>000.000 eurov;</w:t>
            </w:r>
          </w:p>
          <w:p w14:paraId="24A9B68F"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w:t>
            </w:r>
            <w:r>
              <w:rPr>
                <w:rFonts w:cs="Arial"/>
                <w:szCs w:val="20"/>
              </w:rPr>
              <w:t xml:space="preserve">njeni </w:t>
            </w:r>
            <w:r w:rsidRPr="003B2A0D">
              <w:rPr>
                <w:rFonts w:cs="Arial"/>
                <w:szCs w:val="20"/>
              </w:rPr>
              <w:t xml:space="preserve">prihodki presežejo merilo za majhne družbe, določene v tretjem in šestem odstavku 55. člena tega zakona. </w:t>
            </w:r>
          </w:p>
          <w:p w14:paraId="1DCD518F" w14:textId="77777777" w:rsidR="000C08CA" w:rsidRPr="00605612" w:rsidRDefault="000C08CA" w:rsidP="00FE328D">
            <w:pPr>
              <w:spacing w:line="276" w:lineRule="auto"/>
              <w:jc w:val="both"/>
              <w:rPr>
                <w:rFonts w:cs="Arial"/>
                <w:szCs w:val="20"/>
              </w:rPr>
            </w:pPr>
          </w:p>
          <w:p w14:paraId="68BEAAF8" w14:textId="77777777" w:rsidR="000C08CA" w:rsidRPr="00605612" w:rsidRDefault="000C08CA" w:rsidP="00FE328D">
            <w:pPr>
              <w:spacing w:line="276" w:lineRule="auto"/>
              <w:jc w:val="both"/>
              <w:rPr>
                <w:rFonts w:cs="Arial"/>
                <w:szCs w:val="20"/>
              </w:rPr>
            </w:pPr>
            <w:r>
              <w:rPr>
                <w:rFonts w:cs="Arial"/>
                <w:szCs w:val="20"/>
              </w:rPr>
              <w:t>Če</w:t>
            </w:r>
            <w:r w:rsidRPr="00605612">
              <w:rPr>
                <w:rFonts w:cs="Arial"/>
                <w:szCs w:val="20"/>
              </w:rPr>
              <w:t xml:space="preserve"> podružnica poročila </w:t>
            </w:r>
            <w:r>
              <w:rPr>
                <w:rFonts w:cs="Arial"/>
                <w:color w:val="000000" w:themeColor="text1"/>
                <w:szCs w:val="20"/>
              </w:rPr>
              <w:t xml:space="preserve">o davčnih informacijah </w:t>
            </w:r>
            <w:r w:rsidRPr="00605612">
              <w:rPr>
                <w:rFonts w:cs="Arial"/>
                <w:szCs w:val="20"/>
              </w:rPr>
              <w:t xml:space="preserve">v zvezi z dohodki ne pridobi od </w:t>
            </w:r>
            <w:r>
              <w:rPr>
                <w:rFonts w:cs="Arial"/>
                <w:szCs w:val="20"/>
              </w:rPr>
              <w:t>tujega podjetja</w:t>
            </w:r>
            <w:r w:rsidRPr="00605612">
              <w:rPr>
                <w:rFonts w:cs="Arial"/>
                <w:szCs w:val="20"/>
              </w:rPr>
              <w:t xml:space="preserve"> iz tretje države, ki jo je ustanovila, ZGD-1 v drugem odstavku predlaganega člena na podlagi petega odstavka 48</w:t>
            </w:r>
            <w:r w:rsidRPr="00605612" w:rsidDel="00D35886">
              <w:rPr>
                <w:rFonts w:cs="Arial"/>
                <w:szCs w:val="20"/>
              </w:rPr>
              <w:t>.</w:t>
            </w:r>
            <w:r w:rsidRPr="00605612">
              <w:rPr>
                <w:rFonts w:cs="Arial"/>
                <w:szCs w:val="20"/>
              </w:rPr>
              <w:t xml:space="preserve">b </w:t>
            </w:r>
            <w:r w:rsidRPr="00605612" w:rsidDel="00D35886">
              <w:rPr>
                <w:rFonts w:cs="Arial"/>
                <w:szCs w:val="20"/>
              </w:rPr>
              <w:t xml:space="preserve">člena </w:t>
            </w:r>
            <w:r w:rsidRPr="00605612">
              <w:rPr>
                <w:rFonts w:cs="Arial"/>
                <w:szCs w:val="20"/>
              </w:rPr>
              <w:t xml:space="preserve">direktive zastopniku tujega podjetja iz 682. člena ZGD-1 nalaga, da od tujega podjetja iz tretje države zahteva, da podružnici zagotovi vse podatke, potrebne za pripravo poročila. Če zahtevanih podatkov ne predloži, podružnica pripravi in </w:t>
            </w:r>
            <w:r>
              <w:rPr>
                <w:rFonts w:cs="Arial"/>
                <w:szCs w:val="20"/>
              </w:rPr>
              <w:t>zaradi javne objave predloži AJPES</w:t>
            </w:r>
            <w:r w:rsidRPr="00605612">
              <w:rPr>
                <w:rFonts w:cs="Arial"/>
                <w:szCs w:val="20"/>
              </w:rPr>
              <w:t xml:space="preserve">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ki vsebuje podatke, ki jih ima na voljo, jih je prejela ali pridobila od tujega podjetja iz tretje države. </w:t>
            </w:r>
            <w:r>
              <w:rPr>
                <w:rFonts w:cs="Arial"/>
                <w:szCs w:val="20"/>
              </w:rPr>
              <w:t>T</w:t>
            </w:r>
            <w:r w:rsidRPr="00605612">
              <w:rPr>
                <w:rFonts w:cs="Arial"/>
                <w:szCs w:val="20"/>
              </w:rPr>
              <w:t>ako kot odvisne družbe je dolžna izpolniti izjavo, da poročilo ne vsebuje vseh zahtevanih podatkov, ker ji jih tuje podjetje iz tretje države ni predložilo.</w:t>
            </w:r>
          </w:p>
          <w:p w14:paraId="75B1EBFE" w14:textId="77777777" w:rsidR="000C08CA" w:rsidRPr="00605612" w:rsidRDefault="000C08CA" w:rsidP="00FE328D">
            <w:pPr>
              <w:spacing w:line="276" w:lineRule="auto"/>
              <w:jc w:val="both"/>
              <w:rPr>
                <w:rFonts w:cs="Arial"/>
                <w:szCs w:val="20"/>
              </w:rPr>
            </w:pPr>
          </w:p>
          <w:p w14:paraId="45B771CC" w14:textId="77777777" w:rsidR="000C08CA" w:rsidRPr="00605612" w:rsidRDefault="000C08CA" w:rsidP="00FE328D">
            <w:pPr>
              <w:spacing w:line="276" w:lineRule="auto"/>
              <w:jc w:val="both"/>
              <w:rPr>
                <w:rFonts w:cs="Arial"/>
                <w:szCs w:val="20"/>
              </w:rPr>
            </w:pPr>
            <w:r>
              <w:rPr>
                <w:rFonts w:cs="Arial"/>
                <w:szCs w:val="20"/>
              </w:rPr>
              <w:t xml:space="preserve">Tretji </w:t>
            </w:r>
            <w:r w:rsidRPr="00605612">
              <w:rPr>
                <w:rFonts w:cs="Arial"/>
                <w:szCs w:val="20"/>
              </w:rPr>
              <w:t>odstavek v zvezi z obveznostjo podružnic tujega podjetja iz tretje države</w:t>
            </w:r>
            <w:r>
              <w:rPr>
                <w:rFonts w:cs="Arial"/>
                <w:szCs w:val="20"/>
              </w:rPr>
              <w:t xml:space="preserve"> določa,</w:t>
            </w:r>
            <w:r w:rsidRPr="00605612">
              <w:rPr>
                <w:rFonts w:cs="Arial"/>
                <w:szCs w:val="20"/>
              </w:rPr>
              <w:t xml:space="preserve"> </w:t>
            </w:r>
            <w:r>
              <w:rPr>
                <w:rFonts w:cs="Arial"/>
                <w:szCs w:val="20"/>
              </w:rPr>
              <w:t xml:space="preserve">da </w:t>
            </w:r>
            <w:r w:rsidRPr="00605612">
              <w:rPr>
                <w:rFonts w:cs="Arial"/>
                <w:szCs w:val="20"/>
              </w:rPr>
              <w:t>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v zvezi z dohodki</w:t>
            </w:r>
            <w:r>
              <w:rPr>
                <w:rFonts w:cs="Arial"/>
                <w:szCs w:val="20"/>
              </w:rPr>
              <w:t xml:space="preserve"> podružnica objavi na svoji spletni strani. </w:t>
            </w:r>
            <w:r w:rsidRPr="00605612">
              <w:rPr>
                <w:rFonts w:cs="Arial"/>
                <w:szCs w:val="20"/>
              </w:rPr>
              <w:t>Glede obveznosti objave poročila predlog zakona določa smiselno uporabo določb 680. člena in 70.i člena tega zakona, kar pomeni, da se poročilo</w:t>
            </w:r>
            <w:r>
              <w:rPr>
                <w:rFonts w:cs="Arial"/>
                <w:color w:val="000000" w:themeColor="text1"/>
                <w:szCs w:val="20"/>
              </w:rPr>
              <w:t xml:space="preserve"> o davčnih informacijah</w:t>
            </w:r>
            <w:r w:rsidRPr="00605612">
              <w:rPr>
                <w:rFonts w:cs="Arial"/>
                <w:szCs w:val="20"/>
              </w:rPr>
              <w:t xml:space="preserve"> v zvezi z dohodki kot del letnega poročila objavi v registru po pravilih javne objave, hkrati pa je treba v 12 mesec</w:t>
            </w:r>
            <w:r>
              <w:rPr>
                <w:rFonts w:cs="Arial"/>
                <w:szCs w:val="20"/>
              </w:rPr>
              <w:t>ih</w:t>
            </w:r>
            <w:r w:rsidRPr="00605612">
              <w:rPr>
                <w:rFonts w:cs="Arial"/>
                <w:szCs w:val="20"/>
              </w:rPr>
              <w:t xml:space="preserve"> po koncu poslovnega leta poročilo objaviti tudi na javnosti dostopni spletni strani družbe, kjer je brezplačno dostopno najmanj pet zaporednih let. Pri podružnici zadostuje, da je poročilo objavljeno na javnosti dostopni spletni strani katere koli podružnice ali družbe, ki je ustanovilo podružnico ali povezane družbe v skupini, na katero se poročilo nanaša. Ob poročilu je treba obvezno objaviti tudi izjavo, da poročilo ne vsebuje vseh zahtevanih podatkov, ker jih tuje podjetje iz tretje države podružnici ni predložilo.</w:t>
            </w:r>
          </w:p>
          <w:p w14:paraId="29958922" w14:textId="77777777" w:rsidR="000C08CA" w:rsidRPr="00605612" w:rsidRDefault="000C08CA" w:rsidP="00FE328D">
            <w:pPr>
              <w:spacing w:line="276" w:lineRule="auto"/>
              <w:jc w:val="both"/>
              <w:rPr>
                <w:rFonts w:cs="Arial"/>
                <w:szCs w:val="20"/>
              </w:rPr>
            </w:pPr>
          </w:p>
          <w:p w14:paraId="68BAB803" w14:textId="77777777" w:rsidR="000C08CA" w:rsidRPr="00605612" w:rsidRDefault="000C08CA" w:rsidP="00FE328D">
            <w:pPr>
              <w:spacing w:line="276" w:lineRule="auto"/>
              <w:jc w:val="both"/>
              <w:rPr>
                <w:rFonts w:cs="Arial"/>
                <w:szCs w:val="20"/>
              </w:rPr>
            </w:pPr>
            <w:r>
              <w:rPr>
                <w:rFonts w:cs="Arial"/>
                <w:szCs w:val="20"/>
              </w:rPr>
              <w:t>T</w:t>
            </w:r>
            <w:r w:rsidRPr="00605612">
              <w:rPr>
                <w:rFonts w:cs="Arial"/>
                <w:szCs w:val="20"/>
              </w:rPr>
              <w:t>ako kot za odvisne družbe velja obveznost poročanja</w:t>
            </w:r>
            <w:r>
              <w:rPr>
                <w:rFonts w:cs="Arial"/>
                <w:color w:val="000000" w:themeColor="text1"/>
                <w:szCs w:val="20"/>
              </w:rPr>
              <w:t xml:space="preserve"> o davčnih informacijah</w:t>
            </w:r>
            <w:r w:rsidRPr="00605612">
              <w:rPr>
                <w:rFonts w:cs="Arial"/>
                <w:szCs w:val="20"/>
              </w:rPr>
              <w:t xml:space="preserve"> v zvezi z dohodki za vse podružnice tujega podjetja iz tretje države ne glede na pogoje iz prvega odstavka tega člena, če so namenoma organizirane tako, da se z neizpolnjevanjem pogojev izognejo obveznostim poročanja </w:t>
            </w:r>
            <w:r>
              <w:rPr>
                <w:rFonts w:cs="Arial"/>
                <w:color w:val="000000" w:themeColor="text1"/>
                <w:szCs w:val="20"/>
              </w:rPr>
              <w:t xml:space="preserve">o davčnih informacijah </w:t>
            </w:r>
            <w:r w:rsidRPr="00605612">
              <w:rPr>
                <w:rFonts w:cs="Arial"/>
                <w:szCs w:val="20"/>
              </w:rPr>
              <w:t>v zvezi z dohodki. Gre za situacije, pri katerih je očitno, da je družba poslovno strukturo organizirala na način, da se izogne obveznosti poročanja</w:t>
            </w:r>
            <w:r>
              <w:rPr>
                <w:rFonts w:cs="Arial"/>
                <w:szCs w:val="20"/>
              </w:rPr>
              <w:t>,</w:t>
            </w:r>
            <w:r w:rsidRPr="00605612">
              <w:rPr>
                <w:rFonts w:cs="Arial"/>
                <w:szCs w:val="20"/>
              </w:rPr>
              <w:t xml:space="preserve"> ali </w:t>
            </w:r>
            <w:r>
              <w:rPr>
                <w:rFonts w:cs="Arial"/>
                <w:szCs w:val="20"/>
              </w:rPr>
              <w:t>d</w:t>
            </w:r>
            <w:r w:rsidRPr="00605612">
              <w:rPr>
                <w:rFonts w:cs="Arial"/>
                <w:szCs w:val="20"/>
              </w:rPr>
              <w:t xml:space="preserve">a podatke o svojem poslovanju prikazuje na način, da ne doseže pragov, ki so potrebni za nastanek obveznosti poročanja </w:t>
            </w:r>
            <w:r>
              <w:rPr>
                <w:rFonts w:cs="Arial"/>
                <w:color w:val="000000" w:themeColor="text1"/>
                <w:szCs w:val="20"/>
              </w:rPr>
              <w:t xml:space="preserve">o davčnih informacijah </w:t>
            </w:r>
            <w:r w:rsidRPr="00605612">
              <w:rPr>
                <w:rFonts w:cs="Arial"/>
                <w:szCs w:val="20"/>
              </w:rPr>
              <w:t xml:space="preserve">v zvezi z dohodki (npr. podružnica v dveh zaporednih poslovnih letih ne doseže 8 milijonov </w:t>
            </w:r>
            <w:r>
              <w:rPr>
                <w:rFonts w:cs="Arial"/>
                <w:szCs w:val="20"/>
              </w:rPr>
              <w:t xml:space="preserve">EUR </w:t>
            </w:r>
            <w:r w:rsidRPr="00605612">
              <w:rPr>
                <w:rFonts w:cs="Arial"/>
                <w:szCs w:val="20"/>
              </w:rPr>
              <w:t>čistih prihodkov od prodaje).</w:t>
            </w:r>
          </w:p>
          <w:p w14:paraId="5E32430C" w14:textId="77777777" w:rsidR="000C08CA" w:rsidRPr="00605612" w:rsidRDefault="000C08CA" w:rsidP="00FE328D">
            <w:pPr>
              <w:spacing w:line="276" w:lineRule="auto"/>
              <w:jc w:val="both"/>
              <w:rPr>
                <w:rFonts w:cs="Arial"/>
                <w:szCs w:val="20"/>
              </w:rPr>
            </w:pPr>
          </w:p>
          <w:p w14:paraId="49431C25" w14:textId="77777777" w:rsidR="000C08CA" w:rsidRPr="00605612" w:rsidRDefault="000C08CA" w:rsidP="00FE328D">
            <w:pPr>
              <w:spacing w:line="276" w:lineRule="auto"/>
              <w:jc w:val="both"/>
              <w:rPr>
                <w:rFonts w:cs="Arial"/>
                <w:szCs w:val="20"/>
              </w:rPr>
            </w:pPr>
            <w:r w:rsidRPr="00605612">
              <w:rPr>
                <w:rFonts w:cs="Arial"/>
                <w:szCs w:val="20"/>
              </w:rPr>
              <w:t xml:space="preserve">Peti odstavek določa uporabo določbe 70.j člena glede pretvorbe 750 milijonov </w:t>
            </w:r>
            <w:r>
              <w:rPr>
                <w:rFonts w:cs="Arial"/>
                <w:szCs w:val="20"/>
              </w:rPr>
              <w:t>EUR</w:t>
            </w:r>
            <w:r w:rsidRPr="00605612">
              <w:rPr>
                <w:rFonts w:cs="Arial"/>
                <w:szCs w:val="20"/>
              </w:rPr>
              <w:t xml:space="preserve"> v nacionalno valuto tretje države, v kateri ima sedež družba, ki je ustanovila podružnico. 750 milijonov </w:t>
            </w:r>
            <w:r>
              <w:rPr>
                <w:rFonts w:cs="Arial"/>
                <w:szCs w:val="20"/>
              </w:rPr>
              <w:t>EUR</w:t>
            </w:r>
            <w:r w:rsidRPr="00605612">
              <w:rPr>
                <w:rFonts w:cs="Arial"/>
                <w:szCs w:val="20"/>
              </w:rPr>
              <w:t xml:space="preserve"> se v nacionalno valuto tretje države pretvori po menjalnem tečaju, veljavnem na dan 21. decembra 2021.</w:t>
            </w:r>
          </w:p>
          <w:p w14:paraId="2E9B89CA" w14:textId="77777777" w:rsidR="000C08CA" w:rsidRPr="00605612" w:rsidRDefault="000C08CA" w:rsidP="00FE328D">
            <w:pPr>
              <w:spacing w:line="276" w:lineRule="auto"/>
              <w:jc w:val="both"/>
              <w:rPr>
                <w:rFonts w:cs="Arial"/>
                <w:szCs w:val="20"/>
              </w:rPr>
            </w:pPr>
          </w:p>
          <w:p w14:paraId="2001D5C3" w14:textId="77777777" w:rsidR="000C08CA" w:rsidRPr="00605612" w:rsidRDefault="000C08CA" w:rsidP="00FE328D">
            <w:pPr>
              <w:spacing w:line="276" w:lineRule="auto"/>
              <w:jc w:val="both"/>
              <w:rPr>
                <w:rFonts w:cs="Arial"/>
                <w:szCs w:val="20"/>
              </w:rPr>
            </w:pPr>
            <w:r w:rsidRPr="00605612">
              <w:rPr>
                <w:rFonts w:cs="Arial"/>
                <w:szCs w:val="20"/>
              </w:rPr>
              <w:t>683.č</w:t>
            </w:r>
          </w:p>
          <w:p w14:paraId="01726958" w14:textId="77777777" w:rsidR="000C08CA" w:rsidRPr="00605612" w:rsidRDefault="000C08CA" w:rsidP="00FE328D">
            <w:pPr>
              <w:spacing w:line="276" w:lineRule="auto"/>
              <w:jc w:val="both"/>
              <w:rPr>
                <w:rFonts w:cs="Arial"/>
                <w:szCs w:val="20"/>
              </w:rPr>
            </w:pPr>
          </w:p>
          <w:p w14:paraId="1D3FFDBB" w14:textId="77777777" w:rsidR="000C08CA" w:rsidRPr="00605612" w:rsidRDefault="000C08CA" w:rsidP="00FE328D">
            <w:pPr>
              <w:spacing w:line="276" w:lineRule="auto"/>
              <w:jc w:val="both"/>
              <w:rPr>
                <w:rFonts w:cs="Arial"/>
                <w:szCs w:val="20"/>
              </w:rPr>
            </w:pPr>
            <w:r w:rsidRPr="00605612">
              <w:rPr>
                <w:rFonts w:cs="Arial"/>
                <w:szCs w:val="20"/>
              </w:rPr>
              <w:t>V 683.č členu se določa</w:t>
            </w:r>
            <w:r>
              <w:rPr>
                <w:rFonts w:cs="Arial"/>
                <w:szCs w:val="20"/>
              </w:rPr>
              <w:t>,</w:t>
            </w:r>
            <w:r w:rsidRPr="00605612">
              <w:rPr>
                <w:rFonts w:cs="Arial"/>
                <w:szCs w:val="20"/>
              </w:rPr>
              <w:t xml:space="preserve"> kdaj preneha obveznost poročanja za podružnice tujega podjetja. Predlog zakona v skladu z Direktivo 2021/2101/EU določa dve možnosti:</w:t>
            </w:r>
          </w:p>
          <w:p w14:paraId="3AF5C195" w14:textId="77777777" w:rsidR="000C08CA" w:rsidRPr="00605612" w:rsidRDefault="000C08CA" w:rsidP="00FE328D">
            <w:pPr>
              <w:spacing w:line="276" w:lineRule="auto"/>
              <w:jc w:val="both"/>
              <w:rPr>
                <w:rFonts w:cs="Arial"/>
                <w:szCs w:val="20"/>
              </w:rPr>
            </w:pPr>
            <w:r w:rsidRPr="00605612">
              <w:rPr>
                <w:rFonts w:cs="Arial"/>
                <w:szCs w:val="20"/>
              </w:rPr>
              <w:t xml:space="preserve">1. obveznost preneha, ko v osnovi preneha obveznost za </w:t>
            </w:r>
            <w:r>
              <w:rPr>
                <w:rFonts w:cs="Arial"/>
                <w:szCs w:val="20"/>
              </w:rPr>
              <w:t>tuje podjetje iz tretje države</w:t>
            </w:r>
            <w:r w:rsidRPr="00605612">
              <w:rPr>
                <w:rFonts w:cs="Arial"/>
                <w:szCs w:val="20"/>
              </w:rPr>
              <w:t xml:space="preserve">, ki je ustanovila podružnico – ko </w:t>
            </w:r>
            <w:r w:rsidRPr="003B2A0D">
              <w:rPr>
                <w:rFonts w:cs="Arial"/>
                <w:szCs w:val="20"/>
              </w:rPr>
              <w:t>prihodki tujega podjetja iz tretje države ali skupine</w:t>
            </w:r>
            <w:r>
              <w:rPr>
                <w:rFonts w:cs="Arial"/>
                <w:szCs w:val="20"/>
              </w:rPr>
              <w:t>,</w:t>
            </w:r>
            <w:r w:rsidRPr="003B2A0D">
              <w:rPr>
                <w:rFonts w:cs="Arial"/>
                <w:szCs w:val="20"/>
              </w:rPr>
              <w:t xml:space="preserve"> v kateri je tuje podjetje iz tretje države zavezano pripraviti konsolidirano letno poročilo za najširši krog družb v skupini</w:t>
            </w:r>
            <w:r>
              <w:rPr>
                <w:rFonts w:cs="Arial"/>
                <w:szCs w:val="20"/>
              </w:rPr>
              <w:t>,</w:t>
            </w:r>
            <w:r w:rsidRPr="003B2A0D">
              <w:rPr>
                <w:rFonts w:cs="Arial"/>
                <w:szCs w:val="20"/>
              </w:rPr>
              <w:t xml:space="preserve"> na podlagi </w:t>
            </w:r>
            <w:r w:rsidRPr="003B2A0D">
              <w:rPr>
                <w:rFonts w:cs="Arial"/>
                <w:szCs w:val="20"/>
              </w:rPr>
              <w:lastRenderedPageBreak/>
              <w:t xml:space="preserve">podatkov zadnjih dveh zaporednih poslovnih let na bilančni presečni dan bilance stanja obakrat </w:t>
            </w:r>
            <w:r w:rsidRPr="003B2A0D" w:rsidDel="009842FE">
              <w:rPr>
                <w:rFonts w:cs="Arial"/>
                <w:szCs w:val="20"/>
              </w:rPr>
              <w:t xml:space="preserve">ne presežejo </w:t>
            </w:r>
            <w:r w:rsidRPr="00605612">
              <w:rPr>
                <w:rFonts w:cs="Arial"/>
                <w:szCs w:val="20"/>
              </w:rPr>
              <w:t xml:space="preserve">750.000.000 </w:t>
            </w:r>
            <w:r>
              <w:rPr>
                <w:rFonts w:cs="Arial"/>
                <w:szCs w:val="20"/>
              </w:rPr>
              <w:t>EUR</w:t>
            </w:r>
            <w:r w:rsidRPr="00605612">
              <w:rPr>
                <w:rFonts w:cs="Arial"/>
                <w:szCs w:val="20"/>
              </w:rPr>
              <w:t>,</w:t>
            </w:r>
          </w:p>
          <w:p w14:paraId="01103D86" w14:textId="77777777" w:rsidR="000C08CA" w:rsidRPr="00605612" w:rsidRDefault="000C08CA" w:rsidP="00FE328D">
            <w:pPr>
              <w:spacing w:line="276" w:lineRule="auto"/>
              <w:jc w:val="both"/>
              <w:rPr>
                <w:rFonts w:cs="Arial"/>
                <w:szCs w:val="20"/>
              </w:rPr>
            </w:pPr>
            <w:r w:rsidRPr="00605612">
              <w:rPr>
                <w:rFonts w:cs="Arial"/>
                <w:szCs w:val="20"/>
              </w:rPr>
              <w:t>2. obveznost preneha tudi, če podružnica tujega podjetja glede lastn</w:t>
            </w:r>
            <w:r>
              <w:rPr>
                <w:rFonts w:cs="Arial"/>
                <w:szCs w:val="20"/>
              </w:rPr>
              <w:t>ih</w:t>
            </w:r>
            <w:r w:rsidRPr="00605612">
              <w:rPr>
                <w:rFonts w:cs="Arial"/>
                <w:szCs w:val="20"/>
              </w:rPr>
              <w:t xml:space="preserve"> čist</w:t>
            </w:r>
            <w:r>
              <w:rPr>
                <w:rFonts w:cs="Arial"/>
                <w:szCs w:val="20"/>
              </w:rPr>
              <w:t>ih</w:t>
            </w:r>
            <w:r w:rsidRPr="00605612">
              <w:rPr>
                <w:rFonts w:cs="Arial"/>
                <w:szCs w:val="20"/>
              </w:rPr>
              <w:t xml:space="preserve"> prihodk</w:t>
            </w:r>
            <w:r>
              <w:rPr>
                <w:rFonts w:cs="Arial"/>
                <w:szCs w:val="20"/>
              </w:rPr>
              <w:t>ov</w:t>
            </w:r>
            <w:r w:rsidRPr="00605612">
              <w:rPr>
                <w:rFonts w:cs="Arial"/>
                <w:szCs w:val="20"/>
              </w:rPr>
              <w:t xml:space="preserve"> od prodaje obakrat v dveh zaporednih poslovnih letih ne preseže merila za majhne družbe, torej njeni čisti prihodki od prodaje ne presežejo 8</w:t>
            </w:r>
            <w:r w:rsidRPr="00605612" w:rsidDel="00D35886">
              <w:rPr>
                <w:rFonts w:cs="Arial"/>
                <w:szCs w:val="20"/>
              </w:rPr>
              <w:t>.</w:t>
            </w:r>
            <w:r w:rsidRPr="00605612">
              <w:rPr>
                <w:rFonts w:cs="Arial"/>
                <w:szCs w:val="20"/>
              </w:rPr>
              <w:t xml:space="preserve">000.000 </w:t>
            </w:r>
            <w:r>
              <w:rPr>
                <w:rFonts w:cs="Arial"/>
                <w:szCs w:val="20"/>
              </w:rPr>
              <w:t>EUR</w:t>
            </w:r>
            <w:r w:rsidRPr="00605612">
              <w:rPr>
                <w:rFonts w:cs="Arial"/>
                <w:szCs w:val="20"/>
              </w:rPr>
              <w:t>.</w:t>
            </w:r>
          </w:p>
          <w:p w14:paraId="6714E4F1" w14:textId="77777777" w:rsidR="000C08CA" w:rsidRPr="00605612" w:rsidRDefault="000C08CA" w:rsidP="00FE328D">
            <w:pPr>
              <w:spacing w:line="276" w:lineRule="auto"/>
              <w:jc w:val="both"/>
              <w:rPr>
                <w:rFonts w:cs="Arial"/>
                <w:szCs w:val="20"/>
              </w:rPr>
            </w:pPr>
          </w:p>
          <w:p w14:paraId="279FD249" w14:textId="77777777" w:rsidR="000C08CA" w:rsidRPr="00605612" w:rsidRDefault="000C08CA" w:rsidP="00FE328D">
            <w:pPr>
              <w:spacing w:line="276" w:lineRule="auto"/>
              <w:jc w:val="both"/>
              <w:rPr>
                <w:rFonts w:cs="Arial"/>
                <w:szCs w:val="20"/>
              </w:rPr>
            </w:pPr>
            <w:r w:rsidRPr="00605612">
              <w:rPr>
                <w:rFonts w:cs="Arial"/>
                <w:szCs w:val="20"/>
              </w:rPr>
              <w:t>683.d</w:t>
            </w:r>
          </w:p>
          <w:p w14:paraId="39530C91" w14:textId="77777777" w:rsidR="000C08CA" w:rsidRPr="00605612" w:rsidRDefault="000C08CA" w:rsidP="00FE328D">
            <w:pPr>
              <w:spacing w:line="276" w:lineRule="auto"/>
              <w:jc w:val="both"/>
              <w:rPr>
                <w:rFonts w:cs="Arial"/>
                <w:szCs w:val="20"/>
              </w:rPr>
            </w:pPr>
          </w:p>
          <w:p w14:paraId="4215EC8B" w14:textId="77777777" w:rsidR="000C08CA" w:rsidRPr="00605612" w:rsidRDefault="000C08CA" w:rsidP="00FE328D">
            <w:pPr>
              <w:spacing w:line="276" w:lineRule="auto"/>
              <w:jc w:val="both"/>
              <w:rPr>
                <w:rFonts w:cs="Arial"/>
                <w:szCs w:val="20"/>
              </w:rPr>
            </w:pPr>
            <w:r w:rsidRPr="00605612">
              <w:rPr>
                <w:rFonts w:cs="Arial"/>
                <w:szCs w:val="20"/>
              </w:rPr>
              <w:t>683.d člen v skladu šestim odstavkom 48</w:t>
            </w:r>
            <w:r w:rsidRPr="00605612" w:rsidDel="00D35886">
              <w:rPr>
                <w:rFonts w:cs="Arial"/>
                <w:szCs w:val="20"/>
              </w:rPr>
              <w:t>.</w:t>
            </w:r>
            <w:r w:rsidRPr="00605612">
              <w:rPr>
                <w:rFonts w:cs="Arial"/>
                <w:szCs w:val="20"/>
              </w:rPr>
              <w:t xml:space="preserve">b </w:t>
            </w:r>
            <w:r w:rsidRPr="00605612" w:rsidDel="00D35886">
              <w:rPr>
                <w:rFonts w:cs="Arial"/>
                <w:szCs w:val="20"/>
              </w:rPr>
              <w:t xml:space="preserve">člena </w:t>
            </w:r>
            <w:r w:rsidRPr="00605612">
              <w:rPr>
                <w:rFonts w:cs="Arial"/>
                <w:szCs w:val="20"/>
              </w:rPr>
              <w:t xml:space="preserve">direktive določa še posebne izjeme glede poročanja </w:t>
            </w:r>
            <w:r>
              <w:rPr>
                <w:rFonts w:cs="Arial"/>
                <w:color w:val="000000" w:themeColor="text1"/>
                <w:szCs w:val="20"/>
              </w:rPr>
              <w:t xml:space="preserve">o davčnih informacijah </w:t>
            </w:r>
            <w:r w:rsidRPr="00605612">
              <w:rPr>
                <w:rFonts w:cs="Arial"/>
                <w:szCs w:val="20"/>
              </w:rPr>
              <w:t>v zvezi z dohodki za podružnice. Podobno</w:t>
            </w:r>
            <w:r>
              <w:rPr>
                <w:rFonts w:cs="Arial"/>
                <w:szCs w:val="20"/>
              </w:rPr>
              <w:t>,</w:t>
            </w:r>
            <w:r w:rsidRPr="00605612">
              <w:rPr>
                <w:rFonts w:cs="Arial"/>
                <w:szCs w:val="20"/>
              </w:rPr>
              <w:t xml:space="preserve"> kot to velja za odvisne družbe, obveznost priprave in objave poročila za podružnice tujega podjetja ne velja, če:</w:t>
            </w:r>
          </w:p>
          <w:p w14:paraId="5E20707A"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je najpozneje v 12 mesecih po datumu bilance stanja za poslovno leto, za katero je bilo poročilo o davčnih informacijah v zvezi z dohodki pripravljeno, </w:t>
            </w:r>
            <w:r>
              <w:rPr>
                <w:rFonts w:cs="Arial"/>
                <w:szCs w:val="20"/>
              </w:rPr>
              <w:t>v vsaj enem od uradnih jezikov Evropske unije</w:t>
            </w:r>
            <w:r w:rsidRPr="003B2A0D">
              <w:rPr>
                <w:rFonts w:cs="Arial"/>
                <w:szCs w:val="20"/>
              </w:rPr>
              <w:t xml:space="preserve"> objavljeno na spletni strani tega tujega podjetja iz tretje države v elektronski obliki poročanja, ki je strojno berljiva, </w:t>
            </w:r>
          </w:p>
          <w:p w14:paraId="1D87EC50" w14:textId="77777777" w:rsidR="000C08CA" w:rsidRPr="003B2A0D" w:rsidRDefault="000C08CA" w:rsidP="00FE328D">
            <w:pPr>
              <w:spacing w:line="276" w:lineRule="auto"/>
              <w:jc w:val="both"/>
              <w:rPr>
                <w:rFonts w:cs="Arial"/>
                <w:szCs w:val="20"/>
              </w:rPr>
            </w:pPr>
            <w:r>
              <w:rPr>
                <w:rFonts w:cs="Arial"/>
                <w:szCs w:val="20"/>
              </w:rPr>
              <w:t>‒</w:t>
            </w:r>
            <w:r w:rsidRPr="003B2A0D">
              <w:rPr>
                <w:rFonts w:cs="Arial"/>
                <w:szCs w:val="20"/>
              </w:rPr>
              <w:t xml:space="preserve"> ga je druga podružnica</w:t>
            </w:r>
            <w:r>
              <w:rPr>
                <w:rFonts w:cs="Arial"/>
                <w:szCs w:val="20"/>
              </w:rPr>
              <w:t>,</w:t>
            </w:r>
            <w:r w:rsidRPr="003B2A0D">
              <w:rPr>
                <w:rFonts w:cs="Arial"/>
                <w:szCs w:val="20"/>
              </w:rPr>
              <w:t xml:space="preserve"> ustanovljena v državi članici zaradi javne objave v predložila</w:t>
            </w:r>
            <w:r w:rsidRPr="003B2A0D">
              <w:rPr>
                <w:rFonts w:cs="Arial"/>
                <w:bCs/>
                <w:szCs w:val="20"/>
              </w:rPr>
              <w:t xml:space="preserve"> </w:t>
            </w:r>
            <w:r w:rsidRPr="003B2A0D">
              <w:rPr>
                <w:rFonts w:cs="Arial"/>
                <w:szCs w:val="20"/>
              </w:rPr>
              <w:t xml:space="preserve">v skladu s pravom države sedeža in s prvim odstavkom 48d </w:t>
            </w:r>
            <w:r w:rsidRPr="003B2A0D" w:rsidDel="00D35886">
              <w:rPr>
                <w:rFonts w:cs="Arial"/>
                <w:szCs w:val="20"/>
              </w:rPr>
              <w:t xml:space="preserve">člena </w:t>
            </w:r>
            <w:r w:rsidRPr="003B2A0D">
              <w:rPr>
                <w:rFonts w:cs="Arial"/>
                <w:szCs w:val="20"/>
              </w:rPr>
              <w:t>Direktive 2013/34/EU in</w:t>
            </w:r>
          </w:p>
          <w:p w14:paraId="02817370" w14:textId="77777777" w:rsidR="000C08CA" w:rsidRPr="00605612" w:rsidRDefault="000C08CA" w:rsidP="00FE328D">
            <w:pPr>
              <w:spacing w:line="276" w:lineRule="auto"/>
              <w:jc w:val="both"/>
              <w:rPr>
                <w:rFonts w:cs="Arial"/>
                <w:szCs w:val="20"/>
              </w:rPr>
            </w:pPr>
            <w:r>
              <w:rPr>
                <w:rFonts w:cs="Arial"/>
                <w:szCs w:val="20"/>
              </w:rPr>
              <w:t>‒</w:t>
            </w:r>
            <w:r w:rsidRPr="003B2A0D">
              <w:rPr>
                <w:rFonts w:cs="Arial"/>
                <w:szCs w:val="20"/>
              </w:rPr>
              <w:t xml:space="preserve"> sta v poročilu o davčnih informacijah v zvezi z dohodki navedena firma in sedež podružnice, ki je poročilo o davčnih informacijah v zvezi z dohodki zaradi javne objave predložila v skladu s prejšnjo alinejo</w:t>
            </w:r>
            <w:r>
              <w:rPr>
                <w:rFonts w:cs="Arial"/>
                <w:szCs w:val="20"/>
              </w:rPr>
              <w:t>.</w:t>
            </w:r>
          </w:p>
          <w:p w14:paraId="3B362FE8" w14:textId="77777777" w:rsidR="000C08CA" w:rsidRPr="00605612" w:rsidRDefault="000C08CA" w:rsidP="00FE328D">
            <w:pPr>
              <w:spacing w:line="276" w:lineRule="auto"/>
              <w:jc w:val="both"/>
              <w:rPr>
                <w:rFonts w:cs="Arial"/>
                <w:szCs w:val="20"/>
              </w:rPr>
            </w:pPr>
          </w:p>
          <w:p w14:paraId="28D8B52C" w14:textId="77777777" w:rsidR="000C08CA" w:rsidRPr="00605612" w:rsidRDefault="000C08CA" w:rsidP="00FE328D">
            <w:pPr>
              <w:spacing w:line="276" w:lineRule="auto"/>
              <w:jc w:val="both"/>
              <w:rPr>
                <w:rFonts w:cs="Arial"/>
                <w:b/>
                <w:szCs w:val="20"/>
              </w:rPr>
            </w:pPr>
            <w:r w:rsidRPr="00605612">
              <w:rPr>
                <w:rFonts w:cs="Arial"/>
                <w:b/>
                <w:szCs w:val="20"/>
              </w:rPr>
              <w:t>K 2</w:t>
            </w:r>
            <w:r>
              <w:rPr>
                <w:rFonts w:cs="Arial"/>
                <w:b/>
                <w:szCs w:val="20"/>
              </w:rPr>
              <w:t>5</w:t>
            </w:r>
            <w:r w:rsidRPr="00605612">
              <w:rPr>
                <w:rFonts w:cs="Arial"/>
                <w:b/>
                <w:szCs w:val="20"/>
              </w:rPr>
              <w:t>. členu</w:t>
            </w:r>
          </w:p>
          <w:p w14:paraId="1CAB13F5" w14:textId="77777777" w:rsidR="000C08CA" w:rsidRPr="00605612" w:rsidRDefault="000C08CA" w:rsidP="00FE328D">
            <w:pPr>
              <w:spacing w:line="276" w:lineRule="auto"/>
              <w:jc w:val="both"/>
              <w:rPr>
                <w:rFonts w:cs="Arial"/>
                <w:szCs w:val="20"/>
              </w:rPr>
            </w:pPr>
          </w:p>
          <w:p w14:paraId="6A294F9B" w14:textId="77777777" w:rsidR="000C08CA" w:rsidRDefault="000C08CA" w:rsidP="00FE328D">
            <w:pPr>
              <w:spacing w:line="276" w:lineRule="auto"/>
              <w:jc w:val="both"/>
              <w:textAlignment w:val="baseline"/>
            </w:pPr>
            <w:r>
              <w:rPr>
                <w:rFonts w:cs="Arial"/>
                <w:szCs w:val="20"/>
                <w:lang w:eastAsia="sl-SI"/>
              </w:rPr>
              <w:t xml:space="preserve">684. člen ZGD-1 določa pristojne organe za nadzor </w:t>
            </w:r>
            <w:r>
              <w:t xml:space="preserve">nad izvajanjem posameznih določb tega zakona, in sicer določa, da nadzor opravljajo AJPES, Finančna uprava Republike Slovenije, Inšpektorat Republike Slovenije za delo, Tržni inšpektorat Republike Slovenije in Ministrstvo za gospodarstvo. </w:t>
            </w:r>
          </w:p>
          <w:p w14:paraId="4DDFD097" w14:textId="77777777" w:rsidR="000C08CA" w:rsidRDefault="000C08CA" w:rsidP="00FE328D">
            <w:pPr>
              <w:spacing w:line="276" w:lineRule="auto"/>
              <w:jc w:val="both"/>
              <w:textAlignment w:val="baseline"/>
              <w:rPr>
                <w:rFonts w:cs="Arial"/>
                <w:szCs w:val="20"/>
                <w:lang w:eastAsia="sl-SI"/>
              </w:rPr>
            </w:pPr>
          </w:p>
          <w:p w14:paraId="1E51FE2F"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Prvi odstavek 684. člena je dopolnjen z novim </w:t>
            </w:r>
            <w:r>
              <w:rPr>
                <w:rFonts w:cs="Arial"/>
                <w:szCs w:val="20"/>
                <w:lang w:eastAsia="sl-SI"/>
              </w:rPr>
              <w:t>pristojnim</w:t>
            </w:r>
            <w:r w:rsidRPr="00605612">
              <w:rPr>
                <w:rFonts w:cs="Arial"/>
                <w:szCs w:val="20"/>
                <w:lang w:eastAsia="sl-SI"/>
              </w:rPr>
              <w:t xml:space="preserve"> organom</w:t>
            </w:r>
            <w:r>
              <w:rPr>
                <w:rFonts w:cs="Arial"/>
                <w:szCs w:val="20"/>
                <w:lang w:eastAsia="sl-SI"/>
              </w:rPr>
              <w:t xml:space="preserve"> za nadzor nad izvajanjem posameznih določb</w:t>
            </w:r>
            <w:r w:rsidRPr="00605612">
              <w:rPr>
                <w:rFonts w:cs="Arial"/>
                <w:szCs w:val="20"/>
                <w:lang w:eastAsia="sl-SI"/>
              </w:rPr>
              <w:t>. To je</w:t>
            </w:r>
            <w:r w:rsidRPr="00605612">
              <w:rPr>
                <w:rFonts w:cs="Arial"/>
                <w:color w:val="000000"/>
                <w:szCs w:val="20"/>
                <w:lang w:eastAsia="sl-SI"/>
              </w:rPr>
              <w:t xml:space="preserve"> Zagovornik načela enakosti, ki vodi postopke ugotavljanja določenih kršitev v </w:t>
            </w:r>
            <w:r>
              <w:rPr>
                <w:rFonts w:cs="Arial"/>
                <w:color w:val="000000"/>
                <w:szCs w:val="20"/>
                <w:lang w:eastAsia="sl-SI"/>
              </w:rPr>
              <w:t>šestem</w:t>
            </w:r>
            <w:r w:rsidRPr="00605612">
              <w:rPr>
                <w:rFonts w:cs="Arial"/>
                <w:color w:val="000000"/>
                <w:szCs w:val="20"/>
                <w:lang w:eastAsia="sl-SI"/>
              </w:rPr>
              <w:t xml:space="preserve"> odstavku tega člena na podlagi Zakona o prekrških</w:t>
            </w:r>
            <w:r w:rsidRPr="00605612">
              <w:rPr>
                <w:rFonts w:cs="Arial"/>
                <w:szCs w:val="20"/>
                <w:lang w:eastAsia="sl-SI"/>
              </w:rPr>
              <w:t>.  </w:t>
            </w:r>
          </w:p>
          <w:p w14:paraId="4A9115EF" w14:textId="77777777" w:rsidR="000C08CA" w:rsidRDefault="000C08CA" w:rsidP="00FE328D">
            <w:pPr>
              <w:spacing w:line="276" w:lineRule="auto"/>
              <w:jc w:val="both"/>
              <w:textAlignment w:val="baseline"/>
              <w:rPr>
                <w:rFonts w:cs="Arial"/>
                <w:szCs w:val="20"/>
                <w:lang w:eastAsia="sl-SI"/>
              </w:rPr>
            </w:pPr>
          </w:p>
          <w:p w14:paraId="3B0348E4" w14:textId="77777777" w:rsidR="000C08CA" w:rsidRPr="00605612" w:rsidRDefault="000C08CA" w:rsidP="00FE328D">
            <w:pPr>
              <w:spacing w:line="276" w:lineRule="auto"/>
              <w:jc w:val="both"/>
              <w:rPr>
                <w:rFonts w:cs="Arial"/>
                <w:szCs w:val="20"/>
              </w:rPr>
            </w:pPr>
            <w:r>
              <w:rPr>
                <w:rFonts w:cs="Arial"/>
                <w:szCs w:val="20"/>
                <w:lang w:eastAsia="sl-SI"/>
              </w:rPr>
              <w:t xml:space="preserve">Drugi odstavek 684. člena ZGD-1 je dopolnjen zaradi prenosa </w:t>
            </w:r>
            <w:r w:rsidRPr="00C64DC1">
              <w:rPr>
                <w:rFonts w:cs="Arial"/>
                <w:szCs w:val="20"/>
                <w:lang w:eastAsia="sl-SI"/>
              </w:rPr>
              <w:t>Direktiv</w:t>
            </w:r>
            <w:r>
              <w:rPr>
                <w:rFonts w:cs="Arial"/>
                <w:szCs w:val="20"/>
                <w:lang w:eastAsia="sl-SI"/>
              </w:rPr>
              <w:t>e</w:t>
            </w:r>
            <w:r w:rsidRPr="00C64DC1">
              <w:rPr>
                <w:rFonts w:cs="Arial"/>
                <w:szCs w:val="20"/>
                <w:lang w:eastAsia="sl-SI"/>
              </w:rPr>
              <w:t xml:space="preserve"> 2022/2464/EU</w:t>
            </w:r>
            <w:r>
              <w:rPr>
                <w:rFonts w:cs="Arial"/>
                <w:szCs w:val="20"/>
                <w:lang w:eastAsia="sl-SI"/>
              </w:rPr>
              <w:t>, in sicer se dopolni pristojnost AJPES tudi z nadzorom nad določbami spremenjenega drugega odstavka 58. člena ZGD-1 (zaradi tega, ker trenutni drugi odstavek postane tretji odstavek, sedaj AJPES nadzira prvi do tretji odstavek 58. člena</w:t>
            </w:r>
            <w:r w:rsidDel="00475E1A">
              <w:rPr>
                <w:rFonts w:cs="Arial"/>
                <w:szCs w:val="20"/>
                <w:lang w:eastAsia="sl-SI"/>
              </w:rPr>
              <w:t>)</w:t>
            </w:r>
            <w:r>
              <w:rPr>
                <w:rFonts w:cs="Arial"/>
                <w:szCs w:val="20"/>
                <w:lang w:eastAsia="sl-SI"/>
              </w:rPr>
              <w:t xml:space="preserve"> ter 70.d in 683.b člena zakona. Ob tem se drugi odstavek dopolnjuje zaradi prenosa </w:t>
            </w:r>
            <w:r w:rsidRPr="00A10B5A">
              <w:rPr>
                <w:rFonts w:cs="Arial"/>
                <w:szCs w:val="20"/>
                <w:lang w:eastAsia="sl-SI"/>
              </w:rPr>
              <w:t>Direktiva 2021/2101</w:t>
            </w:r>
            <w:r>
              <w:rPr>
                <w:rFonts w:cs="Arial"/>
                <w:szCs w:val="20"/>
                <w:lang w:eastAsia="sl-SI"/>
              </w:rPr>
              <w:t xml:space="preserve">/EU, in sicer se AJPES določa kot pristojen organ za nadzor nad izvajanjem določb </w:t>
            </w:r>
            <w:r w:rsidRPr="00C4742A">
              <w:rPr>
                <w:rFonts w:cs="Arial"/>
                <w:szCs w:val="20"/>
              </w:rPr>
              <w:t>prvega odstavka 70.i, 70.j</w:t>
            </w:r>
            <w:r>
              <w:rPr>
                <w:rFonts w:cs="Arial"/>
                <w:szCs w:val="20"/>
              </w:rPr>
              <w:t>,</w:t>
            </w:r>
            <w:r>
              <w:rPr>
                <w:rFonts w:cs="Arial"/>
                <w:szCs w:val="20"/>
                <w:lang w:eastAsia="sl-SI"/>
              </w:rPr>
              <w:t xml:space="preserve"> </w:t>
            </w:r>
            <w:r w:rsidRPr="004450CC">
              <w:rPr>
                <w:rFonts w:cs="Arial"/>
                <w:szCs w:val="20"/>
              </w:rPr>
              <w:t>ter prvega in tretjega odstavka 683.c</w:t>
            </w:r>
            <w:r>
              <w:rPr>
                <w:rFonts w:cs="Arial"/>
                <w:szCs w:val="20"/>
              </w:rPr>
              <w:t xml:space="preserve"> člena. Ministrstvo za gospodarstvo pa bo na podlagi veljavnega šestega (po spremembi sedmega) odstavka 684. člena ZGD-1 pristojno za nadzor nad izvajanjem drugih določb.</w:t>
            </w:r>
          </w:p>
          <w:p w14:paraId="08102F38" w14:textId="77777777" w:rsidR="000C08CA" w:rsidRPr="00605612" w:rsidRDefault="000C08CA" w:rsidP="00FE328D">
            <w:pPr>
              <w:spacing w:line="276" w:lineRule="auto"/>
              <w:jc w:val="both"/>
              <w:rPr>
                <w:rFonts w:cs="Arial"/>
                <w:szCs w:val="20"/>
              </w:rPr>
            </w:pPr>
          </w:p>
          <w:p w14:paraId="6FF02965" w14:textId="77777777" w:rsidR="000C08CA" w:rsidRPr="00605612" w:rsidRDefault="000C08CA" w:rsidP="00FE328D">
            <w:pPr>
              <w:spacing w:line="276" w:lineRule="auto"/>
              <w:jc w:val="both"/>
              <w:rPr>
                <w:rFonts w:eastAsia="Arial" w:cs="Arial"/>
                <w:szCs w:val="20"/>
              </w:rPr>
            </w:pPr>
            <w:r>
              <w:rPr>
                <w:rFonts w:eastAsia="Arial" w:cs="Arial"/>
                <w:szCs w:val="20"/>
              </w:rPr>
              <w:t>V</w:t>
            </w:r>
            <w:r w:rsidRPr="00605612">
              <w:rPr>
                <w:rFonts w:eastAsia="Arial" w:cs="Arial"/>
                <w:szCs w:val="20"/>
              </w:rPr>
              <w:t xml:space="preserve"> petem odstavku 684. členu ZGD-1 se Tržni inšpektorat Republike Slovenije določi za pristojni organ za nadzor nad izvajanjem novega </w:t>
            </w:r>
            <w:r>
              <w:rPr>
                <w:rFonts w:eastAsia="Arial" w:cs="Arial"/>
                <w:szCs w:val="20"/>
              </w:rPr>
              <w:t>30</w:t>
            </w:r>
            <w:r w:rsidRPr="00605612">
              <w:rPr>
                <w:rFonts w:eastAsia="Arial" w:cs="Arial"/>
                <w:szCs w:val="20"/>
              </w:rPr>
              <w:t>.a člena ZGD-1 o označevanju poslovnega naslova.</w:t>
            </w:r>
          </w:p>
          <w:p w14:paraId="6B70EE6A" w14:textId="77777777" w:rsidR="000C08CA" w:rsidRPr="00605612" w:rsidRDefault="000C08CA" w:rsidP="00FE328D">
            <w:pPr>
              <w:spacing w:line="276" w:lineRule="auto"/>
              <w:jc w:val="both"/>
              <w:rPr>
                <w:rStyle w:val="eop"/>
                <w:rFonts w:cs="Arial"/>
                <w:color w:val="000000" w:themeColor="text1"/>
                <w:szCs w:val="20"/>
              </w:rPr>
            </w:pPr>
          </w:p>
          <w:p w14:paraId="667759E8" w14:textId="77777777" w:rsidR="000C08CA" w:rsidRPr="00605612" w:rsidRDefault="000C08CA" w:rsidP="00FE328D">
            <w:pPr>
              <w:spacing w:line="276" w:lineRule="auto"/>
              <w:jc w:val="both"/>
              <w:textAlignment w:val="baseline"/>
              <w:rPr>
                <w:rFonts w:cs="Arial"/>
                <w:szCs w:val="20"/>
                <w:lang w:eastAsia="sl-SI"/>
              </w:rPr>
            </w:pPr>
            <w:r w:rsidRPr="00605612">
              <w:rPr>
                <w:rFonts w:cs="Arial"/>
                <w:color w:val="000000"/>
                <w:szCs w:val="20"/>
                <w:lang w:eastAsia="sl-SI"/>
              </w:rPr>
              <w:t>V novem šestem odstavku so določene pristojnosti za nadzor Zagovornika načela enakosti, ki so predvidene za primere, če družba ne določi</w:t>
            </w:r>
            <w:r>
              <w:rPr>
                <w:rFonts w:cs="Arial"/>
                <w:color w:val="000000"/>
                <w:szCs w:val="20"/>
                <w:lang w:eastAsia="sl-SI"/>
              </w:rPr>
              <w:t xml:space="preserve"> ciljnih</w:t>
            </w:r>
            <w:r w:rsidRPr="00605612">
              <w:rPr>
                <w:rFonts w:cs="Arial"/>
                <w:color w:val="000000"/>
                <w:szCs w:val="20"/>
                <w:lang w:eastAsia="sl-SI"/>
              </w:rPr>
              <w:t xml:space="preserve"> deležev v politiki raznolikosti glede zastopanosti manj zastopanega spola med člani organov vodenja in nadzora ter med izvršnimi direktorji (254.c člen)</w:t>
            </w:r>
            <w:r>
              <w:rPr>
                <w:rFonts w:cs="Arial"/>
                <w:color w:val="000000"/>
                <w:szCs w:val="20"/>
                <w:lang w:eastAsia="sl-SI"/>
              </w:rPr>
              <w:t>,</w:t>
            </w:r>
            <w:r w:rsidRPr="00605612">
              <w:rPr>
                <w:rFonts w:cs="Arial"/>
                <w:color w:val="000000"/>
                <w:szCs w:val="20"/>
                <w:lang w:eastAsia="sl-SI"/>
              </w:rPr>
              <w:t xml:space="preserve"> če ne upošteva določb glede izbirnega postopka za imenovanje kandidatov za člane vodenja in nadzora ter za izvršne direktorje v primeru nedoseganja zastavljenih deležev (254.č člen) ter če družba ne objavi zahtevanih podatkov o deležu zastopanosti spolov (254.e člen) v organih vodenja in nadzora ter med izvršnimi direktorji.  </w:t>
            </w:r>
          </w:p>
          <w:p w14:paraId="0BC10DCC" w14:textId="77777777" w:rsidR="000C08CA" w:rsidRPr="00605612" w:rsidRDefault="000C08CA" w:rsidP="00FE328D">
            <w:pPr>
              <w:spacing w:line="276" w:lineRule="auto"/>
              <w:jc w:val="both"/>
              <w:rPr>
                <w:rFonts w:cs="Arial"/>
                <w:szCs w:val="20"/>
              </w:rPr>
            </w:pPr>
          </w:p>
          <w:p w14:paraId="3156679B" w14:textId="77777777" w:rsidR="007C5A65" w:rsidRDefault="007C5A65" w:rsidP="00FE328D">
            <w:pPr>
              <w:spacing w:line="276" w:lineRule="auto"/>
              <w:jc w:val="both"/>
              <w:rPr>
                <w:rFonts w:cs="Arial"/>
                <w:b/>
                <w:szCs w:val="20"/>
              </w:rPr>
            </w:pPr>
          </w:p>
          <w:p w14:paraId="083B0FE6" w14:textId="12430D00" w:rsidR="000C08CA" w:rsidRPr="00605612" w:rsidRDefault="000C08CA" w:rsidP="00FE328D">
            <w:pPr>
              <w:spacing w:line="276" w:lineRule="auto"/>
              <w:jc w:val="both"/>
              <w:rPr>
                <w:rFonts w:cs="Arial"/>
                <w:b/>
                <w:szCs w:val="20"/>
              </w:rPr>
            </w:pPr>
            <w:r w:rsidRPr="00605612">
              <w:rPr>
                <w:rFonts w:cs="Arial"/>
                <w:b/>
                <w:szCs w:val="20"/>
              </w:rPr>
              <w:lastRenderedPageBreak/>
              <w:t>K 2</w:t>
            </w:r>
            <w:r>
              <w:rPr>
                <w:rFonts w:cs="Arial"/>
                <w:b/>
                <w:szCs w:val="20"/>
              </w:rPr>
              <w:t>6</w:t>
            </w:r>
            <w:r w:rsidRPr="00605612">
              <w:rPr>
                <w:rFonts w:cs="Arial"/>
                <w:b/>
                <w:szCs w:val="20"/>
              </w:rPr>
              <w:t>. členu</w:t>
            </w:r>
          </w:p>
          <w:p w14:paraId="5CDD944A" w14:textId="77777777" w:rsidR="000C08CA" w:rsidRPr="00605612" w:rsidRDefault="000C08CA" w:rsidP="00FE328D">
            <w:pPr>
              <w:spacing w:line="276" w:lineRule="auto"/>
              <w:jc w:val="both"/>
              <w:rPr>
                <w:rFonts w:cs="Arial"/>
                <w:szCs w:val="20"/>
              </w:rPr>
            </w:pPr>
          </w:p>
          <w:p w14:paraId="3B8EBB64" w14:textId="77777777" w:rsidR="000C08CA" w:rsidRPr="00605612" w:rsidRDefault="000C08CA" w:rsidP="00FE328D">
            <w:pPr>
              <w:spacing w:line="276" w:lineRule="auto"/>
              <w:jc w:val="both"/>
              <w:rPr>
                <w:rFonts w:cs="Arial"/>
                <w:szCs w:val="20"/>
              </w:rPr>
            </w:pPr>
            <w:r w:rsidRPr="00605612">
              <w:rPr>
                <w:rFonts w:cs="Arial"/>
                <w:szCs w:val="20"/>
              </w:rPr>
              <w:t xml:space="preserve">V 685. členu ZGD-1, ki določa prekrške družbe, se doda prekršek za družbo, ki na poslovnem naslovu v skladu z novim </w:t>
            </w:r>
            <w:r>
              <w:rPr>
                <w:rFonts w:cs="Arial"/>
                <w:szCs w:val="20"/>
              </w:rPr>
              <w:t>30</w:t>
            </w:r>
            <w:r w:rsidRPr="00605612">
              <w:rPr>
                <w:rFonts w:cs="Arial"/>
                <w:szCs w:val="20"/>
              </w:rPr>
              <w:t>.a členom ZGD-1 ne bo imela na vidnem mestu napisa z navedbo firme in sedeža družbe. Za prekršek bo v skladu z drugim odstavkom 685. člena ZGD-1 odgovarjala tudi odgovorna oseba družbe.</w:t>
            </w:r>
          </w:p>
          <w:p w14:paraId="6DB7C35E" w14:textId="77777777" w:rsidR="000C08CA" w:rsidRPr="00605612" w:rsidRDefault="000C08CA" w:rsidP="00FE328D">
            <w:pPr>
              <w:spacing w:line="276" w:lineRule="auto"/>
              <w:jc w:val="both"/>
              <w:rPr>
                <w:rFonts w:cs="Arial"/>
                <w:szCs w:val="20"/>
              </w:rPr>
            </w:pPr>
          </w:p>
          <w:p w14:paraId="3DCED766" w14:textId="77777777" w:rsidR="000C08CA" w:rsidRPr="00605612" w:rsidRDefault="000C08CA" w:rsidP="00FE328D">
            <w:pPr>
              <w:spacing w:line="276" w:lineRule="auto"/>
              <w:jc w:val="both"/>
              <w:rPr>
                <w:rFonts w:cs="Arial"/>
                <w:b/>
                <w:szCs w:val="20"/>
              </w:rPr>
            </w:pPr>
            <w:r w:rsidRPr="00605612">
              <w:rPr>
                <w:rFonts w:cs="Arial"/>
                <w:b/>
                <w:szCs w:val="20"/>
              </w:rPr>
              <w:t>K 2</w:t>
            </w:r>
            <w:r>
              <w:rPr>
                <w:rFonts w:cs="Arial"/>
                <w:b/>
                <w:szCs w:val="20"/>
              </w:rPr>
              <w:t>7</w:t>
            </w:r>
            <w:r w:rsidRPr="00605612">
              <w:rPr>
                <w:rFonts w:cs="Arial"/>
                <w:b/>
                <w:szCs w:val="20"/>
              </w:rPr>
              <w:t>. členu</w:t>
            </w:r>
          </w:p>
          <w:p w14:paraId="432A2D69" w14:textId="77777777" w:rsidR="000C08CA" w:rsidRPr="00605612" w:rsidRDefault="000C08CA" w:rsidP="00FE328D">
            <w:pPr>
              <w:spacing w:line="276" w:lineRule="auto"/>
              <w:jc w:val="both"/>
              <w:rPr>
                <w:rFonts w:cs="Arial"/>
                <w:szCs w:val="20"/>
              </w:rPr>
            </w:pPr>
          </w:p>
          <w:p w14:paraId="441CE851" w14:textId="77777777" w:rsidR="000C08CA" w:rsidRPr="00605612" w:rsidRDefault="000C08CA" w:rsidP="00FE328D">
            <w:pPr>
              <w:spacing w:line="276" w:lineRule="auto"/>
              <w:jc w:val="both"/>
              <w:rPr>
                <w:rFonts w:cs="Arial"/>
                <w:szCs w:val="20"/>
              </w:rPr>
            </w:pPr>
            <w:r w:rsidRPr="00605612">
              <w:rPr>
                <w:rFonts w:cs="Arial"/>
                <w:szCs w:val="20"/>
              </w:rPr>
              <w:t>Zaradi novih obveznosti družb se dopolnjuje prvi odstavek 686. člena ZGD-1, ki določa druge prekrške družbe.</w:t>
            </w:r>
          </w:p>
          <w:p w14:paraId="240936BB" w14:textId="77777777" w:rsidR="000C08CA" w:rsidRPr="00605612" w:rsidRDefault="000C08CA" w:rsidP="00FE328D">
            <w:pPr>
              <w:spacing w:line="276" w:lineRule="auto"/>
              <w:jc w:val="both"/>
              <w:rPr>
                <w:rFonts w:cs="Arial"/>
                <w:szCs w:val="20"/>
              </w:rPr>
            </w:pPr>
          </w:p>
          <w:p w14:paraId="10856C78" w14:textId="77777777" w:rsidR="000C08CA" w:rsidRPr="00605612" w:rsidRDefault="000C08CA" w:rsidP="00FE328D">
            <w:pPr>
              <w:spacing w:line="276" w:lineRule="auto"/>
              <w:jc w:val="both"/>
              <w:rPr>
                <w:rFonts w:cs="Arial"/>
                <w:szCs w:val="20"/>
              </w:rPr>
            </w:pPr>
            <w:r w:rsidRPr="00605612">
              <w:rPr>
                <w:rFonts w:cs="Arial"/>
                <w:szCs w:val="20"/>
              </w:rPr>
              <w:t xml:space="preserve">7. točka prvega odstavka že določa prekršek družbe, če letnega poročila ali konsolidiranega letnega poročila skupaj z revizorjevim poročilom ali popravljenega letnega poročila ali konsolidiranega letnega poročila oziroma spremembe revizorjevega poročila ne predloži AJPES na način in v rokih, ki jih določa prvi odstavek 58. člena tega zakona. Kot pojasnjeno v obrazložitvi k </w:t>
            </w:r>
            <w:r>
              <w:rPr>
                <w:rFonts w:cs="Arial"/>
                <w:szCs w:val="20"/>
              </w:rPr>
              <w:t>9</w:t>
            </w:r>
            <w:r w:rsidRPr="00605612">
              <w:rPr>
                <w:rFonts w:cs="Arial"/>
                <w:szCs w:val="20"/>
              </w:rPr>
              <w:t>. členu se z novim drugim odstavkom 58. člena ZGD-1 določa obvezna oblika letnega poročila za družbe, ki so zavezane pripraviti poročilo o trajnostnosti, zato je treba tudi kršitev drugega odstavka 58. člena določiti kot prekršek.</w:t>
            </w:r>
          </w:p>
          <w:p w14:paraId="699EE479" w14:textId="77777777" w:rsidR="000C08CA" w:rsidRPr="00605612" w:rsidRDefault="000C08CA" w:rsidP="00FE328D">
            <w:pPr>
              <w:spacing w:line="276" w:lineRule="auto"/>
              <w:jc w:val="both"/>
              <w:rPr>
                <w:rFonts w:cs="Arial"/>
                <w:szCs w:val="20"/>
              </w:rPr>
            </w:pPr>
          </w:p>
          <w:p w14:paraId="0FAFEE98" w14:textId="77777777" w:rsidR="000C08CA" w:rsidRPr="00605612" w:rsidRDefault="000C08CA" w:rsidP="00FE328D">
            <w:pPr>
              <w:spacing w:line="276" w:lineRule="auto"/>
              <w:jc w:val="both"/>
              <w:rPr>
                <w:rFonts w:cs="Arial"/>
                <w:szCs w:val="20"/>
              </w:rPr>
            </w:pPr>
            <w:r w:rsidRPr="001A69E3">
              <w:rPr>
                <w:rFonts w:cs="Arial"/>
                <w:szCs w:val="20"/>
              </w:rPr>
              <w:t>V 11. točki se na novo določa prekršek za odvisne družbe, ki so zavezane pripraviti poročilo o trajnostnosti v zvezi s tujim podjetjem iz tretje države na podlagi novega 70.d člena ZGD-1, saj jih obvladuje tuje podjetje iz tretje države in izpolnjujejo preostale pogoje iz tega člena, ki so pojasnjeni v obrazložitvi k 1</w:t>
            </w:r>
            <w:r>
              <w:rPr>
                <w:rFonts w:cs="Arial"/>
                <w:szCs w:val="20"/>
              </w:rPr>
              <w:t>5</w:t>
            </w:r>
            <w:r w:rsidRPr="001A69E3">
              <w:rPr>
                <w:rFonts w:cs="Arial"/>
                <w:szCs w:val="20"/>
              </w:rPr>
              <w:t>. členu tega predloga zakona. Za prekršek se kaznujejo, če poročila o trajnostnosti ne predložijo AJPES na način in v rokih v skladu s prvim do četrtim odstavkom 70.d člen</w:t>
            </w:r>
            <w:r>
              <w:rPr>
                <w:rFonts w:cs="Arial"/>
                <w:szCs w:val="20"/>
              </w:rPr>
              <w:t>a</w:t>
            </w:r>
            <w:r w:rsidRPr="001A69E3">
              <w:rPr>
                <w:rFonts w:cs="Arial"/>
                <w:szCs w:val="20"/>
              </w:rPr>
              <w:t xml:space="preserve"> ZGD-1. </w:t>
            </w:r>
            <w:r>
              <w:rPr>
                <w:rFonts w:cs="Arial"/>
                <w:szCs w:val="20"/>
              </w:rPr>
              <w:t>Odvisna družba se tako lahko kaznuje za prekršek, če ne izpolni obveznosti predložitve</w:t>
            </w:r>
            <w:r>
              <w:t xml:space="preserve"> </w:t>
            </w:r>
            <w:r>
              <w:rPr>
                <w:rFonts w:cs="Arial"/>
                <w:szCs w:val="20"/>
              </w:rPr>
              <w:t>poročila</w:t>
            </w:r>
            <w:r>
              <w:t xml:space="preserve"> </w:t>
            </w:r>
            <w:r w:rsidRPr="001742D6">
              <w:rPr>
                <w:rFonts w:cs="Arial"/>
                <w:szCs w:val="20"/>
              </w:rPr>
              <w:t>o trajnostnosti v zvezi s tujim podjetjem iz tretje države</w:t>
            </w:r>
            <w:r>
              <w:rPr>
                <w:rFonts w:cs="Arial"/>
                <w:szCs w:val="20"/>
              </w:rPr>
              <w:t xml:space="preserve"> v zakonsko določenih primerih v določenem roku ter predložitve </w:t>
            </w:r>
            <w:r w:rsidRPr="00BA4C81">
              <w:rPr>
                <w:rFonts w:cs="Arial"/>
                <w:szCs w:val="20"/>
              </w:rPr>
              <w:t>mnenj</w:t>
            </w:r>
            <w:r>
              <w:rPr>
                <w:rFonts w:cs="Arial"/>
                <w:szCs w:val="20"/>
              </w:rPr>
              <w:t>a</w:t>
            </w:r>
            <w:r w:rsidRPr="00BA4C81">
              <w:rPr>
                <w:rFonts w:cs="Arial"/>
                <w:szCs w:val="20"/>
              </w:rPr>
              <w:t xml:space="preserve"> o skladnosti poročila o trajnostnosti s pravili trajnostnega poročanja</w:t>
            </w:r>
            <w:r>
              <w:rPr>
                <w:rFonts w:cs="Arial"/>
                <w:szCs w:val="20"/>
              </w:rPr>
              <w:t xml:space="preserve">, kar mora izvesti skladno z določenimi standardi in zagotoviti tudi prevod, kadar poročilo oziroma mnenje ni sestavljeno v slovenskem jeziku. Odvisna družba lahko namesto predložitve celotnega </w:t>
            </w:r>
            <w:r w:rsidRPr="003058A4">
              <w:rPr>
                <w:rFonts w:cs="Arial"/>
                <w:szCs w:val="20"/>
              </w:rPr>
              <w:t>poročil</w:t>
            </w:r>
            <w:r>
              <w:rPr>
                <w:rFonts w:cs="Arial"/>
                <w:szCs w:val="20"/>
              </w:rPr>
              <w:t>a</w:t>
            </w:r>
            <w:r w:rsidRPr="003058A4">
              <w:rPr>
                <w:rFonts w:cs="Arial"/>
                <w:szCs w:val="20"/>
              </w:rPr>
              <w:t xml:space="preserve"> o trajnostnosti v zvezi s tujim podjetjem iz tretje države </w:t>
            </w:r>
            <w:r>
              <w:rPr>
                <w:rFonts w:cs="Arial"/>
                <w:szCs w:val="20"/>
              </w:rPr>
              <w:t xml:space="preserve">predloži le delno poročilo in izjavo, da </w:t>
            </w:r>
            <w:r w:rsidRPr="00B81206">
              <w:rPr>
                <w:rFonts w:cs="Arial"/>
                <w:szCs w:val="20"/>
              </w:rPr>
              <w:t>poročilo ne vsebuje vseh zahtevanih informacij, ker ji jih njena obvladujoča družba ni predložila</w:t>
            </w:r>
            <w:r>
              <w:rPr>
                <w:rFonts w:cs="Arial"/>
                <w:szCs w:val="20"/>
              </w:rPr>
              <w:t xml:space="preserve">. Podobno lahko odvisna družba namesto predložitve </w:t>
            </w:r>
            <w:r w:rsidRPr="00B81206">
              <w:rPr>
                <w:rFonts w:cs="Arial"/>
                <w:szCs w:val="20"/>
              </w:rPr>
              <w:t xml:space="preserve">mnenja o skladnosti poročila o trajnostnosti s pravili trajnostnega poročanja </w:t>
            </w:r>
            <w:r>
              <w:rPr>
                <w:rFonts w:cs="Arial"/>
                <w:szCs w:val="20"/>
              </w:rPr>
              <w:t xml:space="preserve">predloži izjavo, da ji </w:t>
            </w:r>
            <w:r w:rsidRPr="00B81206">
              <w:rPr>
                <w:rFonts w:cs="Arial"/>
                <w:szCs w:val="20"/>
              </w:rPr>
              <w:t xml:space="preserve">obvladujoča družba </w:t>
            </w:r>
            <w:r>
              <w:rPr>
                <w:rFonts w:cs="Arial"/>
                <w:szCs w:val="20"/>
              </w:rPr>
              <w:t xml:space="preserve">tega mnenja </w:t>
            </w:r>
            <w:r w:rsidRPr="00B81206">
              <w:rPr>
                <w:rFonts w:cs="Arial"/>
                <w:szCs w:val="20"/>
              </w:rPr>
              <w:t>n</w:t>
            </w:r>
            <w:r>
              <w:rPr>
                <w:rFonts w:cs="Arial"/>
                <w:szCs w:val="20"/>
              </w:rPr>
              <w:t>i</w:t>
            </w:r>
            <w:r w:rsidRPr="00B81206">
              <w:rPr>
                <w:rFonts w:cs="Arial"/>
                <w:szCs w:val="20"/>
              </w:rPr>
              <w:t xml:space="preserve"> predloži</w:t>
            </w:r>
            <w:r>
              <w:rPr>
                <w:rFonts w:cs="Arial"/>
                <w:szCs w:val="20"/>
              </w:rPr>
              <w:t xml:space="preserve">la. </w:t>
            </w:r>
            <w:r w:rsidRPr="001A69E3">
              <w:rPr>
                <w:rFonts w:cs="Arial"/>
                <w:szCs w:val="20"/>
              </w:rPr>
              <w:t>Ker</w:t>
            </w:r>
            <w:r>
              <w:rPr>
                <w:rFonts w:cs="Arial"/>
                <w:szCs w:val="20"/>
              </w:rPr>
              <w:t xml:space="preserve"> je v šestem odstavku </w:t>
            </w:r>
            <w:r w:rsidRPr="001A69E3">
              <w:rPr>
                <w:rFonts w:cs="Arial"/>
                <w:szCs w:val="20"/>
              </w:rPr>
              <w:t>70.d člena</w:t>
            </w:r>
            <w:r>
              <w:rPr>
                <w:rFonts w:cs="Arial"/>
                <w:szCs w:val="20"/>
              </w:rPr>
              <w:t xml:space="preserve"> določena nova obveznost, in sicer da mora o</w:t>
            </w:r>
            <w:r w:rsidRPr="001A69E3">
              <w:rPr>
                <w:rFonts w:cs="Arial"/>
                <w:szCs w:val="20"/>
              </w:rPr>
              <w:t>dvisna družba, ki je zavezana pripraviti poročilo o trajnostnosti iz 70.c člena in ki jo obvladuje tuje podjetje iz tretje države, ob predložitvi letnega poročila predloži</w:t>
            </w:r>
            <w:r>
              <w:rPr>
                <w:rFonts w:cs="Arial"/>
                <w:szCs w:val="20"/>
              </w:rPr>
              <w:t>ti</w:t>
            </w:r>
            <w:r w:rsidRPr="001A69E3">
              <w:rPr>
                <w:rFonts w:cs="Arial"/>
                <w:szCs w:val="20"/>
              </w:rPr>
              <w:t xml:space="preserve"> AJPES tudi podatke o čistih prihodkih od prodaje, ki jih je obvladujoča družba na ravni skupine ustvarila v Republiki Sloveniji in Evropski uniji v vsakem od zadnjih dveh zaporednih poslovnih let</w:t>
            </w:r>
            <w:r>
              <w:rPr>
                <w:rFonts w:cs="Arial"/>
                <w:szCs w:val="20"/>
              </w:rPr>
              <w:t>, je treba kršitev te obveznosti prav tako opredeliti kot prekršek</w:t>
            </w:r>
            <w:r w:rsidRPr="001A69E3">
              <w:rPr>
                <w:rFonts w:cs="Arial"/>
                <w:szCs w:val="20"/>
              </w:rPr>
              <w:t>.</w:t>
            </w:r>
          </w:p>
          <w:p w14:paraId="6B6101A0" w14:textId="77777777" w:rsidR="000C08CA" w:rsidRPr="00605612" w:rsidRDefault="000C08CA" w:rsidP="00FE328D">
            <w:pPr>
              <w:spacing w:line="276" w:lineRule="auto"/>
              <w:jc w:val="both"/>
              <w:rPr>
                <w:rFonts w:cs="Arial"/>
                <w:szCs w:val="20"/>
              </w:rPr>
            </w:pPr>
          </w:p>
          <w:p w14:paraId="0388511D" w14:textId="77777777" w:rsidR="000C08CA" w:rsidRPr="00605612" w:rsidRDefault="000C08CA" w:rsidP="00FE328D">
            <w:pPr>
              <w:spacing w:line="276" w:lineRule="auto"/>
              <w:jc w:val="both"/>
              <w:rPr>
                <w:rFonts w:cs="Arial"/>
                <w:szCs w:val="20"/>
              </w:rPr>
            </w:pPr>
            <w:r w:rsidRPr="00605612">
              <w:rPr>
                <w:rFonts w:cs="Arial"/>
                <w:szCs w:val="20"/>
              </w:rPr>
              <w:t>V 1</w:t>
            </w:r>
            <w:r>
              <w:rPr>
                <w:rFonts w:cs="Arial"/>
                <w:szCs w:val="20"/>
              </w:rPr>
              <w:t>2</w:t>
            </w:r>
            <w:r w:rsidRPr="00605612">
              <w:rPr>
                <w:rFonts w:cs="Arial"/>
                <w:szCs w:val="20"/>
              </w:rPr>
              <w:t xml:space="preserve">. točki se na novo določa prekršek za družbe (registrirane v Republiki Sloveniji, ki obvladujejo družbe v skupini ali pa so samostojne družbe, ter tudi za odvisne družbe, ustanovljene v Republiki Sloveniji, ki jih obvladuje </w:t>
            </w:r>
            <w:r>
              <w:rPr>
                <w:rFonts w:cs="Arial"/>
                <w:szCs w:val="20"/>
              </w:rPr>
              <w:t>tuje podjetje</w:t>
            </w:r>
            <w:r w:rsidRPr="00605612">
              <w:rPr>
                <w:rFonts w:cs="Arial"/>
                <w:szCs w:val="20"/>
              </w:rPr>
              <w:t xml:space="preserve"> iz tretje države, za vse pa velja obveznost poročanja</w:t>
            </w:r>
            <w:r>
              <w:rPr>
                <w:rFonts w:cs="Arial"/>
                <w:color w:val="000000" w:themeColor="text1"/>
                <w:szCs w:val="20"/>
              </w:rPr>
              <w:t xml:space="preserve"> o davčnih informacijah</w:t>
            </w:r>
            <w:r w:rsidRPr="00605612">
              <w:rPr>
                <w:rFonts w:cs="Arial"/>
                <w:szCs w:val="20"/>
              </w:rPr>
              <w:t xml:space="preserve"> v zvezi z dohodki), če ne </w:t>
            </w:r>
            <w:r>
              <w:rPr>
                <w:rFonts w:cs="Arial"/>
                <w:color w:val="000000" w:themeColor="text1"/>
                <w:szCs w:val="20"/>
              </w:rPr>
              <w:t xml:space="preserve">predložijo in </w:t>
            </w:r>
            <w:r w:rsidRPr="00605612">
              <w:rPr>
                <w:rFonts w:cs="Arial"/>
                <w:szCs w:val="20"/>
              </w:rPr>
              <w:t>objavijo poročila</w:t>
            </w:r>
            <w:r>
              <w:rPr>
                <w:rFonts w:cs="Arial"/>
                <w:color w:val="000000" w:themeColor="text1"/>
                <w:szCs w:val="20"/>
              </w:rPr>
              <w:t xml:space="preserve"> o davčnih informacijah</w:t>
            </w:r>
            <w:r w:rsidRPr="00605612">
              <w:rPr>
                <w:rFonts w:cs="Arial"/>
                <w:szCs w:val="20"/>
              </w:rPr>
              <w:t xml:space="preserve"> v zvezi z dohodki na svoji javnosti brezplačno dostopni spletni strani</w:t>
            </w:r>
            <w:r w:rsidRPr="00605612" w:rsidDel="00014EF8">
              <w:rPr>
                <w:rFonts w:cs="Arial"/>
                <w:szCs w:val="20"/>
              </w:rPr>
              <w:t>,</w:t>
            </w:r>
            <w:r w:rsidRPr="00605612">
              <w:rPr>
                <w:rFonts w:cs="Arial"/>
                <w:szCs w:val="20"/>
              </w:rPr>
              <w:t xml:space="preserve"> v </w:t>
            </w:r>
            <w:r w:rsidRPr="00605612" w:rsidDel="00014EF8">
              <w:rPr>
                <w:rFonts w:cs="Arial"/>
                <w:szCs w:val="20"/>
              </w:rPr>
              <w:t xml:space="preserve">roku </w:t>
            </w:r>
            <w:r w:rsidRPr="00605612">
              <w:rPr>
                <w:rFonts w:cs="Arial"/>
                <w:szCs w:val="20"/>
              </w:rPr>
              <w:t>12 mesecev po koncu poslovnega leta</w:t>
            </w:r>
            <w:r w:rsidRPr="00605612" w:rsidDel="009E0624">
              <w:rPr>
                <w:rFonts w:cs="Arial"/>
                <w:szCs w:val="20"/>
              </w:rPr>
              <w:t xml:space="preserve">, </w:t>
            </w:r>
            <w:r w:rsidRPr="00605612">
              <w:rPr>
                <w:rFonts w:cs="Arial"/>
                <w:szCs w:val="20"/>
              </w:rPr>
              <w:t xml:space="preserve">kjer mora biti brezplačno dostopno najmanj pet zaporednih let. Pri odvisnih družbah, </w:t>
            </w:r>
            <w:r>
              <w:rPr>
                <w:rFonts w:cs="Arial"/>
                <w:szCs w:val="20"/>
              </w:rPr>
              <w:t xml:space="preserve">ki jih </w:t>
            </w:r>
            <w:r w:rsidRPr="00605612">
              <w:rPr>
                <w:rFonts w:cs="Arial"/>
                <w:szCs w:val="20"/>
              </w:rPr>
              <w:t>ustanov</w:t>
            </w:r>
            <w:r>
              <w:rPr>
                <w:rFonts w:cs="Arial"/>
                <w:szCs w:val="20"/>
              </w:rPr>
              <w:t>ijo</w:t>
            </w:r>
            <w:r w:rsidRPr="00605612">
              <w:rPr>
                <w:rFonts w:cs="Arial"/>
                <w:szCs w:val="20"/>
              </w:rPr>
              <w:t xml:space="preserve"> </w:t>
            </w:r>
            <w:r>
              <w:rPr>
                <w:rFonts w:cs="Arial"/>
                <w:szCs w:val="20"/>
              </w:rPr>
              <w:t>tuja podjetja</w:t>
            </w:r>
            <w:r w:rsidRPr="00605612">
              <w:rPr>
                <w:rFonts w:cs="Arial"/>
                <w:szCs w:val="20"/>
              </w:rPr>
              <w:t xml:space="preserve"> iz tretjih držav, zadostuje, da je poročilo objavljeno na javnosti dostopni spletni strani katere koli odvisne ali povezane družbe v skupini, na katero se poročilo nanaša. Ob poročilu je obvezno treba objaviti tudi izjavo, v kateri družba navede, da poročilo ne vsebuje vseh zahtevanih podatkov, ker ji jih njena obvladujoča družba ni predložila.</w:t>
            </w:r>
          </w:p>
          <w:p w14:paraId="1F9C6DEC" w14:textId="77777777" w:rsidR="000C08CA" w:rsidRPr="00605612" w:rsidRDefault="000C08CA" w:rsidP="00FE328D">
            <w:pPr>
              <w:spacing w:line="276" w:lineRule="auto"/>
              <w:jc w:val="both"/>
              <w:rPr>
                <w:rFonts w:cs="Arial"/>
                <w:szCs w:val="20"/>
              </w:rPr>
            </w:pPr>
          </w:p>
          <w:p w14:paraId="4F31CCE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lastRenderedPageBreak/>
              <w:t xml:space="preserve">Z Direktivo 2022/2381/EU so predvidene tudi sankcije, ki naj bi bile učinkovite, sorazmerne in odvračilne. Sankcije so predvidene za kršitve določil v zvezi z izbirnim postopkom kandidatov za imenovanje v organe družb, obveznostjo določitve </w:t>
            </w:r>
            <w:r>
              <w:rPr>
                <w:rFonts w:cs="Arial"/>
                <w:szCs w:val="20"/>
                <w:lang w:eastAsia="sl-SI"/>
              </w:rPr>
              <w:t xml:space="preserve">ciljnega </w:t>
            </w:r>
            <w:r w:rsidRPr="00605612">
              <w:rPr>
                <w:rFonts w:cs="Arial"/>
                <w:szCs w:val="20"/>
                <w:lang w:eastAsia="sl-SI"/>
              </w:rPr>
              <w:t xml:space="preserve">deleža </w:t>
            </w:r>
            <w:r w:rsidRPr="00F032EA">
              <w:rPr>
                <w:rFonts w:cs="Arial"/>
                <w:szCs w:val="20"/>
                <w:lang w:eastAsia="sl-SI"/>
              </w:rPr>
              <w:t xml:space="preserve">uravnotežene </w:t>
            </w:r>
            <w:r w:rsidRPr="00605612">
              <w:rPr>
                <w:rFonts w:cs="Arial"/>
                <w:szCs w:val="20"/>
                <w:lang w:eastAsia="sl-SI"/>
              </w:rPr>
              <w:t xml:space="preserve">zastopanosti </w:t>
            </w:r>
            <w:r w:rsidRPr="00F032EA">
              <w:rPr>
                <w:rFonts w:cs="Arial"/>
                <w:szCs w:val="20"/>
                <w:lang w:eastAsia="sl-SI"/>
              </w:rPr>
              <w:t xml:space="preserve">spolov </w:t>
            </w:r>
            <w:r w:rsidRPr="00605612">
              <w:rPr>
                <w:rFonts w:cs="Arial"/>
                <w:szCs w:val="20"/>
                <w:lang w:eastAsia="sl-SI"/>
              </w:rPr>
              <w:t>za osebe</w:t>
            </w:r>
            <w:r>
              <w:rPr>
                <w:rFonts w:cs="Arial"/>
                <w:szCs w:val="20"/>
                <w:lang w:eastAsia="sl-SI"/>
              </w:rPr>
              <w:t>,</w:t>
            </w:r>
            <w:r w:rsidRPr="00605612">
              <w:rPr>
                <w:rFonts w:cs="Arial"/>
                <w:szCs w:val="20"/>
                <w:lang w:eastAsia="sl-SI"/>
              </w:rPr>
              <w:t xml:space="preserve"> odgovorne za vodenje poslov družbe in obveznostjo poročanja. Direktiva 2022/2381/EU dopušča državam članicam določitev različnih vrst sankcij, in sicer te lahko vključujejo globe, možnost razveljavitve odločitve o izboru direktorja ali, da tako odločitev razglasijo za nično.</w:t>
            </w:r>
            <w:r w:rsidRPr="00605612">
              <w:rPr>
                <w:rFonts w:cs="Arial"/>
                <w:color w:val="000000"/>
                <w:szCs w:val="20"/>
                <w:lang w:eastAsia="sl-SI"/>
              </w:rPr>
              <w:t> </w:t>
            </w:r>
            <w:r w:rsidRPr="00605612">
              <w:rPr>
                <w:rFonts w:cs="Arial"/>
                <w:szCs w:val="20"/>
                <w:lang w:eastAsia="sl-SI"/>
              </w:rPr>
              <w:t xml:space="preserve">Nove </w:t>
            </w:r>
            <w:r>
              <w:rPr>
                <w:rFonts w:cs="Arial"/>
                <w:szCs w:val="20"/>
                <w:lang w:eastAsia="sl-SI"/>
              </w:rPr>
              <w:t>38</w:t>
            </w:r>
            <w:r w:rsidRPr="00605612">
              <w:rPr>
                <w:rFonts w:cs="Arial"/>
                <w:szCs w:val="20"/>
                <w:lang w:eastAsia="sl-SI"/>
              </w:rPr>
              <w:t>., 39. in 4</w:t>
            </w:r>
            <w:r>
              <w:rPr>
                <w:rFonts w:cs="Arial"/>
                <w:szCs w:val="20"/>
                <w:lang w:eastAsia="sl-SI"/>
              </w:rPr>
              <w:t>0</w:t>
            </w:r>
            <w:r w:rsidRPr="00605612">
              <w:rPr>
                <w:rFonts w:cs="Arial"/>
                <w:szCs w:val="20"/>
                <w:lang w:eastAsia="sl-SI"/>
              </w:rPr>
              <w:t>. točka so predmet prenosa 8. člena Direktive 2022/2381/EU, ki nalaga državam članicam, da določijo sankcije z</w:t>
            </w:r>
            <w:r w:rsidRPr="00605612">
              <w:rPr>
                <w:rFonts w:cs="Arial"/>
                <w:color w:val="000000"/>
                <w:szCs w:val="20"/>
                <w:lang w:eastAsia="sl-SI"/>
              </w:rPr>
              <w:t xml:space="preserve">a kršitvi, če družba ne določi deleža </w:t>
            </w:r>
            <w:r>
              <w:rPr>
                <w:rFonts w:cs="Arial"/>
                <w:color w:val="000000"/>
                <w:szCs w:val="20"/>
                <w:lang w:eastAsia="sl-SI"/>
              </w:rPr>
              <w:t xml:space="preserve">glede </w:t>
            </w:r>
            <w:r w:rsidRPr="00605612">
              <w:rPr>
                <w:rFonts w:cs="Arial"/>
                <w:color w:val="000000"/>
                <w:szCs w:val="20"/>
                <w:lang w:eastAsia="sl-SI"/>
              </w:rPr>
              <w:t>zastopanosti manj zastopanega spola med osebami</w:t>
            </w:r>
            <w:r>
              <w:rPr>
                <w:rFonts w:cs="Arial"/>
                <w:color w:val="000000"/>
                <w:szCs w:val="20"/>
                <w:lang w:eastAsia="sl-SI"/>
              </w:rPr>
              <w:t xml:space="preserve">, </w:t>
            </w:r>
            <w:r w:rsidRPr="00605612">
              <w:rPr>
                <w:rFonts w:cs="Arial"/>
                <w:color w:val="000000"/>
                <w:szCs w:val="20"/>
                <w:lang w:eastAsia="sl-SI"/>
              </w:rPr>
              <w:t>odgovornimi za vodenje poslov družbe (izvršnimi direktorji)</w:t>
            </w:r>
            <w:r>
              <w:rPr>
                <w:rFonts w:cs="Arial"/>
                <w:color w:val="000000"/>
                <w:szCs w:val="20"/>
                <w:lang w:eastAsia="sl-SI"/>
              </w:rPr>
              <w:t>, ki ga namerava doseči</w:t>
            </w:r>
            <w:r w:rsidRPr="00605612">
              <w:rPr>
                <w:rFonts w:cs="Arial"/>
                <w:color w:val="000000"/>
                <w:szCs w:val="20"/>
                <w:lang w:eastAsia="sl-SI"/>
              </w:rPr>
              <w:t xml:space="preserve"> in v primeru neizpolnjevanja deležev, če ne upošteva določila glede izbirnih postopkov kandidatov</w:t>
            </w:r>
            <w:r w:rsidRPr="00605612">
              <w:rPr>
                <w:rFonts w:cs="Arial"/>
                <w:szCs w:val="20"/>
                <w:lang w:eastAsia="sl-SI"/>
              </w:rPr>
              <w:t xml:space="preserve"> za imenovanje članov organa nadzora ali vodenja ali izvršnih direktorjev</w:t>
            </w:r>
            <w:r w:rsidRPr="00605612">
              <w:rPr>
                <w:rFonts w:cs="Arial"/>
                <w:color w:val="000000"/>
                <w:szCs w:val="20"/>
                <w:lang w:eastAsia="sl-SI"/>
              </w:rPr>
              <w:t xml:space="preserve">.  V </w:t>
            </w:r>
            <w:r w:rsidRPr="00605612">
              <w:rPr>
                <w:rFonts w:cs="Arial"/>
                <w:szCs w:val="20"/>
                <w:lang w:eastAsia="sl-SI"/>
              </w:rPr>
              <w:t>3</w:t>
            </w:r>
            <w:r>
              <w:rPr>
                <w:rFonts w:cs="Arial"/>
                <w:szCs w:val="20"/>
                <w:lang w:eastAsia="sl-SI"/>
              </w:rPr>
              <w:t>8</w:t>
            </w:r>
            <w:r w:rsidRPr="00605612">
              <w:rPr>
                <w:rFonts w:cs="Arial"/>
                <w:szCs w:val="20"/>
                <w:lang w:eastAsia="sl-SI"/>
              </w:rPr>
              <w:t>. točki je predvidena sankcija, če družba zavezanka ne določi deleža zastopanosti manj zastopanega spola v organih vodenja in nadzora ter med izvršnimi direktorji</w:t>
            </w:r>
            <w:r>
              <w:rPr>
                <w:rFonts w:cs="Arial"/>
                <w:szCs w:val="20"/>
                <w:lang w:eastAsia="sl-SI"/>
              </w:rPr>
              <w:t>, ki ga namerava izpolnjevati v</w:t>
            </w:r>
            <w:r w:rsidRPr="00605612">
              <w:rPr>
                <w:rFonts w:cs="Arial"/>
                <w:szCs w:val="20"/>
                <w:lang w:eastAsia="sl-SI"/>
              </w:rPr>
              <w:t xml:space="preserve"> sklad</w:t>
            </w:r>
            <w:r>
              <w:rPr>
                <w:rFonts w:cs="Arial"/>
                <w:szCs w:val="20"/>
                <w:lang w:eastAsia="sl-SI"/>
              </w:rPr>
              <w:t>u</w:t>
            </w:r>
            <w:r w:rsidRPr="00605612">
              <w:rPr>
                <w:rFonts w:cs="Arial"/>
                <w:szCs w:val="20"/>
                <w:lang w:eastAsia="sl-SI"/>
              </w:rPr>
              <w:t xml:space="preserve"> z drugim odstavkom 254.c člen</w:t>
            </w:r>
            <w:r>
              <w:rPr>
                <w:rFonts w:cs="Arial"/>
                <w:szCs w:val="20"/>
                <w:lang w:eastAsia="sl-SI"/>
              </w:rPr>
              <w:t>a</w:t>
            </w:r>
            <w:r w:rsidRPr="00605612">
              <w:rPr>
                <w:rFonts w:cs="Arial"/>
                <w:szCs w:val="20"/>
                <w:lang w:eastAsia="sl-SI"/>
              </w:rPr>
              <w:t xml:space="preserve">. </w:t>
            </w:r>
            <w:r>
              <w:rPr>
                <w:rFonts w:cs="Arial"/>
                <w:szCs w:val="20"/>
                <w:lang w:eastAsia="sl-SI"/>
              </w:rPr>
              <w:t>G</w:t>
            </w:r>
            <w:r w:rsidRPr="00605612">
              <w:rPr>
                <w:rFonts w:cs="Arial"/>
                <w:szCs w:val="20"/>
                <w:lang w:eastAsia="sl-SI"/>
              </w:rPr>
              <w:t xml:space="preserve">lede na to, da si bo družba lahko izbrala, kateri </w:t>
            </w:r>
            <w:r>
              <w:rPr>
                <w:rFonts w:cs="Arial"/>
                <w:szCs w:val="20"/>
                <w:lang w:eastAsia="sl-SI"/>
              </w:rPr>
              <w:t>delež</w:t>
            </w:r>
            <w:r w:rsidRPr="00605612">
              <w:rPr>
                <w:rFonts w:cs="Arial"/>
                <w:szCs w:val="20"/>
                <w:lang w:eastAsia="sl-SI"/>
              </w:rPr>
              <w:t xml:space="preserve"> bo dosegla glede </w:t>
            </w:r>
            <w:r w:rsidRPr="00F032EA">
              <w:rPr>
                <w:rFonts w:cs="Arial"/>
                <w:szCs w:val="20"/>
                <w:lang w:eastAsia="sl-SI"/>
              </w:rPr>
              <w:t xml:space="preserve">uravnotežene </w:t>
            </w:r>
            <w:r w:rsidRPr="00605612">
              <w:rPr>
                <w:rFonts w:cs="Arial"/>
                <w:szCs w:val="20"/>
                <w:lang w:eastAsia="sl-SI"/>
              </w:rPr>
              <w:t xml:space="preserve">zastopanosti </w:t>
            </w:r>
            <w:r w:rsidRPr="00F032EA">
              <w:rPr>
                <w:rFonts w:cs="Arial"/>
                <w:szCs w:val="20"/>
                <w:lang w:eastAsia="sl-SI"/>
              </w:rPr>
              <w:t xml:space="preserve">spolov </w:t>
            </w:r>
            <w:r w:rsidRPr="00605612">
              <w:rPr>
                <w:rFonts w:cs="Arial"/>
                <w:szCs w:val="20"/>
                <w:lang w:eastAsia="sl-SI"/>
              </w:rPr>
              <w:t xml:space="preserve">med člani organov vodenja in nadzora ter izvršnimi direktorji, mora to določiti v politiki raznolikosti. Če se družba odloči, da bo izpolnjevala </w:t>
            </w:r>
            <w:r>
              <w:rPr>
                <w:rFonts w:cs="Arial"/>
                <w:szCs w:val="20"/>
                <w:lang w:eastAsia="sl-SI"/>
              </w:rPr>
              <w:t>delež</w:t>
            </w:r>
            <w:r w:rsidRPr="00605612">
              <w:rPr>
                <w:rFonts w:cs="Arial"/>
                <w:szCs w:val="20"/>
                <w:lang w:eastAsia="sl-SI"/>
              </w:rPr>
              <w:t xml:space="preserve"> 40</w:t>
            </w:r>
            <w:r>
              <w:rPr>
                <w:rFonts w:cs="Arial"/>
                <w:szCs w:val="20"/>
                <w:lang w:eastAsia="sl-SI"/>
              </w:rPr>
              <w:t xml:space="preserve">-odstotne </w:t>
            </w:r>
            <w:r w:rsidRPr="00605612">
              <w:rPr>
                <w:rFonts w:cs="Arial"/>
                <w:szCs w:val="20"/>
                <w:lang w:eastAsia="sl-SI"/>
              </w:rPr>
              <w:t xml:space="preserve">zastopanosti manj zastopanega spola med člani organov nadzora (neizvršnimi direktorji), si mora družba zastaviti </w:t>
            </w:r>
            <w:r>
              <w:rPr>
                <w:rFonts w:cs="Arial"/>
                <w:szCs w:val="20"/>
                <w:lang w:eastAsia="sl-SI"/>
              </w:rPr>
              <w:t>tudi delež</w:t>
            </w:r>
            <w:r w:rsidRPr="00605612">
              <w:rPr>
                <w:rFonts w:cs="Arial"/>
                <w:szCs w:val="20"/>
                <w:lang w:eastAsia="sl-SI"/>
              </w:rPr>
              <w:t xml:space="preserve"> glede zastopanosti manj zastopanega spola med člani organov vodenja ter izvršnimi direktorji (v enotirnih sistemih upravljanja)</w:t>
            </w:r>
            <w:r>
              <w:rPr>
                <w:rFonts w:cs="Arial"/>
                <w:szCs w:val="20"/>
                <w:lang w:eastAsia="sl-SI"/>
              </w:rPr>
              <w:t>, ki ga namerava izpolnjevati</w:t>
            </w:r>
            <w:r w:rsidRPr="00605612">
              <w:rPr>
                <w:rFonts w:cs="Arial"/>
                <w:szCs w:val="20"/>
                <w:lang w:eastAsia="sl-SI"/>
              </w:rPr>
              <w:t xml:space="preserve">. V </w:t>
            </w:r>
            <w:r>
              <w:rPr>
                <w:rFonts w:cs="Arial"/>
                <w:szCs w:val="20"/>
                <w:lang w:eastAsia="sl-SI"/>
              </w:rPr>
              <w:t>39</w:t>
            </w:r>
            <w:r w:rsidRPr="00605612">
              <w:rPr>
                <w:rFonts w:cs="Arial"/>
                <w:szCs w:val="20"/>
                <w:lang w:eastAsia="sl-SI"/>
              </w:rPr>
              <w:t>. točki je predvidena kršitev, če družba zavezanka v primeru neizpolnjevanja deležev v izbirnem postopku za imenovanje članov organov vodenja in nadzora ter izvršnih direktorjev ob enakem izpolnjevanju predpisanih meril in pogojev v nasprotju s prvim odstavkom 254.č členom tega zakona ne da prednosti osebi manj zastopanega spola. V 4</w:t>
            </w:r>
            <w:r>
              <w:rPr>
                <w:rFonts w:cs="Arial"/>
                <w:szCs w:val="20"/>
                <w:lang w:eastAsia="sl-SI"/>
              </w:rPr>
              <w:t>0</w:t>
            </w:r>
            <w:r w:rsidRPr="00605612">
              <w:rPr>
                <w:rFonts w:cs="Arial"/>
                <w:szCs w:val="20"/>
                <w:lang w:eastAsia="sl-SI"/>
              </w:rPr>
              <w:t>. točki je določen prekršek, če družba zavezanka v primeru neizpolnjevanja deležev pred začetkom izbirnega postopka ne določi jasnih, nevtralnih in nedvoumnih meril ter pogojev za imenovanje člana organa vodenja ali nadzora ali izvršnega direktorja skladno z drugim odstavkom 254.č člena tega zakona.</w:t>
            </w:r>
          </w:p>
          <w:p w14:paraId="448E8F69" w14:textId="77777777" w:rsidR="000C08CA" w:rsidRPr="00605612" w:rsidRDefault="000C08CA" w:rsidP="00FE328D">
            <w:pPr>
              <w:spacing w:line="276" w:lineRule="auto"/>
              <w:jc w:val="both"/>
              <w:rPr>
                <w:rFonts w:cs="Arial"/>
                <w:szCs w:val="20"/>
              </w:rPr>
            </w:pPr>
          </w:p>
          <w:p w14:paraId="2C2092A7" w14:textId="77777777" w:rsidR="000C08CA" w:rsidRPr="00605612" w:rsidRDefault="000C08CA" w:rsidP="00FE328D">
            <w:pPr>
              <w:spacing w:line="276" w:lineRule="auto"/>
              <w:jc w:val="both"/>
              <w:rPr>
                <w:rFonts w:cs="Arial"/>
                <w:b/>
                <w:bCs/>
                <w:szCs w:val="20"/>
              </w:rPr>
            </w:pPr>
            <w:r w:rsidRPr="00605612">
              <w:rPr>
                <w:rFonts w:cs="Arial"/>
                <w:b/>
                <w:bCs/>
                <w:szCs w:val="20"/>
              </w:rPr>
              <w:t>K 2</w:t>
            </w:r>
            <w:r>
              <w:rPr>
                <w:rFonts w:cs="Arial"/>
                <w:b/>
                <w:bCs/>
                <w:szCs w:val="20"/>
              </w:rPr>
              <w:t>8</w:t>
            </w:r>
            <w:r w:rsidRPr="00605612">
              <w:rPr>
                <w:rFonts w:cs="Arial"/>
                <w:b/>
                <w:bCs/>
                <w:szCs w:val="20"/>
              </w:rPr>
              <w:t>. členu</w:t>
            </w:r>
          </w:p>
          <w:p w14:paraId="78A6CC88" w14:textId="77777777" w:rsidR="000C08CA" w:rsidRPr="00605612" w:rsidRDefault="000C08CA" w:rsidP="00FE328D">
            <w:pPr>
              <w:spacing w:line="276" w:lineRule="auto"/>
              <w:jc w:val="both"/>
              <w:rPr>
                <w:rFonts w:cs="Arial"/>
                <w:szCs w:val="20"/>
              </w:rPr>
            </w:pPr>
          </w:p>
          <w:p w14:paraId="320182A1" w14:textId="77777777" w:rsidR="000C08CA" w:rsidRPr="00605612" w:rsidRDefault="000C08CA" w:rsidP="00FE328D">
            <w:pPr>
              <w:spacing w:line="276" w:lineRule="auto"/>
              <w:jc w:val="both"/>
              <w:textAlignment w:val="baseline"/>
              <w:rPr>
                <w:rFonts w:cs="Arial"/>
                <w:szCs w:val="20"/>
                <w:lang w:eastAsia="sl-SI"/>
              </w:rPr>
            </w:pPr>
            <w:r w:rsidRPr="00605612">
              <w:rPr>
                <w:rFonts w:cs="Arial"/>
                <w:color w:val="000000"/>
                <w:szCs w:val="20"/>
                <w:lang w:eastAsia="sl-SI"/>
              </w:rPr>
              <w:t xml:space="preserve">Dopolnjen je 686.a člen ZGD-1, v katerem so določeni drugi prekrški družb, vezani predvsem na poročanje družb. Direktiva 2022/2381/EU v 8. členu nalaga državam članicam, da določijo sankcije vezane na kršitev glede poročanja oziroma, če družba ne objavi zahtevanih podatkov o deležu zastopanosti spolov med osebami odgovornimi za vodenje in nadziranje poslov družbe ter po potrebi drugih podatkov. V novi </w:t>
            </w:r>
            <w:r w:rsidRPr="00605612">
              <w:rPr>
                <w:rFonts w:cs="Arial"/>
                <w:szCs w:val="20"/>
                <w:lang w:eastAsia="sl-SI"/>
              </w:rPr>
              <w:t xml:space="preserve">3. točki je določen prekršek, če družba zavezanka v izjavi o upravljanju ne objavi podatkov iz prvega odstavka 254.e člena tega zakona. Družbe so zavezane, da objavijo podatke o deležu zastopanosti posameznega spola med neizvršnimi in izvršnimi direktorji, o sprejetih ukrepih za doseganje deležev, ki si jih sama določi v politiki raznolikosti na podlagi zakona in morebitnih razlogih, če tako določenih deležev ne dosega, z opisom ukrepov, ki jih je družba izvedla oziroma jih namerava izvesti za njihovo izpolnitev. V novi 4. točki je določen prekršek, če družba zavezanka ne objavi podatkov na svoji spletni strani skladno z drugim odstavkom 254.e člena tega zakona. Za prekršek glede poročanja je </w:t>
            </w:r>
            <w:r w:rsidRPr="00605612">
              <w:rPr>
                <w:rFonts w:cs="Arial"/>
                <w:color w:val="000000"/>
                <w:szCs w:val="20"/>
                <w:lang w:eastAsia="sl-SI"/>
              </w:rPr>
              <w:t>predvidena globa od</w:t>
            </w:r>
            <w:r w:rsidRPr="00605612" w:rsidDel="00C925DC">
              <w:rPr>
                <w:rFonts w:cs="Arial"/>
                <w:color w:val="000000"/>
                <w:szCs w:val="20"/>
                <w:lang w:eastAsia="sl-SI"/>
              </w:rPr>
              <w:t xml:space="preserve"> </w:t>
            </w:r>
            <w:r w:rsidRPr="00605612">
              <w:rPr>
                <w:rFonts w:cs="Arial"/>
                <w:color w:val="000000"/>
                <w:szCs w:val="20"/>
                <w:lang w:eastAsia="sl-SI"/>
              </w:rPr>
              <w:t>2</w:t>
            </w:r>
            <w:r>
              <w:rPr>
                <w:rFonts w:cs="Arial"/>
                <w:color w:val="000000"/>
                <w:szCs w:val="20"/>
                <w:lang w:eastAsia="sl-SI"/>
              </w:rPr>
              <w:t>.</w:t>
            </w:r>
            <w:r w:rsidRPr="00605612">
              <w:rPr>
                <w:rFonts w:cs="Arial"/>
                <w:color w:val="000000"/>
                <w:szCs w:val="20"/>
                <w:lang w:eastAsia="sl-SI"/>
              </w:rPr>
              <w:t xml:space="preserve">000 do </w:t>
            </w:r>
            <w:r w:rsidRPr="00605612" w:rsidDel="00C925DC">
              <w:rPr>
                <w:rFonts w:cs="Arial"/>
                <w:color w:val="000000"/>
                <w:szCs w:val="20"/>
                <w:lang w:eastAsia="sl-SI"/>
              </w:rPr>
              <w:t>10</w:t>
            </w:r>
            <w:r>
              <w:rPr>
                <w:rFonts w:cs="Arial"/>
                <w:color w:val="000000"/>
                <w:szCs w:val="20"/>
                <w:lang w:eastAsia="sl-SI"/>
              </w:rPr>
              <w:t>.</w:t>
            </w:r>
            <w:r w:rsidRPr="00605612">
              <w:rPr>
                <w:rFonts w:cs="Arial"/>
                <w:color w:val="000000"/>
                <w:szCs w:val="20"/>
                <w:lang w:eastAsia="sl-SI"/>
              </w:rPr>
              <w:t xml:space="preserve">000 </w:t>
            </w:r>
            <w:r>
              <w:rPr>
                <w:rFonts w:cs="Arial"/>
                <w:color w:val="000000"/>
                <w:szCs w:val="20"/>
                <w:lang w:eastAsia="sl-SI"/>
              </w:rPr>
              <w:t>EUR</w:t>
            </w:r>
            <w:r w:rsidRPr="00605612">
              <w:rPr>
                <w:rFonts w:cs="Arial"/>
                <w:color w:val="000000"/>
                <w:szCs w:val="20"/>
                <w:lang w:eastAsia="sl-SI"/>
              </w:rPr>
              <w:t xml:space="preserve"> za družbo in od 300 do 4</w:t>
            </w:r>
            <w:r>
              <w:rPr>
                <w:rFonts w:cs="Arial"/>
                <w:color w:val="000000"/>
                <w:szCs w:val="20"/>
                <w:lang w:eastAsia="sl-SI"/>
              </w:rPr>
              <w:t>.</w:t>
            </w:r>
            <w:r w:rsidRPr="00605612">
              <w:rPr>
                <w:rFonts w:cs="Arial"/>
                <w:color w:val="000000"/>
                <w:szCs w:val="20"/>
                <w:lang w:eastAsia="sl-SI"/>
              </w:rPr>
              <w:t xml:space="preserve">000 </w:t>
            </w:r>
            <w:r>
              <w:rPr>
                <w:rFonts w:cs="Arial"/>
                <w:color w:val="000000"/>
                <w:szCs w:val="20"/>
                <w:lang w:eastAsia="sl-SI"/>
              </w:rPr>
              <w:t>EUR</w:t>
            </w:r>
            <w:r w:rsidRPr="00605612">
              <w:rPr>
                <w:rFonts w:cs="Arial"/>
                <w:color w:val="000000"/>
                <w:szCs w:val="20"/>
                <w:lang w:eastAsia="sl-SI"/>
              </w:rPr>
              <w:t xml:space="preserve"> za odgovorno osebo. </w:t>
            </w:r>
          </w:p>
          <w:p w14:paraId="7EFD32D3" w14:textId="77777777" w:rsidR="000C08CA" w:rsidRPr="00605612" w:rsidRDefault="000C08CA" w:rsidP="00FE328D">
            <w:pPr>
              <w:spacing w:line="276" w:lineRule="auto"/>
              <w:jc w:val="both"/>
              <w:rPr>
                <w:rFonts w:cs="Arial"/>
                <w:b/>
                <w:szCs w:val="20"/>
              </w:rPr>
            </w:pPr>
          </w:p>
          <w:p w14:paraId="5293CEC6" w14:textId="77777777" w:rsidR="000C08CA" w:rsidRPr="00605612" w:rsidRDefault="000C08CA" w:rsidP="00FE328D">
            <w:pPr>
              <w:spacing w:line="276" w:lineRule="auto"/>
              <w:jc w:val="both"/>
              <w:rPr>
                <w:rFonts w:cs="Arial"/>
                <w:szCs w:val="20"/>
              </w:rPr>
            </w:pPr>
            <w:r w:rsidRPr="00605612">
              <w:rPr>
                <w:rFonts w:cs="Arial"/>
                <w:szCs w:val="20"/>
              </w:rPr>
              <w:t>Zaradi novega drugega odstavka 58. člena ZGD-1 je treba v 1. točki prvega odstavka 686.a člena ZGD-1 spremeniti sklic na  drugi, po novem tretji odstavek 58. člena ZGD-1.</w:t>
            </w:r>
          </w:p>
          <w:p w14:paraId="0B70612B" w14:textId="77777777" w:rsidR="000C08CA" w:rsidRPr="00605612" w:rsidRDefault="000C08CA" w:rsidP="00FE328D">
            <w:pPr>
              <w:spacing w:line="276" w:lineRule="auto"/>
              <w:jc w:val="both"/>
              <w:rPr>
                <w:rFonts w:cs="Arial"/>
                <w:b/>
                <w:bCs/>
                <w:szCs w:val="20"/>
              </w:rPr>
            </w:pPr>
          </w:p>
          <w:p w14:paraId="714C5CED" w14:textId="77777777" w:rsidR="000C08CA" w:rsidRPr="00605612" w:rsidRDefault="000C08CA" w:rsidP="00FE328D">
            <w:pPr>
              <w:spacing w:line="276" w:lineRule="auto"/>
              <w:jc w:val="both"/>
              <w:rPr>
                <w:rFonts w:cs="Arial"/>
                <w:b/>
                <w:szCs w:val="20"/>
              </w:rPr>
            </w:pPr>
            <w:r w:rsidRPr="00605612">
              <w:rPr>
                <w:rFonts w:cs="Arial"/>
                <w:b/>
                <w:szCs w:val="20"/>
              </w:rPr>
              <w:t>K 2</w:t>
            </w:r>
            <w:r>
              <w:rPr>
                <w:rFonts w:cs="Arial"/>
                <w:b/>
                <w:szCs w:val="20"/>
              </w:rPr>
              <w:t>9</w:t>
            </w:r>
            <w:r w:rsidRPr="00605612">
              <w:rPr>
                <w:rFonts w:cs="Arial"/>
                <w:b/>
                <w:szCs w:val="20"/>
              </w:rPr>
              <w:t>. členu</w:t>
            </w:r>
          </w:p>
          <w:p w14:paraId="1995D3AE" w14:textId="77777777" w:rsidR="000C08CA" w:rsidRPr="00605612" w:rsidRDefault="000C08CA" w:rsidP="00FE328D">
            <w:pPr>
              <w:spacing w:line="276" w:lineRule="auto"/>
              <w:jc w:val="both"/>
              <w:rPr>
                <w:rFonts w:cs="Arial"/>
                <w:szCs w:val="20"/>
              </w:rPr>
            </w:pPr>
          </w:p>
          <w:p w14:paraId="23E67D20" w14:textId="77777777" w:rsidR="000C08CA" w:rsidRDefault="000C08CA" w:rsidP="00FE328D">
            <w:pPr>
              <w:spacing w:line="276" w:lineRule="auto"/>
              <w:jc w:val="both"/>
              <w:rPr>
                <w:rFonts w:cs="Arial"/>
                <w:szCs w:val="20"/>
              </w:rPr>
            </w:pPr>
            <w:bookmarkStart w:id="75" w:name="_Hlk143096094"/>
            <w:r w:rsidRPr="00202F4E">
              <w:rPr>
                <w:rFonts w:cs="Arial"/>
                <w:szCs w:val="20"/>
              </w:rPr>
              <w:t>V 687. členu se v tretjem odstavku</w:t>
            </w:r>
            <w:bookmarkEnd w:id="75"/>
            <w:r w:rsidRPr="00202F4E">
              <w:rPr>
                <w:rFonts w:cs="Arial"/>
                <w:szCs w:val="20"/>
              </w:rPr>
              <w:t xml:space="preserve"> doda nova </w:t>
            </w:r>
            <w:r>
              <w:rPr>
                <w:rFonts w:cs="Arial"/>
                <w:szCs w:val="20"/>
              </w:rPr>
              <w:t>4</w:t>
            </w:r>
            <w:r w:rsidRPr="00202F4E">
              <w:rPr>
                <w:rFonts w:cs="Arial"/>
                <w:szCs w:val="20"/>
              </w:rPr>
              <w:t xml:space="preserve">. točka, s katero se med prekrške tujega podjetja, ki je ustanovilo podružnico, umesti prekršek, če podružnica ne predloži AJPES poročila o trajnostnosti v zvezi s tujim podjetjem iz tretje države na način in v rokih v skladu s </w:t>
            </w:r>
            <w:r w:rsidRPr="00BC251B">
              <w:rPr>
                <w:rFonts w:cs="Arial"/>
                <w:szCs w:val="20"/>
              </w:rPr>
              <w:t xml:space="preserve">prvim do tretjim odstavkom </w:t>
            </w:r>
            <w:r w:rsidRPr="00202F4E">
              <w:rPr>
                <w:rFonts w:cs="Arial"/>
                <w:szCs w:val="20"/>
              </w:rPr>
              <w:t>683.b člen</w:t>
            </w:r>
            <w:r>
              <w:rPr>
                <w:rFonts w:cs="Arial"/>
                <w:szCs w:val="20"/>
              </w:rPr>
              <w:t>a</w:t>
            </w:r>
            <w:r w:rsidRPr="00202F4E">
              <w:rPr>
                <w:rFonts w:cs="Arial"/>
                <w:szCs w:val="20"/>
              </w:rPr>
              <w:t xml:space="preserve"> v zvezi s 70.d členom ZGD-1</w:t>
            </w:r>
            <w:r>
              <w:t xml:space="preserve"> </w:t>
            </w:r>
            <w:r w:rsidRPr="00E333D8">
              <w:rPr>
                <w:rFonts w:cs="Arial"/>
                <w:szCs w:val="20"/>
              </w:rPr>
              <w:t xml:space="preserve">oziroma podatkov o čistih prihodkih od prodaje iz </w:t>
            </w:r>
            <w:r>
              <w:rPr>
                <w:rFonts w:cs="Arial"/>
                <w:szCs w:val="20"/>
              </w:rPr>
              <w:t>četrtega</w:t>
            </w:r>
            <w:r w:rsidRPr="00E333D8">
              <w:rPr>
                <w:rFonts w:cs="Arial"/>
                <w:szCs w:val="20"/>
              </w:rPr>
              <w:t xml:space="preserve"> </w:t>
            </w:r>
            <w:r w:rsidRPr="00E333D8">
              <w:rPr>
                <w:rFonts w:cs="Arial"/>
                <w:szCs w:val="20"/>
              </w:rPr>
              <w:lastRenderedPageBreak/>
              <w:t>odstavka 683.b člena tega zakona ne predloži AJPES</w:t>
            </w:r>
            <w:r w:rsidRPr="00202F4E">
              <w:rPr>
                <w:rFonts w:cs="Arial"/>
                <w:szCs w:val="20"/>
              </w:rPr>
              <w:t>.</w:t>
            </w:r>
            <w:r w:rsidRPr="00202F4E">
              <w:t xml:space="preserve"> </w:t>
            </w:r>
            <w:r>
              <w:t xml:space="preserve">Ker se za podružnice uporabljajo smiselno iste določbe kot za odvisne družbe, je podana podrobnejša opredelitev v obrazložitvi k 27. členu </w:t>
            </w:r>
            <w:r>
              <w:rPr>
                <w:rFonts w:cs="Arial"/>
                <w:szCs w:val="20"/>
              </w:rPr>
              <w:t>v delu, ki se nanaša na</w:t>
            </w:r>
            <w:r w:rsidRPr="00202F4E">
              <w:rPr>
                <w:rFonts w:cs="Arial"/>
                <w:szCs w:val="20"/>
              </w:rPr>
              <w:t xml:space="preserve"> 11. točk</w:t>
            </w:r>
            <w:r>
              <w:rPr>
                <w:rFonts w:cs="Arial"/>
                <w:szCs w:val="20"/>
              </w:rPr>
              <w:t>o</w:t>
            </w:r>
            <w:r w:rsidRPr="00202F4E">
              <w:rPr>
                <w:rFonts w:cs="Arial"/>
                <w:szCs w:val="20"/>
              </w:rPr>
              <w:t xml:space="preserve"> </w:t>
            </w:r>
            <w:r>
              <w:rPr>
                <w:rFonts w:cs="Arial"/>
                <w:szCs w:val="20"/>
              </w:rPr>
              <w:t xml:space="preserve"> 686. člena ZGD-1.</w:t>
            </w:r>
            <w:r w:rsidRPr="00202F4E">
              <w:rPr>
                <w:rFonts w:cs="Arial"/>
                <w:szCs w:val="20"/>
              </w:rPr>
              <w:t xml:space="preserve"> </w:t>
            </w:r>
          </w:p>
          <w:p w14:paraId="5C5AEFF8" w14:textId="77777777" w:rsidR="000C08CA" w:rsidRPr="00605612" w:rsidRDefault="000C08CA" w:rsidP="00FE328D">
            <w:pPr>
              <w:spacing w:line="276" w:lineRule="auto"/>
              <w:jc w:val="both"/>
              <w:rPr>
                <w:rFonts w:cs="Arial"/>
                <w:szCs w:val="20"/>
              </w:rPr>
            </w:pPr>
          </w:p>
          <w:p w14:paraId="27B4D18A" w14:textId="77777777" w:rsidR="000C08CA" w:rsidRPr="00605612" w:rsidRDefault="000C08CA" w:rsidP="00FE328D">
            <w:pPr>
              <w:spacing w:line="276" w:lineRule="auto"/>
              <w:jc w:val="both"/>
              <w:rPr>
                <w:rFonts w:cs="Arial"/>
                <w:szCs w:val="20"/>
              </w:rPr>
            </w:pPr>
            <w:r w:rsidRPr="00605612">
              <w:rPr>
                <w:rFonts w:cs="Arial"/>
                <w:szCs w:val="20"/>
              </w:rPr>
              <w:t xml:space="preserve">Doda se tudi nova 4. </w:t>
            </w:r>
            <w:bookmarkStart w:id="76" w:name="_Hlk142647259"/>
            <w:r w:rsidRPr="00605612">
              <w:rPr>
                <w:rFonts w:cs="Arial"/>
                <w:szCs w:val="20"/>
              </w:rPr>
              <w:t>točka, s katero se med prekrške tujega podjetja, ki je ustanovilo podružnico, umesti prekršek, če podružnica ne objavi poročila</w:t>
            </w:r>
            <w:r>
              <w:rPr>
                <w:rFonts w:cs="Arial"/>
                <w:color w:val="000000" w:themeColor="text1"/>
                <w:szCs w:val="20"/>
              </w:rPr>
              <w:t xml:space="preserve"> o davčnih informacijah</w:t>
            </w:r>
            <w:r w:rsidRPr="00605612">
              <w:rPr>
                <w:rFonts w:cs="Arial"/>
                <w:szCs w:val="20"/>
              </w:rPr>
              <w:t xml:space="preserve"> </w:t>
            </w:r>
            <w:bookmarkEnd w:id="76"/>
            <w:r w:rsidRPr="00605612">
              <w:rPr>
                <w:rFonts w:cs="Arial"/>
                <w:szCs w:val="20"/>
              </w:rPr>
              <w:t>v zvezi z dohodki na javnosti brezplačno dostopni spletni strani v 12 mesec</w:t>
            </w:r>
            <w:r>
              <w:rPr>
                <w:rFonts w:cs="Arial"/>
                <w:szCs w:val="20"/>
              </w:rPr>
              <w:t>ih</w:t>
            </w:r>
            <w:r w:rsidRPr="00605612">
              <w:rPr>
                <w:rFonts w:cs="Arial"/>
                <w:szCs w:val="20"/>
              </w:rPr>
              <w:t xml:space="preserve"> po koncu poslovnega leta, v vsaj enem od uradnih jezikov Evropske unije, kjer mora biti brezplačno dostopno najmanj pet zaporednih let, pri čemer zadostuje, da je poročilo objavljeno na javnosti dostopni spletni strani katere koli podružnice ali družbe, ki je ustanovil</w:t>
            </w:r>
            <w:r>
              <w:rPr>
                <w:rFonts w:cs="Arial"/>
                <w:szCs w:val="20"/>
              </w:rPr>
              <w:t>a</w:t>
            </w:r>
            <w:r w:rsidRPr="00605612">
              <w:rPr>
                <w:rFonts w:cs="Arial"/>
                <w:szCs w:val="20"/>
              </w:rPr>
              <w:t xml:space="preserve"> podružnico ali povezane družbe v skupini, na katero se poročilo nanaša. Ob poročilu je obvezno treba objaviti tudi izjavo, v kateri podružnica navede, da poročilo ne vsebuje vseh zahtevanih podatkov, ker ji jih tuje podjetje iz tretje države ni predložilo.</w:t>
            </w:r>
          </w:p>
          <w:p w14:paraId="5ED769CE" w14:textId="77777777" w:rsidR="000C08CA" w:rsidRPr="00605612" w:rsidRDefault="000C08CA" w:rsidP="00FE328D">
            <w:pPr>
              <w:spacing w:line="276" w:lineRule="auto"/>
              <w:jc w:val="both"/>
              <w:rPr>
                <w:rFonts w:cs="Arial"/>
                <w:szCs w:val="20"/>
              </w:rPr>
            </w:pPr>
          </w:p>
          <w:p w14:paraId="0902F967"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30</w:t>
            </w:r>
            <w:r w:rsidRPr="00605612">
              <w:rPr>
                <w:rFonts w:cs="Arial"/>
                <w:b/>
                <w:szCs w:val="20"/>
              </w:rPr>
              <w:t>. členu</w:t>
            </w:r>
          </w:p>
          <w:p w14:paraId="522697AB" w14:textId="77777777" w:rsidR="000C08CA" w:rsidRPr="00605612" w:rsidRDefault="000C08CA" w:rsidP="00FE328D">
            <w:pPr>
              <w:spacing w:line="276" w:lineRule="auto"/>
              <w:rPr>
                <w:rFonts w:cs="Arial"/>
                <w:b/>
                <w:szCs w:val="20"/>
              </w:rPr>
            </w:pPr>
          </w:p>
          <w:p w14:paraId="2D955E41" w14:textId="77777777" w:rsidR="000C08CA" w:rsidRPr="00605612" w:rsidRDefault="000C08CA" w:rsidP="00FE328D">
            <w:pPr>
              <w:spacing w:line="276" w:lineRule="auto"/>
              <w:jc w:val="both"/>
              <w:rPr>
                <w:rFonts w:cs="Arial"/>
                <w:szCs w:val="20"/>
              </w:rPr>
            </w:pPr>
            <w:r w:rsidRPr="00605612">
              <w:rPr>
                <w:rFonts w:cs="Arial"/>
                <w:szCs w:val="20"/>
              </w:rPr>
              <w:t xml:space="preserve">V 688. členu ZGD-1, ki določa prekrške podjetnika, se doda prekršek za podjetnika, ki na poslovnem naslovu v skladu </w:t>
            </w:r>
            <w:r>
              <w:rPr>
                <w:rFonts w:cs="Arial"/>
                <w:szCs w:val="20"/>
              </w:rPr>
              <w:t xml:space="preserve">z </w:t>
            </w:r>
            <w:r w:rsidRPr="00605612">
              <w:rPr>
                <w:rFonts w:cs="Arial"/>
                <w:szCs w:val="20"/>
              </w:rPr>
              <w:t>nov</w:t>
            </w:r>
            <w:r>
              <w:rPr>
                <w:rFonts w:cs="Arial"/>
                <w:szCs w:val="20"/>
              </w:rPr>
              <w:t>im</w:t>
            </w:r>
            <w:r w:rsidRPr="00605612">
              <w:rPr>
                <w:rFonts w:cs="Arial"/>
                <w:szCs w:val="20"/>
              </w:rPr>
              <w:t xml:space="preserve"> </w:t>
            </w:r>
            <w:r>
              <w:rPr>
                <w:rFonts w:cs="Arial"/>
                <w:szCs w:val="20"/>
              </w:rPr>
              <w:t>30</w:t>
            </w:r>
            <w:r w:rsidRPr="00605612">
              <w:rPr>
                <w:rFonts w:cs="Arial"/>
                <w:szCs w:val="20"/>
              </w:rPr>
              <w:t>.a člen</w:t>
            </w:r>
            <w:r>
              <w:rPr>
                <w:rFonts w:cs="Arial"/>
                <w:szCs w:val="20"/>
              </w:rPr>
              <w:t>om</w:t>
            </w:r>
            <w:r w:rsidRPr="00605612">
              <w:rPr>
                <w:rFonts w:cs="Arial"/>
                <w:szCs w:val="20"/>
              </w:rPr>
              <w:t xml:space="preserve"> ZGD-1 ne bo imel na vidnem mestu napisa z navedbo firme in sedeža podjetnika. Za prekršek bo v skladu z drugim odstavkom 688. člena ZGD-1 odgovarjala tudi odgovorna oseba podjetnika. Globa za prekršek se bo lahko izrekla po izteku enoletnega prehodnega obdobja.</w:t>
            </w:r>
          </w:p>
          <w:p w14:paraId="564DA300" w14:textId="77777777" w:rsidR="000C08CA" w:rsidRPr="00605612" w:rsidRDefault="000C08CA" w:rsidP="00FE328D">
            <w:pPr>
              <w:spacing w:line="276" w:lineRule="auto"/>
              <w:rPr>
                <w:rFonts w:cs="Arial"/>
                <w:b/>
                <w:szCs w:val="20"/>
              </w:rPr>
            </w:pPr>
          </w:p>
          <w:p w14:paraId="7B732A76" w14:textId="77777777" w:rsidR="000C08CA" w:rsidRPr="00605612" w:rsidRDefault="000C08CA" w:rsidP="00FE328D">
            <w:pPr>
              <w:spacing w:line="276" w:lineRule="auto"/>
              <w:jc w:val="both"/>
              <w:rPr>
                <w:rFonts w:cs="Arial"/>
                <w:szCs w:val="20"/>
              </w:rPr>
            </w:pPr>
            <w:r w:rsidRPr="00605612">
              <w:rPr>
                <w:rFonts w:cs="Arial"/>
                <w:szCs w:val="20"/>
              </w:rPr>
              <w:t>Obseg prekrška podjetnika, ki se nanaša na uporabo oznak v firmi ali skrajšani firmi v nasprotju s prvim in drugim odstavkom 72. člena ZGD-1, se razširi, da zajame ne samo uporabo oznak v firmi ali skrajšani firmi podjetnika v nasprotju s prvim in drugim odstavkom 72. člena ZGD-1, ampak širše, to je uporabo drugih sestavin firme ali skrajšane firme podjetnika v nasprotju s prvim in drugim odstavkom 72. člena ZGD-1. Firma poleg oznak vsebuje tudi ime in priimek podjetnika in morebitne dodatne sestavine, skrajšana firma pa poleg oznake tudi ime in priimek podjetnika. V veljavni ureditvi se lahko sankcionira uporaba oznak ne pa tudi uporaba imena in priimka ali dodatnih sestavin v nasprotju s prvim in drugim odstavkom 72. člena ZGD-1.</w:t>
            </w:r>
          </w:p>
          <w:p w14:paraId="0C30ED8D" w14:textId="77777777" w:rsidR="000C08CA" w:rsidRPr="00605612" w:rsidRDefault="000C08CA" w:rsidP="00FE328D">
            <w:pPr>
              <w:spacing w:line="276" w:lineRule="auto"/>
              <w:rPr>
                <w:rFonts w:cs="Arial"/>
                <w:szCs w:val="20"/>
              </w:rPr>
            </w:pPr>
          </w:p>
          <w:p w14:paraId="4C15F74A" w14:textId="77777777" w:rsidR="000C08CA" w:rsidRPr="00605612" w:rsidRDefault="000C08CA" w:rsidP="00FE328D">
            <w:pPr>
              <w:spacing w:line="276" w:lineRule="auto"/>
              <w:jc w:val="both"/>
              <w:rPr>
                <w:rFonts w:cs="Arial"/>
                <w:szCs w:val="20"/>
              </w:rPr>
            </w:pPr>
            <w:r w:rsidRPr="00605612">
              <w:rPr>
                <w:rFonts w:cs="Arial"/>
                <w:szCs w:val="20"/>
              </w:rPr>
              <w:t>Besedilo prekrška v zvezi s predpisano vsebino sporočil podjetnika se uskladi s spremembami materialne določbe petega in šestega odstavka 72. člena ZGD-1 (dopis namesto sporočilo).</w:t>
            </w:r>
          </w:p>
          <w:p w14:paraId="01BCAD26" w14:textId="77777777" w:rsidR="000C08CA" w:rsidRPr="00605612" w:rsidRDefault="000C08CA" w:rsidP="00FE328D">
            <w:pPr>
              <w:spacing w:line="276" w:lineRule="auto"/>
              <w:rPr>
                <w:rFonts w:cs="Arial"/>
                <w:szCs w:val="20"/>
              </w:rPr>
            </w:pPr>
          </w:p>
          <w:p w14:paraId="3E4B476C"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31</w:t>
            </w:r>
            <w:r w:rsidRPr="00605612">
              <w:rPr>
                <w:rFonts w:cs="Arial"/>
                <w:b/>
                <w:szCs w:val="20"/>
              </w:rPr>
              <w:t>. členu</w:t>
            </w:r>
          </w:p>
          <w:p w14:paraId="68FFD20D" w14:textId="77777777" w:rsidR="000C08CA" w:rsidRDefault="000C08CA" w:rsidP="00FE328D">
            <w:pPr>
              <w:spacing w:line="276" w:lineRule="auto"/>
              <w:rPr>
                <w:rFonts w:cs="Arial"/>
                <w:b/>
                <w:szCs w:val="20"/>
              </w:rPr>
            </w:pPr>
          </w:p>
          <w:p w14:paraId="392A2912" w14:textId="77777777" w:rsidR="000C08CA" w:rsidRPr="00E91165" w:rsidRDefault="000C08CA" w:rsidP="00FE328D">
            <w:pPr>
              <w:spacing w:line="276" w:lineRule="auto"/>
              <w:jc w:val="both"/>
              <w:rPr>
                <w:rFonts w:cs="Arial"/>
                <w:szCs w:val="20"/>
              </w:rPr>
            </w:pPr>
            <w:r w:rsidRPr="00E91165">
              <w:rPr>
                <w:rFonts w:cs="Arial"/>
                <w:szCs w:val="20"/>
              </w:rPr>
              <w:t xml:space="preserve">689.c člen v </w:t>
            </w:r>
            <w:r>
              <w:rPr>
                <w:rFonts w:cs="Arial"/>
                <w:bCs/>
                <w:szCs w:val="20"/>
              </w:rPr>
              <w:t>3. točki tretjega</w:t>
            </w:r>
            <w:r w:rsidRPr="00E91165">
              <w:rPr>
                <w:rFonts w:cs="Arial"/>
                <w:szCs w:val="20"/>
              </w:rPr>
              <w:t xml:space="preserve"> odstavk</w:t>
            </w:r>
            <w:r>
              <w:rPr>
                <w:rFonts w:cs="Arial"/>
                <w:bCs/>
                <w:szCs w:val="20"/>
              </w:rPr>
              <w:t>a</w:t>
            </w:r>
            <w:r w:rsidRPr="00E91165">
              <w:rPr>
                <w:rFonts w:cs="Arial"/>
                <w:szCs w:val="20"/>
              </w:rPr>
              <w:t xml:space="preserve"> </w:t>
            </w:r>
            <w:r>
              <w:rPr>
                <w:rFonts w:cs="Arial"/>
                <w:bCs/>
                <w:szCs w:val="20"/>
              </w:rPr>
              <w:t xml:space="preserve">določa kot prekršek, kadar </w:t>
            </w:r>
            <w:r w:rsidRPr="00E91165">
              <w:rPr>
                <w:rFonts w:cs="Arial"/>
                <w:szCs w:val="20"/>
              </w:rPr>
              <w:t>nadzorni svet</w:t>
            </w:r>
            <w:r w:rsidRPr="00FA7E61">
              <w:rPr>
                <w:rFonts w:cs="Arial"/>
                <w:bCs/>
                <w:szCs w:val="20"/>
              </w:rPr>
              <w:t xml:space="preserve"> </w:t>
            </w:r>
            <w:r w:rsidRPr="00245A62">
              <w:rPr>
                <w:rFonts w:cs="Arial"/>
                <w:bCs/>
                <w:szCs w:val="20"/>
              </w:rPr>
              <w:t>ne oblikuje revizijske komisije</w:t>
            </w:r>
            <w:r w:rsidRPr="009A131F">
              <w:rPr>
                <w:rFonts w:cs="Arial"/>
                <w:bCs/>
                <w:szCs w:val="20"/>
              </w:rPr>
              <w:t xml:space="preserve"> </w:t>
            </w:r>
            <w:r w:rsidRPr="00E91165">
              <w:rPr>
                <w:rFonts w:cs="Arial"/>
                <w:szCs w:val="20"/>
              </w:rPr>
              <w:t>v družbi, s katere vrednostnimi papirji se trguje na organiziranem trgu, (prvi odstavek 279. člena)</w:t>
            </w:r>
            <w:r>
              <w:rPr>
                <w:rFonts w:cs="Arial"/>
                <w:bCs/>
                <w:szCs w:val="20"/>
              </w:rPr>
              <w:t>. Sprememba določbe je potrebna zaradi težav v praksi, ki se pojavljajo, ker se ta prekršek ne nanaša na vse subjekte javnega interesa. P</w:t>
            </w:r>
            <w:r w:rsidRPr="000D55B7">
              <w:rPr>
                <w:rFonts w:cs="Arial"/>
                <w:bCs/>
                <w:szCs w:val="20"/>
              </w:rPr>
              <w:t>rvi odstavek 279. člena</w:t>
            </w:r>
            <w:r>
              <w:rPr>
                <w:rFonts w:cs="Arial"/>
                <w:bCs/>
                <w:szCs w:val="20"/>
              </w:rPr>
              <w:t xml:space="preserve"> namreč določa, da </w:t>
            </w:r>
            <w:r w:rsidRPr="001D5E83">
              <w:rPr>
                <w:rFonts w:cs="Arial"/>
                <w:bCs/>
                <w:szCs w:val="20"/>
              </w:rPr>
              <w:t>mora nadzorni svet oblikovati revizijsko komisijo</w:t>
            </w:r>
            <w:r>
              <w:rPr>
                <w:rFonts w:cs="Arial"/>
                <w:bCs/>
                <w:szCs w:val="20"/>
              </w:rPr>
              <w:t xml:space="preserve"> v</w:t>
            </w:r>
            <w:r w:rsidRPr="001D5E83">
              <w:rPr>
                <w:rFonts w:cs="Arial"/>
                <w:bCs/>
                <w:szCs w:val="20"/>
              </w:rPr>
              <w:t xml:space="preserve"> </w:t>
            </w:r>
            <w:r>
              <w:rPr>
                <w:rFonts w:cs="Arial"/>
                <w:bCs/>
                <w:szCs w:val="20"/>
              </w:rPr>
              <w:t xml:space="preserve">vsaki </w:t>
            </w:r>
            <w:r w:rsidRPr="001D5E83">
              <w:rPr>
                <w:rFonts w:cs="Arial"/>
                <w:bCs/>
                <w:szCs w:val="20"/>
              </w:rPr>
              <w:t>družbi, ki je subjekt javnega interesa</w:t>
            </w:r>
            <w:r>
              <w:rPr>
                <w:rFonts w:cs="Arial"/>
                <w:bCs/>
                <w:szCs w:val="20"/>
              </w:rPr>
              <w:t>. Vendar kršitev te določbe tako ni sankcionirana, razen v</w:t>
            </w:r>
            <w:r w:rsidRPr="00234577">
              <w:rPr>
                <w:rFonts w:cs="Arial"/>
                <w:bCs/>
                <w:szCs w:val="20"/>
              </w:rPr>
              <w:t xml:space="preserve"> družbi, s katere vrednostni</w:t>
            </w:r>
            <w:r>
              <w:rPr>
                <w:rFonts w:cs="Arial"/>
                <w:bCs/>
                <w:szCs w:val="20"/>
              </w:rPr>
              <w:t>mi</w:t>
            </w:r>
            <w:r w:rsidRPr="00234577">
              <w:rPr>
                <w:rFonts w:cs="Arial"/>
                <w:bCs/>
                <w:szCs w:val="20"/>
              </w:rPr>
              <w:t xml:space="preserve"> papirji se trguje na organiziranem trgu</w:t>
            </w:r>
            <w:r>
              <w:rPr>
                <w:rFonts w:cs="Arial"/>
                <w:bCs/>
                <w:szCs w:val="20"/>
              </w:rPr>
              <w:t>. Glede na navedeno je bilo</w:t>
            </w:r>
            <w:r w:rsidDel="00014EF8">
              <w:rPr>
                <w:rFonts w:cs="Arial"/>
                <w:bCs/>
                <w:szCs w:val="20"/>
              </w:rPr>
              <w:t xml:space="preserve"> </w:t>
            </w:r>
            <w:r>
              <w:rPr>
                <w:rFonts w:cs="Arial"/>
                <w:bCs/>
                <w:szCs w:val="20"/>
              </w:rPr>
              <w:t>treba razširiti določbo prekrška tudi na primere, kadar nadzorni svet ne oblikuje revizijske komisije v preostalih subjektih javnega interesa.</w:t>
            </w:r>
          </w:p>
          <w:p w14:paraId="2176640B" w14:textId="77777777" w:rsidR="000C08CA" w:rsidRDefault="000C08CA" w:rsidP="00FE328D">
            <w:pPr>
              <w:spacing w:line="276" w:lineRule="auto"/>
              <w:jc w:val="both"/>
              <w:rPr>
                <w:rFonts w:cs="Arial"/>
                <w:bCs/>
                <w:szCs w:val="20"/>
              </w:rPr>
            </w:pPr>
          </w:p>
          <w:p w14:paraId="55E8BEEE" w14:textId="77777777" w:rsidR="000C08CA" w:rsidRPr="00225C6F" w:rsidRDefault="000C08CA" w:rsidP="00FE328D">
            <w:pPr>
              <w:keepNext/>
              <w:keepLines/>
              <w:spacing w:before="40" w:line="276" w:lineRule="auto"/>
              <w:jc w:val="both"/>
              <w:outlineLvl w:val="1"/>
              <w:rPr>
                <w:rFonts w:cs="Arial"/>
                <w:b/>
                <w:szCs w:val="20"/>
              </w:rPr>
            </w:pPr>
            <w:r w:rsidRPr="00225C6F">
              <w:rPr>
                <w:rFonts w:cs="Arial"/>
                <w:b/>
                <w:szCs w:val="20"/>
              </w:rPr>
              <w:t>K 3</w:t>
            </w:r>
            <w:r>
              <w:rPr>
                <w:rFonts w:cs="Arial"/>
                <w:b/>
                <w:szCs w:val="20"/>
              </w:rPr>
              <w:t>2</w:t>
            </w:r>
            <w:r w:rsidRPr="00225C6F">
              <w:rPr>
                <w:rFonts w:cs="Arial"/>
                <w:b/>
                <w:szCs w:val="20"/>
              </w:rPr>
              <w:t>. členu</w:t>
            </w:r>
          </w:p>
          <w:p w14:paraId="5CF18E7F" w14:textId="77777777" w:rsidR="000C08CA" w:rsidRDefault="000C08CA" w:rsidP="00FE328D">
            <w:pPr>
              <w:spacing w:line="276" w:lineRule="auto"/>
              <w:jc w:val="both"/>
              <w:rPr>
                <w:rFonts w:cs="Arial"/>
                <w:bCs/>
                <w:szCs w:val="20"/>
              </w:rPr>
            </w:pPr>
          </w:p>
          <w:p w14:paraId="39F47667" w14:textId="77777777" w:rsidR="000C08CA" w:rsidRPr="004F1F8D" w:rsidRDefault="000C08CA" w:rsidP="00FE328D">
            <w:pPr>
              <w:spacing w:line="276" w:lineRule="auto"/>
              <w:jc w:val="both"/>
              <w:rPr>
                <w:rFonts w:cs="Arial"/>
                <w:szCs w:val="20"/>
              </w:rPr>
            </w:pPr>
            <w:r>
              <w:rPr>
                <w:rFonts w:cs="Arial"/>
                <w:szCs w:val="20"/>
              </w:rPr>
              <w:t xml:space="preserve">V 689.č členu je v tretjem odstavku v 2. točki določeno, da se kaznuje za prekršek član upravnega odbora, če upravni odbor v družbi, s katere vrednostnimi papirji se trguje na organiziranem trgu ne oblikuje revizijske komisije in v oklepaju je sklic na tretji odstavek 279. člen zakona. Besedilo »družbi, s katere vrednostnimi papirji se trguje na organiziranem trgu,« se nadomesti z besedilom »subjektu javnega interesa«. Sprememba določbe je potrebna zaradi težav v praksi in učinkovitosti sankcij za subjekte javnega interesa. Treba je določiti odgovornost v primeru nespoštovanja zakonske </w:t>
            </w:r>
            <w:r>
              <w:rPr>
                <w:rFonts w:cs="Arial"/>
                <w:szCs w:val="20"/>
              </w:rPr>
              <w:lastRenderedPageBreak/>
              <w:t>obveznosti imenovanja revizijskih komisij v subjektih javnega interesa po vzoru dvotirnega sistema upravljanja (tj. nadzorni svet) v enotirnem sistemu upravljanja (tj. upravni odbor).  V skladu z navedenim je treba v oklepaju spremeniti tudi sklic iz 279. člena na 289. člen, ker je v slednjem v tretjem odstavku določeno, da mora upravni odbor oblikovati revizijsko komisijo v subjektih javnega interesa.</w:t>
            </w:r>
          </w:p>
          <w:p w14:paraId="726F2635" w14:textId="77777777" w:rsidR="000C08CA" w:rsidRDefault="000C08CA" w:rsidP="00FE328D">
            <w:pPr>
              <w:spacing w:line="276" w:lineRule="auto"/>
              <w:rPr>
                <w:rFonts w:cs="Arial"/>
                <w:b/>
                <w:szCs w:val="20"/>
              </w:rPr>
            </w:pPr>
          </w:p>
          <w:p w14:paraId="2D19A276" w14:textId="77777777" w:rsidR="000C08CA" w:rsidRPr="00605612" w:rsidRDefault="000C08CA" w:rsidP="00FE328D">
            <w:pPr>
              <w:spacing w:line="276" w:lineRule="auto"/>
              <w:rPr>
                <w:rFonts w:cs="Arial"/>
                <w:b/>
                <w:szCs w:val="20"/>
              </w:rPr>
            </w:pPr>
            <w:r w:rsidRPr="00225FD9">
              <w:rPr>
                <w:rFonts w:cs="Arial"/>
                <w:b/>
                <w:szCs w:val="20"/>
              </w:rPr>
              <w:t xml:space="preserve">K </w:t>
            </w:r>
            <w:r>
              <w:rPr>
                <w:rFonts w:cs="Arial"/>
                <w:b/>
                <w:szCs w:val="20"/>
              </w:rPr>
              <w:t>33</w:t>
            </w:r>
            <w:r w:rsidRPr="00225FD9">
              <w:rPr>
                <w:rFonts w:cs="Arial"/>
                <w:b/>
                <w:szCs w:val="20"/>
              </w:rPr>
              <w:t>. členu</w:t>
            </w:r>
          </w:p>
          <w:p w14:paraId="4B7A4F39" w14:textId="77777777" w:rsidR="000C08CA" w:rsidRPr="00605612" w:rsidRDefault="000C08CA" w:rsidP="00FE328D">
            <w:pPr>
              <w:spacing w:line="276" w:lineRule="auto"/>
              <w:rPr>
                <w:rFonts w:eastAsia="Arial" w:cs="Arial"/>
                <w:szCs w:val="20"/>
              </w:rPr>
            </w:pPr>
          </w:p>
          <w:p w14:paraId="2E3E2D0D" w14:textId="77777777" w:rsidR="000C08CA" w:rsidRDefault="000C08CA" w:rsidP="00FE328D">
            <w:pPr>
              <w:spacing w:line="276" w:lineRule="auto"/>
              <w:jc w:val="both"/>
              <w:rPr>
                <w:rFonts w:cs="Arial"/>
                <w:szCs w:val="20"/>
              </w:rPr>
            </w:pPr>
            <w:r w:rsidRPr="00605612">
              <w:rPr>
                <w:rFonts w:eastAsia="Arial" w:cs="Arial"/>
                <w:szCs w:val="20"/>
              </w:rPr>
              <w:t>Do</w:t>
            </w:r>
            <w:r w:rsidRPr="00605612">
              <w:rPr>
                <w:rFonts w:cs="Arial"/>
                <w:szCs w:val="20"/>
              </w:rPr>
              <w:t>da se</w:t>
            </w:r>
            <w:r w:rsidRPr="00605612" w:rsidDel="00B137EA">
              <w:rPr>
                <w:rFonts w:cs="Arial"/>
                <w:szCs w:val="20"/>
              </w:rPr>
              <w:t xml:space="preserve"> </w:t>
            </w:r>
            <w:r>
              <w:rPr>
                <w:rFonts w:cs="Arial"/>
                <w:szCs w:val="20"/>
              </w:rPr>
              <w:t xml:space="preserve">prehodna </w:t>
            </w:r>
            <w:r w:rsidRPr="00605612">
              <w:rPr>
                <w:rFonts w:cs="Arial"/>
                <w:szCs w:val="20"/>
              </w:rPr>
              <w:t xml:space="preserve">določba v zvezi s postopki nadzora na podlagi veljavne 4. točke prvega odstavka 688. člena ZGD-1. Postopki nadzora, začeti na podlagi 4. točke prvega odstavka 688. člena ZGD-1, se dokončajo po določbah Zakona o gospodarskih družbah </w:t>
            </w:r>
            <w:r w:rsidRPr="0096715F">
              <w:rPr>
                <w:rFonts w:cs="Arial"/>
                <w:szCs w:val="20"/>
              </w:rPr>
              <w:t>(Uradni list RS, št. 65/09 – uradno prečiščeno besedilo, 33/11, 91/11, 32/12, 57/12, 44/13 – odl. US, 82/13, 55/15, 15/17, 22/19 – ZPosS, 158/20 – ZIntPK-C, 18/21, 18/23 – ZDU-1O in 75/23)</w:t>
            </w:r>
            <w:r w:rsidRPr="00605612">
              <w:rPr>
                <w:rFonts w:cs="Arial"/>
                <w:szCs w:val="20"/>
              </w:rPr>
              <w:t>, ki so veljale do uveljavitve predloga zakona.</w:t>
            </w:r>
          </w:p>
          <w:p w14:paraId="2253226B" w14:textId="77777777" w:rsidR="000C08CA" w:rsidRDefault="000C08CA" w:rsidP="00FE328D">
            <w:pPr>
              <w:spacing w:line="276" w:lineRule="auto"/>
              <w:rPr>
                <w:rFonts w:cs="Arial"/>
                <w:b/>
                <w:szCs w:val="20"/>
              </w:rPr>
            </w:pPr>
          </w:p>
          <w:p w14:paraId="6A5C1C6A"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34</w:t>
            </w:r>
            <w:r w:rsidRPr="00605612">
              <w:rPr>
                <w:rFonts w:cs="Arial"/>
                <w:b/>
                <w:szCs w:val="20"/>
              </w:rPr>
              <w:t>. členu</w:t>
            </w:r>
          </w:p>
          <w:p w14:paraId="6ABAFB87" w14:textId="77777777" w:rsidR="000C08CA" w:rsidRPr="00605612" w:rsidRDefault="000C08CA" w:rsidP="00FE328D">
            <w:pPr>
              <w:spacing w:line="276" w:lineRule="auto"/>
              <w:rPr>
                <w:rFonts w:cs="Arial"/>
                <w:b/>
                <w:szCs w:val="20"/>
              </w:rPr>
            </w:pPr>
          </w:p>
          <w:p w14:paraId="22504EE6" w14:textId="77777777" w:rsidR="000C08CA" w:rsidRPr="00605612" w:rsidRDefault="000C08CA" w:rsidP="00FE328D">
            <w:pPr>
              <w:spacing w:line="276" w:lineRule="auto"/>
              <w:jc w:val="both"/>
              <w:rPr>
                <w:rFonts w:cs="Arial"/>
                <w:bCs/>
                <w:szCs w:val="20"/>
              </w:rPr>
            </w:pPr>
            <w:r w:rsidRPr="00605612">
              <w:rPr>
                <w:rFonts w:cs="Arial"/>
                <w:bCs/>
                <w:szCs w:val="20"/>
              </w:rPr>
              <w:t>V 29. členu se prenaša</w:t>
            </w:r>
            <w:r w:rsidRPr="00605612">
              <w:rPr>
                <w:rFonts w:cs="Arial"/>
                <w:szCs w:val="20"/>
              </w:rPr>
              <w:t xml:space="preserve"> 5. člen </w:t>
            </w:r>
            <w:r w:rsidRPr="00605612">
              <w:rPr>
                <w:rFonts w:cs="Arial"/>
                <w:bCs/>
                <w:szCs w:val="20"/>
              </w:rPr>
              <w:t xml:space="preserve">Direktive 2022/2464/EU, ki v </w:t>
            </w:r>
            <w:r>
              <w:rPr>
                <w:rFonts w:cs="Arial"/>
                <w:bCs/>
                <w:szCs w:val="20"/>
              </w:rPr>
              <w:t>prve</w:t>
            </w:r>
            <w:r w:rsidRPr="00605612">
              <w:rPr>
                <w:rFonts w:cs="Arial"/>
                <w:bCs/>
                <w:szCs w:val="20"/>
              </w:rPr>
              <w:t>m odstavku vsebuje določbe za začetek uporabe 70.c, 70.č, 70.d in 68</w:t>
            </w:r>
            <w:r>
              <w:rPr>
                <w:rFonts w:cs="Arial"/>
                <w:bCs/>
                <w:szCs w:val="20"/>
              </w:rPr>
              <w:t>3</w:t>
            </w:r>
            <w:r w:rsidRPr="00605612">
              <w:rPr>
                <w:rFonts w:cs="Arial"/>
                <w:bCs/>
                <w:szCs w:val="20"/>
              </w:rPr>
              <w:t xml:space="preserve">.b člena ZGD-1. </w:t>
            </w:r>
          </w:p>
          <w:p w14:paraId="7DEF93C2" w14:textId="77777777" w:rsidR="000C08CA" w:rsidRPr="00605612" w:rsidRDefault="000C08CA" w:rsidP="00FE328D">
            <w:pPr>
              <w:spacing w:line="276" w:lineRule="auto"/>
              <w:rPr>
                <w:rFonts w:cs="Arial"/>
                <w:bCs/>
                <w:szCs w:val="20"/>
              </w:rPr>
            </w:pPr>
          </w:p>
          <w:p w14:paraId="6B04813F" w14:textId="77777777" w:rsidR="000C08CA" w:rsidRPr="00605612" w:rsidRDefault="000C08CA" w:rsidP="00FE328D">
            <w:pPr>
              <w:spacing w:line="276" w:lineRule="auto"/>
              <w:jc w:val="both"/>
              <w:rPr>
                <w:rFonts w:cs="Arial"/>
                <w:bCs/>
                <w:szCs w:val="20"/>
              </w:rPr>
            </w:pPr>
            <w:r w:rsidRPr="00605612">
              <w:rPr>
                <w:rFonts w:cs="Arial"/>
                <w:bCs/>
                <w:szCs w:val="20"/>
              </w:rPr>
              <w:t>Kot je že pojasnjeno</w:t>
            </w:r>
            <w:r>
              <w:rPr>
                <w:rFonts w:cs="Arial"/>
                <w:bCs/>
                <w:szCs w:val="20"/>
              </w:rPr>
              <w:t>,</w:t>
            </w:r>
            <w:r w:rsidRPr="00605612">
              <w:rPr>
                <w:rFonts w:cs="Arial"/>
                <w:bCs/>
                <w:szCs w:val="20"/>
              </w:rPr>
              <w:t xml:space="preserve"> Direktiva 2022/2464/EU na novo uvaja obveznost priprave poročila o trajnostnosti, ki je zelo obsežno, v skladu </w:t>
            </w:r>
            <w:r>
              <w:rPr>
                <w:rFonts w:cs="Arial"/>
                <w:bCs/>
                <w:szCs w:val="20"/>
              </w:rPr>
              <w:t>z</w:t>
            </w:r>
            <w:r w:rsidRPr="00605612">
              <w:rPr>
                <w:rFonts w:cs="Arial"/>
                <w:bCs/>
                <w:szCs w:val="20"/>
              </w:rPr>
              <w:t xml:space="preserve"> enotnimi standardi</w:t>
            </w:r>
            <w:r>
              <w:rPr>
                <w:rFonts w:cs="Arial"/>
                <w:bCs/>
                <w:szCs w:val="20"/>
              </w:rPr>
              <w:t>, pri čemer poročilo</w:t>
            </w:r>
            <w:r w:rsidRPr="00605612" w:rsidDel="00D3073D">
              <w:rPr>
                <w:rFonts w:cs="Arial"/>
                <w:bCs/>
                <w:szCs w:val="20"/>
              </w:rPr>
              <w:t xml:space="preserve"> </w:t>
            </w:r>
            <w:r w:rsidRPr="00605612">
              <w:rPr>
                <w:rFonts w:cs="Arial"/>
                <w:bCs/>
                <w:szCs w:val="20"/>
              </w:rPr>
              <w:t>pregleda</w:t>
            </w:r>
            <w:r>
              <w:rPr>
                <w:rFonts w:cs="Arial"/>
                <w:bCs/>
                <w:szCs w:val="20"/>
              </w:rPr>
              <w:t xml:space="preserve"> </w:t>
            </w:r>
            <w:r w:rsidRPr="00605612">
              <w:rPr>
                <w:rFonts w:cs="Arial"/>
                <w:bCs/>
                <w:szCs w:val="20"/>
              </w:rPr>
              <w:t>revizor. Ker so nova pravila zahtevna, je pomembno zagotoviti ustrezen čas za to, da se jim družbe lahko prilagodijo. Glede na to, da po vsebini poročilo o trajnostnosti nadgrajuje že obstoječo izjavo o nefinančnem poslovanju, je smiselno, da obveznost velja najprej za tiste družbe, ki so že zavezane poročati o nekaterih vidikih trajnostnosti. Skladno z načelom sorazmernosti pa se bo obveznost uvedla naj</w:t>
            </w:r>
            <w:r>
              <w:rPr>
                <w:rFonts w:cs="Arial"/>
                <w:bCs/>
                <w:szCs w:val="20"/>
              </w:rPr>
              <w:t>poz</w:t>
            </w:r>
            <w:r w:rsidRPr="00605612">
              <w:rPr>
                <w:rFonts w:cs="Arial"/>
                <w:bCs/>
                <w:szCs w:val="20"/>
              </w:rPr>
              <w:t>neje za družbe, ki lahko glede na tretji odstavek 70.c člena ZGD-1 poročajo v poenostavljeni obliki. Določbe glede obveznosti priprave poročila o trajnostnosti in konsolidiranega poročila o trajnostnosti (70.c in 70.č člen ZGD-1) se torej uvajajo postopoma, in sicer:</w:t>
            </w:r>
          </w:p>
          <w:p w14:paraId="26DF2CD3" w14:textId="77777777" w:rsidR="000C08CA" w:rsidRPr="00605612" w:rsidRDefault="000C08CA" w:rsidP="00FE328D">
            <w:pPr>
              <w:spacing w:line="276" w:lineRule="auto"/>
              <w:jc w:val="both"/>
              <w:rPr>
                <w:rFonts w:cs="Arial"/>
                <w:bCs/>
                <w:szCs w:val="20"/>
              </w:rPr>
            </w:pPr>
            <w:r w:rsidRPr="00605612">
              <w:rPr>
                <w:rFonts w:cs="Arial"/>
                <w:bCs/>
                <w:szCs w:val="20"/>
              </w:rPr>
              <w:t>1. za poslovn</w:t>
            </w:r>
            <w:r>
              <w:rPr>
                <w:rFonts w:cs="Arial"/>
                <w:bCs/>
                <w:szCs w:val="20"/>
              </w:rPr>
              <w:t>o</w:t>
            </w:r>
            <w:r w:rsidRPr="00605612">
              <w:rPr>
                <w:rFonts w:cs="Arial"/>
                <w:bCs/>
                <w:szCs w:val="20"/>
              </w:rPr>
              <w:t xml:space="preserve"> let</w:t>
            </w:r>
            <w:r>
              <w:rPr>
                <w:rFonts w:cs="Arial"/>
                <w:bCs/>
                <w:szCs w:val="20"/>
              </w:rPr>
              <w:t>o</w:t>
            </w:r>
            <w:r w:rsidRPr="00605612">
              <w:rPr>
                <w:rFonts w:cs="Arial"/>
                <w:bCs/>
                <w:szCs w:val="20"/>
              </w:rPr>
              <w:t xml:space="preserve">, ki se začne </w:t>
            </w:r>
            <w:r w:rsidRPr="001863C2">
              <w:rPr>
                <w:rFonts w:cs="Arial"/>
                <w:bCs/>
                <w:szCs w:val="20"/>
              </w:rPr>
              <w:t xml:space="preserve">v letu </w:t>
            </w:r>
            <w:r w:rsidRPr="00605612">
              <w:rPr>
                <w:rFonts w:cs="Arial"/>
                <w:bCs/>
                <w:szCs w:val="20"/>
              </w:rPr>
              <w:t xml:space="preserve">2024 → za tiste </w:t>
            </w:r>
            <w:r>
              <w:rPr>
                <w:rFonts w:cs="Arial"/>
                <w:bCs/>
                <w:szCs w:val="20"/>
              </w:rPr>
              <w:t xml:space="preserve">velike </w:t>
            </w:r>
            <w:r w:rsidRPr="00605612">
              <w:rPr>
                <w:rFonts w:cs="Arial"/>
                <w:bCs/>
                <w:szCs w:val="20"/>
              </w:rPr>
              <w:t>družbe, za katere že zdaj velja obveznost priprave izjave o nefinančnem poslovanju oziroma konsolidirane izjave o nefinančnem poslovanju,</w:t>
            </w:r>
          </w:p>
          <w:p w14:paraId="5AC75386" w14:textId="77777777" w:rsidR="000C08CA" w:rsidRPr="00605612" w:rsidRDefault="000C08CA" w:rsidP="00FE328D">
            <w:pPr>
              <w:spacing w:line="276" w:lineRule="auto"/>
              <w:jc w:val="both"/>
              <w:rPr>
                <w:rFonts w:cs="Arial"/>
                <w:bCs/>
                <w:szCs w:val="20"/>
              </w:rPr>
            </w:pPr>
            <w:r w:rsidRPr="00605612">
              <w:rPr>
                <w:rFonts w:cs="Arial"/>
                <w:bCs/>
                <w:szCs w:val="20"/>
              </w:rPr>
              <w:t>2. za poslovn</w:t>
            </w:r>
            <w:r>
              <w:rPr>
                <w:rFonts w:cs="Arial"/>
                <w:bCs/>
                <w:szCs w:val="20"/>
              </w:rPr>
              <w:t>o</w:t>
            </w:r>
            <w:r w:rsidRPr="00605612">
              <w:rPr>
                <w:rFonts w:cs="Arial"/>
                <w:bCs/>
                <w:szCs w:val="20"/>
              </w:rPr>
              <w:t xml:space="preserve"> let</w:t>
            </w:r>
            <w:r>
              <w:rPr>
                <w:rFonts w:cs="Arial"/>
                <w:bCs/>
                <w:szCs w:val="20"/>
              </w:rPr>
              <w:t>o</w:t>
            </w:r>
            <w:r w:rsidRPr="00605612">
              <w:rPr>
                <w:rFonts w:cs="Arial"/>
                <w:bCs/>
                <w:szCs w:val="20"/>
              </w:rPr>
              <w:t xml:space="preserve">, ki se začne </w:t>
            </w:r>
            <w:r w:rsidRPr="001863C2">
              <w:rPr>
                <w:rFonts w:cs="Arial"/>
                <w:bCs/>
                <w:szCs w:val="20"/>
              </w:rPr>
              <w:t xml:space="preserve">v letu </w:t>
            </w:r>
            <w:r w:rsidRPr="00605612">
              <w:rPr>
                <w:rFonts w:cs="Arial"/>
                <w:bCs/>
                <w:szCs w:val="20"/>
              </w:rPr>
              <w:t xml:space="preserve">2025 → za vse preostale velike družbe in </w:t>
            </w:r>
            <w:r>
              <w:rPr>
                <w:rFonts w:cs="Arial"/>
                <w:bCs/>
                <w:szCs w:val="20"/>
              </w:rPr>
              <w:t xml:space="preserve">preostale </w:t>
            </w:r>
            <w:r w:rsidRPr="00605612">
              <w:rPr>
                <w:rFonts w:cs="Arial"/>
                <w:bCs/>
                <w:szCs w:val="20"/>
              </w:rPr>
              <w:t>obvladujoče družbe</w:t>
            </w:r>
            <w:r w:rsidRPr="00794018">
              <w:rPr>
                <w:rFonts w:cs="Arial"/>
                <w:bCs/>
                <w:szCs w:val="20"/>
              </w:rPr>
              <w:t xml:space="preserve">, ki skupaj z odvisnimi družbami dosegajo pogoje za velike družbe iz petega odstavka 55. člena tega zakona, pri čemer se merili čistih prihodkov od prodaje in vrednosti aktive </w:t>
            </w:r>
            <w:r w:rsidRPr="00794018" w:rsidDel="00CB01B0">
              <w:rPr>
                <w:rFonts w:cs="Arial"/>
                <w:bCs/>
                <w:szCs w:val="20"/>
              </w:rPr>
              <w:t xml:space="preserve">povečata </w:t>
            </w:r>
            <w:r w:rsidRPr="00794018">
              <w:rPr>
                <w:rFonts w:cs="Arial"/>
                <w:bCs/>
                <w:szCs w:val="20"/>
              </w:rPr>
              <w:t>za 20 %,</w:t>
            </w:r>
          </w:p>
          <w:p w14:paraId="2BDC105A" w14:textId="77777777" w:rsidR="000C08CA" w:rsidRPr="00605612" w:rsidRDefault="000C08CA" w:rsidP="00FE328D">
            <w:pPr>
              <w:spacing w:line="276" w:lineRule="auto"/>
              <w:jc w:val="both"/>
              <w:rPr>
                <w:rFonts w:cs="Arial"/>
                <w:bCs/>
                <w:szCs w:val="20"/>
              </w:rPr>
            </w:pPr>
            <w:r w:rsidRPr="00605612">
              <w:rPr>
                <w:rFonts w:cs="Arial"/>
                <w:bCs/>
                <w:szCs w:val="20"/>
              </w:rPr>
              <w:t>3. za poslovn</w:t>
            </w:r>
            <w:r>
              <w:rPr>
                <w:rFonts w:cs="Arial"/>
                <w:bCs/>
                <w:szCs w:val="20"/>
              </w:rPr>
              <w:t>o</w:t>
            </w:r>
            <w:r w:rsidRPr="00605612">
              <w:rPr>
                <w:rFonts w:cs="Arial"/>
                <w:bCs/>
                <w:szCs w:val="20"/>
              </w:rPr>
              <w:t xml:space="preserve"> let</w:t>
            </w:r>
            <w:r>
              <w:rPr>
                <w:rFonts w:cs="Arial"/>
                <w:bCs/>
                <w:szCs w:val="20"/>
              </w:rPr>
              <w:t>o</w:t>
            </w:r>
            <w:r w:rsidRPr="00605612">
              <w:rPr>
                <w:rFonts w:cs="Arial"/>
                <w:bCs/>
                <w:szCs w:val="20"/>
              </w:rPr>
              <w:t xml:space="preserve">, ki se začne </w:t>
            </w:r>
            <w:r w:rsidRPr="001863C2">
              <w:rPr>
                <w:rFonts w:cs="Arial"/>
                <w:bCs/>
                <w:szCs w:val="20"/>
              </w:rPr>
              <w:t xml:space="preserve">v letu </w:t>
            </w:r>
            <w:r w:rsidRPr="00605612">
              <w:rPr>
                <w:rFonts w:cs="Arial"/>
                <w:bCs/>
                <w:szCs w:val="20"/>
              </w:rPr>
              <w:t>2026 → za</w:t>
            </w:r>
            <w:r w:rsidRPr="00605612">
              <w:rPr>
                <w:rFonts w:cs="Arial"/>
                <w:szCs w:val="20"/>
              </w:rPr>
              <w:t xml:space="preserve"> </w:t>
            </w:r>
            <w:r w:rsidRPr="00605612">
              <w:rPr>
                <w:rFonts w:cs="Arial"/>
                <w:bCs/>
                <w:szCs w:val="20"/>
              </w:rPr>
              <w:t>družbe, ki lahko glede na tretji odstavek 70.c člena ZGD-1 poročajo v poenostavljeni obliki:</w:t>
            </w:r>
          </w:p>
          <w:p w14:paraId="346C09EA" w14:textId="77777777" w:rsidR="000C08CA" w:rsidRPr="00605612" w:rsidRDefault="000C08CA" w:rsidP="00FE328D">
            <w:pPr>
              <w:pStyle w:val="Alineazaodstavkom"/>
              <w:numPr>
                <w:ilvl w:val="0"/>
                <w:numId w:val="38"/>
              </w:numPr>
              <w:overflowPunct/>
              <w:autoSpaceDE/>
              <w:autoSpaceDN/>
              <w:adjustRightInd/>
              <w:spacing w:line="276" w:lineRule="auto"/>
              <w:textAlignment w:val="auto"/>
              <w:rPr>
                <w:sz w:val="20"/>
                <w:szCs w:val="20"/>
              </w:rPr>
            </w:pPr>
            <w:r w:rsidRPr="00605612">
              <w:rPr>
                <w:sz w:val="20"/>
                <w:szCs w:val="20"/>
              </w:rPr>
              <w:t xml:space="preserve">majhne in srednje družbe, ki </w:t>
            </w:r>
            <w:r w:rsidRPr="00CB01B0">
              <w:rPr>
                <w:sz w:val="20"/>
                <w:szCs w:val="20"/>
              </w:rPr>
              <w:t xml:space="preserve">kotirajo </w:t>
            </w:r>
            <w:r w:rsidRPr="00605612">
              <w:rPr>
                <w:sz w:val="20"/>
                <w:szCs w:val="20"/>
              </w:rPr>
              <w:t>na borzi,</w:t>
            </w:r>
          </w:p>
          <w:p w14:paraId="2FC518D8" w14:textId="77777777" w:rsidR="000C08CA" w:rsidRPr="00605612" w:rsidRDefault="000C08CA" w:rsidP="00FE328D">
            <w:pPr>
              <w:pStyle w:val="Alineazaodstavkom"/>
              <w:numPr>
                <w:ilvl w:val="0"/>
                <w:numId w:val="38"/>
              </w:numPr>
              <w:overflowPunct/>
              <w:autoSpaceDE/>
              <w:autoSpaceDN/>
              <w:adjustRightInd/>
              <w:spacing w:line="276" w:lineRule="auto"/>
              <w:textAlignment w:val="auto"/>
              <w:rPr>
                <w:sz w:val="20"/>
                <w:szCs w:val="20"/>
              </w:rPr>
            </w:pPr>
            <w:r w:rsidRPr="00605612">
              <w:rPr>
                <w:sz w:val="20"/>
                <w:szCs w:val="20"/>
              </w:rPr>
              <w:t>majhne in nekompleksne institucije</w:t>
            </w:r>
            <w:r>
              <w:rPr>
                <w:sz w:val="20"/>
                <w:szCs w:val="20"/>
              </w:rPr>
              <w:t xml:space="preserve"> (</w:t>
            </w:r>
            <w:r w:rsidRPr="00F05096">
              <w:rPr>
                <w:sz w:val="20"/>
                <w:szCs w:val="20"/>
              </w:rPr>
              <w:t xml:space="preserve">če gre za veliko družbo oziroma majhno ali srednjo družbo, </w:t>
            </w:r>
            <w:r>
              <w:rPr>
                <w:sz w:val="20"/>
                <w:szCs w:val="20"/>
              </w:rPr>
              <w:t>ki kotira</w:t>
            </w:r>
            <w:r w:rsidRPr="00F05096">
              <w:rPr>
                <w:sz w:val="20"/>
                <w:szCs w:val="20"/>
              </w:rPr>
              <w:t xml:space="preserve"> na </w:t>
            </w:r>
            <w:r>
              <w:rPr>
                <w:sz w:val="20"/>
                <w:szCs w:val="20"/>
              </w:rPr>
              <w:t>borzi</w:t>
            </w:r>
            <w:r w:rsidRPr="00F05096">
              <w:rPr>
                <w:sz w:val="20"/>
                <w:szCs w:val="20"/>
              </w:rPr>
              <w:t>, ki ni mikro družba</w:t>
            </w:r>
            <w:r>
              <w:rPr>
                <w:sz w:val="20"/>
                <w:szCs w:val="20"/>
              </w:rPr>
              <w:t>)</w:t>
            </w:r>
            <w:r w:rsidRPr="00F05096">
              <w:rPr>
                <w:sz w:val="20"/>
                <w:szCs w:val="20"/>
              </w:rPr>
              <w:t>,</w:t>
            </w:r>
          </w:p>
          <w:p w14:paraId="3756F135" w14:textId="77777777" w:rsidR="000C08CA" w:rsidRPr="00605612" w:rsidRDefault="000C08CA" w:rsidP="00FE328D">
            <w:pPr>
              <w:pStyle w:val="Alineazaodstavkom"/>
              <w:numPr>
                <w:ilvl w:val="0"/>
                <w:numId w:val="38"/>
              </w:numPr>
              <w:overflowPunct/>
              <w:autoSpaceDE/>
              <w:autoSpaceDN/>
              <w:adjustRightInd/>
              <w:spacing w:line="276" w:lineRule="auto"/>
              <w:textAlignment w:val="auto"/>
              <w:rPr>
                <w:sz w:val="20"/>
                <w:szCs w:val="20"/>
              </w:rPr>
            </w:pPr>
            <w:r w:rsidRPr="00605612">
              <w:rPr>
                <w:sz w:val="20"/>
                <w:szCs w:val="20"/>
              </w:rPr>
              <w:t>lastne zavarovalnice in pozavarovalnice</w:t>
            </w:r>
            <w:r w:rsidRPr="00F05096">
              <w:rPr>
                <w:sz w:val="20"/>
                <w:szCs w:val="20"/>
              </w:rPr>
              <w:t xml:space="preserve"> </w:t>
            </w:r>
            <w:r>
              <w:rPr>
                <w:sz w:val="20"/>
                <w:szCs w:val="20"/>
              </w:rPr>
              <w:t>(</w:t>
            </w:r>
            <w:r w:rsidRPr="00F05096">
              <w:rPr>
                <w:sz w:val="20"/>
                <w:szCs w:val="20"/>
              </w:rPr>
              <w:t xml:space="preserve">če gre za veliko družbo oziroma majhno ali srednjo družbo, </w:t>
            </w:r>
            <w:r>
              <w:rPr>
                <w:sz w:val="20"/>
                <w:szCs w:val="20"/>
              </w:rPr>
              <w:t>ki kotira</w:t>
            </w:r>
            <w:r w:rsidRPr="00F05096">
              <w:rPr>
                <w:sz w:val="20"/>
                <w:szCs w:val="20"/>
              </w:rPr>
              <w:t xml:space="preserve"> na </w:t>
            </w:r>
            <w:r>
              <w:rPr>
                <w:sz w:val="20"/>
                <w:szCs w:val="20"/>
              </w:rPr>
              <w:t>borzi</w:t>
            </w:r>
            <w:r w:rsidRPr="00F05096">
              <w:rPr>
                <w:sz w:val="20"/>
                <w:szCs w:val="20"/>
              </w:rPr>
              <w:t>, ki ni mikro družba</w:t>
            </w:r>
            <w:r>
              <w:rPr>
                <w:sz w:val="20"/>
                <w:szCs w:val="20"/>
              </w:rPr>
              <w:t>)</w:t>
            </w:r>
            <w:r w:rsidRPr="00605612">
              <w:rPr>
                <w:sz w:val="20"/>
                <w:szCs w:val="20"/>
              </w:rPr>
              <w:t>.</w:t>
            </w:r>
          </w:p>
          <w:p w14:paraId="1D7056D2" w14:textId="77777777" w:rsidR="000C08CA" w:rsidRDefault="000C08CA" w:rsidP="00FE328D">
            <w:pPr>
              <w:pStyle w:val="Alineazaodstavkom"/>
              <w:numPr>
                <w:ilvl w:val="0"/>
                <w:numId w:val="0"/>
              </w:numPr>
              <w:overflowPunct/>
              <w:autoSpaceDE/>
              <w:autoSpaceDN/>
              <w:adjustRightInd/>
              <w:spacing w:line="276" w:lineRule="auto"/>
              <w:textAlignment w:val="auto"/>
              <w:rPr>
                <w:sz w:val="20"/>
                <w:szCs w:val="20"/>
              </w:rPr>
            </w:pPr>
          </w:p>
          <w:p w14:paraId="79BF8496" w14:textId="77777777" w:rsidR="000C08CA" w:rsidRDefault="000C08CA" w:rsidP="00FE328D">
            <w:pPr>
              <w:pStyle w:val="Alineazaodstavkom"/>
              <w:numPr>
                <w:ilvl w:val="0"/>
                <w:numId w:val="0"/>
              </w:numPr>
              <w:overflowPunct/>
              <w:autoSpaceDE/>
              <w:autoSpaceDN/>
              <w:adjustRightInd/>
              <w:spacing w:line="276" w:lineRule="auto"/>
              <w:textAlignment w:val="auto"/>
              <w:rPr>
                <w:sz w:val="20"/>
                <w:szCs w:val="20"/>
              </w:rPr>
            </w:pPr>
            <w:r>
              <w:rPr>
                <w:sz w:val="20"/>
                <w:szCs w:val="20"/>
              </w:rPr>
              <w:t xml:space="preserve">V drugem odstavku se določa, da se do </w:t>
            </w:r>
            <w:r w:rsidRPr="00D5277A">
              <w:rPr>
                <w:sz w:val="20"/>
                <w:szCs w:val="20"/>
              </w:rPr>
              <w:t>začetka uporabe spremenjenega 70.c in novega 70.č člena za obveznosti poročanja v skladu s 70.c členom uporabljajo določbe, ki so se uporabljale do uveljavitve tega zakona. Družba je dolžna pripraviti zadnjo izjavo o nefinančnem poslovanju oziroma konsolidirano izjavo o nefinančnem poslovanju v skladu s 70.c členom za poslovno leto, ki se začne v letu 2023.</w:t>
            </w:r>
          </w:p>
          <w:p w14:paraId="434E6794" w14:textId="77777777" w:rsidR="000C08CA" w:rsidRDefault="000C08CA" w:rsidP="00FE328D">
            <w:pPr>
              <w:pStyle w:val="Alineazaodstavkom"/>
              <w:numPr>
                <w:ilvl w:val="0"/>
                <w:numId w:val="0"/>
              </w:numPr>
              <w:overflowPunct/>
              <w:autoSpaceDE/>
              <w:autoSpaceDN/>
              <w:adjustRightInd/>
              <w:spacing w:line="276" w:lineRule="auto"/>
              <w:textAlignment w:val="auto"/>
              <w:rPr>
                <w:sz w:val="20"/>
                <w:szCs w:val="20"/>
              </w:rPr>
            </w:pPr>
          </w:p>
          <w:p w14:paraId="31E8609F" w14:textId="77777777" w:rsidR="000C08CA" w:rsidRDefault="000C08CA" w:rsidP="00FE328D">
            <w:pPr>
              <w:pStyle w:val="Alineazaodstavkom"/>
              <w:numPr>
                <w:ilvl w:val="0"/>
                <w:numId w:val="0"/>
              </w:numPr>
              <w:overflowPunct/>
              <w:autoSpaceDE/>
              <w:autoSpaceDN/>
              <w:adjustRightInd/>
              <w:spacing w:line="276" w:lineRule="auto"/>
              <w:textAlignment w:val="auto"/>
              <w:rPr>
                <w:sz w:val="20"/>
                <w:szCs w:val="20"/>
              </w:rPr>
            </w:pPr>
            <w:r>
              <w:rPr>
                <w:sz w:val="20"/>
                <w:szCs w:val="20"/>
              </w:rPr>
              <w:t>Tretji odstavek člena je povezan s tem, da je Komisija sporočila, da bo digitalno taksonomijo (</w:t>
            </w:r>
            <w:r w:rsidRPr="004E0AD8">
              <w:rPr>
                <w:sz w:val="20"/>
                <w:szCs w:val="20"/>
              </w:rPr>
              <w:t>delegiran</w:t>
            </w:r>
            <w:r>
              <w:rPr>
                <w:sz w:val="20"/>
                <w:szCs w:val="20"/>
              </w:rPr>
              <w:t>i</w:t>
            </w:r>
            <w:r w:rsidRPr="004E0AD8">
              <w:rPr>
                <w:sz w:val="20"/>
                <w:szCs w:val="20"/>
              </w:rPr>
              <w:t xml:space="preserve"> akt, s katerim bo določila </w:t>
            </w:r>
            <w:r>
              <w:rPr>
                <w:sz w:val="20"/>
                <w:szCs w:val="20"/>
              </w:rPr>
              <w:t>podlago</w:t>
            </w:r>
            <w:r w:rsidRPr="004E0AD8">
              <w:rPr>
                <w:sz w:val="20"/>
                <w:szCs w:val="20"/>
              </w:rPr>
              <w:t xml:space="preserve"> za </w:t>
            </w:r>
            <w:r>
              <w:rPr>
                <w:sz w:val="20"/>
                <w:szCs w:val="20"/>
              </w:rPr>
              <w:t xml:space="preserve">označevanje informacij o trajnostnosti), sprejela šele v letu 2025. Opozorila je tudi, da do sprejema digitalne taksonomije s tega področja družbe ne bodo smele biti zavezane opremljati poročila o trajnostnosti z oznakami, kot to določa spremenjeni </w:t>
            </w:r>
            <w:r w:rsidRPr="00B06DD9">
              <w:rPr>
                <w:sz w:val="20"/>
                <w:szCs w:val="20"/>
              </w:rPr>
              <w:t>drug</w:t>
            </w:r>
            <w:r>
              <w:rPr>
                <w:sz w:val="20"/>
                <w:szCs w:val="20"/>
              </w:rPr>
              <w:t>i</w:t>
            </w:r>
            <w:r w:rsidRPr="00B06DD9">
              <w:rPr>
                <w:sz w:val="20"/>
                <w:szCs w:val="20"/>
              </w:rPr>
              <w:t xml:space="preserve"> odstav</w:t>
            </w:r>
            <w:r>
              <w:rPr>
                <w:sz w:val="20"/>
                <w:szCs w:val="20"/>
              </w:rPr>
              <w:t>ek</w:t>
            </w:r>
            <w:r w:rsidRPr="00B06DD9">
              <w:rPr>
                <w:sz w:val="20"/>
                <w:szCs w:val="20"/>
              </w:rPr>
              <w:t xml:space="preserve"> 58. člena zakona</w:t>
            </w:r>
            <w:r>
              <w:rPr>
                <w:sz w:val="20"/>
                <w:szCs w:val="20"/>
              </w:rPr>
              <w:t xml:space="preserve">. Glede na to je bilo treba izrecno določiti, da se ta določba začne </w:t>
            </w:r>
            <w:r>
              <w:rPr>
                <w:sz w:val="20"/>
                <w:szCs w:val="20"/>
              </w:rPr>
              <w:lastRenderedPageBreak/>
              <w:t>uporabljati pozneje. M</w:t>
            </w:r>
            <w:r w:rsidRPr="00B06DD9">
              <w:rPr>
                <w:sz w:val="20"/>
                <w:szCs w:val="20"/>
              </w:rPr>
              <w:t>inister, pristojen za gospodarstvo</w:t>
            </w:r>
            <w:r>
              <w:rPr>
                <w:sz w:val="20"/>
                <w:szCs w:val="20"/>
              </w:rPr>
              <w:t>,</w:t>
            </w:r>
            <w:r w:rsidRPr="00B06DD9">
              <w:rPr>
                <w:sz w:val="20"/>
                <w:szCs w:val="20"/>
              </w:rPr>
              <w:t xml:space="preserve"> </w:t>
            </w:r>
            <w:r>
              <w:rPr>
                <w:sz w:val="20"/>
                <w:szCs w:val="20"/>
              </w:rPr>
              <w:t xml:space="preserve">bo </w:t>
            </w:r>
            <w:r w:rsidRPr="00B06DD9">
              <w:rPr>
                <w:sz w:val="20"/>
                <w:szCs w:val="20"/>
              </w:rPr>
              <w:t>ob zagotovitvi tehničnih pogojev z odredbo, ki se objavi v Uradnem listu Republike Slovenije, določi</w:t>
            </w:r>
            <w:r>
              <w:rPr>
                <w:sz w:val="20"/>
                <w:szCs w:val="20"/>
              </w:rPr>
              <w:t>l</w:t>
            </w:r>
            <w:r w:rsidRPr="00B06DD9">
              <w:rPr>
                <w:sz w:val="20"/>
                <w:szCs w:val="20"/>
              </w:rPr>
              <w:t xml:space="preserve"> datum, od katerega se začne uporabljati t</w:t>
            </w:r>
            <w:r>
              <w:rPr>
                <w:sz w:val="20"/>
                <w:szCs w:val="20"/>
              </w:rPr>
              <w:t>a</w:t>
            </w:r>
            <w:r w:rsidRPr="00B06DD9">
              <w:rPr>
                <w:sz w:val="20"/>
                <w:szCs w:val="20"/>
              </w:rPr>
              <w:t xml:space="preserve"> določb</w:t>
            </w:r>
            <w:r>
              <w:rPr>
                <w:sz w:val="20"/>
                <w:szCs w:val="20"/>
              </w:rPr>
              <w:t>a</w:t>
            </w:r>
            <w:r w:rsidRPr="00B06DD9">
              <w:rPr>
                <w:sz w:val="20"/>
                <w:szCs w:val="20"/>
              </w:rPr>
              <w:t>.</w:t>
            </w:r>
            <w:r>
              <w:t xml:space="preserve"> </w:t>
            </w:r>
          </w:p>
          <w:p w14:paraId="3ACF9505" w14:textId="77777777" w:rsidR="000C08CA" w:rsidRPr="00605612" w:rsidRDefault="000C08CA" w:rsidP="00FE328D">
            <w:pPr>
              <w:pStyle w:val="Alineazaodstavkom"/>
              <w:numPr>
                <w:ilvl w:val="0"/>
                <w:numId w:val="0"/>
              </w:numPr>
              <w:spacing w:line="276" w:lineRule="auto"/>
              <w:rPr>
                <w:sz w:val="20"/>
                <w:szCs w:val="20"/>
              </w:rPr>
            </w:pPr>
          </w:p>
          <w:p w14:paraId="4894B1D0" w14:textId="77777777" w:rsidR="000C08CA" w:rsidRPr="00605612" w:rsidRDefault="000C08CA" w:rsidP="00FE328D">
            <w:pPr>
              <w:pStyle w:val="Alineazaodstavkom"/>
              <w:numPr>
                <w:ilvl w:val="0"/>
                <w:numId w:val="0"/>
              </w:numPr>
              <w:spacing w:line="276" w:lineRule="auto"/>
              <w:rPr>
                <w:sz w:val="20"/>
                <w:szCs w:val="20"/>
              </w:rPr>
            </w:pPr>
            <w:r>
              <w:rPr>
                <w:sz w:val="20"/>
                <w:szCs w:val="20"/>
              </w:rPr>
              <w:t>V četrtem odstavku se določi, da se d</w:t>
            </w:r>
            <w:r w:rsidRPr="00605612">
              <w:rPr>
                <w:sz w:val="20"/>
                <w:szCs w:val="20"/>
              </w:rPr>
              <w:t>oločbe novega 70.d in 683.b člena ZGD-1, ki veljajo za odvisne družbe, ki jih obvladuje družba iz tretje države, in za podružnice tujega podjetja iz tretje države</w:t>
            </w:r>
            <w:r>
              <w:rPr>
                <w:sz w:val="20"/>
                <w:szCs w:val="20"/>
              </w:rPr>
              <w:t xml:space="preserve">, </w:t>
            </w:r>
            <w:r w:rsidRPr="00605612">
              <w:rPr>
                <w:sz w:val="20"/>
                <w:szCs w:val="20"/>
              </w:rPr>
              <w:t>začnejo uporabljati za poslovn</w:t>
            </w:r>
            <w:r>
              <w:rPr>
                <w:sz w:val="20"/>
                <w:szCs w:val="20"/>
              </w:rPr>
              <w:t>o</w:t>
            </w:r>
            <w:r w:rsidRPr="00605612">
              <w:rPr>
                <w:sz w:val="20"/>
                <w:szCs w:val="20"/>
              </w:rPr>
              <w:t xml:space="preserve"> let</w:t>
            </w:r>
            <w:r>
              <w:rPr>
                <w:sz w:val="20"/>
                <w:szCs w:val="20"/>
              </w:rPr>
              <w:t>o</w:t>
            </w:r>
            <w:r w:rsidRPr="00605612">
              <w:rPr>
                <w:sz w:val="20"/>
                <w:szCs w:val="20"/>
              </w:rPr>
              <w:t xml:space="preserve">, ki se začne </w:t>
            </w:r>
            <w:r w:rsidRPr="001863C2">
              <w:rPr>
                <w:sz w:val="20"/>
                <w:szCs w:val="20"/>
              </w:rPr>
              <w:t xml:space="preserve">v letu </w:t>
            </w:r>
            <w:r w:rsidRPr="00605612">
              <w:rPr>
                <w:sz w:val="20"/>
                <w:szCs w:val="20"/>
              </w:rPr>
              <w:t xml:space="preserve">2028. Namen določbe je v tem, da se jim zagotovi dovolj časa za prilagoditev novim </w:t>
            </w:r>
            <w:r>
              <w:rPr>
                <w:sz w:val="20"/>
                <w:szCs w:val="20"/>
              </w:rPr>
              <w:t>pravilom</w:t>
            </w:r>
            <w:r w:rsidRPr="00605612">
              <w:rPr>
                <w:sz w:val="20"/>
                <w:szCs w:val="20"/>
              </w:rPr>
              <w:t>.</w:t>
            </w:r>
          </w:p>
          <w:p w14:paraId="0B765FF8" w14:textId="77777777" w:rsidR="000C08CA" w:rsidRPr="00605612" w:rsidRDefault="000C08CA" w:rsidP="00FE328D">
            <w:pPr>
              <w:spacing w:line="276" w:lineRule="auto"/>
              <w:rPr>
                <w:rFonts w:cs="Arial"/>
                <w:b/>
                <w:szCs w:val="20"/>
              </w:rPr>
            </w:pPr>
          </w:p>
          <w:p w14:paraId="574C53AE" w14:textId="77777777" w:rsidR="000C08CA" w:rsidRPr="00605612" w:rsidRDefault="000C08CA" w:rsidP="00FE328D">
            <w:pPr>
              <w:spacing w:line="276" w:lineRule="auto"/>
              <w:rPr>
                <w:rFonts w:cs="Arial"/>
                <w:b/>
                <w:szCs w:val="20"/>
              </w:rPr>
            </w:pPr>
            <w:r w:rsidRPr="00605612">
              <w:rPr>
                <w:rFonts w:cs="Arial"/>
                <w:b/>
                <w:szCs w:val="20"/>
              </w:rPr>
              <w:t>K 3</w:t>
            </w:r>
            <w:r>
              <w:rPr>
                <w:rFonts w:cs="Arial"/>
                <w:b/>
                <w:szCs w:val="20"/>
              </w:rPr>
              <w:t>5</w:t>
            </w:r>
            <w:r w:rsidRPr="00605612">
              <w:rPr>
                <w:rFonts w:cs="Arial"/>
                <w:b/>
                <w:szCs w:val="20"/>
              </w:rPr>
              <w:t>. členu</w:t>
            </w:r>
          </w:p>
          <w:p w14:paraId="263328F5" w14:textId="77777777" w:rsidR="000C08CA" w:rsidRPr="00605612" w:rsidRDefault="000C08CA" w:rsidP="00FE328D">
            <w:pPr>
              <w:spacing w:line="276" w:lineRule="auto"/>
              <w:rPr>
                <w:rFonts w:cs="Arial"/>
                <w:b/>
                <w:szCs w:val="20"/>
              </w:rPr>
            </w:pPr>
          </w:p>
          <w:p w14:paraId="13B70451" w14:textId="77777777" w:rsidR="000C08CA" w:rsidRPr="00605612" w:rsidRDefault="000C08CA" w:rsidP="00FE328D">
            <w:pPr>
              <w:spacing w:line="276" w:lineRule="auto"/>
              <w:jc w:val="both"/>
              <w:rPr>
                <w:rFonts w:cs="Arial"/>
                <w:b/>
                <w:szCs w:val="20"/>
              </w:rPr>
            </w:pPr>
            <w:r w:rsidRPr="00605612">
              <w:rPr>
                <w:rFonts w:cs="Arial"/>
                <w:szCs w:val="20"/>
              </w:rPr>
              <w:t xml:space="preserve">S to prehodno določbo se v nacionalno zakonodajo prenaša z Direktivo 2022/2464/EU dopolnjena določba sedmega odstavka 19.a člena Direktive 2013/34/EU, ki z odstopanjem od prejšnjega člena omogoča majhnim in srednjim družbam, ki </w:t>
            </w:r>
            <w:r>
              <w:rPr>
                <w:rFonts w:cs="Arial"/>
                <w:szCs w:val="20"/>
              </w:rPr>
              <w:t>k</w:t>
            </w:r>
            <w:r w:rsidRPr="00605612">
              <w:rPr>
                <w:rFonts w:cs="Arial"/>
                <w:szCs w:val="20"/>
              </w:rPr>
              <w:t>o</w:t>
            </w:r>
            <w:r>
              <w:rPr>
                <w:rFonts w:cs="Arial"/>
                <w:szCs w:val="20"/>
              </w:rPr>
              <w:t>tirajo</w:t>
            </w:r>
            <w:r w:rsidRPr="00605612">
              <w:rPr>
                <w:rFonts w:cs="Arial"/>
                <w:szCs w:val="20"/>
              </w:rPr>
              <w:t xml:space="preserve"> na borzi, da za poslovno leto, ki se začne pred 1. januarjem 2028, ne pripravijo poročila o trajnostnosti. V tem primeru družba v poslovnem poročilu na kratko pojasni, zakaj poročila o trajnostnosti ni pripravila. </w:t>
            </w:r>
          </w:p>
          <w:p w14:paraId="6F2D4B93" w14:textId="77777777" w:rsidR="000C08CA" w:rsidRPr="00605612" w:rsidRDefault="000C08CA" w:rsidP="00FE328D">
            <w:pPr>
              <w:pStyle w:val="ListParagraph"/>
              <w:spacing w:after="0" w:line="276" w:lineRule="auto"/>
              <w:ind w:left="0"/>
              <w:jc w:val="both"/>
              <w:rPr>
                <w:rFonts w:ascii="Arial" w:hAnsi="Arial" w:cs="Arial"/>
                <w:sz w:val="20"/>
                <w:szCs w:val="20"/>
              </w:rPr>
            </w:pPr>
          </w:p>
          <w:p w14:paraId="37B9306D" w14:textId="77777777" w:rsidR="000C08CA" w:rsidRPr="00605612" w:rsidRDefault="000C08CA" w:rsidP="00FE328D">
            <w:pPr>
              <w:spacing w:line="276" w:lineRule="auto"/>
              <w:jc w:val="both"/>
              <w:rPr>
                <w:rFonts w:cs="Arial"/>
                <w:szCs w:val="20"/>
              </w:rPr>
            </w:pPr>
            <w:r w:rsidRPr="00605612">
              <w:rPr>
                <w:rFonts w:cs="Arial"/>
                <w:szCs w:val="20"/>
              </w:rPr>
              <w:t xml:space="preserve">Majhnim in srednjim družbam, ki </w:t>
            </w:r>
            <w:r w:rsidRPr="00CB01B0">
              <w:rPr>
                <w:rFonts w:cs="Arial"/>
                <w:szCs w:val="20"/>
              </w:rPr>
              <w:t xml:space="preserve">kotirajo </w:t>
            </w:r>
            <w:r w:rsidRPr="00605612">
              <w:rPr>
                <w:rFonts w:cs="Arial"/>
                <w:szCs w:val="20"/>
              </w:rPr>
              <w:t>na borzi, je treba zaradi manjše velikosti in bolj omejenih virov zagotoviti dovolj časa za pripravo na uporabo določb, ki zahtevajo pripravo poročila o trajnostnosti. Zanje</w:t>
            </w:r>
            <w:r>
              <w:rPr>
                <w:rFonts w:cs="Arial"/>
                <w:szCs w:val="20"/>
              </w:rPr>
              <w:t>,</w:t>
            </w:r>
            <w:r w:rsidRPr="00605612">
              <w:rPr>
                <w:rFonts w:cs="Arial"/>
                <w:szCs w:val="20"/>
              </w:rPr>
              <w:t xml:space="preserve"> kot že pojasnjeno </w:t>
            </w:r>
            <w:r>
              <w:rPr>
                <w:rFonts w:cs="Arial"/>
                <w:szCs w:val="20"/>
              </w:rPr>
              <w:t>pri</w:t>
            </w:r>
            <w:r w:rsidRPr="00605612">
              <w:rPr>
                <w:rFonts w:cs="Arial"/>
                <w:szCs w:val="20"/>
              </w:rPr>
              <w:t xml:space="preserve"> prejšnjem členu</w:t>
            </w:r>
            <w:r>
              <w:rPr>
                <w:rFonts w:cs="Arial"/>
                <w:szCs w:val="20"/>
              </w:rPr>
              <w:t>,</w:t>
            </w:r>
            <w:r w:rsidRPr="00605612">
              <w:rPr>
                <w:rFonts w:cs="Arial"/>
                <w:szCs w:val="20"/>
              </w:rPr>
              <w:t xml:space="preserve"> velja obveznost priprave poročila o trajnostnosti nekoliko kasneje, in sicer za poslovn</w:t>
            </w:r>
            <w:r>
              <w:rPr>
                <w:rFonts w:cs="Arial"/>
                <w:szCs w:val="20"/>
              </w:rPr>
              <w:t>o</w:t>
            </w:r>
            <w:r w:rsidRPr="00605612">
              <w:rPr>
                <w:rFonts w:cs="Arial"/>
                <w:szCs w:val="20"/>
              </w:rPr>
              <w:t xml:space="preserve"> let</w:t>
            </w:r>
            <w:r>
              <w:rPr>
                <w:rFonts w:cs="Arial"/>
                <w:szCs w:val="20"/>
              </w:rPr>
              <w:t>o</w:t>
            </w:r>
            <w:r w:rsidRPr="00605612">
              <w:rPr>
                <w:rFonts w:cs="Arial"/>
                <w:szCs w:val="20"/>
              </w:rPr>
              <w:t xml:space="preserve">, ki se začne </w:t>
            </w:r>
            <w:r>
              <w:rPr>
                <w:rFonts w:cs="Arial"/>
                <w:szCs w:val="20"/>
              </w:rPr>
              <w:t>v letu</w:t>
            </w:r>
            <w:r w:rsidRPr="00605612">
              <w:rPr>
                <w:rFonts w:cs="Arial"/>
                <w:szCs w:val="20"/>
              </w:rPr>
              <w:t xml:space="preserve"> 2026. Po tem datumu pa imajo v prehodnem obdobju možnost izvzetja od zahtev glede priprave poročila o trajnostnosti, pod pogojem, da v svojem poslovnem poročilu na kratko pojasnijo, zakaj informacije o trajnostnosti niso bile predložene.</w:t>
            </w:r>
          </w:p>
          <w:p w14:paraId="5683A056" w14:textId="77777777" w:rsidR="000C08CA" w:rsidRPr="00605612" w:rsidRDefault="000C08CA" w:rsidP="00FE328D">
            <w:pPr>
              <w:pStyle w:val="ListParagraph"/>
              <w:spacing w:after="0" w:line="276" w:lineRule="auto"/>
              <w:rPr>
                <w:rFonts w:ascii="Arial" w:hAnsi="Arial" w:cs="Arial"/>
                <w:b/>
                <w:sz w:val="20"/>
                <w:szCs w:val="20"/>
              </w:rPr>
            </w:pPr>
          </w:p>
          <w:p w14:paraId="12AADBCF" w14:textId="77777777" w:rsidR="000C08CA" w:rsidRPr="00605612" w:rsidRDefault="000C08CA" w:rsidP="00FE328D">
            <w:pPr>
              <w:spacing w:line="276" w:lineRule="auto"/>
              <w:rPr>
                <w:rFonts w:cs="Arial"/>
                <w:b/>
                <w:szCs w:val="20"/>
              </w:rPr>
            </w:pPr>
            <w:r w:rsidRPr="00605612">
              <w:rPr>
                <w:rFonts w:cs="Arial"/>
                <w:b/>
                <w:szCs w:val="20"/>
              </w:rPr>
              <w:t>K 3</w:t>
            </w:r>
            <w:r>
              <w:rPr>
                <w:rFonts w:cs="Arial"/>
                <w:b/>
                <w:szCs w:val="20"/>
              </w:rPr>
              <w:t>6</w:t>
            </w:r>
            <w:r w:rsidRPr="00605612">
              <w:rPr>
                <w:rFonts w:cs="Arial"/>
                <w:b/>
                <w:szCs w:val="20"/>
              </w:rPr>
              <w:t>. členu</w:t>
            </w:r>
          </w:p>
          <w:p w14:paraId="3FBF6280" w14:textId="77777777" w:rsidR="000C08CA" w:rsidRPr="00605612" w:rsidRDefault="000C08CA" w:rsidP="00FE328D">
            <w:pPr>
              <w:spacing w:line="276" w:lineRule="auto"/>
              <w:rPr>
                <w:rFonts w:cs="Arial"/>
                <w:b/>
                <w:szCs w:val="20"/>
              </w:rPr>
            </w:pPr>
          </w:p>
          <w:p w14:paraId="2C329B39" w14:textId="77777777" w:rsidR="000C08CA" w:rsidRPr="00605612" w:rsidRDefault="000C08CA" w:rsidP="00FE328D">
            <w:pPr>
              <w:spacing w:line="276" w:lineRule="auto"/>
              <w:jc w:val="both"/>
              <w:rPr>
                <w:rFonts w:cs="Arial"/>
                <w:szCs w:val="20"/>
              </w:rPr>
            </w:pPr>
            <w:bookmarkStart w:id="77" w:name="_Hlk142466062"/>
            <w:r w:rsidRPr="00605612">
              <w:rPr>
                <w:rFonts w:cs="Arial"/>
                <w:szCs w:val="20"/>
              </w:rPr>
              <w:t>S tem prehodnim členom se v nacionalno zakonodajo prenaša</w:t>
            </w:r>
            <w:bookmarkEnd w:id="77"/>
            <w:r w:rsidRPr="00605612">
              <w:rPr>
                <w:rFonts w:cs="Arial"/>
                <w:szCs w:val="20"/>
              </w:rPr>
              <w:t xml:space="preserve"> z Direktivo 2022/2464/EU dopolnjena določba drugega podo</w:t>
            </w:r>
            <w:r>
              <w:rPr>
                <w:rFonts w:cs="Arial"/>
                <w:szCs w:val="20"/>
              </w:rPr>
              <w:t>d</w:t>
            </w:r>
            <w:r w:rsidRPr="00605612">
              <w:rPr>
                <w:rFonts w:cs="Arial"/>
                <w:szCs w:val="20"/>
              </w:rPr>
              <w:t xml:space="preserve">stavka tretjega odstavka 19.a člena Direktive 2013/34/EU, ki v prvih treh letih uporabe ukrepov določa prehodno obdobje za vključitev informacij o vrednostni verigi družbe v poročilo o trajnostnosti. </w:t>
            </w:r>
          </w:p>
          <w:p w14:paraId="2C79A191" w14:textId="77777777" w:rsidR="000C08CA" w:rsidRPr="00605612" w:rsidRDefault="000C08CA" w:rsidP="00FE328D">
            <w:pPr>
              <w:spacing w:line="276" w:lineRule="auto"/>
              <w:jc w:val="both"/>
              <w:rPr>
                <w:rFonts w:cs="Arial"/>
                <w:szCs w:val="20"/>
              </w:rPr>
            </w:pPr>
          </w:p>
          <w:p w14:paraId="5137F292" w14:textId="77777777" w:rsidR="000C08CA" w:rsidRPr="00605612" w:rsidRDefault="000C08CA" w:rsidP="00FE328D">
            <w:pPr>
              <w:spacing w:line="276" w:lineRule="auto"/>
              <w:jc w:val="both"/>
              <w:rPr>
                <w:rStyle w:val="CommentReference"/>
                <w:rFonts w:cs="Arial"/>
                <w:sz w:val="20"/>
                <w:szCs w:val="20"/>
              </w:rPr>
            </w:pPr>
            <w:r w:rsidRPr="0062002E">
              <w:rPr>
                <w:rFonts w:cs="Arial"/>
                <w:szCs w:val="20"/>
              </w:rPr>
              <w:t>Družba, ki pripravi poročilo o trajnostnosti v skladu s prvim odstavkom 70.c člena zakona oziroma konsolidirano poročilo o trajnostnosti v skladu s 70.č členom zakona</w:t>
            </w:r>
            <w:r w:rsidRPr="00605612">
              <w:rPr>
                <w:rFonts w:cs="Arial"/>
                <w:szCs w:val="20"/>
              </w:rPr>
              <w:t>, lahko tako v prvih treh letih, kadar niso na voljo vse potrebne informacije o vrednostni verigi, pojasni, kaj je storila za njihovo pridobitev, zakaj vseh potrebnih informacij ni bilo mogoče pridobiti in kako jih namerava pridobiti v prihodnje. Namen določbe je zagotoviti družbam dovolj časa za prilagoditev ukrepom</w:t>
            </w:r>
            <w:r>
              <w:rPr>
                <w:rFonts w:cs="Arial"/>
                <w:szCs w:val="20"/>
              </w:rPr>
              <w:t>,</w:t>
            </w:r>
            <w:r>
              <w:t xml:space="preserve"> </w:t>
            </w:r>
            <w:r w:rsidRPr="003A334D">
              <w:rPr>
                <w:rFonts w:cs="Arial"/>
                <w:szCs w:val="20"/>
              </w:rPr>
              <w:t xml:space="preserve">zato velja triletno obdobje z upoštevanjem različnega začetka uporabe določb za različne subjekte iz </w:t>
            </w:r>
            <w:r>
              <w:rPr>
                <w:rFonts w:cs="Arial"/>
                <w:szCs w:val="20"/>
              </w:rPr>
              <w:t>prvega odstavka 34. člena tega</w:t>
            </w:r>
            <w:r w:rsidRPr="003A334D">
              <w:rPr>
                <w:rFonts w:cs="Arial"/>
                <w:szCs w:val="20"/>
              </w:rPr>
              <w:t xml:space="preserve"> zakona.</w:t>
            </w:r>
          </w:p>
          <w:p w14:paraId="6A619C09" w14:textId="77777777" w:rsidR="000C08CA" w:rsidRPr="00605612" w:rsidRDefault="000C08CA" w:rsidP="00FE328D">
            <w:pPr>
              <w:pStyle w:val="ListParagraph"/>
              <w:spacing w:after="0" w:line="276" w:lineRule="auto"/>
              <w:rPr>
                <w:rFonts w:ascii="Arial" w:hAnsi="Arial" w:cs="Arial"/>
                <w:b/>
                <w:sz w:val="20"/>
                <w:szCs w:val="20"/>
              </w:rPr>
            </w:pPr>
          </w:p>
          <w:p w14:paraId="3DABECAC" w14:textId="77777777" w:rsidR="000C08CA" w:rsidRPr="00605612" w:rsidRDefault="000C08CA" w:rsidP="00FE328D">
            <w:pPr>
              <w:spacing w:line="276" w:lineRule="auto"/>
              <w:rPr>
                <w:rFonts w:cs="Arial"/>
                <w:b/>
                <w:szCs w:val="20"/>
              </w:rPr>
            </w:pPr>
            <w:r w:rsidRPr="00605612">
              <w:rPr>
                <w:rFonts w:cs="Arial"/>
                <w:b/>
                <w:szCs w:val="20"/>
              </w:rPr>
              <w:t>K 3</w:t>
            </w:r>
            <w:r>
              <w:rPr>
                <w:rFonts w:cs="Arial"/>
                <w:b/>
                <w:szCs w:val="20"/>
              </w:rPr>
              <w:t>7</w:t>
            </w:r>
            <w:r w:rsidRPr="00605612">
              <w:rPr>
                <w:rFonts w:cs="Arial"/>
                <w:b/>
                <w:szCs w:val="20"/>
              </w:rPr>
              <w:t>. členu</w:t>
            </w:r>
          </w:p>
          <w:p w14:paraId="07A34F71" w14:textId="77777777" w:rsidR="000C08CA" w:rsidRPr="00605612" w:rsidRDefault="000C08CA" w:rsidP="00FE328D">
            <w:pPr>
              <w:pStyle w:val="ListParagraph"/>
              <w:spacing w:after="0" w:line="276" w:lineRule="auto"/>
              <w:jc w:val="both"/>
              <w:rPr>
                <w:rFonts w:ascii="Arial" w:hAnsi="Arial" w:cs="Arial"/>
                <w:sz w:val="20"/>
                <w:szCs w:val="20"/>
              </w:rPr>
            </w:pPr>
          </w:p>
          <w:p w14:paraId="1F2B4412" w14:textId="77777777" w:rsidR="000C08CA" w:rsidRPr="00605612" w:rsidRDefault="000C08CA" w:rsidP="00FE328D">
            <w:pPr>
              <w:spacing w:line="276" w:lineRule="auto"/>
              <w:jc w:val="both"/>
              <w:rPr>
                <w:rFonts w:cs="Arial"/>
                <w:szCs w:val="20"/>
              </w:rPr>
            </w:pPr>
            <w:r w:rsidRPr="00605612">
              <w:rPr>
                <w:rFonts w:cs="Arial"/>
                <w:szCs w:val="20"/>
              </w:rPr>
              <w:t>S to prehodno določbo se v nacionalno zakonodajo prenaša z Direktivo 2022/2464/EU dopolnjena določba 48.i člena Direktive 2013/34/EU, ki v prehodnem obdobju (do 6. januarja 2030) omogoča odvisni družbi iz države članice, za katero velja 70.c ali 70.č člen tega zakona, ki jo obvladuje družba iz tretje države, da sama pripravi konsolidirano poročilo o trajnostnosti, ki vključuje vse odvisne družbe iz držav članic take obvladujoče družbe, ki so zavezane pripraviti poročilo o trajnostnosti oziroma konsolidirano poročilo o trajnostnosti.</w:t>
            </w:r>
          </w:p>
          <w:p w14:paraId="59DF2BD9" w14:textId="77777777" w:rsidR="000C08CA" w:rsidRPr="00605612" w:rsidRDefault="000C08CA" w:rsidP="00FE328D">
            <w:pPr>
              <w:spacing w:line="276" w:lineRule="auto"/>
              <w:jc w:val="both"/>
              <w:rPr>
                <w:rFonts w:cs="Arial"/>
                <w:szCs w:val="20"/>
              </w:rPr>
            </w:pPr>
          </w:p>
          <w:p w14:paraId="61A1FE58" w14:textId="77777777" w:rsidR="000C08CA" w:rsidRPr="00605612" w:rsidRDefault="000C08CA" w:rsidP="00FE328D">
            <w:pPr>
              <w:spacing w:line="276" w:lineRule="auto"/>
              <w:jc w:val="both"/>
              <w:rPr>
                <w:rFonts w:cs="Arial"/>
                <w:szCs w:val="20"/>
              </w:rPr>
            </w:pPr>
            <w:r w:rsidRPr="00605612">
              <w:rPr>
                <w:rFonts w:cs="Arial"/>
                <w:szCs w:val="20"/>
              </w:rPr>
              <w:t xml:space="preserve">To konsolidirano poročilo o trajnostnosti lahko v istem obdobju vključuje tudi razkritja iz 8. člena Uredbe 2020/852/EU, kadar so zajete dejavnosti, ki jih izvajajo vse odvisne družbe iz držav članic </w:t>
            </w:r>
            <w:r w:rsidRPr="00605612">
              <w:rPr>
                <w:rFonts w:cs="Arial"/>
                <w:szCs w:val="20"/>
              </w:rPr>
              <w:lastRenderedPageBreak/>
              <w:t>obvladujoče družbe, ki so zavezane pripraviti poročilo trajnostnosti oziroma konsolidirano poročilo o trajnostnosti.</w:t>
            </w:r>
          </w:p>
          <w:p w14:paraId="1EA75FFF" w14:textId="77777777" w:rsidR="000C08CA" w:rsidRPr="00605612" w:rsidRDefault="000C08CA" w:rsidP="00FE328D">
            <w:pPr>
              <w:spacing w:line="276" w:lineRule="auto"/>
              <w:jc w:val="both"/>
              <w:rPr>
                <w:rFonts w:cs="Arial"/>
                <w:szCs w:val="20"/>
              </w:rPr>
            </w:pPr>
          </w:p>
          <w:p w14:paraId="161A6DF1" w14:textId="77777777" w:rsidR="000C08CA" w:rsidRPr="00605612" w:rsidRDefault="000C08CA" w:rsidP="00FE328D">
            <w:pPr>
              <w:spacing w:line="276" w:lineRule="auto"/>
              <w:jc w:val="both"/>
              <w:rPr>
                <w:rFonts w:cs="Arial"/>
                <w:szCs w:val="20"/>
              </w:rPr>
            </w:pPr>
            <w:r w:rsidRPr="00605612">
              <w:rPr>
                <w:rFonts w:cs="Arial"/>
                <w:szCs w:val="20"/>
              </w:rPr>
              <w:t>V nadaljevanju člena je</w:t>
            </w:r>
            <w:r w:rsidRPr="00605612" w:rsidDel="00014EF8">
              <w:rPr>
                <w:rFonts w:cs="Arial"/>
                <w:szCs w:val="20"/>
              </w:rPr>
              <w:t xml:space="preserve"> </w:t>
            </w:r>
            <w:r w:rsidRPr="00605612">
              <w:rPr>
                <w:rFonts w:cs="Arial"/>
                <w:szCs w:val="20"/>
              </w:rPr>
              <w:t xml:space="preserve">določeno še, da takšno konsolidirano poročilo o trajnostnosti lahko pripravi odvisna družba, ki je ena od odvisnih družb skupine, ki je ustvarila največji prihodek v državah članicah v vsaj enem od petih predhodnih poslovnih let, po potrebi na konsolidirani podlagi. Konsolidirano poročilo o trajnostnosti mora biti </w:t>
            </w:r>
            <w:bookmarkStart w:id="78" w:name="_Hlk142466423"/>
            <w:r w:rsidRPr="00605612">
              <w:rPr>
                <w:rFonts w:cs="Arial"/>
                <w:szCs w:val="20"/>
              </w:rPr>
              <w:t xml:space="preserve">zaradi javne objave predloženo AJPES </w:t>
            </w:r>
            <w:bookmarkEnd w:id="78"/>
            <w:r w:rsidRPr="00605612">
              <w:rPr>
                <w:rFonts w:cs="Arial"/>
                <w:szCs w:val="20"/>
              </w:rPr>
              <w:t xml:space="preserve">v skladu s prvim in drugim odstavkom 58. člena tega zakona. </w:t>
            </w:r>
          </w:p>
          <w:p w14:paraId="0EF861CA" w14:textId="77777777" w:rsidR="000C08CA" w:rsidRPr="00605612" w:rsidRDefault="000C08CA" w:rsidP="00FE328D">
            <w:pPr>
              <w:spacing w:line="276" w:lineRule="auto"/>
              <w:jc w:val="both"/>
              <w:rPr>
                <w:rFonts w:cs="Arial"/>
                <w:szCs w:val="20"/>
              </w:rPr>
            </w:pPr>
          </w:p>
          <w:p w14:paraId="69CC2E70" w14:textId="77777777" w:rsidR="000C08CA" w:rsidRPr="00605612" w:rsidRDefault="000C08CA" w:rsidP="00FE328D">
            <w:pPr>
              <w:spacing w:line="276" w:lineRule="auto"/>
              <w:jc w:val="both"/>
              <w:rPr>
                <w:rFonts w:cs="Arial"/>
                <w:b/>
                <w:szCs w:val="20"/>
              </w:rPr>
            </w:pPr>
            <w:r w:rsidRPr="00605612">
              <w:rPr>
                <w:rFonts w:cs="Arial"/>
                <w:szCs w:val="20"/>
              </w:rPr>
              <w:t xml:space="preserve">Za namene izvzetja iz osmega odstavka 70.c člena tega predloga zakona se takšno konsolidirano poročilo o trajnostnosti šteje za poročanje obvladujoče družbe na ravni skupine v zvezi z družbami, vključenimi v konsolidacijo. Za poročanje v skladu z drugim odstavkom tega člena se šteje, da izpolnjuje </w:t>
            </w:r>
            <w:r w:rsidRPr="002B7BF8">
              <w:rPr>
                <w:rFonts w:cs="Arial"/>
                <w:szCs w:val="20"/>
              </w:rPr>
              <w:t xml:space="preserve">pogoje </w:t>
            </w:r>
            <w:r w:rsidRPr="002B7BF8" w:rsidDel="00014EF8">
              <w:rPr>
                <w:rFonts w:cs="Arial"/>
                <w:szCs w:val="20"/>
              </w:rPr>
              <w:t xml:space="preserve">pod </w:t>
            </w:r>
            <w:r>
              <w:rPr>
                <w:rFonts w:cs="Arial"/>
                <w:szCs w:val="20"/>
              </w:rPr>
              <w:t>č</w:t>
            </w:r>
            <w:r w:rsidRPr="002B7BF8">
              <w:rPr>
                <w:rFonts w:cs="Arial"/>
                <w:szCs w:val="20"/>
              </w:rPr>
              <w:t>) 2. točke</w:t>
            </w:r>
            <w:r w:rsidRPr="00605612">
              <w:rPr>
                <w:rFonts w:cs="Arial"/>
                <w:szCs w:val="20"/>
              </w:rPr>
              <w:t xml:space="preserve"> osmega odstavka 70.c člena tega zakona.</w:t>
            </w:r>
          </w:p>
          <w:p w14:paraId="591E7765" w14:textId="77777777" w:rsidR="000C08CA" w:rsidRPr="00605612" w:rsidRDefault="000C08CA" w:rsidP="00FE328D">
            <w:pPr>
              <w:spacing w:line="276" w:lineRule="auto"/>
              <w:rPr>
                <w:rFonts w:cs="Arial"/>
                <w:b/>
                <w:szCs w:val="20"/>
              </w:rPr>
            </w:pPr>
          </w:p>
          <w:p w14:paraId="00D74F70" w14:textId="77777777" w:rsidR="000C08CA" w:rsidRPr="00605612" w:rsidRDefault="000C08CA" w:rsidP="00FE328D">
            <w:pPr>
              <w:spacing w:line="276" w:lineRule="auto"/>
              <w:rPr>
                <w:rFonts w:cs="Arial"/>
                <w:b/>
                <w:szCs w:val="20"/>
              </w:rPr>
            </w:pPr>
            <w:bookmarkStart w:id="79" w:name="_Hlk142464122"/>
            <w:r w:rsidRPr="00605612">
              <w:rPr>
                <w:rFonts w:cs="Arial"/>
                <w:b/>
                <w:szCs w:val="20"/>
              </w:rPr>
              <w:t>K 3</w:t>
            </w:r>
            <w:r>
              <w:rPr>
                <w:rFonts w:cs="Arial"/>
                <w:b/>
                <w:szCs w:val="20"/>
              </w:rPr>
              <w:t>8</w:t>
            </w:r>
            <w:r w:rsidRPr="00605612">
              <w:rPr>
                <w:rFonts w:cs="Arial"/>
                <w:b/>
                <w:szCs w:val="20"/>
              </w:rPr>
              <w:t>. členu</w:t>
            </w:r>
          </w:p>
          <w:bookmarkEnd w:id="79"/>
          <w:p w14:paraId="5F0F24D2" w14:textId="77777777" w:rsidR="000C08CA" w:rsidRPr="00605612" w:rsidRDefault="000C08CA" w:rsidP="00FE328D">
            <w:pPr>
              <w:spacing w:line="276" w:lineRule="auto"/>
              <w:jc w:val="both"/>
              <w:rPr>
                <w:rFonts w:cs="Arial"/>
                <w:b/>
                <w:szCs w:val="20"/>
              </w:rPr>
            </w:pPr>
          </w:p>
          <w:p w14:paraId="630481C7" w14:textId="77777777" w:rsidR="000C08CA" w:rsidRPr="00605612" w:rsidRDefault="000C08CA" w:rsidP="00FE328D">
            <w:pPr>
              <w:spacing w:line="276" w:lineRule="auto"/>
              <w:jc w:val="both"/>
              <w:rPr>
                <w:rFonts w:cs="Arial"/>
                <w:szCs w:val="20"/>
              </w:rPr>
            </w:pPr>
            <w:r w:rsidRPr="00605612">
              <w:rPr>
                <w:rFonts w:cs="Arial"/>
                <w:szCs w:val="20"/>
              </w:rPr>
              <w:t xml:space="preserve">Predlog zakona določa prehodno določbo, s katero se določa, da družbe in podružnice pripravijo, </w:t>
            </w:r>
            <w:r>
              <w:rPr>
                <w:rFonts w:cs="Arial"/>
                <w:szCs w:val="20"/>
              </w:rPr>
              <w:t xml:space="preserve">predložijo in </w:t>
            </w:r>
            <w:r w:rsidRPr="00605612">
              <w:rPr>
                <w:rFonts w:cs="Arial"/>
                <w:szCs w:val="20"/>
              </w:rPr>
              <w:t>objavijo poročil</w:t>
            </w:r>
            <w:r>
              <w:rPr>
                <w:rFonts w:cs="Arial"/>
                <w:szCs w:val="20"/>
              </w:rPr>
              <w:t>o</w:t>
            </w:r>
            <w:r w:rsidRPr="00605612">
              <w:rPr>
                <w:rFonts w:cs="Arial"/>
                <w:szCs w:val="20"/>
              </w:rPr>
              <w:t xml:space="preserve"> </w:t>
            </w:r>
            <w:r>
              <w:rPr>
                <w:rFonts w:cs="Arial"/>
                <w:color w:val="000000" w:themeColor="text1"/>
                <w:szCs w:val="20"/>
              </w:rPr>
              <w:t xml:space="preserve">o davčnih informacijah </w:t>
            </w:r>
            <w:r w:rsidRPr="00605612">
              <w:rPr>
                <w:rFonts w:cs="Arial"/>
                <w:szCs w:val="20"/>
              </w:rPr>
              <w:t xml:space="preserve">v zvezi z dohodki v skladu s 70.f do 70.l ter 683.c do 683.d členom tega zakona najpozneje od datuma začetka prvega poslovnega leta, ki se začne z 22. junijem 2024 ali po tem datumu. Navedeno pomeni, da bo prvo poslovno leto, na katero bodo družbe morale biti pozorne ali njihov prihodek ali konsolidirani prihodek presega 750 milijonov </w:t>
            </w:r>
            <w:r>
              <w:rPr>
                <w:rFonts w:cs="Arial"/>
                <w:szCs w:val="20"/>
              </w:rPr>
              <w:t>EUR</w:t>
            </w:r>
            <w:r w:rsidRPr="00605612">
              <w:rPr>
                <w:rFonts w:cs="Arial"/>
                <w:szCs w:val="20"/>
              </w:rPr>
              <w:t xml:space="preserve">, poslovno leto, ki se začne z </w:t>
            </w:r>
            <w:r w:rsidRPr="003B2A0D">
              <w:rPr>
                <w:rFonts w:cs="Arial"/>
                <w:bCs/>
                <w:szCs w:val="20"/>
              </w:rPr>
              <w:t xml:space="preserve">dnem uveljavitve tega zakona </w:t>
            </w:r>
            <w:r w:rsidRPr="003B2A0D" w:rsidDel="00BF6075">
              <w:rPr>
                <w:rFonts w:cs="Arial"/>
                <w:szCs w:val="20"/>
              </w:rPr>
              <w:t>ali po tem datumu</w:t>
            </w:r>
            <w:r w:rsidRPr="00605612">
              <w:rPr>
                <w:rFonts w:cs="Arial"/>
                <w:szCs w:val="20"/>
              </w:rPr>
              <w:t xml:space="preserve">. Če bo družba v tem in naslednjem poslovnem letu presegla prihodek 750 milijonov </w:t>
            </w:r>
            <w:r>
              <w:rPr>
                <w:rFonts w:cs="Arial"/>
                <w:szCs w:val="20"/>
              </w:rPr>
              <w:t>EUR</w:t>
            </w:r>
            <w:r w:rsidRPr="00605612">
              <w:rPr>
                <w:rFonts w:cs="Arial"/>
                <w:szCs w:val="20"/>
              </w:rPr>
              <w:t>, bo zanjo nastala obveznost poročanja</w:t>
            </w:r>
            <w:r>
              <w:rPr>
                <w:rFonts w:cs="Arial"/>
                <w:color w:val="000000" w:themeColor="text1"/>
                <w:szCs w:val="20"/>
              </w:rPr>
              <w:t xml:space="preserve"> o davčnih informacijah</w:t>
            </w:r>
            <w:r w:rsidRPr="00605612">
              <w:rPr>
                <w:rFonts w:cs="Arial"/>
                <w:szCs w:val="20"/>
              </w:rPr>
              <w:t xml:space="preserve"> v zvezi z dohodki po 70.f do 70.l ali 683.c do 683.d člena, odvisno ali gre za obvladujočo ali samostojno družbo, odvisno družbo ali podružnico tujega podjetja.</w:t>
            </w:r>
          </w:p>
          <w:p w14:paraId="3EF38D67" w14:textId="77777777" w:rsidR="000C08CA" w:rsidRPr="00605612" w:rsidRDefault="000C08CA" w:rsidP="00FE328D">
            <w:pPr>
              <w:spacing w:line="276" w:lineRule="auto"/>
              <w:jc w:val="both"/>
              <w:rPr>
                <w:rFonts w:cs="Arial"/>
                <w:szCs w:val="20"/>
              </w:rPr>
            </w:pPr>
          </w:p>
          <w:p w14:paraId="208487A7" w14:textId="77777777" w:rsidR="000C08CA" w:rsidRPr="00605612" w:rsidRDefault="000C08CA" w:rsidP="00FE328D">
            <w:pPr>
              <w:spacing w:line="276" w:lineRule="auto"/>
              <w:jc w:val="both"/>
              <w:rPr>
                <w:rFonts w:cs="Arial"/>
                <w:b/>
                <w:bCs/>
                <w:szCs w:val="20"/>
              </w:rPr>
            </w:pPr>
            <w:r w:rsidRPr="00605612">
              <w:rPr>
                <w:rFonts w:cs="Arial"/>
                <w:b/>
                <w:bCs/>
                <w:szCs w:val="20"/>
              </w:rPr>
              <w:t>K 3</w:t>
            </w:r>
            <w:r>
              <w:rPr>
                <w:rFonts w:cs="Arial"/>
                <w:b/>
                <w:bCs/>
                <w:szCs w:val="20"/>
              </w:rPr>
              <w:t>9</w:t>
            </w:r>
            <w:r w:rsidRPr="00605612">
              <w:rPr>
                <w:rFonts w:cs="Arial"/>
                <w:b/>
                <w:bCs/>
                <w:szCs w:val="20"/>
              </w:rPr>
              <w:t>. členu</w:t>
            </w:r>
          </w:p>
          <w:p w14:paraId="1754E657" w14:textId="77777777" w:rsidR="000C08CA" w:rsidRDefault="000C08CA" w:rsidP="00FE328D">
            <w:pPr>
              <w:spacing w:line="276" w:lineRule="auto"/>
              <w:jc w:val="both"/>
              <w:rPr>
                <w:rFonts w:cs="Arial"/>
                <w:b/>
                <w:bCs/>
                <w:szCs w:val="20"/>
              </w:rPr>
            </w:pPr>
          </w:p>
          <w:p w14:paraId="2F1554D3" w14:textId="77777777" w:rsidR="000C08CA" w:rsidRDefault="000C08CA" w:rsidP="00FE328D">
            <w:pPr>
              <w:spacing w:line="276" w:lineRule="auto"/>
              <w:jc w:val="both"/>
              <w:rPr>
                <w:rFonts w:cs="Arial"/>
                <w:szCs w:val="20"/>
              </w:rPr>
            </w:pPr>
            <w:r w:rsidRPr="00605612">
              <w:rPr>
                <w:rFonts w:cs="Arial"/>
                <w:szCs w:val="20"/>
              </w:rPr>
              <w:t>Predlog zakona določa prehodno določbo</w:t>
            </w:r>
            <w:r w:rsidRPr="00E51F6D">
              <w:rPr>
                <w:rFonts w:cs="Arial"/>
                <w:szCs w:val="20"/>
              </w:rPr>
              <w:t xml:space="preserve"> </w:t>
            </w:r>
            <w:r>
              <w:rPr>
                <w:rFonts w:cs="Arial"/>
                <w:szCs w:val="20"/>
              </w:rPr>
              <w:t>s katero se določa rok v katerem bosta ministra, pristojna za gospodarstvo in za pravosodje po predhodnem mnenju AJPES predpisala podrobnejša pravila.</w:t>
            </w:r>
          </w:p>
          <w:p w14:paraId="6063E57D" w14:textId="77777777" w:rsidR="000C08CA" w:rsidRDefault="000C08CA" w:rsidP="00FE328D">
            <w:pPr>
              <w:spacing w:line="276" w:lineRule="auto"/>
              <w:jc w:val="both"/>
              <w:rPr>
                <w:rFonts w:cs="Arial"/>
                <w:szCs w:val="20"/>
              </w:rPr>
            </w:pPr>
          </w:p>
          <w:p w14:paraId="7367C725" w14:textId="77777777" w:rsidR="000C08CA" w:rsidRPr="00E51F6D" w:rsidRDefault="000C08CA" w:rsidP="00FE328D">
            <w:pPr>
              <w:spacing w:line="276" w:lineRule="auto"/>
              <w:jc w:val="both"/>
              <w:rPr>
                <w:rFonts w:cs="Arial"/>
                <w:szCs w:val="20"/>
              </w:rPr>
            </w:pPr>
            <w:r w:rsidRPr="00E51F6D">
              <w:rPr>
                <w:rFonts w:cs="Arial"/>
                <w:szCs w:val="20"/>
              </w:rPr>
              <w:t xml:space="preserve">Ker Direktiva 2021/2101/EU </w:t>
            </w:r>
            <w:r>
              <w:rPr>
                <w:rFonts w:cs="Arial"/>
                <w:szCs w:val="20"/>
              </w:rPr>
              <w:t>določa</w:t>
            </w:r>
            <w:r w:rsidRPr="00E51F6D">
              <w:rPr>
                <w:rFonts w:cs="Arial"/>
                <w:szCs w:val="20"/>
              </w:rPr>
              <w:t>, da bo Komisija z izvedbenim aktom določila skupno predlogo in elektronske oblike poročanja, je treba predvideti, da se bo z izvršilnim predpisom uredilo vprašanja o načinu predložitve poročila o davčnih informacijah v zvezi z dohodki in podajo morebitne izjave iz 70.j in 683.c člena tega zakona</w:t>
            </w:r>
            <w:r>
              <w:rPr>
                <w:rFonts w:cs="Arial"/>
                <w:szCs w:val="20"/>
              </w:rPr>
              <w:t>. To</w:t>
            </w:r>
            <w:r w:rsidRPr="00E51F6D">
              <w:rPr>
                <w:rFonts w:cs="Arial"/>
                <w:szCs w:val="20"/>
              </w:rPr>
              <w:t xml:space="preserve"> se ureja </w:t>
            </w:r>
            <w:r>
              <w:rPr>
                <w:rFonts w:cs="Arial"/>
                <w:szCs w:val="20"/>
              </w:rPr>
              <w:t>s predlagano</w:t>
            </w:r>
            <w:r w:rsidRPr="00E51F6D">
              <w:rPr>
                <w:rFonts w:cs="Arial"/>
                <w:szCs w:val="20"/>
              </w:rPr>
              <w:t xml:space="preserve"> </w:t>
            </w:r>
            <w:r>
              <w:rPr>
                <w:rFonts w:cs="Arial"/>
                <w:szCs w:val="20"/>
              </w:rPr>
              <w:t>dopolnitvijo trinajstega odstavka 58. člena tega zakona</w:t>
            </w:r>
            <w:r w:rsidRPr="00E51F6D">
              <w:rPr>
                <w:rFonts w:cs="Arial"/>
                <w:szCs w:val="20"/>
              </w:rPr>
              <w:t>.</w:t>
            </w:r>
            <w:r>
              <w:rPr>
                <w:rFonts w:cs="Arial"/>
                <w:szCs w:val="20"/>
              </w:rPr>
              <w:t xml:space="preserve"> </w:t>
            </w:r>
          </w:p>
          <w:p w14:paraId="6F4FD55E" w14:textId="77777777" w:rsidR="000C08CA" w:rsidRDefault="000C08CA" w:rsidP="00FE328D">
            <w:pPr>
              <w:spacing w:line="276" w:lineRule="auto"/>
              <w:jc w:val="both"/>
              <w:rPr>
                <w:rFonts w:cs="Arial"/>
                <w:b/>
                <w:bCs/>
                <w:szCs w:val="20"/>
              </w:rPr>
            </w:pPr>
          </w:p>
          <w:p w14:paraId="64B96BF6" w14:textId="77777777" w:rsidR="000C08CA" w:rsidRPr="00605612" w:rsidRDefault="000C08CA" w:rsidP="00FE328D">
            <w:pPr>
              <w:spacing w:line="276" w:lineRule="auto"/>
              <w:jc w:val="both"/>
              <w:rPr>
                <w:rFonts w:cs="Arial"/>
                <w:b/>
                <w:bCs/>
                <w:szCs w:val="20"/>
              </w:rPr>
            </w:pPr>
            <w:r>
              <w:rPr>
                <w:rFonts w:cs="Arial"/>
                <w:b/>
                <w:bCs/>
                <w:szCs w:val="20"/>
              </w:rPr>
              <w:t>K 40. členu</w:t>
            </w:r>
          </w:p>
          <w:p w14:paraId="386F9D1A" w14:textId="77777777" w:rsidR="000C08CA" w:rsidRPr="00605612" w:rsidRDefault="000C08CA" w:rsidP="00FE328D">
            <w:pPr>
              <w:spacing w:line="276" w:lineRule="auto"/>
              <w:jc w:val="both"/>
              <w:rPr>
                <w:rFonts w:cs="Arial"/>
                <w:b/>
                <w:bCs/>
                <w:szCs w:val="20"/>
              </w:rPr>
            </w:pPr>
          </w:p>
          <w:p w14:paraId="2CEAB507" w14:textId="77777777" w:rsidR="000C08CA" w:rsidRPr="00605612" w:rsidRDefault="000C08CA" w:rsidP="00FE328D">
            <w:pPr>
              <w:spacing w:line="276" w:lineRule="auto"/>
              <w:jc w:val="both"/>
              <w:textAlignment w:val="baseline"/>
              <w:rPr>
                <w:rFonts w:cs="Arial"/>
                <w:szCs w:val="20"/>
                <w:lang w:eastAsia="sl-SI"/>
              </w:rPr>
            </w:pPr>
            <w:r w:rsidRPr="00605612">
              <w:rPr>
                <w:rFonts w:cs="Arial"/>
                <w:szCs w:val="20"/>
                <w:lang w:eastAsia="sl-SI"/>
              </w:rPr>
              <w:t xml:space="preserve">Direktiva 2022/2381/EU določa </w:t>
            </w:r>
            <w:r>
              <w:rPr>
                <w:rFonts w:cs="Arial"/>
                <w:szCs w:val="20"/>
                <w:lang w:eastAsia="sl-SI"/>
              </w:rPr>
              <w:t>družbam zavezankam</w:t>
            </w:r>
            <w:r w:rsidRPr="00605612">
              <w:rPr>
                <w:rFonts w:cs="Arial"/>
                <w:szCs w:val="20"/>
                <w:lang w:eastAsia="sl-SI"/>
              </w:rPr>
              <w:t xml:space="preserve"> rok za dosego </w:t>
            </w:r>
            <w:r>
              <w:rPr>
                <w:rFonts w:cs="Arial"/>
                <w:szCs w:val="20"/>
                <w:lang w:eastAsia="sl-SI"/>
              </w:rPr>
              <w:t>deležev</w:t>
            </w:r>
            <w:r w:rsidRPr="00605612">
              <w:rPr>
                <w:rFonts w:cs="Arial"/>
                <w:szCs w:val="20"/>
                <w:lang w:eastAsia="sl-SI"/>
              </w:rPr>
              <w:t xml:space="preserve"> glede uravnotežene zastopanosti spolov v organih vodenja in nadzora ter med izvršnimi direktorji. </w:t>
            </w:r>
            <w:r>
              <w:rPr>
                <w:rFonts w:cs="Arial"/>
                <w:szCs w:val="20"/>
                <w:lang w:eastAsia="sl-SI"/>
              </w:rPr>
              <w:t>Deleže</w:t>
            </w:r>
            <w:r w:rsidRPr="00605612">
              <w:rPr>
                <w:rFonts w:cs="Arial"/>
                <w:szCs w:val="20"/>
                <w:lang w:eastAsia="sl-SI"/>
              </w:rPr>
              <w:t xml:space="preserve"> iz člena 254.c morajo družbe zavezanke iz prve alineje 254.b člena (družbe, s katere vrednostnimi papirji se trguje na organiziranem trgu, ki ima</w:t>
            </w:r>
            <w:r>
              <w:rPr>
                <w:rFonts w:cs="Arial"/>
                <w:szCs w:val="20"/>
                <w:lang w:eastAsia="sl-SI"/>
              </w:rPr>
              <w:t>jo</w:t>
            </w:r>
            <w:r w:rsidRPr="00605612">
              <w:rPr>
                <w:rFonts w:cs="Arial"/>
                <w:szCs w:val="20"/>
                <w:lang w:eastAsia="sl-SI"/>
              </w:rPr>
              <w:t xml:space="preserve"> več kot 250 zaposlenih in hkrati čisti prihodk</w:t>
            </w:r>
            <w:r>
              <w:rPr>
                <w:rFonts w:cs="Arial"/>
                <w:szCs w:val="20"/>
                <w:lang w:eastAsia="sl-SI"/>
              </w:rPr>
              <w:t>i</w:t>
            </w:r>
            <w:r w:rsidRPr="00605612">
              <w:rPr>
                <w:rFonts w:cs="Arial"/>
                <w:szCs w:val="20"/>
                <w:lang w:eastAsia="sl-SI"/>
              </w:rPr>
              <w:t xml:space="preserve"> od prodaje presega</w:t>
            </w:r>
            <w:r>
              <w:rPr>
                <w:rFonts w:cs="Arial"/>
                <w:szCs w:val="20"/>
                <w:lang w:eastAsia="sl-SI"/>
              </w:rPr>
              <w:t>jo</w:t>
            </w:r>
            <w:r w:rsidRPr="00605612">
              <w:rPr>
                <w:rFonts w:cs="Arial"/>
                <w:szCs w:val="20"/>
                <w:lang w:eastAsia="sl-SI"/>
              </w:rPr>
              <w:t xml:space="preserve"> 50</w:t>
            </w:r>
            <w:r w:rsidRPr="00605612" w:rsidDel="00014EF8">
              <w:rPr>
                <w:rFonts w:cs="Arial"/>
                <w:szCs w:val="20"/>
                <w:lang w:eastAsia="sl-SI"/>
              </w:rPr>
              <w:t>.</w:t>
            </w:r>
            <w:r w:rsidRPr="00605612">
              <w:rPr>
                <w:rFonts w:cs="Arial"/>
                <w:szCs w:val="20"/>
                <w:lang w:eastAsia="sl-SI"/>
              </w:rPr>
              <w:t xml:space="preserve">000.000 </w:t>
            </w:r>
            <w:r>
              <w:rPr>
                <w:rFonts w:cs="Arial"/>
                <w:szCs w:val="20"/>
                <w:lang w:eastAsia="sl-SI"/>
              </w:rPr>
              <w:t>EUR</w:t>
            </w:r>
            <w:r w:rsidRPr="00605612">
              <w:rPr>
                <w:rFonts w:cs="Arial"/>
                <w:szCs w:val="20"/>
                <w:lang w:eastAsia="sl-SI"/>
              </w:rPr>
              <w:t xml:space="preserve"> ali vrednost aktive presega 43</w:t>
            </w:r>
            <w:r w:rsidRPr="00605612" w:rsidDel="00014EF8">
              <w:rPr>
                <w:rFonts w:cs="Arial"/>
                <w:szCs w:val="20"/>
                <w:lang w:eastAsia="sl-SI"/>
              </w:rPr>
              <w:t>.</w:t>
            </w:r>
            <w:r w:rsidRPr="00605612">
              <w:rPr>
                <w:rFonts w:cs="Arial"/>
                <w:szCs w:val="20"/>
                <w:lang w:eastAsia="sl-SI"/>
              </w:rPr>
              <w:t xml:space="preserve">000.000 </w:t>
            </w:r>
            <w:r>
              <w:rPr>
                <w:rFonts w:cs="Arial"/>
                <w:szCs w:val="20"/>
                <w:lang w:eastAsia="sl-SI"/>
              </w:rPr>
              <w:t>EUR</w:t>
            </w:r>
            <w:r w:rsidRPr="00605612">
              <w:rPr>
                <w:rFonts w:cs="Arial"/>
                <w:szCs w:val="20"/>
                <w:lang w:eastAsia="sl-SI"/>
              </w:rPr>
              <w:t xml:space="preserve">) doseči do 30. 6. 2026. Ker pa smo razširili obseg </w:t>
            </w:r>
            <w:r w:rsidRPr="00586165">
              <w:rPr>
                <w:rFonts w:cs="Arial"/>
                <w:szCs w:val="20"/>
                <w:lang w:eastAsia="sl-SI"/>
              </w:rPr>
              <w:t xml:space="preserve">kroga </w:t>
            </w:r>
            <w:r w:rsidRPr="00605612">
              <w:rPr>
                <w:rFonts w:cs="Arial"/>
                <w:szCs w:val="20"/>
                <w:lang w:eastAsia="sl-SI"/>
              </w:rPr>
              <w:t xml:space="preserve">zavezancev, ki bodo morali spoštovati ukrepe v zvezi z zagotavljanjem uravnotežene zastopanosti spolov v organih vodenja in nadzora ter med izvršnimi direktorji na družbe s kapitalsko naložbo države oziroma samoupravne lokalne skupnosti, v katerih ima država ali samoupravna lokalna skupnost neposredno ali posredno večinski delež v kapitalu ali večino glasovalnih pravic, imajo vsaj 250 zaposlenih in izpolnjujejo pogoje za velike družbe iz petega odstavka 55. člena tega zakona, je določeno, da imajo te daljše obdobje za dosego </w:t>
            </w:r>
            <w:r>
              <w:rPr>
                <w:rFonts w:cs="Arial"/>
                <w:szCs w:val="20"/>
                <w:lang w:eastAsia="sl-SI"/>
              </w:rPr>
              <w:t>določenih deležev</w:t>
            </w:r>
            <w:r w:rsidRPr="00605612">
              <w:rPr>
                <w:rFonts w:cs="Arial"/>
                <w:szCs w:val="20"/>
                <w:lang w:eastAsia="sl-SI"/>
              </w:rPr>
              <w:t>, in sicer do 30. 6. 2028.  </w:t>
            </w:r>
          </w:p>
          <w:p w14:paraId="432FAB6E" w14:textId="77777777" w:rsidR="000C08CA" w:rsidRPr="00605612" w:rsidRDefault="000C08CA" w:rsidP="00FE328D">
            <w:pPr>
              <w:spacing w:line="276" w:lineRule="auto"/>
              <w:rPr>
                <w:rFonts w:cs="Arial"/>
                <w:b/>
                <w:szCs w:val="20"/>
              </w:rPr>
            </w:pPr>
          </w:p>
          <w:p w14:paraId="16D0654B" w14:textId="77777777" w:rsidR="000C08CA" w:rsidRPr="00605612" w:rsidRDefault="000C08CA" w:rsidP="00FE328D">
            <w:pPr>
              <w:spacing w:line="276" w:lineRule="auto"/>
              <w:rPr>
                <w:rFonts w:cs="Arial"/>
                <w:b/>
                <w:szCs w:val="20"/>
              </w:rPr>
            </w:pPr>
            <w:r w:rsidRPr="00605612">
              <w:rPr>
                <w:rFonts w:cs="Arial"/>
                <w:b/>
                <w:szCs w:val="20"/>
              </w:rPr>
              <w:lastRenderedPageBreak/>
              <w:t xml:space="preserve">K </w:t>
            </w:r>
            <w:r>
              <w:rPr>
                <w:rFonts w:cs="Arial"/>
                <w:b/>
                <w:szCs w:val="20"/>
              </w:rPr>
              <w:t>41</w:t>
            </w:r>
            <w:r w:rsidRPr="00605612">
              <w:rPr>
                <w:rFonts w:cs="Arial"/>
                <w:b/>
                <w:szCs w:val="20"/>
              </w:rPr>
              <w:t>. členu</w:t>
            </w:r>
          </w:p>
          <w:p w14:paraId="53CAA8EA" w14:textId="77777777" w:rsidR="000C08CA" w:rsidRPr="00605612" w:rsidRDefault="000C08CA" w:rsidP="00FE328D">
            <w:pPr>
              <w:spacing w:line="276" w:lineRule="auto"/>
              <w:jc w:val="both"/>
              <w:rPr>
                <w:rFonts w:cs="Arial"/>
                <w:szCs w:val="20"/>
              </w:rPr>
            </w:pPr>
          </w:p>
          <w:p w14:paraId="20BEFB77" w14:textId="77777777" w:rsidR="000C08CA" w:rsidRDefault="000C08CA" w:rsidP="00FE328D">
            <w:pPr>
              <w:spacing w:line="276" w:lineRule="auto"/>
              <w:jc w:val="both"/>
              <w:rPr>
                <w:rFonts w:cs="Arial"/>
                <w:szCs w:val="20"/>
              </w:rPr>
            </w:pPr>
            <w:r w:rsidRPr="00605612">
              <w:rPr>
                <w:rFonts w:cs="Arial"/>
                <w:szCs w:val="20"/>
              </w:rPr>
              <w:t xml:space="preserve">S tem zakonom je treba zagotoviti ustrezno dolgo prehodno obdobje za prilagoditev družb in podjetnikov novi obveznosti na podlagi novega </w:t>
            </w:r>
            <w:r>
              <w:rPr>
                <w:rFonts w:cs="Arial"/>
                <w:szCs w:val="20"/>
              </w:rPr>
              <w:t>30</w:t>
            </w:r>
            <w:r w:rsidRPr="00605612">
              <w:rPr>
                <w:rFonts w:cs="Arial"/>
                <w:szCs w:val="20"/>
              </w:rPr>
              <w:t>.a člena ZGD-1, ki določa označevanje družb in podjetnikov na poslovnem naslovu. Predlaga se enoletno prehodno obdobje. Po izteku prehodnega obdobja bodo lahko družbe in podjetniki v kršitvi sankcionirani za prekršek v skladu z 2. točko prvega odstavka 685. člena ZGD-1 ali 2. točko prvega odstavka 688. člena ZGD-1.</w:t>
            </w:r>
          </w:p>
          <w:p w14:paraId="59C1D1A1" w14:textId="77777777" w:rsidR="000C08CA" w:rsidRPr="00605612" w:rsidRDefault="000C08CA" w:rsidP="00FE328D">
            <w:pPr>
              <w:spacing w:line="276" w:lineRule="auto"/>
              <w:rPr>
                <w:rFonts w:cs="Arial"/>
                <w:b/>
                <w:szCs w:val="20"/>
              </w:rPr>
            </w:pPr>
          </w:p>
          <w:p w14:paraId="7B93FFAD"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42</w:t>
            </w:r>
            <w:r w:rsidRPr="00605612">
              <w:rPr>
                <w:rFonts w:cs="Arial"/>
                <w:b/>
                <w:szCs w:val="20"/>
              </w:rPr>
              <w:t>. členu</w:t>
            </w:r>
          </w:p>
          <w:p w14:paraId="77C48927" w14:textId="77777777" w:rsidR="000C08CA" w:rsidRPr="00605612" w:rsidRDefault="000C08CA" w:rsidP="00FE328D">
            <w:pPr>
              <w:spacing w:line="276" w:lineRule="auto"/>
              <w:rPr>
                <w:rFonts w:cs="Arial"/>
                <w:b/>
                <w:szCs w:val="20"/>
              </w:rPr>
            </w:pPr>
          </w:p>
          <w:p w14:paraId="49CEA05E" w14:textId="77777777" w:rsidR="000C08CA" w:rsidRDefault="000C08CA" w:rsidP="00FE328D">
            <w:pPr>
              <w:spacing w:line="276" w:lineRule="auto"/>
              <w:jc w:val="both"/>
              <w:rPr>
                <w:rFonts w:cs="Arial"/>
                <w:szCs w:val="20"/>
              </w:rPr>
            </w:pPr>
            <w:r w:rsidRPr="00605612">
              <w:rPr>
                <w:rFonts w:cs="Arial"/>
                <w:szCs w:val="20"/>
              </w:rPr>
              <w:t xml:space="preserve">Predlog zakona določa prehodno določbo, s katero se določa, da </w:t>
            </w:r>
            <w:r>
              <w:rPr>
                <w:rFonts w:cs="Arial"/>
                <w:szCs w:val="20"/>
              </w:rPr>
              <w:t>se bodo skladno z Direktivo 2023/2775/EU p</w:t>
            </w:r>
            <w:r w:rsidRPr="00424BB0">
              <w:rPr>
                <w:rFonts w:cs="Arial"/>
                <w:szCs w:val="20"/>
              </w:rPr>
              <w:t>ovišan</w:t>
            </w:r>
            <w:r>
              <w:rPr>
                <w:rFonts w:cs="Arial"/>
                <w:szCs w:val="20"/>
              </w:rPr>
              <w:t>a</w:t>
            </w:r>
            <w:r w:rsidRPr="00424BB0">
              <w:rPr>
                <w:rFonts w:cs="Arial"/>
                <w:szCs w:val="20"/>
              </w:rPr>
              <w:t xml:space="preserve"> </w:t>
            </w:r>
            <w:r>
              <w:rPr>
                <w:rFonts w:cs="Arial"/>
                <w:szCs w:val="20"/>
              </w:rPr>
              <w:t>merila</w:t>
            </w:r>
            <w:r w:rsidRPr="00424BB0">
              <w:rPr>
                <w:rFonts w:cs="Arial"/>
                <w:szCs w:val="20"/>
              </w:rPr>
              <w:t xml:space="preserve"> za določitev velikosti mikro, majhnih, srednjih in velikih družb iz 4. člena tega zakona uporablja</w:t>
            </w:r>
            <w:r>
              <w:rPr>
                <w:rFonts w:cs="Arial"/>
                <w:szCs w:val="20"/>
              </w:rPr>
              <w:t>la</w:t>
            </w:r>
            <w:r w:rsidRPr="00424BB0">
              <w:rPr>
                <w:rFonts w:cs="Arial"/>
                <w:szCs w:val="20"/>
              </w:rPr>
              <w:t xml:space="preserve"> </w:t>
            </w:r>
            <w:r>
              <w:rPr>
                <w:rFonts w:cs="Arial"/>
                <w:szCs w:val="20"/>
              </w:rPr>
              <w:t xml:space="preserve">za poslovno leto, ki se začne v letu </w:t>
            </w:r>
            <w:r w:rsidRPr="00424BB0" w:rsidDel="00343F81">
              <w:rPr>
                <w:rFonts w:cs="Arial"/>
                <w:szCs w:val="20"/>
              </w:rPr>
              <w:t>2024</w:t>
            </w:r>
            <w:r w:rsidRPr="00424BB0">
              <w:rPr>
                <w:rFonts w:cs="Arial"/>
                <w:szCs w:val="20"/>
              </w:rPr>
              <w:t>.</w:t>
            </w:r>
            <w:r>
              <w:rPr>
                <w:rFonts w:cs="Arial"/>
                <w:szCs w:val="20"/>
              </w:rPr>
              <w:t xml:space="preserve"> </w:t>
            </w:r>
            <w:r w:rsidRPr="00472A34">
              <w:rPr>
                <w:rFonts w:cs="Arial"/>
                <w:szCs w:val="20"/>
              </w:rPr>
              <w:t xml:space="preserve">Direktiva 2023/2775/EU </w:t>
            </w:r>
            <w:r>
              <w:rPr>
                <w:rFonts w:cs="Arial"/>
                <w:szCs w:val="20"/>
              </w:rPr>
              <w:t xml:space="preserve">namreč </w:t>
            </w:r>
            <w:r w:rsidRPr="00472A34">
              <w:rPr>
                <w:rFonts w:cs="Arial"/>
                <w:szCs w:val="20"/>
              </w:rPr>
              <w:t xml:space="preserve">predvideva, da se bodo določbe uporabljale od 1. januarja 2024 za poslovna leta, ki se začnejo 1. januarja 2024 ali pozneje. </w:t>
            </w:r>
            <w:r>
              <w:rPr>
                <w:rFonts w:cs="Arial"/>
                <w:szCs w:val="20"/>
              </w:rPr>
              <w:t xml:space="preserve">Z Direktivo </w:t>
            </w:r>
            <w:r w:rsidRPr="00472A34">
              <w:rPr>
                <w:rFonts w:cs="Arial"/>
                <w:szCs w:val="20"/>
              </w:rPr>
              <w:t>2023/2775/EU</w:t>
            </w:r>
            <w:r w:rsidDel="00014EF8">
              <w:rPr>
                <w:rFonts w:cs="Arial"/>
                <w:szCs w:val="20"/>
              </w:rPr>
              <w:t xml:space="preserve"> </w:t>
            </w:r>
            <w:r>
              <w:rPr>
                <w:rFonts w:cs="Arial"/>
                <w:szCs w:val="20"/>
              </w:rPr>
              <w:t xml:space="preserve">je dopuščeno še, da se lahko </w:t>
            </w:r>
            <w:r w:rsidRPr="005106C5">
              <w:rPr>
                <w:rFonts w:cs="Arial"/>
                <w:szCs w:val="20"/>
              </w:rPr>
              <w:t>dovoli uporab</w:t>
            </w:r>
            <w:r>
              <w:rPr>
                <w:rFonts w:cs="Arial"/>
                <w:szCs w:val="20"/>
              </w:rPr>
              <w:t>a</w:t>
            </w:r>
            <w:r w:rsidRPr="005106C5">
              <w:rPr>
                <w:rFonts w:cs="Arial"/>
                <w:szCs w:val="20"/>
              </w:rPr>
              <w:t xml:space="preserve"> </w:t>
            </w:r>
            <w:r>
              <w:rPr>
                <w:rFonts w:cs="Arial"/>
                <w:szCs w:val="20"/>
              </w:rPr>
              <w:t>povišanih meril</w:t>
            </w:r>
            <w:r w:rsidRPr="005106C5">
              <w:rPr>
                <w:rFonts w:cs="Arial"/>
                <w:szCs w:val="20"/>
              </w:rPr>
              <w:t xml:space="preserve"> za poslovno leto, ki se začne 1. januarja 2023 ali pozneje.</w:t>
            </w:r>
            <w:r>
              <w:rPr>
                <w:rFonts w:cs="Arial"/>
                <w:szCs w:val="20"/>
              </w:rPr>
              <w:t xml:space="preserve"> </w:t>
            </w:r>
            <w:r w:rsidRPr="00472A34">
              <w:rPr>
                <w:rFonts w:cs="Arial"/>
                <w:szCs w:val="20"/>
              </w:rPr>
              <w:t>Določbe nacionalne zakonodaje je treba z Direktivo 2023/2775/EU uskladiti najpozneje v 12 mesecih od začetka njene veljavnosti.</w:t>
            </w:r>
            <w:r>
              <w:rPr>
                <w:rFonts w:cs="Arial"/>
                <w:szCs w:val="20"/>
              </w:rPr>
              <w:t xml:space="preserve"> </w:t>
            </w:r>
            <w:r w:rsidRPr="00605612">
              <w:rPr>
                <w:rFonts w:cs="Arial"/>
                <w:szCs w:val="20"/>
              </w:rPr>
              <w:t xml:space="preserve">Navedeno pomeni, da bo prvo poslovno leto, na katero bodo družbe morale biti pozorne </w:t>
            </w:r>
            <w:r>
              <w:rPr>
                <w:rFonts w:cs="Arial"/>
                <w:szCs w:val="20"/>
              </w:rPr>
              <w:t>n</w:t>
            </w:r>
            <w:r w:rsidRPr="00424BB0">
              <w:rPr>
                <w:rFonts w:cs="Arial"/>
                <w:szCs w:val="20"/>
              </w:rPr>
              <w:t>a določitev kategorije velikosti družbe</w:t>
            </w:r>
            <w:r>
              <w:rPr>
                <w:rFonts w:cs="Arial"/>
                <w:szCs w:val="20"/>
              </w:rPr>
              <w:t xml:space="preserve"> po novih pravilih</w:t>
            </w:r>
            <w:r w:rsidRPr="00605612">
              <w:rPr>
                <w:rFonts w:cs="Arial"/>
                <w:szCs w:val="20"/>
              </w:rPr>
              <w:t xml:space="preserve">, poslovno leto, ki se začne </w:t>
            </w:r>
            <w:r w:rsidRPr="00424BB0">
              <w:rPr>
                <w:rFonts w:cs="Arial"/>
                <w:szCs w:val="20"/>
              </w:rPr>
              <w:t>1. januarj</w:t>
            </w:r>
            <w:r>
              <w:rPr>
                <w:rFonts w:cs="Arial"/>
                <w:szCs w:val="20"/>
              </w:rPr>
              <w:t>a</w:t>
            </w:r>
            <w:r w:rsidRPr="00424BB0">
              <w:rPr>
                <w:rFonts w:cs="Arial"/>
                <w:szCs w:val="20"/>
              </w:rPr>
              <w:t xml:space="preserve"> 2024</w:t>
            </w:r>
            <w:r>
              <w:rPr>
                <w:rFonts w:cs="Arial"/>
                <w:szCs w:val="20"/>
              </w:rPr>
              <w:t xml:space="preserve"> ali pozneje</w:t>
            </w:r>
            <w:r w:rsidRPr="00605612">
              <w:rPr>
                <w:rFonts w:cs="Arial"/>
                <w:szCs w:val="20"/>
              </w:rPr>
              <w:t xml:space="preserve">. </w:t>
            </w:r>
            <w:r>
              <w:rPr>
                <w:rFonts w:cs="Arial"/>
                <w:bCs/>
                <w:szCs w:val="20"/>
              </w:rPr>
              <w:t xml:space="preserve">Na podlagi določb spremenjenega 55. člena ZGD-1 se bodo upoštevali </w:t>
            </w:r>
            <w:r w:rsidRPr="009177D7">
              <w:rPr>
                <w:rFonts w:cs="Arial"/>
                <w:szCs w:val="20"/>
              </w:rPr>
              <w:t>zadnji dve zaporedni poslovni leti</w:t>
            </w:r>
            <w:r>
              <w:rPr>
                <w:rFonts w:cs="Arial"/>
                <w:szCs w:val="20"/>
              </w:rPr>
              <w:t xml:space="preserve">, na primer v letu 2025 se bosta pogledali leti 2023 in 2024. </w:t>
            </w:r>
          </w:p>
          <w:p w14:paraId="16EB1217" w14:textId="77777777" w:rsidR="000C08CA" w:rsidRDefault="000C08CA" w:rsidP="00FE328D">
            <w:pPr>
              <w:spacing w:line="276" w:lineRule="auto"/>
              <w:rPr>
                <w:rFonts w:cs="Arial"/>
                <w:b/>
                <w:szCs w:val="20"/>
              </w:rPr>
            </w:pPr>
          </w:p>
          <w:p w14:paraId="5321AAF6" w14:textId="77777777" w:rsidR="000C08CA" w:rsidRPr="00605612" w:rsidRDefault="000C08CA" w:rsidP="00FE328D">
            <w:pPr>
              <w:spacing w:line="276" w:lineRule="auto"/>
              <w:rPr>
                <w:rFonts w:cs="Arial"/>
                <w:b/>
                <w:szCs w:val="20"/>
              </w:rPr>
            </w:pPr>
            <w:r w:rsidRPr="00605612">
              <w:rPr>
                <w:rFonts w:cs="Arial"/>
                <w:b/>
                <w:szCs w:val="20"/>
              </w:rPr>
              <w:t xml:space="preserve">K </w:t>
            </w:r>
            <w:r>
              <w:rPr>
                <w:rFonts w:cs="Arial"/>
                <w:b/>
                <w:szCs w:val="20"/>
              </w:rPr>
              <w:t>43</w:t>
            </w:r>
            <w:r w:rsidRPr="00605612">
              <w:rPr>
                <w:rFonts w:cs="Arial"/>
                <w:b/>
                <w:szCs w:val="20"/>
              </w:rPr>
              <w:t>. členu</w:t>
            </w:r>
          </w:p>
          <w:p w14:paraId="4DA87875" w14:textId="77777777" w:rsidR="000C08CA" w:rsidRPr="00605612" w:rsidRDefault="000C08CA" w:rsidP="00FE328D">
            <w:pPr>
              <w:spacing w:line="276" w:lineRule="auto"/>
              <w:rPr>
                <w:rFonts w:cs="Arial"/>
                <w:b/>
                <w:szCs w:val="20"/>
              </w:rPr>
            </w:pPr>
          </w:p>
          <w:p w14:paraId="5321F938" w14:textId="77777777" w:rsidR="000C08CA" w:rsidRPr="00605612" w:rsidRDefault="000C08CA" w:rsidP="00FE328D">
            <w:pPr>
              <w:pBdr>
                <w:top w:val="nil"/>
                <w:left w:val="nil"/>
                <w:bottom w:val="nil"/>
                <w:right w:val="nil"/>
                <w:between w:val="nil"/>
              </w:pBdr>
              <w:spacing w:line="276" w:lineRule="auto"/>
              <w:ind w:hanging="2"/>
              <w:jc w:val="both"/>
              <w:rPr>
                <w:rFonts w:eastAsia="Arial" w:cs="Arial"/>
                <w:color w:val="000000" w:themeColor="text1"/>
                <w:szCs w:val="20"/>
              </w:rPr>
            </w:pPr>
            <w:r w:rsidRPr="00605612">
              <w:rPr>
                <w:rFonts w:cs="Arial"/>
                <w:szCs w:val="20"/>
              </w:rPr>
              <w:t>Člen določa začetek veljavnosti zakona.</w:t>
            </w:r>
          </w:p>
          <w:p w14:paraId="5962B594" w14:textId="77777777" w:rsidR="000C08CA" w:rsidRPr="00605612" w:rsidRDefault="000C08CA" w:rsidP="00FE328D">
            <w:pPr>
              <w:spacing w:line="276" w:lineRule="auto"/>
              <w:jc w:val="both"/>
              <w:rPr>
                <w:rFonts w:eastAsia="Arial" w:cs="Arial"/>
                <w:color w:val="000000" w:themeColor="text1"/>
                <w:szCs w:val="20"/>
              </w:rPr>
            </w:pPr>
          </w:p>
        </w:tc>
      </w:tr>
      <w:tr w:rsidR="000C08CA" w:rsidRPr="00605612" w14:paraId="7E5E7A01" w14:textId="77777777" w:rsidTr="4DB7FD0D">
        <w:tc>
          <w:tcPr>
            <w:tcW w:w="9072" w:type="dxa"/>
          </w:tcPr>
          <w:p w14:paraId="467B2C47" w14:textId="77777777" w:rsidR="000C08CA" w:rsidRPr="00605612" w:rsidRDefault="000C08CA" w:rsidP="00FE328D">
            <w:pPr>
              <w:pStyle w:val="Odstavek"/>
              <w:spacing w:before="0" w:line="276" w:lineRule="auto"/>
              <w:ind w:firstLine="0"/>
              <w:rPr>
                <w:rFonts w:eastAsia="Arial" w:cs="Arial"/>
                <w:b/>
                <w:color w:val="000000" w:themeColor="text1"/>
                <w:sz w:val="20"/>
                <w:szCs w:val="20"/>
              </w:rPr>
            </w:pPr>
          </w:p>
        </w:tc>
      </w:tr>
      <w:tr w:rsidR="000C08CA" w:rsidRPr="00605612" w14:paraId="5F0CB899" w14:textId="77777777" w:rsidTr="4DB7FD0D">
        <w:tc>
          <w:tcPr>
            <w:tcW w:w="9072" w:type="dxa"/>
          </w:tcPr>
          <w:p w14:paraId="097B6CE1" w14:textId="77777777" w:rsidR="000C08CA" w:rsidRPr="00605612" w:rsidRDefault="000C08CA" w:rsidP="00FE328D">
            <w:pPr>
              <w:pBdr>
                <w:top w:val="nil"/>
                <w:left w:val="nil"/>
                <w:bottom w:val="nil"/>
                <w:right w:val="nil"/>
                <w:between w:val="nil"/>
              </w:pBdr>
              <w:spacing w:line="240" w:lineRule="auto"/>
              <w:jc w:val="both"/>
              <w:rPr>
                <w:rFonts w:eastAsia="Arial" w:cs="Arial"/>
                <w:color w:val="000000" w:themeColor="text1"/>
                <w:szCs w:val="20"/>
              </w:rPr>
            </w:pPr>
          </w:p>
        </w:tc>
      </w:tr>
    </w:tbl>
    <w:p w14:paraId="06129CA7"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5F456B">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0C08CA" w:rsidRPr="00605612" w14:paraId="778D26B7" w14:textId="77777777" w:rsidTr="00FE328D">
        <w:tc>
          <w:tcPr>
            <w:tcW w:w="9072" w:type="dxa"/>
          </w:tcPr>
          <w:p w14:paraId="400D4940" w14:textId="77777777" w:rsidR="00A96919" w:rsidRDefault="000C08CA" w:rsidP="00FE328D">
            <w:pPr>
              <w:pStyle w:val="Poglavje"/>
              <w:spacing w:before="0" w:after="0" w:line="260" w:lineRule="exact"/>
              <w:jc w:val="left"/>
              <w:rPr>
                <w:color w:val="000000" w:themeColor="text1"/>
                <w:sz w:val="20"/>
                <w:szCs w:val="20"/>
              </w:rPr>
            </w:pPr>
            <w:r w:rsidRPr="00605612">
              <w:rPr>
                <w:color w:val="000000" w:themeColor="text1"/>
                <w:sz w:val="20"/>
                <w:szCs w:val="20"/>
              </w:rPr>
              <w:lastRenderedPageBreak/>
              <w:t>IV. BESEDILO ČLENOV, KI SE SPREMINJAJO</w:t>
            </w:r>
          </w:p>
          <w:p w14:paraId="18EEB54C" w14:textId="77777777" w:rsidR="006D4AF3" w:rsidRDefault="006D4AF3" w:rsidP="00FE328D">
            <w:pPr>
              <w:pStyle w:val="Poglavje"/>
              <w:spacing w:before="0" w:after="0" w:line="260" w:lineRule="exact"/>
              <w:jc w:val="left"/>
              <w:rPr>
                <w:b w:val="0"/>
                <w:bCs/>
                <w:color w:val="000000" w:themeColor="text1"/>
                <w:sz w:val="20"/>
                <w:szCs w:val="20"/>
              </w:rPr>
            </w:pPr>
          </w:p>
          <w:p w14:paraId="18ADF516" w14:textId="77777777" w:rsidR="006D4AF3" w:rsidRPr="00605612" w:rsidRDefault="006D4AF3" w:rsidP="006D4AF3">
            <w:pPr>
              <w:pStyle w:val="Neotevilenodstavek"/>
              <w:spacing w:before="0" w:after="0" w:line="260" w:lineRule="exact"/>
              <w:rPr>
                <w:color w:val="000000" w:themeColor="text1"/>
                <w:sz w:val="20"/>
                <w:szCs w:val="20"/>
              </w:rPr>
            </w:pPr>
            <w:r w:rsidRPr="00605612">
              <w:rPr>
                <w:b/>
                <w:color w:val="000000" w:themeColor="text1"/>
                <w:sz w:val="20"/>
                <w:szCs w:val="20"/>
              </w:rPr>
              <w:t xml:space="preserve">V Zakonu o gospodarskih družbah </w:t>
            </w:r>
            <w:r w:rsidRPr="00605612">
              <w:rPr>
                <w:color w:val="000000" w:themeColor="text1"/>
                <w:sz w:val="20"/>
                <w:szCs w:val="20"/>
              </w:rPr>
              <w:t>(Uradni list RS, št. 65/09 – uradno prečiščeno besedilo, 33/11, 91/11, 32/12, 57/12, 44/13 – odl. US, 82/13, 55/15, 15/17, 22/19 – ZPosS, 158/20 – ZIntPK-C, 18/21, 18/23 – ZDU-1O in 75/23):</w:t>
            </w:r>
          </w:p>
          <w:p w14:paraId="64A0039D" w14:textId="77777777" w:rsidR="006D4AF3" w:rsidRPr="00605612" w:rsidRDefault="006D4AF3" w:rsidP="006D4AF3">
            <w:pPr>
              <w:pStyle w:val="Neotevilenodstavek"/>
              <w:spacing w:before="0" w:after="0" w:line="260" w:lineRule="exact"/>
              <w:rPr>
                <w:color w:val="000000" w:themeColor="text1"/>
                <w:sz w:val="20"/>
                <w:szCs w:val="20"/>
              </w:rPr>
            </w:pPr>
          </w:p>
          <w:p w14:paraId="69B787D5"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 člen</w:t>
            </w:r>
          </w:p>
          <w:p w14:paraId="40E2E280"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(prenos direktiv in izvajanje uredb Evropske unije)</w:t>
            </w:r>
          </w:p>
          <w:p w14:paraId="5B182675" w14:textId="77777777" w:rsidR="006D4AF3" w:rsidRPr="00605612" w:rsidRDefault="006D4AF3" w:rsidP="006D4AF3">
            <w:pPr>
              <w:pStyle w:val="Neotevilenodstavek"/>
              <w:spacing w:before="0" w:after="0" w:line="240" w:lineRule="auto"/>
              <w:rPr>
                <w:color w:val="000000" w:themeColor="text1"/>
                <w:sz w:val="20"/>
                <w:szCs w:val="20"/>
              </w:rPr>
            </w:pPr>
          </w:p>
          <w:p w14:paraId="48884E2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S tem zakonom se v pravni red Republike Slovenije prenašajo naslednje direktive Evropske unije:</w:t>
            </w:r>
          </w:p>
          <w:p w14:paraId="302B7E2C"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2007/36/ES Evropskega parlamenta in Sveta z dne 11. julija 2007 o uveljavljanju določenih pravic delničarjev družb, ki kotirajo na borzi (UL L št. 184 z dne 14. 7. 2007, str. 17),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2007/36/EU),</w:t>
            </w:r>
          </w:p>
          <w:p w14:paraId="0F941A74"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2009/38/ES Evropskega parlamenta in Sveta z dne 6. maja 2009 o ustanovitvi Evropskega sveta delavcev ali uvedbi postopka obveščanja in posvetovanja z delavci v družbah ali povezanih družbah na območju Skupnosti (Prenovitev) (UL L št. 122 z dne 16. 5. 2009, str. 28), zadnjič spremenjena z Direktivo (EU) 2015/1794 Evropskega parlamenta in Sveta z dne 6. oktobra 2015 o spremembi direktiv 2008/94/ES, 2009/38/ES in 2002/14/ES Evropskega parlamenta in Sveta ter direktiv Sveta 98/59/ES in 2001/23/ES v zvezi s pomorščaki (UL L št. 263 z dne 8. 10. 2015, str. 1), (v nadaljnjem besedilu: Direktiva 2009/38/ES) in</w:t>
            </w:r>
          </w:p>
          <w:p w14:paraId="3FC79E05"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2009/102/ES Evropskega parlamenta in Sveta z dne 16. septembra 2009 na področju prava družb o družbah z omejeno odgovornostjo z enim družbenikom (Kodificirana različica) (UL L št. 258, 1. 10. 2009, str. 20), zadnjič spremenjena z Direktivo Sveta 2013/24/EU z dne 13. maja 2013 o prilagoditvi nekaterih direktiv na področju prava družb zaradi pristopa Republike Hrvaške (UL L št. 158 z dne 10. 6. 2013, str. 365), (v nadaljnjem besedilu: Direktiva 2009/102/ES).</w:t>
            </w:r>
          </w:p>
          <w:p w14:paraId="68060366" w14:textId="77777777" w:rsidR="006D4AF3" w:rsidRPr="00605612" w:rsidRDefault="006D4AF3" w:rsidP="006D4AF3">
            <w:pPr>
              <w:pStyle w:val="Neotevilenodstavek"/>
              <w:spacing w:before="0" w:after="0" w:line="240" w:lineRule="auto"/>
              <w:rPr>
                <w:color w:val="000000" w:themeColor="text1"/>
                <w:sz w:val="20"/>
                <w:szCs w:val="20"/>
              </w:rPr>
            </w:pPr>
          </w:p>
          <w:p w14:paraId="49BD5B3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S tem zakonom se v pravni red Republike Slovenije delno prenašajo naslednje direktive Evropske unije:</w:t>
            </w:r>
          </w:p>
          <w:p w14:paraId="0061FE51"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4A662405"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2013/34/EU Evropskega parlamenta in Sveta z dne 26. junija 2013 o letnih računovodskih izkazih in povezanih poročilih nekaterih vrst podjetij, spremembi Direktive 2006/43ES Evropskega parlamenta in Sveta ter razveljavitvi direktiv Sveta 78/660/EGS in 83/349/EGS (UL L št. 182 z dne 29. 6. 2013, str. 19), zadnjič spremenjena z Direktivo (EU) 2022/2464 Evropskega parlamenta in Sveta z dne 14. decembra 2022 o spremembi Uredbe (EU) št. 537/2014, Direktive 2004/109/ES, Direktive 2006/43/ES in Direktive 2013/34/EU glede poročanja podjetij o trajnostnosti (UL L št. 322 z dne 16. 12. 2022, str. 15), (v nadaljnjem besedilu: Direktiva 2013/34/EU) in</w:t>
            </w:r>
          </w:p>
          <w:p w14:paraId="4B80AF4E" w14:textId="77777777" w:rsidR="006D4AF3" w:rsidRPr="00605612" w:rsidRDefault="006D4AF3" w:rsidP="006D4AF3">
            <w:pPr>
              <w:pStyle w:val="Neotevilenodstavek"/>
              <w:numPr>
                <w:ilvl w:val="0"/>
                <w:numId w:val="39"/>
              </w:numPr>
              <w:spacing w:before="0" w:after="0" w:line="240" w:lineRule="auto"/>
              <w:rPr>
                <w:color w:val="000000" w:themeColor="text1"/>
                <w:sz w:val="20"/>
                <w:szCs w:val="20"/>
              </w:rPr>
            </w:pPr>
            <w:r w:rsidRPr="00605612">
              <w:rPr>
                <w:color w:val="000000" w:themeColor="text1"/>
                <w:sz w:val="20"/>
                <w:szCs w:val="20"/>
              </w:rPr>
              <w:t>Direktiva (EU) 2017/1132 Evropskega parlamenta in Sveta z dne 14. julija 2017 o določenih vidikih prava družb (kodificirano besedilo) (UL L št. 169 z dne 30. 6. 2017, str. 46),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2017/1132/EU).</w:t>
            </w:r>
          </w:p>
          <w:p w14:paraId="22D2233F" w14:textId="77777777" w:rsidR="006D4AF3" w:rsidRPr="00605612" w:rsidRDefault="006D4AF3" w:rsidP="006D4AF3">
            <w:pPr>
              <w:pStyle w:val="Neotevilenodstavek"/>
              <w:spacing w:before="0" w:after="0" w:line="240" w:lineRule="auto"/>
              <w:rPr>
                <w:color w:val="000000" w:themeColor="text1"/>
                <w:sz w:val="20"/>
                <w:szCs w:val="20"/>
              </w:rPr>
            </w:pPr>
          </w:p>
          <w:p w14:paraId="729EEE8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S tem zakonom se podrobneje ureja izvajanje naslednjih uredb Evropske unije:</w:t>
            </w:r>
          </w:p>
          <w:p w14:paraId="56322F59" w14:textId="77777777" w:rsidR="006D4AF3" w:rsidRPr="00605612" w:rsidRDefault="006D4AF3" w:rsidP="006D4AF3">
            <w:pPr>
              <w:pStyle w:val="Neotevilenodstavek"/>
              <w:numPr>
                <w:ilvl w:val="0"/>
                <w:numId w:val="47"/>
              </w:numPr>
              <w:spacing w:before="0" w:after="0" w:line="240" w:lineRule="auto"/>
              <w:rPr>
                <w:color w:val="000000" w:themeColor="text1"/>
                <w:sz w:val="20"/>
                <w:szCs w:val="20"/>
              </w:rPr>
            </w:pPr>
            <w:r w:rsidRPr="00605612">
              <w:rPr>
                <w:color w:val="000000" w:themeColor="text1"/>
                <w:sz w:val="20"/>
                <w:szCs w:val="20"/>
              </w:rPr>
              <w:t>Uredba Sveta 2137/85/EGS z dne 25. julija 1985 o Evropskem gospodarskem združenju (EGIZ) (UL L št. 199 z dne 31. 7. 1985, str. 1; v nadaljnjem besedilu: Uredba 2137/85/EGS),</w:t>
            </w:r>
          </w:p>
          <w:p w14:paraId="5E4F560D" w14:textId="77777777" w:rsidR="006D4AF3" w:rsidRPr="00605612" w:rsidRDefault="006D4AF3" w:rsidP="006D4AF3">
            <w:pPr>
              <w:pStyle w:val="Neotevilenodstavek"/>
              <w:numPr>
                <w:ilvl w:val="0"/>
                <w:numId w:val="47"/>
              </w:numPr>
              <w:spacing w:before="0" w:after="0" w:line="240" w:lineRule="auto"/>
              <w:rPr>
                <w:color w:val="000000" w:themeColor="text1"/>
                <w:sz w:val="20"/>
                <w:szCs w:val="20"/>
              </w:rPr>
            </w:pPr>
            <w:r w:rsidRPr="00605612">
              <w:rPr>
                <w:color w:val="000000" w:themeColor="text1"/>
                <w:sz w:val="20"/>
                <w:szCs w:val="20"/>
              </w:rPr>
              <w:lastRenderedPageBreak/>
              <w:t>Uredba Evropskega parlamenta in Sveta 1606/2002/ES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 (v nadaljnjem besedilu: Uredba 1606/2002/ES),</w:t>
            </w:r>
          </w:p>
          <w:p w14:paraId="24A52011" w14:textId="77777777" w:rsidR="006D4AF3" w:rsidRPr="00605612" w:rsidRDefault="006D4AF3" w:rsidP="006D4AF3">
            <w:pPr>
              <w:pStyle w:val="Neotevilenodstavek"/>
              <w:numPr>
                <w:ilvl w:val="0"/>
                <w:numId w:val="47"/>
              </w:numPr>
              <w:spacing w:before="0" w:after="0" w:line="240" w:lineRule="auto"/>
              <w:rPr>
                <w:color w:val="000000" w:themeColor="text1"/>
                <w:sz w:val="20"/>
                <w:szCs w:val="20"/>
              </w:rPr>
            </w:pPr>
            <w:r w:rsidRPr="00605612">
              <w:rPr>
                <w:color w:val="000000" w:themeColor="text1"/>
                <w:sz w:val="20"/>
                <w:szCs w:val="20"/>
              </w:rPr>
              <w:t>Uredba Komisije 1126/2008/ES z dne 3. novembra 2008 o sprejetju nekaterih mednarodnih računovodskih standardov v skladu z Uredbo Evropskega parlamenta in Sveta 1606/2002/EC (UL L št. 320 z dne 29. 11. 2008, str. 1), zadnjič spremenjena z Uredbo Komisije (EU) 2015/29 z dne 17. decembra 2014 o spremembi Uredbe (ES) št. 1126/2008 o sprejetju nekaterih mednarodnih računovodskih standardov v skladu z Uredbo (ES) št. 1606/2002 Evropskega parlamenta in Sveta glede mednarodnega računovodskega standarda 19 (UL L št. 5 z dne 9. 1. 2015, str. 11), (v nadaljnjem besedilu: Uredba 1126/2008/ES), in</w:t>
            </w:r>
          </w:p>
          <w:p w14:paraId="6DCC02DE"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Uredba Sveta 2157/2001/ES z dne 8. oktobra 2001 o statutu evropske družbe (SE) (UL L št. 294 z dne 10. 11. 2001, str. 1), zadnjič spremenjena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10. 6. 2013, str. 1), (v nadaljnjem besedilu: Uredba 2157/2001/ES).</w:t>
            </w:r>
          </w:p>
          <w:p w14:paraId="4696DE8E" w14:textId="77777777" w:rsidR="006D4AF3" w:rsidRPr="00605612" w:rsidRDefault="006D4AF3" w:rsidP="006D4AF3">
            <w:pPr>
              <w:pStyle w:val="Neotevilenodstavek"/>
              <w:spacing w:before="0" w:after="0" w:line="240" w:lineRule="auto"/>
              <w:rPr>
                <w:color w:val="000000" w:themeColor="text1"/>
                <w:sz w:val="20"/>
                <w:szCs w:val="20"/>
              </w:rPr>
            </w:pPr>
          </w:p>
          <w:p w14:paraId="24E4DA9C" w14:textId="77777777" w:rsidR="006D4AF3" w:rsidRPr="00374362" w:rsidRDefault="006D4AF3" w:rsidP="006D4AF3">
            <w:pPr>
              <w:shd w:val="clear" w:color="auto" w:fill="FFFFFF"/>
              <w:spacing w:line="240" w:lineRule="auto"/>
              <w:jc w:val="center"/>
              <w:rPr>
                <w:rFonts w:cs="Arial"/>
                <w:b/>
                <w:bCs/>
                <w:color w:val="292B2C"/>
                <w:szCs w:val="20"/>
                <w:lang w:eastAsia="sl-SI"/>
              </w:rPr>
            </w:pPr>
            <w:r w:rsidRPr="00374362">
              <w:rPr>
                <w:rFonts w:cs="Arial"/>
                <w:b/>
                <w:bCs/>
                <w:color w:val="292B2C"/>
                <w:szCs w:val="20"/>
                <w:lang w:eastAsia="sl-SI"/>
              </w:rPr>
              <w:t>3. člen</w:t>
            </w:r>
          </w:p>
          <w:p w14:paraId="7AA35129" w14:textId="77777777" w:rsidR="006D4AF3" w:rsidRDefault="006D4AF3" w:rsidP="006D4AF3">
            <w:pPr>
              <w:shd w:val="clear" w:color="auto" w:fill="FFFFFF"/>
              <w:spacing w:line="240" w:lineRule="auto"/>
              <w:jc w:val="center"/>
              <w:rPr>
                <w:rFonts w:cs="Arial"/>
                <w:b/>
                <w:bCs/>
                <w:color w:val="292B2C"/>
                <w:szCs w:val="20"/>
                <w:lang w:eastAsia="sl-SI"/>
              </w:rPr>
            </w:pPr>
            <w:r w:rsidRPr="00374362">
              <w:rPr>
                <w:rFonts w:cs="Arial"/>
                <w:b/>
                <w:bCs/>
                <w:color w:val="292B2C"/>
                <w:szCs w:val="20"/>
                <w:lang w:eastAsia="sl-SI"/>
              </w:rPr>
              <w:t>(pojmi)</w:t>
            </w:r>
          </w:p>
          <w:p w14:paraId="666D7E77" w14:textId="77777777" w:rsidR="006D4AF3" w:rsidRPr="00374362" w:rsidRDefault="006D4AF3" w:rsidP="006D4AF3">
            <w:pPr>
              <w:shd w:val="clear" w:color="auto" w:fill="FFFFFF"/>
              <w:spacing w:line="240" w:lineRule="auto"/>
              <w:jc w:val="center"/>
              <w:rPr>
                <w:rFonts w:cs="Arial"/>
                <w:b/>
                <w:bCs/>
                <w:color w:val="292B2C"/>
                <w:szCs w:val="20"/>
                <w:lang w:eastAsia="sl-SI"/>
              </w:rPr>
            </w:pPr>
          </w:p>
          <w:p w14:paraId="11997CB7" w14:textId="77777777" w:rsidR="006D4AF3" w:rsidRPr="00374362"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Po tem zakonu je gospodarska družba pravna oseba, ki na trgu samostojno opravlja pridobitno dejavnost kot svojo izključno dejavnost.</w:t>
            </w:r>
          </w:p>
          <w:p w14:paraId="48523805" w14:textId="77777777" w:rsidR="006D4AF3" w:rsidRPr="00374362" w:rsidRDefault="006D4AF3" w:rsidP="006D4AF3">
            <w:pPr>
              <w:pStyle w:val="ListParagraph"/>
              <w:shd w:val="clear" w:color="auto" w:fill="FFFFFF"/>
              <w:spacing w:after="0" w:line="240" w:lineRule="auto"/>
              <w:ind w:left="360"/>
              <w:jc w:val="both"/>
              <w:rPr>
                <w:rFonts w:ascii="Arial" w:eastAsia="Times New Roman" w:hAnsi="Arial" w:cs="Arial"/>
                <w:color w:val="292B2C"/>
                <w:sz w:val="20"/>
                <w:szCs w:val="20"/>
                <w:lang w:eastAsia="sl-SI"/>
              </w:rPr>
            </w:pPr>
          </w:p>
          <w:p w14:paraId="153BF2DB" w14:textId="77777777" w:rsidR="006D4AF3"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Pridobitna dejavnost po tem zakonu je vsaka dejavnost, ki se opravlja na trgu zaradi pridobivanja dobička.</w:t>
            </w:r>
          </w:p>
          <w:p w14:paraId="37E089A2" w14:textId="77777777" w:rsidR="006D4AF3" w:rsidRPr="00374362" w:rsidRDefault="006D4AF3" w:rsidP="006D4AF3">
            <w:pPr>
              <w:pStyle w:val="ListParagraph"/>
              <w:ind w:left="360"/>
              <w:rPr>
                <w:rFonts w:ascii="Arial" w:eastAsia="Times New Roman" w:hAnsi="Arial" w:cs="Arial"/>
                <w:color w:val="292B2C"/>
                <w:sz w:val="20"/>
                <w:szCs w:val="20"/>
                <w:lang w:eastAsia="sl-SI"/>
              </w:rPr>
            </w:pPr>
          </w:p>
          <w:p w14:paraId="3C0CF008" w14:textId="77777777" w:rsidR="006D4AF3" w:rsidRPr="00374362"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Gospodarske družbe (v nadaljnjem besedilu: družba) iz prvega odstavka tega člena se organizirajo v eni izmed oblik:</w:t>
            </w:r>
          </w:p>
          <w:p w14:paraId="57613720" w14:textId="77777777" w:rsidR="006D4AF3" w:rsidRPr="004E6649" w:rsidRDefault="006D4AF3" w:rsidP="006D4AF3">
            <w:pPr>
              <w:pStyle w:val="ListParagraph"/>
              <w:numPr>
                <w:ilvl w:val="1"/>
                <w:numId w:val="106"/>
              </w:numPr>
              <w:shd w:val="clear" w:color="auto" w:fill="FFFFFF"/>
              <w:spacing w:line="240" w:lineRule="auto"/>
              <w:ind w:left="709"/>
              <w:jc w:val="both"/>
              <w:rPr>
                <w:rFonts w:ascii="Arial" w:hAnsi="Arial" w:cs="Arial"/>
                <w:color w:val="292B2C"/>
                <w:sz w:val="20"/>
                <w:szCs w:val="18"/>
                <w:lang w:eastAsia="sl-SI"/>
              </w:rPr>
            </w:pPr>
            <w:r w:rsidRPr="004E6649">
              <w:rPr>
                <w:rFonts w:ascii="Arial" w:hAnsi="Arial" w:cs="Arial"/>
                <w:color w:val="292B2C"/>
                <w:sz w:val="20"/>
                <w:szCs w:val="18"/>
                <w:lang w:eastAsia="sl-SI"/>
              </w:rPr>
              <w:t>kot osebne družbe: družba z neomejeno odgovornostjo in komanditna družba, ali</w:t>
            </w:r>
          </w:p>
          <w:p w14:paraId="478CA6C2" w14:textId="77777777" w:rsidR="006D4AF3" w:rsidRPr="004E6649" w:rsidRDefault="006D4AF3" w:rsidP="006D4AF3">
            <w:pPr>
              <w:pStyle w:val="ListParagraph"/>
              <w:numPr>
                <w:ilvl w:val="1"/>
                <w:numId w:val="106"/>
              </w:numPr>
              <w:shd w:val="clear" w:color="auto" w:fill="FFFFFF"/>
              <w:spacing w:line="240" w:lineRule="auto"/>
              <w:ind w:left="709"/>
              <w:jc w:val="both"/>
              <w:rPr>
                <w:rFonts w:ascii="Arial" w:hAnsi="Arial" w:cs="Arial"/>
                <w:color w:val="292B2C"/>
                <w:sz w:val="20"/>
                <w:szCs w:val="18"/>
                <w:lang w:eastAsia="sl-SI"/>
              </w:rPr>
            </w:pPr>
            <w:r w:rsidRPr="004E6649">
              <w:rPr>
                <w:rFonts w:ascii="Arial" w:hAnsi="Arial" w:cs="Arial"/>
                <w:color w:val="292B2C"/>
                <w:sz w:val="20"/>
                <w:szCs w:val="18"/>
                <w:lang w:eastAsia="sl-SI"/>
              </w:rPr>
              <w:t>kot kapitalske družbe: družba z omejeno odgovornostjo, delniška družba, komanditna delniška družba in evropska delniška družba.</w:t>
            </w:r>
          </w:p>
          <w:p w14:paraId="79E63C09" w14:textId="77777777" w:rsidR="006D4AF3" w:rsidRPr="00374362" w:rsidRDefault="006D4AF3" w:rsidP="006D4AF3">
            <w:pPr>
              <w:shd w:val="clear" w:color="auto" w:fill="FFFFFF"/>
              <w:spacing w:line="240" w:lineRule="auto"/>
              <w:ind w:left="65" w:hanging="425"/>
              <w:jc w:val="both"/>
              <w:rPr>
                <w:rFonts w:cs="Arial"/>
                <w:color w:val="292B2C"/>
                <w:szCs w:val="20"/>
                <w:lang w:eastAsia="sl-SI"/>
              </w:rPr>
            </w:pPr>
          </w:p>
          <w:p w14:paraId="109A2420" w14:textId="77777777" w:rsidR="006D4AF3"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Družbe iz prejšnjega odstavka se štejejo za gospodarske družbe, tudi če v skladu z zakonom v celoti ali deloma opravljajo dejavnost, ki ni pridobitna.</w:t>
            </w:r>
          </w:p>
          <w:p w14:paraId="0468A709" w14:textId="77777777" w:rsidR="006D4AF3" w:rsidRDefault="006D4AF3" w:rsidP="006D4AF3">
            <w:pPr>
              <w:pStyle w:val="ListParagraph"/>
              <w:shd w:val="clear" w:color="auto" w:fill="FFFFFF"/>
              <w:spacing w:after="0" w:line="240" w:lineRule="auto"/>
              <w:ind w:left="360"/>
              <w:jc w:val="both"/>
              <w:rPr>
                <w:rFonts w:ascii="Arial" w:eastAsia="Times New Roman" w:hAnsi="Arial" w:cs="Arial"/>
                <w:color w:val="292B2C"/>
                <w:sz w:val="20"/>
                <w:szCs w:val="20"/>
                <w:lang w:eastAsia="sl-SI"/>
              </w:rPr>
            </w:pPr>
          </w:p>
          <w:p w14:paraId="3DDCBBB8" w14:textId="77777777" w:rsidR="006D4AF3"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Ustanovitelj družbe ali gospodarskega interesnega združenja je lahko vsaka fizična ali pravna oseba, če zakon ne določa drugače.</w:t>
            </w:r>
          </w:p>
          <w:p w14:paraId="581A4534" w14:textId="77777777" w:rsidR="006D4AF3" w:rsidRPr="00374362" w:rsidRDefault="006D4AF3" w:rsidP="006D4AF3">
            <w:pPr>
              <w:pStyle w:val="ListParagraph"/>
              <w:ind w:left="360"/>
              <w:rPr>
                <w:rFonts w:ascii="Arial" w:eastAsia="Times New Roman" w:hAnsi="Arial" w:cs="Arial"/>
                <w:color w:val="292B2C"/>
                <w:sz w:val="20"/>
                <w:szCs w:val="20"/>
                <w:lang w:eastAsia="sl-SI"/>
              </w:rPr>
            </w:pPr>
          </w:p>
          <w:p w14:paraId="02DDC10C" w14:textId="77777777" w:rsidR="006D4AF3"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Podjetnik po tem zakonu je fizična oseba, ki na trgu samostojno opravlja pridobitno dejavnost v okviru organiziranega podjetja.</w:t>
            </w:r>
          </w:p>
          <w:p w14:paraId="1043A515" w14:textId="77777777" w:rsidR="006D4AF3" w:rsidRPr="00374362" w:rsidRDefault="006D4AF3" w:rsidP="006D4AF3">
            <w:pPr>
              <w:pStyle w:val="ListParagraph"/>
              <w:ind w:left="360"/>
              <w:rPr>
                <w:rFonts w:ascii="Arial" w:eastAsia="Times New Roman" w:hAnsi="Arial" w:cs="Arial"/>
                <w:color w:val="292B2C"/>
                <w:sz w:val="20"/>
                <w:szCs w:val="20"/>
                <w:lang w:eastAsia="sl-SI"/>
              </w:rPr>
            </w:pPr>
          </w:p>
          <w:p w14:paraId="0E20C132" w14:textId="77777777" w:rsidR="006D4AF3"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Vpis v register po tem zakonu ima nasproti tretjim osebam pravni učinek šele od trenutka objave posameznega podatka v skladu z zakonom, ki ureja sodni register.</w:t>
            </w:r>
          </w:p>
          <w:p w14:paraId="19A045E0" w14:textId="77777777" w:rsidR="006D4AF3" w:rsidRPr="00374362" w:rsidRDefault="006D4AF3" w:rsidP="006D4AF3">
            <w:pPr>
              <w:pStyle w:val="ListParagraph"/>
              <w:ind w:left="360"/>
              <w:rPr>
                <w:rFonts w:ascii="Arial" w:eastAsia="Times New Roman" w:hAnsi="Arial" w:cs="Arial"/>
                <w:color w:val="292B2C"/>
                <w:sz w:val="20"/>
                <w:szCs w:val="20"/>
                <w:lang w:eastAsia="sl-SI"/>
              </w:rPr>
            </w:pPr>
          </w:p>
          <w:p w14:paraId="34A56A62" w14:textId="77777777" w:rsidR="006D4AF3" w:rsidRPr="00374362" w:rsidRDefault="006D4AF3" w:rsidP="006D4AF3">
            <w:pPr>
              <w:pStyle w:val="ListParagraph"/>
              <w:numPr>
                <w:ilvl w:val="0"/>
                <w:numId w:val="105"/>
              </w:numPr>
              <w:shd w:val="clear" w:color="auto" w:fill="FFFFFF"/>
              <w:spacing w:after="0" w:line="240" w:lineRule="auto"/>
              <w:ind w:left="360"/>
              <w:jc w:val="both"/>
              <w:rPr>
                <w:rFonts w:ascii="Arial" w:eastAsia="Times New Roman" w:hAnsi="Arial" w:cs="Arial"/>
                <w:color w:val="292B2C"/>
                <w:sz w:val="20"/>
                <w:szCs w:val="20"/>
                <w:lang w:eastAsia="sl-SI"/>
              </w:rPr>
            </w:pPr>
            <w:r w:rsidRPr="00374362">
              <w:rPr>
                <w:rFonts w:ascii="Arial" w:eastAsia="Times New Roman" w:hAnsi="Arial" w:cs="Arial"/>
                <w:color w:val="292B2C"/>
                <w:sz w:val="20"/>
                <w:szCs w:val="20"/>
                <w:lang w:eastAsia="sl-SI"/>
              </w:rPr>
              <w:t>Drugi izrazi, uporabljeni v tem zakonu, pomenijo:</w:t>
            </w:r>
          </w:p>
          <w:p w14:paraId="48EEFA6F"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»Agencija za trg vrednostnih papirjev« (v nadaljnjem besedilu: ATVP) je Agencija za trg vrednostnih papirjev po zakonu, ki ureja trg finančnih instrumentov;</w:t>
            </w:r>
          </w:p>
          <w:p w14:paraId="130A3D15"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»centralna depotna družba« je centralna depotna družba po zakonu, ki ureja trg finančnih instrumentov;</w:t>
            </w:r>
          </w:p>
          <w:p w14:paraId="0AD6106B"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»država članica« je država članica Evropske unije ali država podpisnica Sporazuma o ustanovitvi Evropskega gospodarskega prostora (UL L št. 1 z dne 3. 1. 1994, str. 3);</w:t>
            </w:r>
          </w:p>
          <w:p w14:paraId="51409EC7"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»informacijski sistem za podporo poslovnim subjektom« je informacijski sistem za podporo poslovnim subjektom po zakonu, ki ureja poslovni register;</w:t>
            </w:r>
          </w:p>
          <w:p w14:paraId="37182431"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»organizirani trg« je organizirani trg po zakonu, ki ureja trg finančnih instrumentov;</w:t>
            </w:r>
          </w:p>
          <w:p w14:paraId="343134DB"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lastRenderedPageBreak/>
              <w:t>»registrski organ« je organ, ki vodi register, v katerega se vpisujejo podatki o družbi;</w:t>
            </w:r>
          </w:p>
          <w:p w14:paraId="5EC59338"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»revizor« je revizijska družba, ki ima po zakonu, ki ureja revidiranje, dovoljenje za opravljanje revidiranja;</w:t>
            </w:r>
          </w:p>
          <w:p w14:paraId="5CADA721"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»Slovenski inštitut za revizijo« je Slovenski inštitut za revizijo po zakonu, ki ureja revidiranje;</w:t>
            </w:r>
          </w:p>
          <w:p w14:paraId="0CF18A63"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»sodišče« je sodišče, ki je krajevno pristojno glede na sedež družbe ali podjetnika, če ta zakon ne določa drugače;</w:t>
            </w:r>
          </w:p>
          <w:p w14:paraId="2956B2EF"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color w:val="292B2C"/>
                <w:sz w:val="20"/>
                <w:szCs w:val="18"/>
                <w:lang w:eastAsia="sl-SI"/>
              </w:rPr>
            </w:pPr>
            <w:r w:rsidRPr="00F56F47">
              <w:rPr>
                <w:rFonts w:ascii="Arial" w:hAnsi="Arial" w:cs="Arial"/>
                <w:color w:val="292B2C"/>
                <w:sz w:val="20"/>
                <w:szCs w:val="18"/>
                <w:lang w:eastAsia="sl-SI"/>
              </w:rPr>
              <w:t>»subjekt javnega interesa« je subjekt javnega interesa po zakonu, ki ureja revidiranje;</w:t>
            </w:r>
          </w:p>
          <w:p w14:paraId="7E1B52C9" w14:textId="77777777" w:rsidR="006D4AF3" w:rsidRPr="00F56F47" w:rsidRDefault="006D4AF3" w:rsidP="006D4AF3">
            <w:pPr>
              <w:pStyle w:val="ListParagraph"/>
              <w:numPr>
                <w:ilvl w:val="0"/>
                <w:numId w:val="107"/>
              </w:numPr>
              <w:shd w:val="clear" w:color="auto" w:fill="FFFFFF"/>
              <w:spacing w:line="240" w:lineRule="auto"/>
              <w:jc w:val="both"/>
              <w:rPr>
                <w:rFonts w:ascii="Arial" w:hAnsi="Arial" w:cs="Arial"/>
                <w:sz w:val="20"/>
                <w:szCs w:val="20"/>
              </w:rPr>
            </w:pPr>
            <w:r w:rsidRPr="00F56F47">
              <w:rPr>
                <w:rFonts w:ascii="Arial" w:hAnsi="Arial" w:cs="Arial"/>
                <w:color w:val="292B2C"/>
                <w:sz w:val="20"/>
                <w:szCs w:val="18"/>
                <w:lang w:eastAsia="sl-SI"/>
              </w:rPr>
              <w:t>»točka za podporo poslovnim subjektom« je točka za podporo poslovnim subjektom po zakonu, ki ureja poslovni register.</w:t>
            </w:r>
          </w:p>
          <w:p w14:paraId="7943F2A9" w14:textId="77777777" w:rsidR="006D4AF3" w:rsidRPr="004868E4" w:rsidRDefault="006D4AF3" w:rsidP="006D4AF3">
            <w:pPr>
              <w:pStyle w:val="Neotevilenodstavek"/>
              <w:pBdr>
                <w:top w:val="none" w:sz="0" w:space="24" w:color="auto"/>
              </w:pBdr>
              <w:spacing w:before="0" w:after="0" w:line="240" w:lineRule="auto"/>
              <w:jc w:val="center"/>
              <w:rPr>
                <w:b/>
                <w:color w:val="000000" w:themeColor="text1"/>
                <w:sz w:val="20"/>
                <w:szCs w:val="20"/>
              </w:rPr>
            </w:pPr>
            <w:r w:rsidRPr="004868E4">
              <w:rPr>
                <w:b/>
                <w:color w:val="000000" w:themeColor="text1"/>
                <w:sz w:val="20"/>
                <w:szCs w:val="20"/>
              </w:rPr>
              <w:t>10.a člen</w:t>
            </w:r>
          </w:p>
          <w:p w14:paraId="3EC13129" w14:textId="77777777" w:rsidR="006D4AF3" w:rsidRPr="004868E4" w:rsidRDefault="006D4AF3" w:rsidP="006D4AF3">
            <w:pPr>
              <w:pStyle w:val="Neotevilenodstavek"/>
              <w:pBdr>
                <w:top w:val="none" w:sz="0" w:space="24" w:color="auto"/>
              </w:pBdr>
              <w:spacing w:before="0" w:after="0" w:line="240" w:lineRule="auto"/>
              <w:jc w:val="center"/>
              <w:rPr>
                <w:rFonts w:eastAsia="Arial"/>
                <w:b/>
                <w:color w:val="000000" w:themeColor="text1"/>
                <w:sz w:val="20"/>
                <w:szCs w:val="20"/>
              </w:rPr>
            </w:pPr>
            <w:r w:rsidRPr="004868E4">
              <w:rPr>
                <w:rFonts w:eastAsia="Arial"/>
                <w:b/>
                <w:color w:val="000000" w:themeColor="text1"/>
                <w:sz w:val="20"/>
                <w:szCs w:val="20"/>
              </w:rPr>
              <w:t xml:space="preserve">(omejitve ustanavljanja družb in podjetnikov </w:t>
            </w:r>
            <w:r w:rsidRPr="004868E4">
              <w:rPr>
                <w:b/>
                <w:color w:val="000000" w:themeColor="text1"/>
                <w:sz w:val="20"/>
                <w:szCs w:val="20"/>
              </w:rPr>
              <w:t>ter</w:t>
            </w:r>
            <w:r w:rsidRPr="004868E4">
              <w:rPr>
                <w:rFonts w:eastAsia="Arial"/>
                <w:b/>
                <w:color w:val="000000" w:themeColor="text1"/>
                <w:sz w:val="20"/>
                <w:szCs w:val="20"/>
              </w:rPr>
              <w:t xml:space="preserve"> pridobitve statusa družbenika)</w:t>
            </w:r>
          </w:p>
          <w:p w14:paraId="1487BDCD"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 Ustanovitelj, družbenik in podjetnik ne more postati oseba:</w:t>
            </w:r>
          </w:p>
          <w:p w14:paraId="36891506" w14:textId="77777777" w:rsidR="006D4AF3" w:rsidRDefault="006D4AF3" w:rsidP="006D4AF3">
            <w:pPr>
              <w:pStyle w:val="Neotevilenodstavek"/>
              <w:numPr>
                <w:ilvl w:val="0"/>
                <w:numId w:val="108"/>
              </w:numPr>
              <w:spacing w:before="0" w:after="0" w:line="240" w:lineRule="auto"/>
              <w:rPr>
                <w:color w:val="000000" w:themeColor="text1"/>
                <w:sz w:val="20"/>
                <w:szCs w:val="20"/>
              </w:rPr>
            </w:pPr>
            <w:r w:rsidRPr="004868E4">
              <w:rPr>
                <w:color w:val="000000" w:themeColor="text1"/>
                <w:sz w:val="20"/>
                <w:szCs w:val="20"/>
              </w:rPr>
              <w:t>ki je bila pravnomočno obsojena na kazen zapora zaradi kaznivega dejanja zoper gospodarstvo, zoper delovno razmerje in socialno varnost, zoper pravni promet, zoper premoženje, zoper okolje, prostor in naravne dobrine, zoper človekovo zdravje ter zoper splošno varnost ljudi in premoženja;</w:t>
            </w:r>
          </w:p>
          <w:p w14:paraId="43F85FD2" w14:textId="77777777" w:rsidR="006D4AF3" w:rsidRDefault="006D4AF3" w:rsidP="006D4AF3">
            <w:pPr>
              <w:pStyle w:val="Neotevilenodstavek"/>
              <w:numPr>
                <w:ilvl w:val="0"/>
                <w:numId w:val="108"/>
              </w:numPr>
              <w:spacing w:before="0" w:after="0" w:line="240" w:lineRule="auto"/>
              <w:rPr>
                <w:rFonts w:eastAsia="Arial"/>
                <w:color w:val="000000" w:themeColor="text1"/>
                <w:sz w:val="20"/>
                <w:szCs w:val="20"/>
              </w:rPr>
            </w:pPr>
            <w:r w:rsidRPr="005418DD">
              <w:rPr>
                <w:rFonts w:eastAsia="Arial"/>
                <w:color w:val="000000" w:themeColor="text1"/>
                <w:sz w:val="20"/>
                <w:szCs w:val="20"/>
              </w:rPr>
              <w:t>ki je bila v obdobju zadnjih 12 mesecev javno objavljena na seznamu nepredlagateljev obračunov na podlagi zakona, ki ureja davčni postopek, ali je javno objavljena na seznamu neplačnikov na podlagi zakona, ki ureja davčni postopek, ali je bila v obdobju zadnjih 12 mesecev na podlagi zakona, ki ureja davčni postopek, javno objavljena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w:t>
            </w:r>
          </w:p>
          <w:p w14:paraId="2A80D08F" w14:textId="77777777" w:rsidR="006D4AF3" w:rsidRDefault="006D4AF3" w:rsidP="006D4AF3">
            <w:pPr>
              <w:pStyle w:val="Neotevilenodstavek"/>
              <w:numPr>
                <w:ilvl w:val="0"/>
                <w:numId w:val="108"/>
              </w:numPr>
              <w:spacing w:before="0" w:after="0" w:line="240" w:lineRule="auto"/>
              <w:rPr>
                <w:rFonts w:eastAsia="Arial"/>
                <w:color w:val="000000" w:themeColor="text1"/>
                <w:sz w:val="20"/>
                <w:szCs w:val="20"/>
              </w:rPr>
            </w:pPr>
            <w:r w:rsidRPr="005418DD">
              <w:rPr>
                <w:rFonts w:eastAsia="Arial"/>
                <w:color w:val="000000" w:themeColor="text1"/>
                <w:sz w:val="20"/>
                <w:szCs w:val="20"/>
              </w:rPr>
              <w:t>ki je neposredno ali posredno z več kot 25 odstotki udeležena v kapitalu kapitalske družbe, ki je bila v obdobju zadnjih 12 mesecev javno objavljena na seznamu nepredlagateljev obračunov na podlagi zakona, ki ureja davčni postopek, ali je javno objavljena na seznamu neplačnikov na podlagi zakona, ki ureja davčni postopek, ali je bila v obdobju zadnjih 12 mesecev na podlagi zakona, ki ureja davčni postopek, javno objavljena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w:t>
            </w:r>
          </w:p>
          <w:p w14:paraId="2ACDCC8D" w14:textId="77777777" w:rsidR="006D4AF3" w:rsidRDefault="006D4AF3" w:rsidP="006D4AF3">
            <w:pPr>
              <w:pStyle w:val="Neotevilenodstavek"/>
              <w:numPr>
                <w:ilvl w:val="0"/>
                <w:numId w:val="108"/>
              </w:numPr>
              <w:spacing w:before="0" w:after="0" w:line="240" w:lineRule="auto"/>
              <w:rPr>
                <w:color w:val="000000" w:themeColor="text1"/>
                <w:sz w:val="20"/>
                <w:szCs w:val="20"/>
              </w:rPr>
            </w:pPr>
            <w:r w:rsidRPr="005418DD">
              <w:rPr>
                <w:color w:val="000000" w:themeColor="text1"/>
                <w:sz w:val="20"/>
                <w:szCs w:val="20"/>
              </w:rPr>
              <w:t>ki ji je bila v zadnjih treh letih s pravnomočno odločbo Inšpektorata Republike Slovenije za delo oziroma Finančne uprave Republike Slovenije najmanj dvakrat izrečena globa zaradi prekrška v zvezi s plačilom za delo oziroma prekrška v zvezi z zaposlovanjem na črno;</w:t>
            </w:r>
          </w:p>
          <w:p w14:paraId="342D0574" w14:textId="77777777" w:rsidR="006D4AF3" w:rsidRDefault="006D4AF3" w:rsidP="006D4AF3">
            <w:pPr>
              <w:pStyle w:val="Neotevilenodstavek"/>
              <w:numPr>
                <w:ilvl w:val="0"/>
                <w:numId w:val="108"/>
              </w:numPr>
              <w:spacing w:before="0" w:after="0" w:line="240" w:lineRule="auto"/>
              <w:rPr>
                <w:color w:val="000000" w:themeColor="text1"/>
                <w:sz w:val="20"/>
                <w:szCs w:val="20"/>
              </w:rPr>
            </w:pPr>
            <w:r w:rsidRPr="005418DD">
              <w:rPr>
                <w:color w:val="000000" w:themeColor="text1"/>
                <w:sz w:val="20"/>
                <w:szCs w:val="20"/>
              </w:rPr>
              <w:t>ki je bila neposredno z več kot 50 odstotki udeležena v kapitalu družbe z omejeno odgovornostjo, ki je bila izbrisana iz sodnega registra brez likvidacije po zakonu, ki ureja finančno poslovanje, postopke zaradi insolventnosti in prisilno prenehanje;</w:t>
            </w:r>
          </w:p>
          <w:p w14:paraId="3E3710E0" w14:textId="77777777" w:rsidR="006D4AF3" w:rsidRPr="005418DD" w:rsidRDefault="006D4AF3" w:rsidP="006D4AF3">
            <w:pPr>
              <w:pStyle w:val="Neotevilenodstavek"/>
              <w:numPr>
                <w:ilvl w:val="0"/>
                <w:numId w:val="108"/>
              </w:numPr>
              <w:spacing w:before="0" w:after="0" w:line="240" w:lineRule="auto"/>
              <w:rPr>
                <w:rFonts w:eastAsia="Arial"/>
                <w:color w:val="000000" w:themeColor="text1"/>
                <w:sz w:val="20"/>
                <w:szCs w:val="20"/>
              </w:rPr>
            </w:pPr>
            <w:r w:rsidRPr="005418DD">
              <w:rPr>
                <w:rFonts w:eastAsia="Arial"/>
                <w:color w:val="000000" w:themeColor="text1"/>
                <w:sz w:val="20"/>
                <w:szCs w:val="20"/>
              </w:rPr>
              <w:t>ki ji je bila v zadnjih treh letih s pravnomočno odločbo izrečena globa zaradi prekrška po 26. točki prvega odstavka 685. člena tega zakona.</w:t>
            </w:r>
          </w:p>
          <w:p w14:paraId="618F4421"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(2) Omejitve iz prejšnjega odstavka ne veljajo za osebo, ki je postala družbenik ali podjetnik na podlagi univerzalnega pravnega nasledstva.</w:t>
            </w:r>
          </w:p>
          <w:p w14:paraId="50358F43"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31C5DF0C"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(3) Omejitev iz 2. točke prvega odstavka tega člena v delu, ki se nanaša na javno objavo na seznamu neplačnikov na podlagi zakona, ki ureja davčni postopek, ne velja za stečajnega dolžnika, ki mu sodišče dovoli poslovanje kot podjetniku ali zasebniku v skladu z določbami o osebnem stečaju v zakonu, ki ureja finančno poslovanje, postopke zaradi insolventnosti in prisilno prenehanje. Stečajni dolžnik pri vpisu v Poslovni register Slovenije predloži pravnomočni sklep sodišča.</w:t>
            </w:r>
          </w:p>
          <w:p w14:paraId="0F0AA3CF"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263AE483"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(4) Omejitev iz 3. točke prvega odstavka tega člena ne velja za osebo, ki je neposredno ali posredno z več kot 25 odstotki udeležena v kapitalu kapitalske družbe, če je ta oseba:</w:t>
            </w:r>
          </w:p>
          <w:p w14:paraId="3C5D44CA"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banka oziroma banka države članice po zakonu, ki ureja bančništvo, in je v vlogi za vpis v sodni register predložila dovoljenje Banke Slovenije za opravljanje bančnih storitev,</w:t>
            </w:r>
          </w:p>
          <w:p w14:paraId="6124D2FF"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lastRenderedPageBreak/>
              <w:t>zavarovalnica oziroma zavarovalnica države članice po zakonu, ki ureja zavarovalništvo, in je v vlogi za vpis v sodni register predložila dovoljenje Agencije za zavarovalni nadzor za opravljanje zavarovalniških poslov,</w:t>
            </w:r>
          </w:p>
          <w:p w14:paraId="5CBF63C4"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Republika Slovenija, Kapitalska družba pokojninskega in invalidskega zavarovanja, d.d., Slovenski državni holding, d.d., D.S.U., družba za svetovanje in upravljanje, d.o.o., ali</w:t>
            </w:r>
          </w:p>
          <w:p w14:paraId="35633BF5"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delež dosegla zaradi izvedbe finančnega prestrukturiranja z namenom, da se zagotovi njena kapitalska ustreznost oziroma dolgoročna plačilna sposobnost v skladu z zakonom, ki ureja finančno poslovanje, postopke zaradi insolventnosti in prisilno prenehanje;</w:t>
            </w:r>
          </w:p>
          <w:p w14:paraId="3AFFF31B"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borznoposredniška družba po zakonu, ki ureja trg finančnih instrumentov, in je v vlogi za vpis v sodni register predložila dovoljenja ATVP;</w:t>
            </w:r>
          </w:p>
          <w:p w14:paraId="081E2921"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borza po zakonu, ki ureja trg finančnih instrumentov, in je v vlogi za vpis v sodni register predložila dovoljenja ATVP; ali</w:t>
            </w:r>
          </w:p>
          <w:p w14:paraId="081C940F"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družba za upravljanje po zakonu, ki ureja investicijske sklade in družbe za upravljanje, in je v vlogi za vpis v sodni register predložila dovoljenja ATVP.</w:t>
            </w:r>
          </w:p>
          <w:p w14:paraId="4B68B859" w14:textId="77777777" w:rsidR="006D4AF3"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(5) Ustanovitelj oziroma družbenik družbe z omejeno odgovornostjo ne more postati oseba, ki je v zadnjih treh mesecih ustanovila družbo z omejeno odgovornostjo oziroma pridobila delež v družbi z omejeno odgovornostjo, ki ni starejša od treh mesecev.</w:t>
            </w:r>
          </w:p>
          <w:p w14:paraId="0B751151" w14:textId="77777777" w:rsidR="006D4AF3" w:rsidRPr="004868E4" w:rsidRDefault="006D4AF3" w:rsidP="006D4AF3">
            <w:pPr>
              <w:pStyle w:val="Neotevilenodstavek"/>
              <w:pBdr>
                <w:top w:val="none" w:sz="0" w:space="12" w:color="auto"/>
              </w:pBdr>
              <w:spacing w:before="0" w:after="0" w:line="240" w:lineRule="auto"/>
              <w:rPr>
                <w:color w:val="000000" w:themeColor="text1"/>
                <w:sz w:val="20"/>
                <w:szCs w:val="20"/>
              </w:rPr>
            </w:pPr>
          </w:p>
          <w:p w14:paraId="252601E1"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(6) Omejitev iz prejšnjega odstavka ne velja:</w:t>
            </w:r>
          </w:p>
          <w:p w14:paraId="3E22EA15"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za osebe iz četrtega odstavka tega člena,</w:t>
            </w:r>
          </w:p>
          <w:p w14:paraId="5C7AFD32"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za ustanavljanje namenskih družb s strani specialnih alternativnih investicijskih skladov oziroma upravljavcev alternativnih investicijskih skladov v njihovem imenu v skladu z določbami zakona, ki ureja upravljavce alternativnih investicijskih skladov, ter zakona, ki ureja investicijske sklade in družbe za upravljanje,</w:t>
            </w:r>
          </w:p>
          <w:p w14:paraId="755051A2"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za srednje in velike družbe, kot izhaja iz Poslovnega registra Slovenije.</w:t>
            </w:r>
          </w:p>
          <w:p w14:paraId="2558B854"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(7) Omejitev iz petega odstavka tega člena ne velja, če družbe z omejeno odgovornostjo, v katerih je oseba v zadnjih treh mesecih pridobila poslovni delež, izpolnjujejo naslednje pogoje:</w:t>
            </w:r>
          </w:p>
          <w:p w14:paraId="57A42763"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imajo odprt transakcijski račun;</w:t>
            </w:r>
          </w:p>
          <w:p w14:paraId="4F87D5A2"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niso bile v obdobju zadnjih 12 mesecev javno objavljene na seznamu nepredlagateljev obračunov na podlagi zakona, ki ureja davčni postopek;</w:t>
            </w:r>
          </w:p>
          <w:p w14:paraId="291B8B6F"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nimajo neporavnanih obveznosti iz naslova obveznih dajatev in drugih denarnih nedavčnih obveznosti, ki jih izterjuje Finančna uprava Republike Slovenije, več kot v višini več kot 50 eurov;</w:t>
            </w:r>
          </w:p>
          <w:p w14:paraId="20C0E42A"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niso bile v obdobju zadnjih 12 mesecev na podlagi zakona, ki ureja davčni postopek, javno objavljene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 in</w:t>
            </w:r>
          </w:p>
          <w:p w14:paraId="22FDD3A3"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ima neprekinjeno vsaj dva meseca zaposleno osebo ali obvezno zavarovanega družbenika v skladu z zakonom, ki ureja zdravstveno zavarovanje, za najmanj polovični delovni čas.</w:t>
            </w:r>
          </w:p>
          <w:p w14:paraId="7EACC66A"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(8) Omejitev iz 1. točke prvega odstavka tega člena preneha z izbrisom iz kazenske evidence.</w:t>
            </w:r>
          </w:p>
          <w:p w14:paraId="4544C52C"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7A4CFBC7"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(9) Omejitvi iz 2. in 3. točke prvega odstavka tega člena prenehata, ko davčni organ za osebo iz prvega odstavka tega člena, ki je bila objavljena na seznamu nepredlagateljev obračunov ali seznamu neplačnikov ali na seznamu zavezancev za DDV, izda potrdilo o tem, da ta oseba ali kapitalska družba, v kateri je ta oseba neposredno ali posredno z več kot 25 odstotki udeležena v njenem kapitalu, nima zapadlih neplačanih obveznih dajatev in drugih denarnih nedavčnih obveznosti, ki jih izterjuje Finančna uprava Republike Slovenije, več kot v višini 50 eurov, in da ima izpolnjene vse obveznosti v zvezi s predložitvijo obračuna davčnega odtegljaja za izplačilo plače in nadomestila plače. Potrdilo iz prejšnjega stavka ob vpisu v sodni register ali Poslovni register Slovenije ne sme biti starejše od dneva objave zadnjega seznama iz 2. in 3. točke prvega odstavka tega člena. Ne glede na prejšnji stavek potrdilo ne sme biti starejše od 15 dni.</w:t>
            </w:r>
          </w:p>
          <w:p w14:paraId="7663F67A"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73F3A9D1"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(10) Omejitev iz 4. in 6. točke prvega odstavka tega člena preneha v treh letih od dneva pravnomočnosti odločbe oziroma sodbe, zaradi katere je nastopila omejitev iz 4. oziroma 6. točke prvega odstavka tega člena.</w:t>
            </w:r>
          </w:p>
          <w:p w14:paraId="65C6AEBC"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122A4D39"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lastRenderedPageBreak/>
              <w:t>(11) Omejitev iz 5. točke prvega odstavka tega člena preneha v enem letu od datuma izbrisa družbe iz sodnega registra.</w:t>
            </w:r>
          </w:p>
          <w:p w14:paraId="7BE13EE6"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0B36EA6E"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(12) Registrski organi, določeni s tem zakonom, in notarji po uradni dolžnosti z zahtevo v elektronski obliki v kazenski evidenci ter evidenci pravnomočnih odločb sodišč, ki ju upravlja Ministrstvo za pravosodje, v evidenci Inšpektorata Republike Slovenije za delo, evidenci Tržnega Inšpektorata Republike Slovenije in evidenci Finančne uprave Republike Slovenije preverijo, ali za vpis v sodni register ali Poslovni register Slovenije obstaja omejitev iz 1., 4. in 6. točke prvega odstavka tega člena.</w:t>
            </w:r>
          </w:p>
          <w:p w14:paraId="54CC2E97"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38242C46"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(13) Obstoj omejitev iz 1. do 4. točke prvega odstavka tega člena pristojni organi iz prejšnjega odstavka preverijo tudi v primeru ustanovitve družbe, podjetnika ali pridobitve statusa družbenika s strani osebe, ki ni državljan Republike Slovenije in v njej nima stalnega prebivališča ali v Republiki Sloveniji nima sedeža.</w:t>
            </w:r>
          </w:p>
          <w:p w14:paraId="5EC355F7"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06C5CB16"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(14) Če ustrezne evidence ne omogočajo vzajemne izmenjave podatkov med Republiko Slovenijo, drugo državo članico ali tretjo državo, oseba iz prejšnjega odstavka pristojnemu organu iz dvanajstega odstavka tega člena neobstoj omejitev iz 1., 2. in 4. točke prvega odstavka tega člena izkaže s predložitvijo naslednjih dokazil države svojega stalnega prebivališča ali sedeža:</w:t>
            </w:r>
          </w:p>
          <w:p w14:paraId="6D0CC31C"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izpis iz ustreznega registra, če tega ni, pa enakovreden dokument, ki ga izda pristojni sodni ali upravni organ v Republiki Sloveniji, drugi državi članici ali matični državi ali državi, v kateri ima pravna oseba svoj sedež, iz katerega je razvidno, da ne obstajajo razlogi za omejitev ustanovitve družbe, podjetnika ali pridobitve statusa družbenika v zvezi s 1. in 4. točko prvega odstavka tega člena;</w:t>
            </w:r>
          </w:p>
          <w:p w14:paraId="1DA60B40"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potrdilo, ki ga izda pristojni organ v Republiki Sloveniji, drugi državi članici ali tretji državi, iz katerega je razvidno, da oseba iz prejšnjega odstavka v matični državi ali državi, v kateri ima pravna oseba svoj sedež, nima neporavnanih davčnih obveznosti v zvezi z 2. točko prvega odstavka tega člena.</w:t>
            </w:r>
          </w:p>
          <w:p w14:paraId="060A5651" w14:textId="77777777" w:rsidR="006D4AF3" w:rsidRDefault="006D4AF3" w:rsidP="006D4AF3">
            <w:pPr>
              <w:pStyle w:val="Neotevilenodstavek"/>
              <w:spacing w:before="0" w:after="0" w:line="240" w:lineRule="auto"/>
              <w:rPr>
                <w:color w:val="000000" w:themeColor="text1"/>
                <w:sz w:val="20"/>
                <w:szCs w:val="20"/>
              </w:rPr>
            </w:pPr>
          </w:p>
          <w:p w14:paraId="559E2084" w14:textId="77777777" w:rsidR="006D4AF3" w:rsidRPr="004868E4" w:rsidRDefault="006D4AF3" w:rsidP="006D4AF3">
            <w:pPr>
              <w:pStyle w:val="Neotevilenodstavek"/>
              <w:spacing w:before="0" w:after="0" w:line="240" w:lineRule="auto"/>
              <w:rPr>
                <w:rFonts w:eastAsia="Arial"/>
                <w:color w:val="000000" w:themeColor="text1"/>
                <w:sz w:val="20"/>
                <w:szCs w:val="20"/>
              </w:rPr>
            </w:pPr>
            <w:r w:rsidRPr="004868E4">
              <w:rPr>
                <w:rFonts w:eastAsia="Arial"/>
                <w:color w:val="000000" w:themeColor="text1"/>
                <w:sz w:val="20"/>
                <w:szCs w:val="20"/>
              </w:rPr>
              <w:t>Dokumenti iz tega odstavka, predloženi za dokazovanje neobstoja omejitve ustanavljanja družb, podjetnikov ali pridobitve statusa družbenika, ne smejo biti starejši od 60 dni. Omejitev iz 3. točke prvega odstavka tega člena se preverja v skladu s šestnajstim odstavkom tega člena.</w:t>
            </w:r>
          </w:p>
          <w:p w14:paraId="2E523F8C"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(15) Če država stalnega prebivališča ali sedeža osebe iz prejšnjega odstavka ne vodi evidenc, ki omogočajo vzajemne izmenjave podatkov z Republiko Slovenijo, ali ne izdaja izpisov iz ustreznega registra ali enakovrednih dokumentov iz prve alineje prejšnjega odstavka ali potrdil iz druge alineje prejšnjega odstavka, oseba iz trinajstega odstavka tega člena predloži izjavo, da:</w:t>
            </w:r>
          </w:p>
          <w:p w14:paraId="245C9E4D"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država stalnega prebivališča ali sedeža osebe iz trinajstega odstavka tega člena ne vodi evidenc,</w:t>
            </w:r>
          </w:p>
          <w:p w14:paraId="1031AB8B"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država stalnega prebivališča ali sedeža osebe iz trinajstega odstavka tega člena ne izdaja izpisov iz ustreznega registra ali enakovrednih dokumentov iz prve alineje prejšnjega odstavka ali potrdil iz druge alineje prejšnjega odstavka,</w:t>
            </w:r>
          </w:p>
          <w:p w14:paraId="5C8EB67B"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ne obstajajo razlogi za omejitev ustanovitve družbe, podjetnika ali pridobitve statusa družbenika v zvezi s 1., 2. oziroma 4. točko prvega odstavka tega člena.</w:t>
            </w:r>
          </w:p>
          <w:p w14:paraId="69FB755B"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(16) Omejitev iz 2., 3., in 5. točke prvega odstavka, omejitev iz petega odstavka in izpolnjevanje pogojev iz četrtega, šestega in sedmega odstavka tega člena se samodejno preverja v informacijskem sistemu za podporo poslovnim subjektom pred oddajo vloge za vpis v sodni register ali Poslovni register Slovenije z neposredno elektronsko izmenjavo podatkov med:</w:t>
            </w:r>
          </w:p>
          <w:p w14:paraId="6ED21ABE"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Poslovnim registrom Slovenije, Finančno upravo Republike Slovenije in informacijskim sistemom za podporo poslovnim subjektom v primeru omejitev iz 2., 3., in 5. točke prvega odstavka tega člena ter glede izpolnjevanja pogojev iz druge, tretje in četrte alineje sedmega odstavka tega člena,</w:t>
            </w:r>
          </w:p>
          <w:p w14:paraId="0D58E071"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Agencijo Republike Slovenije za javnopravne evidence in storitve ter informacijskim sistemom za podporo poslovnim subjektom v primeru preverjanja izpolnjevanja pogojev iz prve alineje sedmega odstavka tega člena in</w:t>
            </w:r>
          </w:p>
          <w:p w14:paraId="25A6F471" w14:textId="77777777" w:rsidR="006D4AF3" w:rsidRPr="004868E4" w:rsidRDefault="006D4AF3" w:rsidP="006D4AF3">
            <w:pPr>
              <w:pStyle w:val="Neotevilenodstavek"/>
              <w:numPr>
                <w:ilvl w:val="0"/>
                <w:numId w:val="107"/>
              </w:numPr>
              <w:spacing w:before="0" w:after="0" w:line="240" w:lineRule="auto"/>
              <w:rPr>
                <w:rFonts w:eastAsia="Arial"/>
                <w:color w:val="000000" w:themeColor="text1"/>
                <w:sz w:val="20"/>
                <w:szCs w:val="20"/>
              </w:rPr>
            </w:pPr>
            <w:r w:rsidRPr="004868E4">
              <w:rPr>
                <w:rFonts w:eastAsia="Arial"/>
                <w:color w:val="000000" w:themeColor="text1"/>
                <w:sz w:val="20"/>
                <w:szCs w:val="20"/>
              </w:rPr>
              <w:t>Zavodom za zdravstveno zavarovanje Slovenije in informacijskim sistemom za podporo poslovnim subjektom v primeru preverjanja izpolnjevanja pogojev iz pete alineje sedmega odstavka tega člena.</w:t>
            </w:r>
          </w:p>
          <w:p w14:paraId="10FC5F08"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lastRenderedPageBreak/>
              <w:t>(17) Če so podani razlogi za omejitev iz 2. in 3. točke prvega odstavka in omejitev iz petega odstavka ter niso izpolnjeni pogoji iz četrtega, šestega in sedmega odstavka tega člena, točka za podporo poslovnim subjektom, notar ali informacijski sistem za podporo poslovnim subjektom stranko obvesti o obstoju in vrsti omejitve. Obvestilo o obstoju in vrsti omejitve se predloži vlogi za vpis v sodni register ali Poslovni register Slovenije. Stranka lahko vlogi za vpis v sodni register ali Poslovni register Slovenije predloži potrdilo iz devetega odstavka tega člena.</w:t>
            </w:r>
          </w:p>
          <w:p w14:paraId="3CD6706D"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09A3DA1F"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(18) Centralna depotna družba in Agencija Republike Slovenije za javnopravne evidence in storitve si za izvajanje 2. in 3. točke prvega odstavka tega člena dnevno izmenjujeta podatke Poslovnega registra Slovenije in centralnega registra nematerializiranih vrednostnih papirjev.</w:t>
            </w:r>
          </w:p>
          <w:p w14:paraId="6DF3868A" w14:textId="77777777" w:rsidR="006D4AF3" w:rsidRDefault="006D4AF3" w:rsidP="006D4AF3">
            <w:pPr>
              <w:pStyle w:val="Neotevilenodstavek"/>
              <w:pBdr>
                <w:top w:val="none" w:sz="0" w:space="12" w:color="auto"/>
              </w:pBdr>
              <w:spacing w:before="0" w:after="0" w:line="240" w:lineRule="auto"/>
              <w:rPr>
                <w:color w:val="000000" w:themeColor="text1"/>
                <w:sz w:val="20"/>
                <w:szCs w:val="20"/>
              </w:rPr>
            </w:pPr>
          </w:p>
          <w:p w14:paraId="327D4D93"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(19) Za namene tega člena se šteje, da ima družba odprt transakcijski račun, če je vpisan v Poslovni register Slovenije.</w:t>
            </w:r>
          </w:p>
          <w:p w14:paraId="0C15DA8B" w14:textId="77777777" w:rsidR="006D4AF3" w:rsidRPr="004868E4" w:rsidRDefault="006D4AF3" w:rsidP="006D4AF3">
            <w:pPr>
              <w:pStyle w:val="Neotevilenodstavek"/>
              <w:pBdr>
                <w:top w:val="none" w:sz="0" w:space="12" w:color="auto"/>
              </w:pBdr>
              <w:spacing w:before="0" w:after="0" w:line="240" w:lineRule="auto"/>
              <w:rPr>
                <w:color w:val="000000" w:themeColor="text1"/>
                <w:sz w:val="20"/>
                <w:szCs w:val="20"/>
              </w:rPr>
            </w:pPr>
          </w:p>
          <w:p w14:paraId="3D6DCDAE" w14:textId="77777777" w:rsidR="006D4AF3" w:rsidRPr="004868E4" w:rsidRDefault="006D4AF3" w:rsidP="006D4AF3">
            <w:pPr>
              <w:pStyle w:val="Neotevilenodstavek"/>
              <w:pBdr>
                <w:top w:val="none" w:sz="0" w:space="12" w:color="auto"/>
              </w:pBdr>
              <w:spacing w:before="0" w:after="0" w:line="240" w:lineRule="auto"/>
              <w:rPr>
                <w:rFonts w:eastAsia="Arial"/>
                <w:color w:val="000000" w:themeColor="text1"/>
                <w:sz w:val="20"/>
                <w:szCs w:val="20"/>
              </w:rPr>
            </w:pPr>
            <w:r w:rsidRPr="004868E4">
              <w:rPr>
                <w:rFonts w:eastAsia="Arial"/>
                <w:color w:val="000000" w:themeColor="text1"/>
                <w:sz w:val="20"/>
                <w:szCs w:val="20"/>
              </w:rPr>
              <w:t>(20) Za namene tega člena se šteje, da so vse družbe, ki nimajo vpisane velikosti v Poslovnem registru Slovenije, mikro družbe.</w:t>
            </w:r>
          </w:p>
          <w:p w14:paraId="3878551E" w14:textId="77777777" w:rsidR="006D4AF3" w:rsidRDefault="006D4AF3" w:rsidP="006D4AF3">
            <w:pPr>
              <w:pStyle w:val="Neotevilenodstavek"/>
              <w:spacing w:before="0" w:after="0" w:line="240" w:lineRule="auto"/>
              <w:jc w:val="center"/>
              <w:rPr>
                <w:b/>
                <w:bCs/>
                <w:color w:val="000000" w:themeColor="text1"/>
                <w:sz w:val="20"/>
                <w:szCs w:val="20"/>
              </w:rPr>
            </w:pPr>
          </w:p>
          <w:p w14:paraId="7B662F9E"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53. člen</w:t>
            </w:r>
          </w:p>
          <w:p w14:paraId="1A3DCACB"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(uporaba določb in pomen pojmov)</w:t>
            </w:r>
          </w:p>
          <w:p w14:paraId="4F99941A" w14:textId="77777777" w:rsidR="006D4AF3" w:rsidRPr="00605612" w:rsidRDefault="006D4AF3" w:rsidP="006D4AF3">
            <w:pPr>
              <w:pStyle w:val="Neotevilenodstavek"/>
              <w:spacing w:before="0" w:after="0" w:line="240" w:lineRule="auto"/>
              <w:rPr>
                <w:color w:val="000000" w:themeColor="text1"/>
                <w:sz w:val="20"/>
                <w:szCs w:val="20"/>
              </w:rPr>
            </w:pPr>
          </w:p>
          <w:p w14:paraId="51D398C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Določbe tega poglavja v celoti veljajo za:</w:t>
            </w:r>
          </w:p>
          <w:p w14:paraId="3D995413" w14:textId="77777777" w:rsidR="006D4AF3" w:rsidRPr="00605612" w:rsidRDefault="006D4AF3" w:rsidP="006D4AF3">
            <w:pPr>
              <w:pStyle w:val="Neotevilenodstavek"/>
              <w:numPr>
                <w:ilvl w:val="0"/>
                <w:numId w:val="49"/>
              </w:numPr>
              <w:spacing w:before="0" w:after="0" w:line="240" w:lineRule="auto"/>
              <w:rPr>
                <w:color w:val="000000" w:themeColor="text1"/>
                <w:sz w:val="20"/>
                <w:szCs w:val="20"/>
              </w:rPr>
            </w:pPr>
            <w:r w:rsidRPr="00605612">
              <w:rPr>
                <w:color w:val="000000" w:themeColor="text1"/>
                <w:sz w:val="20"/>
                <w:szCs w:val="20"/>
              </w:rPr>
              <w:t>kapitalske družbe;</w:t>
            </w:r>
          </w:p>
          <w:p w14:paraId="3E3B3CD0" w14:textId="77777777" w:rsidR="006D4AF3" w:rsidRPr="00605612" w:rsidRDefault="006D4AF3" w:rsidP="006D4AF3">
            <w:pPr>
              <w:pStyle w:val="Neotevilenodstavek"/>
              <w:numPr>
                <w:ilvl w:val="0"/>
                <w:numId w:val="49"/>
              </w:numPr>
              <w:spacing w:before="0" w:after="0" w:line="240" w:lineRule="auto"/>
              <w:rPr>
                <w:color w:val="000000" w:themeColor="text1"/>
                <w:sz w:val="20"/>
                <w:szCs w:val="20"/>
              </w:rPr>
            </w:pPr>
            <w:r w:rsidRPr="00605612">
              <w:rPr>
                <w:color w:val="000000" w:themeColor="text1"/>
                <w:sz w:val="20"/>
                <w:szCs w:val="20"/>
              </w:rPr>
              <w:t>tiste osebne družbe, pri katerih za njihove obveznosti ni neomejeno odgovorna nobena fizična oseba.</w:t>
            </w:r>
          </w:p>
          <w:p w14:paraId="0198BE39" w14:textId="77777777" w:rsidR="006D4AF3" w:rsidRPr="00605612" w:rsidRDefault="006D4AF3" w:rsidP="006D4AF3">
            <w:pPr>
              <w:pStyle w:val="Neotevilenodstavek"/>
              <w:spacing w:before="0" w:after="0" w:line="240" w:lineRule="auto"/>
              <w:rPr>
                <w:color w:val="000000" w:themeColor="text1"/>
                <w:sz w:val="20"/>
                <w:szCs w:val="20"/>
              </w:rPr>
            </w:pPr>
          </w:p>
          <w:p w14:paraId="5BC64F3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Za podjetnika, katerega podjetje ustreza merilom za srednje ali velike družbe, veljajo določbe tega poglavje, razen 57. člena tega zakona.</w:t>
            </w:r>
          </w:p>
          <w:p w14:paraId="61D91DBC" w14:textId="77777777" w:rsidR="006D4AF3" w:rsidRPr="00605612" w:rsidRDefault="006D4AF3" w:rsidP="006D4AF3">
            <w:pPr>
              <w:pStyle w:val="Neotevilenodstavek"/>
              <w:spacing w:before="0" w:after="0" w:line="240" w:lineRule="auto"/>
              <w:rPr>
                <w:color w:val="000000" w:themeColor="text1"/>
                <w:sz w:val="20"/>
                <w:szCs w:val="20"/>
              </w:rPr>
            </w:pPr>
          </w:p>
          <w:p w14:paraId="6156A22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Za druge osebne družbe, ki niso osebne družbe iz prvega odstavka tega člena, in za podjetnika, katerega podjetje ustreza merilom za majhne družbe, veljajo samo določbe 54., 58. do 60. člena ter 65. do 67. člena tega zakona. Pri uporabi navedenih določb morajo členitev in oznake postavk lastnega kapitala prilagoditi svojim razmeram in lahko upoštevajo vse poenostavitve, ki veljajo za majhne družbe.</w:t>
            </w:r>
          </w:p>
          <w:p w14:paraId="53982289" w14:textId="77777777" w:rsidR="006D4AF3" w:rsidRPr="00605612" w:rsidRDefault="006D4AF3" w:rsidP="006D4AF3">
            <w:pPr>
              <w:pStyle w:val="Neotevilenodstavek"/>
              <w:spacing w:before="0" w:after="0" w:line="240" w:lineRule="auto"/>
              <w:rPr>
                <w:color w:val="000000" w:themeColor="text1"/>
                <w:sz w:val="20"/>
                <w:szCs w:val="20"/>
              </w:rPr>
            </w:pPr>
          </w:p>
          <w:p w14:paraId="0E71D69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Posamezni izrazi v tem poglavju pomenijo:</w:t>
            </w:r>
          </w:p>
          <w:p w14:paraId="4041F2C9"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družbenik je družbenik osebne družbe ali družbe z omejeno odgovornostjo ali delničar;</w:t>
            </w:r>
          </w:p>
          <w:p w14:paraId="3D0BEEFF"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delež je poslovni delež v družbi z omejeno odgovornostjo ali delnica v delniški družbi;</w:t>
            </w:r>
          </w:p>
          <w:p w14:paraId="0DDC8EA5"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statut je družbena pogodba osebne družbe ali družbena pogodba družbe z omejeno odgovornostjo ali akt o ustanovitvi družbe z omejeno odgovornostjo, če ustanovi to družbo ena sama oseba ali statut delniške družbe;</w:t>
            </w:r>
          </w:p>
          <w:p w14:paraId="615919E5"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bilančni presečni dan je dan, po stanju na katerega se izdela bilanca stanja; bilančni presečni dan letne bilance stanja je zadnji dan poslovnega leta;</w:t>
            </w:r>
          </w:p>
          <w:p w14:paraId="32434ABF"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slovenski računovodski standardi so računovodski standardi, ki jih sprejme Slovenski inštitut za revizijo v skladu s tem zakonom, in</w:t>
            </w:r>
          </w:p>
          <w:p w14:paraId="5A975215"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mednarodni standardi računovodskega poročanja so standardi, ki so kot mednarodni računovodski standardi določeni z Uredbo 1606/2002/ES in Uredbo 1126/2008/ES.</w:t>
            </w:r>
          </w:p>
          <w:p w14:paraId="7A34E184" w14:textId="77777777" w:rsidR="006D4AF3" w:rsidRPr="00605612" w:rsidRDefault="006D4AF3" w:rsidP="006D4AF3">
            <w:pPr>
              <w:pStyle w:val="Neotevilenodstavek"/>
              <w:spacing w:before="0" w:after="0" w:line="240" w:lineRule="auto"/>
              <w:rPr>
                <w:color w:val="000000" w:themeColor="text1"/>
                <w:sz w:val="20"/>
                <w:szCs w:val="20"/>
              </w:rPr>
            </w:pPr>
          </w:p>
          <w:p w14:paraId="59BC88C0"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55. člen</w:t>
            </w:r>
          </w:p>
          <w:p w14:paraId="30D71B12"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(mikro, majhne, srednje in velike družbe)</w:t>
            </w:r>
          </w:p>
          <w:p w14:paraId="47365BE7" w14:textId="77777777" w:rsidR="006D4AF3" w:rsidRPr="00605612" w:rsidRDefault="006D4AF3" w:rsidP="006D4AF3">
            <w:pPr>
              <w:pStyle w:val="Neotevilenodstavek"/>
              <w:spacing w:before="0" w:after="0" w:line="240" w:lineRule="auto"/>
              <w:rPr>
                <w:color w:val="000000" w:themeColor="text1"/>
                <w:sz w:val="20"/>
                <w:szCs w:val="20"/>
              </w:rPr>
            </w:pPr>
          </w:p>
          <w:p w14:paraId="0B70890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Družbe se pri uporabi tega zakona razvrščajo na mikro, majhne, srednje in velike družbe z uporabo navedenih meril na bilančni presečni dan letne bilance stanja:</w:t>
            </w:r>
          </w:p>
          <w:p w14:paraId="7744CE44"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povprečno število delavcev v poslovnem letu,</w:t>
            </w:r>
          </w:p>
          <w:p w14:paraId="25A9FDEA"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čisti prihodki od prodaje, in</w:t>
            </w:r>
          </w:p>
          <w:p w14:paraId="057ED38D"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vrednost aktive.</w:t>
            </w:r>
          </w:p>
          <w:p w14:paraId="6D867E05" w14:textId="77777777" w:rsidR="006D4AF3" w:rsidRPr="00605612" w:rsidRDefault="006D4AF3" w:rsidP="006D4AF3">
            <w:pPr>
              <w:pStyle w:val="Neotevilenodstavek"/>
              <w:spacing w:before="0" w:after="0" w:line="240" w:lineRule="auto"/>
              <w:rPr>
                <w:color w:val="000000" w:themeColor="text1"/>
                <w:sz w:val="20"/>
                <w:szCs w:val="20"/>
              </w:rPr>
            </w:pPr>
          </w:p>
          <w:p w14:paraId="5B9D6FB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Mikro družba je družba, ki izpolnjuje dve od teh meril:</w:t>
            </w:r>
          </w:p>
          <w:p w14:paraId="41D2A61A"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deset,</w:t>
            </w:r>
          </w:p>
          <w:p w14:paraId="493B1441"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čisti prihodki od prodaje ne presegajo 700.000 eurov, in</w:t>
            </w:r>
          </w:p>
          <w:p w14:paraId="7A84CF29"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lastRenderedPageBreak/>
              <w:t>vrednost aktive ne presega 350.000 eurov.</w:t>
            </w:r>
          </w:p>
          <w:p w14:paraId="540C5805" w14:textId="77777777" w:rsidR="006D4AF3" w:rsidRPr="00605612" w:rsidRDefault="006D4AF3" w:rsidP="006D4AF3">
            <w:pPr>
              <w:pStyle w:val="Neotevilenodstavek"/>
              <w:spacing w:before="0" w:after="0" w:line="240" w:lineRule="auto"/>
              <w:rPr>
                <w:color w:val="000000" w:themeColor="text1"/>
                <w:sz w:val="20"/>
                <w:szCs w:val="20"/>
              </w:rPr>
            </w:pPr>
          </w:p>
          <w:p w14:paraId="7899A908"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Majhna družba je družba, ki ni mikro družba po prejšnjem odstavku, in ki izpolnjuje dve od teh meril:</w:t>
            </w:r>
          </w:p>
          <w:p w14:paraId="39F6835B"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50,</w:t>
            </w:r>
          </w:p>
          <w:p w14:paraId="4119FFD1"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čisti prihodki od prodaje ne presegajo 8.000.000 eurov, in</w:t>
            </w:r>
          </w:p>
          <w:p w14:paraId="1D77D2E3"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vrednost aktive ne presega 4.000.000 eurov.</w:t>
            </w:r>
          </w:p>
          <w:p w14:paraId="18E21FC4" w14:textId="77777777" w:rsidR="006D4AF3" w:rsidRPr="00605612" w:rsidRDefault="006D4AF3" w:rsidP="006D4AF3">
            <w:pPr>
              <w:pStyle w:val="Neotevilenodstavek"/>
              <w:spacing w:before="0" w:after="0" w:line="240" w:lineRule="auto"/>
              <w:rPr>
                <w:color w:val="000000" w:themeColor="text1"/>
                <w:sz w:val="20"/>
                <w:szCs w:val="20"/>
              </w:rPr>
            </w:pPr>
          </w:p>
          <w:p w14:paraId="35E958C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Srednja družba je družba, ki ni mikro družba po drugem odstavku tega člena ali majhna družba po prejšnjem odstavku, in ki izpolnjuje dve od teh meril:</w:t>
            </w:r>
          </w:p>
          <w:p w14:paraId="53FEA094"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povprečno število delavcev v poslovnem letu ne presega 250,</w:t>
            </w:r>
          </w:p>
          <w:p w14:paraId="6A633E02"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čisti prihodki od prodaje ne presegajo 40.000.000 eurov, in</w:t>
            </w:r>
          </w:p>
          <w:p w14:paraId="7C4EB04F"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vrednost aktive ne presega 20.000.000 eurov.</w:t>
            </w:r>
          </w:p>
          <w:p w14:paraId="71CEC1E1" w14:textId="77777777" w:rsidR="006D4AF3" w:rsidRPr="00605612" w:rsidRDefault="006D4AF3" w:rsidP="006D4AF3">
            <w:pPr>
              <w:pStyle w:val="Neotevilenodstavek"/>
              <w:spacing w:before="0" w:after="0" w:line="240" w:lineRule="auto"/>
              <w:rPr>
                <w:color w:val="000000" w:themeColor="text1"/>
                <w:sz w:val="20"/>
                <w:szCs w:val="20"/>
              </w:rPr>
            </w:pPr>
          </w:p>
          <w:p w14:paraId="23F0C64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Velika družba je družba, ki ni mikro družba po drugem odstavku tega člena ali majhna družba po tretjem odstavku tega člena ali srednja družba po prejšnjem odstavku.</w:t>
            </w:r>
          </w:p>
          <w:p w14:paraId="66F28CA5" w14:textId="77777777" w:rsidR="006D4AF3" w:rsidRPr="00605612" w:rsidRDefault="006D4AF3" w:rsidP="006D4AF3">
            <w:pPr>
              <w:pStyle w:val="Neotevilenodstavek"/>
              <w:spacing w:before="0" w:after="0" w:line="240" w:lineRule="auto"/>
              <w:rPr>
                <w:color w:val="000000" w:themeColor="text1"/>
                <w:sz w:val="20"/>
                <w:szCs w:val="20"/>
              </w:rPr>
            </w:pPr>
          </w:p>
          <w:p w14:paraId="020A786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Družbe se v skladu z merili iz prvega, drugega, tretjega, četrtega in petega odstavka prerazvrščajo na mikro, majhne, srednje in velike družbe, če na podlagi podatkov zadnjih dveh zaporednih poslovnih let na bilančni presečni dan bilance stanja obakrat presežejo ali nehajo presegati merila iz prvega, drugega, tretjega, četrtega ali petega odstavka tega člena.</w:t>
            </w:r>
          </w:p>
          <w:p w14:paraId="66B9AE74" w14:textId="77777777" w:rsidR="006D4AF3" w:rsidRPr="00605612" w:rsidRDefault="006D4AF3" w:rsidP="006D4AF3">
            <w:pPr>
              <w:pStyle w:val="Neotevilenodstavek"/>
              <w:spacing w:before="0" w:after="0" w:line="240" w:lineRule="auto"/>
              <w:rPr>
                <w:color w:val="000000" w:themeColor="text1"/>
                <w:sz w:val="20"/>
                <w:szCs w:val="20"/>
              </w:rPr>
            </w:pPr>
          </w:p>
          <w:p w14:paraId="7C668A5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Določbe tega zakona in drugih predpisov, ki se nanašajo na majhne družbe, se uporabljajo tudi za mikro družbe, razen če ta zakon in drugi predpisi ne določajo drugače. Določbe tretjega, četrtega, petega in šestega odstavka o velikosti družb in njihovem prerazvrščanju veljajo tudi za skupine.</w:t>
            </w:r>
          </w:p>
          <w:p w14:paraId="04D5C8D5" w14:textId="77777777" w:rsidR="006D4AF3" w:rsidRPr="00605612" w:rsidRDefault="006D4AF3" w:rsidP="006D4AF3">
            <w:pPr>
              <w:pStyle w:val="Neotevilenodstavek"/>
              <w:spacing w:before="0" w:after="0" w:line="240" w:lineRule="auto"/>
              <w:rPr>
                <w:color w:val="000000" w:themeColor="text1"/>
                <w:sz w:val="20"/>
                <w:szCs w:val="20"/>
              </w:rPr>
            </w:pPr>
          </w:p>
          <w:p w14:paraId="188640D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(8) V vsakem primeru je za namene tega poglavja velika družba:</w:t>
            </w:r>
          </w:p>
          <w:p w14:paraId="71731B93"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p>
          <w:p w14:paraId="67F5C691"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p>
          <w:p w14:paraId="5ACFA5BB"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borza vrednostnih papirjev,</w:t>
            </w:r>
          </w:p>
          <w:p w14:paraId="6B15D6D7" w14:textId="77777777" w:rsidR="006D4AF3" w:rsidRPr="00605612" w:rsidRDefault="006D4AF3" w:rsidP="006D4AF3">
            <w:pPr>
              <w:pStyle w:val="Neotevilenodstavek"/>
              <w:numPr>
                <w:ilvl w:val="0"/>
                <w:numId w:val="48"/>
              </w:numPr>
              <w:spacing w:before="0" w:after="0" w:line="240" w:lineRule="auto"/>
              <w:rPr>
                <w:color w:val="000000" w:themeColor="text1"/>
                <w:sz w:val="20"/>
                <w:szCs w:val="20"/>
              </w:rPr>
            </w:pPr>
            <w:r w:rsidRPr="00605612">
              <w:rPr>
                <w:color w:val="000000" w:themeColor="text1"/>
                <w:sz w:val="20"/>
                <w:szCs w:val="20"/>
              </w:rPr>
              <w:t>družba, ki mora po 56. členu tega zakona pripraviti konsolidirano letno poročilo.</w:t>
            </w:r>
          </w:p>
          <w:p w14:paraId="3FDFE320" w14:textId="77777777" w:rsidR="006D4AF3" w:rsidRPr="00605612" w:rsidRDefault="006D4AF3" w:rsidP="006D4AF3">
            <w:pPr>
              <w:pStyle w:val="Neotevilenodstavek"/>
              <w:spacing w:before="0" w:after="0" w:line="240" w:lineRule="auto"/>
              <w:rPr>
                <w:color w:val="000000" w:themeColor="text1"/>
                <w:sz w:val="20"/>
                <w:szCs w:val="20"/>
              </w:rPr>
            </w:pPr>
          </w:p>
          <w:p w14:paraId="0B19278F"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56. člen</w:t>
            </w:r>
          </w:p>
          <w:p w14:paraId="5F0F3FC3"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(konsolidirano letno poročilo)</w:t>
            </w:r>
          </w:p>
          <w:p w14:paraId="670DF920" w14:textId="77777777" w:rsidR="006D4AF3" w:rsidRPr="00605612" w:rsidRDefault="006D4AF3" w:rsidP="006D4AF3">
            <w:pPr>
              <w:pStyle w:val="Neotevilenodstavek"/>
              <w:spacing w:before="0" w:after="0" w:line="240" w:lineRule="auto"/>
              <w:rPr>
                <w:color w:val="000000" w:themeColor="text1"/>
                <w:sz w:val="20"/>
                <w:szCs w:val="20"/>
              </w:rPr>
            </w:pPr>
          </w:p>
          <w:p w14:paraId="1E1B1FF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Družba s sedežem v Republiki Sloveniji, ki je obvladujoča eni ali več družbam s sedežem v Republiki Sloveniji ali zunaj nje (odvisne družbe), mora pripraviti tudi konsolidirano letno poročilo, če je obvladujoča družba ali ena od odvisnih družb organizirana kot kapitalska družba, kot dvojna družba ali kot druga istovrstna pravnoorganizacijska oblika po pravu države sedeža družbe.</w:t>
            </w:r>
          </w:p>
          <w:p w14:paraId="11A4EF77" w14:textId="77777777" w:rsidR="006D4AF3" w:rsidRPr="00605612" w:rsidRDefault="006D4AF3" w:rsidP="006D4AF3">
            <w:pPr>
              <w:pStyle w:val="Neotevilenodstavek"/>
              <w:spacing w:before="0" w:after="0" w:line="240" w:lineRule="auto"/>
              <w:rPr>
                <w:color w:val="000000" w:themeColor="text1"/>
                <w:sz w:val="20"/>
                <w:szCs w:val="20"/>
              </w:rPr>
            </w:pPr>
          </w:p>
          <w:p w14:paraId="7F83615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Družba je za namene iz tega poglavja obvladujoča v drugi družbi, če je izpolnjen eden od pogojev:</w:t>
            </w:r>
          </w:p>
          <w:p w14:paraId="6E3996B9" w14:textId="77777777" w:rsidR="006D4AF3" w:rsidRPr="00605612" w:rsidRDefault="006D4AF3" w:rsidP="006D4AF3">
            <w:pPr>
              <w:pStyle w:val="Neotevilenodstavek"/>
              <w:numPr>
                <w:ilvl w:val="0"/>
                <w:numId w:val="50"/>
              </w:numPr>
              <w:spacing w:before="0" w:after="0" w:line="240" w:lineRule="auto"/>
              <w:rPr>
                <w:color w:val="000000" w:themeColor="text1"/>
                <w:sz w:val="20"/>
                <w:szCs w:val="20"/>
              </w:rPr>
            </w:pPr>
            <w:r w:rsidRPr="00605612">
              <w:rPr>
                <w:color w:val="000000" w:themeColor="text1"/>
                <w:sz w:val="20"/>
                <w:szCs w:val="20"/>
              </w:rPr>
              <w:t>če ima večino glasovalnih pravic v drugi družbi;</w:t>
            </w:r>
          </w:p>
          <w:p w14:paraId="325834DD" w14:textId="77777777" w:rsidR="006D4AF3" w:rsidRPr="00605612" w:rsidRDefault="006D4AF3" w:rsidP="006D4AF3">
            <w:pPr>
              <w:pStyle w:val="Neotevilenodstavek"/>
              <w:numPr>
                <w:ilvl w:val="0"/>
                <w:numId w:val="50"/>
              </w:numPr>
              <w:spacing w:before="0" w:after="0" w:line="240" w:lineRule="auto"/>
              <w:rPr>
                <w:color w:val="000000" w:themeColor="text1"/>
                <w:sz w:val="20"/>
                <w:szCs w:val="20"/>
              </w:rPr>
            </w:pPr>
            <w:r w:rsidRPr="00605612">
              <w:rPr>
                <w:color w:val="000000" w:themeColor="text1"/>
                <w:sz w:val="20"/>
                <w:szCs w:val="20"/>
              </w:rPr>
              <w:t>če ima pravico imenovati ali odpoklicati večino članov poslovodstva ali nadzornega sveta druge družbe in je hkrati družbenik te družbe;</w:t>
            </w:r>
          </w:p>
          <w:p w14:paraId="7CF0CD49" w14:textId="77777777" w:rsidR="006D4AF3" w:rsidRPr="00605612" w:rsidRDefault="006D4AF3" w:rsidP="006D4AF3">
            <w:pPr>
              <w:pStyle w:val="Neotevilenodstavek"/>
              <w:numPr>
                <w:ilvl w:val="0"/>
                <w:numId w:val="50"/>
              </w:numPr>
              <w:spacing w:before="0" w:after="0" w:line="240" w:lineRule="auto"/>
              <w:rPr>
                <w:color w:val="000000" w:themeColor="text1"/>
                <w:sz w:val="20"/>
                <w:szCs w:val="20"/>
              </w:rPr>
            </w:pPr>
            <w:r w:rsidRPr="00605612">
              <w:rPr>
                <w:color w:val="000000" w:themeColor="text1"/>
                <w:sz w:val="20"/>
                <w:szCs w:val="20"/>
              </w:rPr>
              <w:t>če ima pravico do prevladujočega vpliva nad drugo družbo na podlagi podjetniške pogodbe ali drugega pravnega temelja;</w:t>
            </w:r>
          </w:p>
          <w:p w14:paraId="3D0062E7" w14:textId="77777777" w:rsidR="006D4AF3" w:rsidRPr="00605612" w:rsidRDefault="006D4AF3" w:rsidP="006D4AF3">
            <w:pPr>
              <w:pStyle w:val="Neotevilenodstavek"/>
              <w:numPr>
                <w:ilvl w:val="0"/>
                <w:numId w:val="50"/>
              </w:numPr>
              <w:spacing w:before="0" w:after="0" w:line="240" w:lineRule="auto"/>
              <w:rPr>
                <w:color w:val="000000" w:themeColor="text1"/>
                <w:sz w:val="20"/>
                <w:szCs w:val="20"/>
              </w:rPr>
            </w:pPr>
            <w:r w:rsidRPr="00605612">
              <w:rPr>
                <w:color w:val="000000" w:themeColor="text1"/>
                <w:sz w:val="20"/>
                <w:szCs w:val="20"/>
              </w:rPr>
              <w:t>če je družbenik v drugi družbi in če na podlagi pogodbe z drugimi družbeniki te družbe nadzoruje večino glasovalnih pravic v tej družbi ali</w:t>
            </w:r>
          </w:p>
          <w:p w14:paraId="52DF1BA6" w14:textId="77777777" w:rsidR="006D4AF3" w:rsidRPr="00605612" w:rsidRDefault="006D4AF3" w:rsidP="006D4AF3">
            <w:pPr>
              <w:pStyle w:val="Neotevilenodstavek"/>
              <w:numPr>
                <w:ilvl w:val="0"/>
                <w:numId w:val="50"/>
              </w:numPr>
              <w:spacing w:before="0" w:after="0" w:line="240" w:lineRule="auto"/>
              <w:rPr>
                <w:color w:val="000000" w:themeColor="text1"/>
                <w:sz w:val="20"/>
                <w:szCs w:val="20"/>
              </w:rPr>
            </w:pPr>
            <w:r w:rsidRPr="00605612">
              <w:rPr>
                <w:color w:val="000000" w:themeColor="text1"/>
                <w:sz w:val="20"/>
                <w:szCs w:val="20"/>
              </w:rPr>
              <w:t>če ima prevladujoči vpliv nad drugo družbo oziroma ga dejansko izvaja ali si podredi vodenje te družbe.</w:t>
            </w:r>
          </w:p>
          <w:p w14:paraId="54348014" w14:textId="77777777" w:rsidR="006D4AF3" w:rsidRPr="00605612" w:rsidRDefault="006D4AF3" w:rsidP="006D4AF3">
            <w:pPr>
              <w:pStyle w:val="Neotevilenodstavek"/>
              <w:spacing w:before="0" w:after="0" w:line="240" w:lineRule="auto"/>
              <w:rPr>
                <w:color w:val="000000" w:themeColor="text1"/>
                <w:sz w:val="20"/>
                <w:szCs w:val="20"/>
              </w:rPr>
            </w:pPr>
          </w:p>
          <w:p w14:paraId="7D2251C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 xml:space="preserve">(3) Pri uporabi 1., 2. in 4. točke prejšnjega odstavka se glasovalnim pravicam ali pravicam imenovanja in odpoklica, katerih imetnik je obvladujoča družba, prištejejo glasovalne pravice ali pravice imenovanja in odpoklica, katerih imetnik je druga družba, ki je odvisna obvladujoči družbi, in navedene </w:t>
            </w:r>
            <w:r w:rsidRPr="00605612">
              <w:rPr>
                <w:color w:val="000000" w:themeColor="text1"/>
                <w:sz w:val="20"/>
                <w:szCs w:val="20"/>
              </w:rPr>
              <w:lastRenderedPageBreak/>
              <w:t>pravice oseb, ki delujejo za račun obvladujoče družbe ali druge njej odvisne družbe. Pravice iz posedovanja delnic za račun osebe, ki ni obvladujoča družba ali njena odvisna družba, in pravice iz delnic, pridobljenih kot poroštvo, če so uresničene v skladu s prejetimi navodili ali pridobljene z odobritvijo posojil kot del običajne poslovne dejavnosti, se, če so glasovalne pravice uresničene v interesu osebe, ki je dala poroštvo, ne prištevajo pravicam iz prejšnjega stavka.</w:t>
            </w:r>
          </w:p>
          <w:p w14:paraId="28A77F28" w14:textId="77777777" w:rsidR="006D4AF3" w:rsidRPr="00605612" w:rsidRDefault="006D4AF3" w:rsidP="006D4AF3">
            <w:pPr>
              <w:pStyle w:val="Neotevilenodstavek"/>
              <w:spacing w:before="0" w:after="0" w:line="240" w:lineRule="auto"/>
              <w:rPr>
                <w:color w:val="000000" w:themeColor="text1"/>
                <w:sz w:val="20"/>
                <w:szCs w:val="20"/>
              </w:rPr>
            </w:pPr>
          </w:p>
          <w:p w14:paraId="3CC5E8C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Pri uporabi 1. in 4. točke drugega odstavka tega člena se od vseh glasovalnih pravic v odvisni družbi odštejejo glasovalne pravice iz deležev, ki jih ima ta družba, odvisna družba te družbe ali oseba, ki deluje v svojem imenu, vendar za račun teh družb.</w:t>
            </w:r>
          </w:p>
          <w:p w14:paraId="0F805D42" w14:textId="77777777" w:rsidR="006D4AF3" w:rsidRPr="00605612" w:rsidRDefault="006D4AF3" w:rsidP="006D4AF3">
            <w:pPr>
              <w:pStyle w:val="Neotevilenodstavek"/>
              <w:spacing w:before="0" w:after="0" w:line="240" w:lineRule="auto"/>
              <w:rPr>
                <w:color w:val="000000" w:themeColor="text1"/>
                <w:sz w:val="20"/>
                <w:szCs w:val="20"/>
              </w:rPr>
            </w:pPr>
          </w:p>
          <w:p w14:paraId="4A867894"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Obvladujoča družba, ki skupaj z odvisnimi družbami ne dosega pogojev za velike družbe iz petega odstavka 55. člena tega zakona, pri čemer se merili čistih prihodkov od prodaje in vrednosti aktive povečata za 20 %, ni dolžna izdelati konsolidiranega letnega poročila. To ne velja, če je obvladujoča družba ali katera od odvisnih družb subjekt javnega interesa. Konsolidiranega letnega poročila ni treba sestavljati obvladujoči družbi, ki ima le odvisne družbe, ki jih je mogoče izključiti iz konsolidacije na podlagi sedmega odstavka tega člena.</w:t>
            </w:r>
          </w:p>
          <w:p w14:paraId="23CCAA2C" w14:textId="77777777" w:rsidR="006D4AF3" w:rsidRPr="00605612" w:rsidRDefault="006D4AF3" w:rsidP="006D4AF3">
            <w:pPr>
              <w:pStyle w:val="Neotevilenodstavek"/>
              <w:spacing w:before="0" w:after="0" w:line="240" w:lineRule="auto"/>
              <w:rPr>
                <w:color w:val="000000" w:themeColor="text1"/>
                <w:sz w:val="20"/>
                <w:szCs w:val="20"/>
              </w:rPr>
            </w:pPr>
          </w:p>
          <w:p w14:paraId="7DA91CB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Obvladujoča družba, s katere vrednostnimi papirji se ne trguje na organiziranem trgu in je hkrati tudi odvisna družba družbe iz države članice, ni dolžna izdelati konsolidiranega letnega poročila (izvzeta družba), če je družba iz države članice imetnica vseh deležev v izvzeti družbi ali ima v lasti več kot 90 odstotkov deležev in preostali družbeniki soglašajo z izvzetjem. Izvzeta družba mora biti vključena v konsolidacijo obvladujoče družbe iz države članice. Izvzeta družba mora v roku enega meseca od objave konsolidiranega letnega poročila v državi članici v skladu s tem zakonom objaviti prevedeno letno konsolidirano poročilo in revizorjevo poročilo obvladujoče družbe. V prilogi k izkazom mora izvzeta družba navesti firmo in sedež družbe, ki pripravi konsolidirano letno poročilo in razlog za izvzetje iz priprave konsolidiranega letnega poročila. Ne glede na možnost izvzetja pa mora izvzeta družba zagotoviti podatke iz konsolidiranih letnih računovodskih izkazov ali konsolidiranih poslovnih poročil, če se ti zahtevajo za obveščanje zaposlenih ali njihovih predstavnikov ali če jih zahtevajo upravni ali sodni organi za svoje potrebe.</w:t>
            </w:r>
          </w:p>
          <w:p w14:paraId="5BC09F28" w14:textId="77777777" w:rsidR="006D4AF3" w:rsidRPr="00605612" w:rsidRDefault="006D4AF3" w:rsidP="006D4AF3">
            <w:pPr>
              <w:pStyle w:val="Neotevilenodstavek"/>
              <w:spacing w:before="0" w:after="0" w:line="240" w:lineRule="auto"/>
              <w:rPr>
                <w:color w:val="000000" w:themeColor="text1"/>
                <w:sz w:val="20"/>
                <w:szCs w:val="20"/>
              </w:rPr>
            </w:pPr>
          </w:p>
          <w:p w14:paraId="07A69E5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V konsolidacijo ni treba vključiti odvisne družbe, če to ni pomembno za resničen in pošten prikaz po osmem odstavku tega člena. Če več družb izpolnjuje merilo iz prvega stavka tega odstavka, jih je treba vključiti v konsolidacijo, če so vse skupaj pomembne za resničen in pošten prikaz po osmem odstavku tega člena. Družba mora v prilogi h konsolidiranim izkazom navesti družbe, ki jih zaradi razlogov iz prejšnjega stavka ni vključila v konsolidacijo, in pojasniti razloge za tako odločitev.</w:t>
            </w:r>
          </w:p>
          <w:p w14:paraId="1E165803" w14:textId="77777777" w:rsidR="006D4AF3" w:rsidRPr="00605612" w:rsidRDefault="006D4AF3" w:rsidP="006D4AF3">
            <w:pPr>
              <w:pStyle w:val="Neotevilenodstavek"/>
              <w:spacing w:before="0" w:after="0" w:line="240" w:lineRule="auto"/>
              <w:rPr>
                <w:color w:val="000000" w:themeColor="text1"/>
                <w:sz w:val="20"/>
                <w:szCs w:val="20"/>
              </w:rPr>
            </w:pPr>
          </w:p>
          <w:p w14:paraId="5A3B391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(8) Konsolidirano letno poročilo mora izkazovati resničen in pošten prikaz finančnega položaja, poslovnega izida, denarnih tokov in gibanja kapitala vseh družb, ki so vključene v konsolidacijo kot celote. Če se sestava družb, vključenih v konsolidacijo, med poslovnim letom bistveno spremeni, se v konsolidirano letno poročilo vključijo podatki, ki omogočijo primerjavo zaporednih letnih konsolidiranih poročil. Obveznost iz prejšnjega stavka se lahko izpolni s pripravo prilagojene bilance stanja in izkaza poslovnega izida. Za vsako družbo, vključeno v konsolidacijo, je treba v prilogi h konsolidiranim izkazom navesti, na podlagi katerih pogojev iz drugega odstavka tega člena je posamezna družba vključena v konsolidacijo.</w:t>
            </w:r>
          </w:p>
          <w:p w14:paraId="2D0A0491" w14:textId="77777777" w:rsidR="006D4AF3" w:rsidRPr="00605612" w:rsidRDefault="006D4AF3" w:rsidP="006D4AF3">
            <w:pPr>
              <w:pStyle w:val="Neotevilenodstavek"/>
              <w:spacing w:before="0" w:after="0" w:line="240" w:lineRule="auto"/>
              <w:rPr>
                <w:color w:val="000000" w:themeColor="text1"/>
                <w:sz w:val="20"/>
                <w:szCs w:val="20"/>
              </w:rPr>
            </w:pPr>
          </w:p>
          <w:p w14:paraId="745E070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(9) Konsolidirano letno poročilo se pripravi na isti presečni dan kot letno poročilo obvladujoče družbe. Družba pri pripravi konsolidiranih letnih računovodskih izkazov praviloma uporabi enake podlage za merjenje, kot se uporabljajo pri letnih računovodskih izkazih obvladujoče družbe. Pri uporabi drugih podlag za merjenje v skladu s tem zakonom mora družba v pojasnilih h konsolidiranim računovodskim izkazom navesti razloge za tako uporabo. Konsolidirano letno poročilo je sestavljeno iz konsolidiranega računovodskega poročila in konsolidiranega poslovnega poročila skupine družb, vključenih v konsolidacijo. Konsolidirano računovodsko poročilo je sestavljeno iz konsolidirane bilance stanja, konsolidiranega izkaza poslovnega izida in konsolidiranega izkaza drugega vseobsegajočega donosa, konsolidiranega izkaza denarnih tokov in konsolidiranega izkaza gibanja kapitala ter priloge h konsolidiranim računovodskim izkazom. Ti sestavni deli konsolidiranega računovodskega poročila sestavljajo celoto. Za obliko, vsebino, obveznost zagotavljanja sestave in objave ter sprejetje konsolidiranega letnega poročila se smiselno uporabljajo določbe tega zakona o letnem poročilu.</w:t>
            </w:r>
          </w:p>
          <w:p w14:paraId="56400436" w14:textId="77777777" w:rsidR="006D4AF3" w:rsidRPr="00605612" w:rsidRDefault="006D4AF3" w:rsidP="006D4AF3">
            <w:pPr>
              <w:pStyle w:val="Neotevilenodstavek"/>
              <w:spacing w:before="0" w:after="0" w:line="240" w:lineRule="auto"/>
              <w:rPr>
                <w:color w:val="000000" w:themeColor="text1"/>
                <w:sz w:val="20"/>
                <w:szCs w:val="20"/>
              </w:rPr>
            </w:pPr>
          </w:p>
          <w:p w14:paraId="70EE6AD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lastRenderedPageBreak/>
              <w:t>(10) V prilogi h konsolidiranim računovodskim izkazom se pri razkrivanju transakcij med povezanimi osebami izločijo transakcije med družbami, vključenimi v konsolidacijo. Pri razkrivanju zneskov nagrad, predujmov in posojil članom poslovodstva in nadzornega sveta se v prilogi h konsolidiranim računovodskim izkazom razkrijejo samo zneski, ki so jih od družb, vključenih v konsolidacijo, dobili člani poslovodstva in nadzornih svetov obvladujoče družbe. Pri sporočanju podatkov o pridobljenih lastnih deležih se v prilogi h konsolidiranim računovodskim izkazom prikažejo samo deleži obvladujoče družbe, ki jih imajo družbe, vključene v konsolidacijo, ali osebe, ki delujejo v svojem imenu, vendar za račun katere koli od teh družb.</w:t>
            </w:r>
          </w:p>
          <w:p w14:paraId="058601DE" w14:textId="77777777" w:rsidR="006D4AF3" w:rsidRPr="00605612" w:rsidRDefault="006D4AF3" w:rsidP="006D4AF3">
            <w:pPr>
              <w:pStyle w:val="Neotevilenodstavek"/>
              <w:spacing w:before="0" w:after="0" w:line="240" w:lineRule="auto"/>
              <w:rPr>
                <w:color w:val="000000" w:themeColor="text1"/>
                <w:sz w:val="20"/>
                <w:szCs w:val="20"/>
              </w:rPr>
            </w:pPr>
          </w:p>
          <w:p w14:paraId="01025F0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(11) V konsolidiranem poslovnem poročilu se v izjavi o upravljanju družbe pri razkrivanju sistema notranjih kontrol in upravljanja tveganj prikaže samo glavne značilnosti sistemov notranje kontrole in upravljanja tveganj na ravni skupine družb.</w:t>
            </w:r>
          </w:p>
          <w:p w14:paraId="5303ED3A" w14:textId="77777777" w:rsidR="006D4AF3" w:rsidRPr="00605612" w:rsidRDefault="006D4AF3" w:rsidP="006D4AF3">
            <w:pPr>
              <w:pStyle w:val="Neotevilenodstavek"/>
              <w:spacing w:before="0" w:after="0" w:line="240" w:lineRule="auto"/>
              <w:rPr>
                <w:color w:val="000000" w:themeColor="text1"/>
                <w:sz w:val="20"/>
                <w:szCs w:val="20"/>
              </w:rPr>
            </w:pPr>
          </w:p>
          <w:p w14:paraId="58B09C91"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(12) Konsolidirano poslovno poročilo subjekta javnega interesa, katerega povprečno število zaposlenih v poslovnem letu je na bilančni presečni dan na ravni skupine večje od 500, vsebuje tudi konsolidirano izjavo o nefinančnem poslovanju. Za sestavo izjave se smiselno uporabljajo določbe 70.c člena tega zakona.</w:t>
            </w:r>
          </w:p>
          <w:p w14:paraId="0A734B75" w14:textId="77777777" w:rsidR="006D4AF3" w:rsidRPr="00605612" w:rsidRDefault="006D4AF3" w:rsidP="006D4AF3">
            <w:pPr>
              <w:pStyle w:val="Neotevilenodstavek"/>
              <w:spacing w:before="0" w:after="0" w:line="240" w:lineRule="auto"/>
              <w:rPr>
                <w:color w:val="000000" w:themeColor="text1"/>
                <w:sz w:val="20"/>
                <w:szCs w:val="20"/>
              </w:rPr>
            </w:pPr>
          </w:p>
          <w:p w14:paraId="042286BF"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57. člen</w:t>
            </w:r>
          </w:p>
          <w:p w14:paraId="3B980C8D"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(revidiranje)</w:t>
            </w:r>
          </w:p>
          <w:p w14:paraId="53265BC8" w14:textId="77777777" w:rsidR="006D4AF3" w:rsidRPr="00605612" w:rsidRDefault="006D4AF3" w:rsidP="006D4AF3">
            <w:pPr>
              <w:pStyle w:val="Neotevilenodstavek"/>
              <w:spacing w:before="0" w:after="0" w:line="240" w:lineRule="auto"/>
              <w:rPr>
                <w:color w:val="000000" w:themeColor="text1"/>
                <w:sz w:val="20"/>
                <w:szCs w:val="20"/>
              </w:rPr>
            </w:pPr>
          </w:p>
          <w:p w14:paraId="019BEA5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Letna poročila velikih in srednjih kapitalskih družb ter dvojnih družb pregleda revizor na način in pod pogoji, določenimi z zakonom, ki ureja revidiranje. Revizor mora revidirati računovodsko poročilo ter pregledati poslovno poročilo v obsegu, potrebnem, da preveri, ali je njegova vsebina v skladu z drugimi sestavinami letnega poročila. Revizor preveri, ali poslovno poročilo vsebuje izjavo o upravljanju družbe in izjavo o nefinančnem poslovanju ter pregleda njuno formalno popolnost, vsebinsko pa se v mnenju omeji na pregled podatkov iz 3. in 4. točke petega odstavka 70. člena tega zakona. Vse to velja tudi za konsolidirana letna poročila.</w:t>
            </w:r>
          </w:p>
          <w:p w14:paraId="5579C78C" w14:textId="77777777" w:rsidR="006D4AF3" w:rsidRPr="00605612" w:rsidRDefault="006D4AF3" w:rsidP="006D4AF3">
            <w:pPr>
              <w:pStyle w:val="Neotevilenodstavek"/>
              <w:spacing w:before="0" w:after="0" w:line="240" w:lineRule="auto"/>
              <w:rPr>
                <w:color w:val="000000" w:themeColor="text1"/>
                <w:sz w:val="20"/>
                <w:szCs w:val="20"/>
              </w:rPr>
            </w:pPr>
          </w:p>
          <w:p w14:paraId="3BE92BB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Revizorjevo poročilo je v pisni obliki in mora vsebovati:</w:t>
            </w:r>
          </w:p>
          <w:p w14:paraId="7B3DDE78"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opredelitev družbe, katere letni ali konsolidirani računovodski izkazi so predmet zakonite revizije, navedbo letnih ali konsolidiranih računovodskih izkazov ter datuma in obdobja, ki ga zajemajo, ter opredelitev okvira računovodskega poročanja, uporabljenega pri njihovi pripravi;</w:t>
            </w:r>
          </w:p>
          <w:p w14:paraId="0F8C9224"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opis obsega revizije, v katerem se opredelijo vsaj revizijski standardi, v skladu s katerimi je bila izvedena revizija;</w:t>
            </w:r>
          </w:p>
          <w:p w14:paraId="1ECF1BF6"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revizijsko mnenje, ki je brez pridržkov, s pridržki ali odklonilno in v katerem je jasno navedeno mnenje revizorja o tem:</w:t>
            </w:r>
          </w:p>
          <w:p w14:paraId="0A707EA4" w14:textId="77777777" w:rsidR="006D4AF3" w:rsidRPr="00605612" w:rsidRDefault="006D4AF3" w:rsidP="006D4AF3">
            <w:pPr>
              <w:pStyle w:val="Neotevilenodstavek"/>
              <w:numPr>
                <w:ilvl w:val="0"/>
                <w:numId w:val="53"/>
              </w:numPr>
              <w:spacing w:before="0" w:after="0" w:line="240" w:lineRule="auto"/>
              <w:rPr>
                <w:color w:val="000000" w:themeColor="text1"/>
                <w:sz w:val="20"/>
                <w:szCs w:val="20"/>
              </w:rPr>
            </w:pPr>
            <w:r w:rsidRPr="00605612">
              <w:rPr>
                <w:color w:val="000000" w:themeColor="text1"/>
                <w:sz w:val="20"/>
                <w:szCs w:val="20"/>
              </w:rPr>
              <w:t>ali so letni računovodski izkazi resničen in pošten prikaz v skladu z ustreznim okvirom računovodskega poročanja ter;</w:t>
            </w:r>
          </w:p>
          <w:p w14:paraId="18B71DFE" w14:textId="77777777" w:rsidR="006D4AF3" w:rsidRPr="00605612" w:rsidRDefault="006D4AF3" w:rsidP="006D4AF3">
            <w:pPr>
              <w:pStyle w:val="Neotevilenodstavek"/>
              <w:numPr>
                <w:ilvl w:val="0"/>
                <w:numId w:val="53"/>
              </w:numPr>
              <w:spacing w:before="0" w:after="0" w:line="240" w:lineRule="auto"/>
              <w:rPr>
                <w:color w:val="000000" w:themeColor="text1"/>
                <w:sz w:val="20"/>
                <w:szCs w:val="20"/>
              </w:rPr>
            </w:pPr>
            <w:r w:rsidRPr="00605612">
              <w:rPr>
                <w:color w:val="000000" w:themeColor="text1"/>
                <w:sz w:val="20"/>
                <w:szCs w:val="20"/>
              </w:rPr>
              <w:t>kjer je to ustrezno, ali letni računovodski izkazi izpolnjujejo zakonske zahteve;</w:t>
            </w:r>
          </w:p>
          <w:p w14:paraId="44064688" w14:textId="77777777" w:rsidR="006D4AF3" w:rsidRPr="00605612" w:rsidRDefault="006D4AF3" w:rsidP="006D4AF3">
            <w:pPr>
              <w:pStyle w:val="Neotevilenodstavek"/>
              <w:numPr>
                <w:ilvl w:val="0"/>
                <w:numId w:val="53"/>
              </w:numPr>
              <w:spacing w:before="0" w:after="0" w:line="240" w:lineRule="auto"/>
              <w:rPr>
                <w:color w:val="000000" w:themeColor="text1"/>
                <w:sz w:val="20"/>
                <w:szCs w:val="20"/>
              </w:rPr>
            </w:pPr>
            <w:r w:rsidRPr="00605612">
              <w:rPr>
                <w:color w:val="000000" w:themeColor="text1"/>
                <w:sz w:val="20"/>
                <w:szCs w:val="20"/>
              </w:rPr>
              <w:t>če revizor ne more izraziti revizijskega mnenja, zavrnitev mnenja;</w:t>
            </w:r>
          </w:p>
          <w:p w14:paraId="3FCC9E28"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sklic na vse morebitne druge zadeve, na katere revizor posebej opozarja, ne da bi se revizijsko mnenje zato spremenilo;</w:t>
            </w:r>
          </w:p>
          <w:p w14:paraId="27DC3AB3"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mnenje o tem:</w:t>
            </w:r>
          </w:p>
          <w:p w14:paraId="46C4BA85"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ali je poslovno poročilo skladno z računovodskimi izkazi istega poslovnega leta in</w:t>
            </w:r>
          </w:p>
          <w:p w14:paraId="043463D3"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ali je bilo poslovno poročilo pripravljeno v skladu z veljavnimi pravnimi zahtevami;</w:t>
            </w:r>
          </w:p>
          <w:p w14:paraId="68E65185"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navedbo, ali je glede na poznavanje in razumevanje družbe in njenega okolja, ki ju je revizor pridobil med revizijo, ugotovil bistveno napačne navedbe v poslovnem poročilu, pri čemer navede naravo morebitnih takšnih navedb;</w:t>
            </w:r>
          </w:p>
          <w:p w14:paraId="66D23A2C"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izjavo o kakršni koli pomembni negotovosti, povezani z dogodki ali okoliščinami, ki bi lahko povzročile pomemben dvom o zmožnosti družbe, da bi nadaljevala poslovanje;</w:t>
            </w:r>
          </w:p>
          <w:p w14:paraId="2A0EA88A"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navedbo sedeža revizorja ali revizijske družbe;</w:t>
            </w:r>
          </w:p>
          <w:p w14:paraId="0F6487F5" w14:textId="77777777" w:rsidR="006D4AF3" w:rsidRPr="00605612" w:rsidRDefault="006D4AF3" w:rsidP="006D4AF3">
            <w:pPr>
              <w:pStyle w:val="Neotevilenodstavek"/>
              <w:numPr>
                <w:ilvl w:val="0"/>
                <w:numId w:val="51"/>
              </w:numPr>
              <w:spacing w:before="0" w:after="0" w:line="240" w:lineRule="auto"/>
              <w:ind w:left="360"/>
              <w:rPr>
                <w:color w:val="000000" w:themeColor="text1"/>
                <w:sz w:val="20"/>
                <w:szCs w:val="20"/>
              </w:rPr>
            </w:pPr>
            <w:r w:rsidRPr="00605612">
              <w:rPr>
                <w:color w:val="000000" w:themeColor="text1"/>
                <w:sz w:val="20"/>
                <w:szCs w:val="20"/>
              </w:rPr>
              <w:t>datum in revizorjev podpis.</w:t>
            </w:r>
          </w:p>
          <w:p w14:paraId="1EC082F8" w14:textId="77777777" w:rsidR="006D4AF3" w:rsidRPr="00605612" w:rsidRDefault="006D4AF3" w:rsidP="006D4AF3">
            <w:pPr>
              <w:pStyle w:val="Neotevilenodstavek"/>
              <w:spacing w:before="0" w:after="0" w:line="240" w:lineRule="auto"/>
              <w:rPr>
                <w:color w:val="000000" w:themeColor="text1"/>
                <w:sz w:val="20"/>
                <w:szCs w:val="20"/>
              </w:rPr>
            </w:pPr>
          </w:p>
          <w:p w14:paraId="5A6D2A1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Revizor je odgovoren družbi in delničarjem ali družbenikom družbe za škodo, ki jim jo povzroči s kršitvijo pravil o revidiranju, določenih z zakonom, ki ureja revidiranje. Revizor je odgovoren za škodo iz prejšnjega stavka do višine 150.000 eurov za majhne kapitalske družbe, do višine 500.000 eurov za srednje kapitalske družbe in do višine 1.000.000 eurov za velike kapitalske družbe. Omejitev odškodninske odgovornosti po prejšnjem stavku ne velja, če je bila škoda povzročena namenoma ali iz hude malomarnosti.</w:t>
            </w:r>
          </w:p>
          <w:p w14:paraId="28F40DC5" w14:textId="77777777" w:rsidR="006D4AF3" w:rsidRPr="00605612" w:rsidRDefault="006D4AF3" w:rsidP="006D4AF3">
            <w:pPr>
              <w:pStyle w:val="Neotevilenodstavek"/>
              <w:spacing w:before="0" w:after="0" w:line="240" w:lineRule="auto"/>
              <w:rPr>
                <w:color w:val="000000" w:themeColor="text1"/>
                <w:sz w:val="20"/>
                <w:szCs w:val="20"/>
              </w:rPr>
            </w:pPr>
          </w:p>
          <w:p w14:paraId="35C1038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Če revizor v skladu z zakonom, ki ureja revidiranje, zavrne izdelavo mnenja, obveznost iz prvega odstavka tega člena ni izpolnjena.</w:t>
            </w:r>
          </w:p>
          <w:p w14:paraId="48B02389" w14:textId="77777777" w:rsidR="006D4AF3" w:rsidRPr="00605612" w:rsidRDefault="006D4AF3" w:rsidP="006D4AF3">
            <w:pPr>
              <w:pStyle w:val="Neotevilenodstavek"/>
              <w:spacing w:before="0" w:after="0" w:line="240" w:lineRule="auto"/>
              <w:rPr>
                <w:color w:val="000000" w:themeColor="text1"/>
                <w:sz w:val="20"/>
                <w:szCs w:val="20"/>
              </w:rPr>
            </w:pPr>
          </w:p>
          <w:p w14:paraId="2850170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Revizija letnega poročila iz prvega odstavka tega člena mora biti opravljena v šestih mesecih po koncu poslovnega leta. Poslovodstvo mora revidirano letno poročilo ali revidirano konsolidirano letno poročilo predložiti organu družbe, pristojnemu za sprejetje tega poročila, skupaj z revizorjevim poročilom najpozneje v osmih dneh po prejemu revizorjevega poročila.</w:t>
            </w:r>
          </w:p>
          <w:p w14:paraId="23908D10" w14:textId="77777777" w:rsidR="006D4AF3" w:rsidRPr="00605612" w:rsidRDefault="006D4AF3" w:rsidP="006D4AF3">
            <w:pPr>
              <w:pStyle w:val="Neotevilenodstavek"/>
              <w:spacing w:before="0" w:after="0" w:line="240" w:lineRule="auto"/>
              <w:rPr>
                <w:color w:val="000000" w:themeColor="text1"/>
                <w:sz w:val="20"/>
                <w:szCs w:val="20"/>
              </w:rPr>
            </w:pPr>
          </w:p>
          <w:p w14:paraId="7B805BA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Revizor mora sodelovati z revizijsko komisijo in jo obveščati o glavnih zadevah v zvezi z revizijo letnega poročila, zlasti o pomembnih pomanjkljivostih notranjih kontrol v povezavi s postopkom računovodskega poročanja.</w:t>
            </w:r>
          </w:p>
          <w:p w14:paraId="06490265" w14:textId="77777777" w:rsidR="006D4AF3" w:rsidRPr="00605612" w:rsidRDefault="006D4AF3" w:rsidP="006D4AF3">
            <w:pPr>
              <w:pStyle w:val="Neotevilenodstavek"/>
              <w:spacing w:before="0" w:after="0" w:line="240" w:lineRule="auto"/>
              <w:rPr>
                <w:color w:val="000000" w:themeColor="text1"/>
                <w:sz w:val="20"/>
                <w:szCs w:val="20"/>
              </w:rPr>
            </w:pPr>
          </w:p>
          <w:p w14:paraId="39ED7F6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Revizor opravi preiskavo letnih računovodskih izkazov in izrazi mnenje v skladu z mednarodnimi revizijskimi standardi pri tistih majhnih kapitalskih družbah, ki po pripoznanju merijo opredmetena osnovna sredstva po revalorizirani vrednosti ali vrednotijo finančne instrumente, za katere ni objavljene cene na organiziranem trgu, vključno z izvedenimi finančnimi instrumenti, ter naložbene nepremičnine po pošteni vrednosti. Preiskava letnih računovodskih izkazov mora biti izvedena v roku šestih mesecev po koncu poslovnega leta.</w:t>
            </w:r>
          </w:p>
          <w:p w14:paraId="673CB043" w14:textId="77777777" w:rsidR="006D4AF3" w:rsidRPr="00605612" w:rsidRDefault="006D4AF3" w:rsidP="006D4AF3">
            <w:pPr>
              <w:pStyle w:val="Neotevilenodstavek"/>
              <w:spacing w:before="0" w:after="0" w:line="240" w:lineRule="auto"/>
              <w:rPr>
                <w:color w:val="000000" w:themeColor="text1"/>
                <w:sz w:val="20"/>
                <w:szCs w:val="20"/>
              </w:rPr>
            </w:pPr>
          </w:p>
          <w:p w14:paraId="1E42D621"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58. člen</w:t>
            </w:r>
          </w:p>
          <w:p w14:paraId="051D7706"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(javna objava)</w:t>
            </w:r>
          </w:p>
          <w:p w14:paraId="566BDC26" w14:textId="77777777" w:rsidR="006D4AF3" w:rsidRPr="00605612" w:rsidRDefault="006D4AF3" w:rsidP="006D4AF3">
            <w:pPr>
              <w:pStyle w:val="Neotevilenodstavek"/>
              <w:spacing w:before="0" w:after="0" w:line="240" w:lineRule="auto"/>
              <w:rPr>
                <w:color w:val="000000" w:themeColor="text1"/>
                <w:sz w:val="20"/>
                <w:szCs w:val="20"/>
              </w:rPr>
            </w:pPr>
          </w:p>
          <w:p w14:paraId="02E975C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Letna poročila iz prvega in sedmega odstavka prejšnjega člena ter konsolidirana letna poročila je treba zaradi javne objave skupaj z revizorjevim poročilom v elektronski obliki predložiti AJPES v osmih mesecih po koncu poslovnega leta. Družbe morajo v skladu s prejšnjim stavkom predložiti tudi popravljeno letno poročilo ali konsolidirano letno poročilo oziroma spremembe revizorjevega poročila. Družbe iz prvega odstavka 53. člena tega zakona morajo v skladu s prvim stavkom predložiti tudi predlog razporeditve dobička ali obravnavanja izgube ter razporeditev dobička ali obravnavanje izgube, če to ni razvidno iz letnega poročila.</w:t>
            </w:r>
          </w:p>
          <w:p w14:paraId="5157E9D8" w14:textId="77777777" w:rsidR="006D4AF3" w:rsidRPr="00605612" w:rsidRDefault="006D4AF3" w:rsidP="006D4AF3">
            <w:pPr>
              <w:pStyle w:val="Neotevilenodstavek"/>
              <w:spacing w:before="0" w:after="0" w:line="240" w:lineRule="auto"/>
              <w:rPr>
                <w:color w:val="000000" w:themeColor="text1"/>
                <w:sz w:val="20"/>
                <w:szCs w:val="20"/>
              </w:rPr>
            </w:pPr>
          </w:p>
          <w:p w14:paraId="34B2F72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Letno poročilo majhnih družb, z vrednostnimi papirji katerih se ne trguje na organiziranem trgu, in letno poročilo podjetnikov je treba zaradi javne objave v elektronski obliki predložiti AJPES v treh mesecih po koncu poslovnega leta. Družbe iz prvega odstavka 53. člena tega zakona morajo v skladu s prejšnjim stavkom predložiti tudi predlog razporeditve dobička ali obravnavanja izgube ter razporeditev dobička ali obravnavanje izgube, če to ni razvidno iz letnega poročila. Podjetniki, ki so po določbah o obdavčitvi dohodkov iz dejavnosti zakona, ki ureja dohodnino, obdavčeni na podlagi ugotovljenega dobička z upoštevanjem normiranih odhodkov, niso dolžni predložiti letnih poročil zaradi javne objave. Finančna uprava Republike Slovenije pošlje seznam podjetnikov iz prejšnjega stavka AJPES.</w:t>
            </w:r>
          </w:p>
          <w:p w14:paraId="50C0BBC2" w14:textId="77777777" w:rsidR="006D4AF3" w:rsidRPr="00605612" w:rsidRDefault="006D4AF3" w:rsidP="006D4AF3">
            <w:pPr>
              <w:pStyle w:val="Neotevilenodstavek"/>
              <w:spacing w:before="0" w:after="0" w:line="240" w:lineRule="auto"/>
              <w:rPr>
                <w:color w:val="000000" w:themeColor="text1"/>
                <w:sz w:val="20"/>
                <w:szCs w:val="20"/>
              </w:rPr>
            </w:pPr>
          </w:p>
          <w:p w14:paraId="0CEFCF7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AJPES mora javno objaviti letna poročila in konsolidirana letna poročila skupaj z revizorjevim poročilom, predložena po prvem odstavku tega člena, ali letna poročila, predložena po prejšnjem odstavku, tako da jih zajame v informatizirani obliki in objavi na spletnih straneh, namenjenih javni objavi letnih poročil. V skladu s prejšnjim stavkom je treba za družbe iz prvega odstavka 53. člena tega zakona hkrati objaviti tudi predlog razporeditve dobička ali obravnavanja izgube ter razporeditev dobička ali obravnavanje izgube, če to ni razvidno iz letnega poročila. Spletne strani iz prvega stavka tega odstavka morajo biti zasnovane tako, da je vsakomur omogočen brezplačen vpogled v podatke, objavljene na spletnih straneh.</w:t>
            </w:r>
          </w:p>
          <w:p w14:paraId="66F75887" w14:textId="77777777" w:rsidR="006D4AF3" w:rsidRPr="00605612" w:rsidRDefault="006D4AF3" w:rsidP="006D4AF3">
            <w:pPr>
              <w:pStyle w:val="Neotevilenodstavek"/>
              <w:spacing w:before="0" w:after="0" w:line="240" w:lineRule="auto"/>
              <w:rPr>
                <w:color w:val="000000" w:themeColor="text1"/>
                <w:sz w:val="20"/>
                <w:szCs w:val="20"/>
              </w:rPr>
            </w:pPr>
          </w:p>
          <w:p w14:paraId="3A0C31B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(prenehal veljati).</w:t>
            </w:r>
          </w:p>
          <w:p w14:paraId="00DD4C26" w14:textId="77777777" w:rsidR="006D4AF3" w:rsidRPr="00605612" w:rsidRDefault="006D4AF3" w:rsidP="006D4AF3">
            <w:pPr>
              <w:pStyle w:val="Neotevilenodstavek"/>
              <w:spacing w:before="0" w:after="0" w:line="240" w:lineRule="auto"/>
              <w:rPr>
                <w:color w:val="000000" w:themeColor="text1"/>
                <w:sz w:val="20"/>
                <w:szCs w:val="20"/>
              </w:rPr>
            </w:pPr>
          </w:p>
          <w:p w14:paraId="44BF068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(prenehal veljati).</w:t>
            </w:r>
          </w:p>
          <w:p w14:paraId="6F6A2FC6" w14:textId="77777777" w:rsidR="006D4AF3" w:rsidRPr="00605612" w:rsidRDefault="006D4AF3" w:rsidP="006D4AF3">
            <w:pPr>
              <w:pStyle w:val="Neotevilenodstavek"/>
              <w:spacing w:before="0" w:after="0" w:line="240" w:lineRule="auto"/>
              <w:rPr>
                <w:color w:val="000000" w:themeColor="text1"/>
                <w:sz w:val="20"/>
                <w:szCs w:val="20"/>
              </w:rPr>
            </w:pPr>
          </w:p>
          <w:p w14:paraId="57B7B63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AJPES prek sistema povezovanja poslovnih registrov po uradni dolžnosti nemudoma obvesti pristojni organ države članice podružnice, ki jo je ustanovila kapitalska družba s sedežem v Republiki Sloveniji, o javni objavi letnega poročila te družbe.</w:t>
            </w:r>
          </w:p>
          <w:p w14:paraId="3DD63C6A" w14:textId="77777777" w:rsidR="006D4AF3" w:rsidRPr="00605612" w:rsidRDefault="006D4AF3" w:rsidP="006D4AF3">
            <w:pPr>
              <w:pStyle w:val="Neotevilenodstavek"/>
              <w:spacing w:before="0" w:after="0" w:line="240" w:lineRule="auto"/>
              <w:rPr>
                <w:color w:val="000000" w:themeColor="text1"/>
                <w:sz w:val="20"/>
                <w:szCs w:val="20"/>
              </w:rPr>
            </w:pPr>
          </w:p>
          <w:p w14:paraId="5ED87F94"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 xml:space="preserve">(7) AJPES mora vsakomur na njegovo zahtevo izročiti kopijo letnega ali konsolidiranega letnega poročila skupaj z revizorjevim poročilom, ki je bilo predloženo po prvem odstavku tega člena, ali kopijo </w:t>
            </w:r>
            <w:r w:rsidRPr="00605612">
              <w:rPr>
                <w:color w:val="000000" w:themeColor="text1"/>
                <w:sz w:val="20"/>
                <w:szCs w:val="20"/>
              </w:rPr>
              <w:lastRenderedPageBreak/>
              <w:t>letnega poročila, predloženega po drugem odstavku tega člena, za plačilo nadomestila, ki ga določa tarifa AJPES. Kopije iz prejšnjega stavka mora AJPES izročiti v obsegu (v celoti ali delih) in v obliki (elektronski ali pisni), kot je to navedeno v zahtevi. Kopija v pisni obliki mora biti označena kot »točen prepis«, za elektronsko obliko pa se uporablja zakon, ki ureja elektronsko poslovanje in elektronski podpis.</w:t>
            </w:r>
          </w:p>
          <w:p w14:paraId="32A33F23" w14:textId="77777777" w:rsidR="006D4AF3" w:rsidRPr="00605612" w:rsidRDefault="006D4AF3" w:rsidP="006D4AF3">
            <w:pPr>
              <w:pStyle w:val="Neotevilenodstavek"/>
              <w:spacing w:before="0" w:after="0" w:line="240" w:lineRule="auto"/>
              <w:rPr>
                <w:color w:val="000000" w:themeColor="text1"/>
                <w:sz w:val="20"/>
                <w:szCs w:val="20"/>
              </w:rPr>
            </w:pPr>
          </w:p>
          <w:p w14:paraId="3BB9EA8C"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(8) V vsaki javni objavi celotnega letnega poročila ali konsolidiranega letnega poročila morajo biti ta poročila objavljena v obliki in besedilu, na podlagi katerega so bila revidirana. Hkrati mora biti objavljeno revizorjevo poročilo v celotnem besedilu, vključno z utemeljitvijo morebitnega mnenja s pridržkom ali odklonilnega mnenja. Če izkazov ali poročila ni pregledal revizor, je treba v objavi opozoriti na to okoliščino.</w:t>
            </w:r>
          </w:p>
          <w:p w14:paraId="6667C59D" w14:textId="77777777" w:rsidR="006D4AF3" w:rsidRPr="00605612" w:rsidRDefault="006D4AF3" w:rsidP="006D4AF3">
            <w:pPr>
              <w:pStyle w:val="Neotevilenodstavek"/>
              <w:spacing w:before="0" w:after="0" w:line="240" w:lineRule="auto"/>
              <w:rPr>
                <w:color w:val="000000" w:themeColor="text1"/>
                <w:sz w:val="20"/>
                <w:szCs w:val="20"/>
              </w:rPr>
            </w:pPr>
          </w:p>
          <w:p w14:paraId="3615003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(9) V vsaki objavi povzetka letnega poročila ali konsolidiranega letnega poročila je treba opozoriti, da gre za povzetek. V objavi povzetka mora biti naveden datum predložitve letnega poročila ali konsolidiranega letnega poročila po prvem ali drugem odstavku tega člena ter datum in način javne objave po tretjem odstavku tega člena. Če ta poročila še niso bila predložena po prvem ali drugem odstavku tega člena, je treba na to okoliščino v objavi opozoriti. Objavi povzetka ne sme biti priloženo celotno revizorjevo poročilo, ampak se razkrije samo revizijsko mnenje in sklic na vse morebitne druge zadeve, na katere revizor posebej opozarja, ne da bi se revizijsko mnenje zato spremenilo.. Lahko pa se objavi povzetka priloži revizorjevo poročilo o povzetku.</w:t>
            </w:r>
          </w:p>
          <w:p w14:paraId="5EB4F758" w14:textId="77777777" w:rsidR="006D4AF3" w:rsidRPr="00605612" w:rsidRDefault="006D4AF3" w:rsidP="006D4AF3">
            <w:pPr>
              <w:pStyle w:val="Neotevilenodstavek"/>
              <w:spacing w:before="0" w:after="0" w:line="240" w:lineRule="auto"/>
              <w:rPr>
                <w:color w:val="000000" w:themeColor="text1"/>
                <w:sz w:val="20"/>
                <w:szCs w:val="20"/>
              </w:rPr>
            </w:pPr>
          </w:p>
          <w:p w14:paraId="5F81D6D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(10) Če je revizor v skladu z zakonom, ki ureja revidiranje, zavrnil pripravo mnenja, je treba na to okoliščino pri objavi po sedmem in osmem odstavku tega člena izrecno opozoriti.</w:t>
            </w:r>
          </w:p>
          <w:p w14:paraId="131CCBB5" w14:textId="77777777" w:rsidR="006D4AF3" w:rsidRPr="00605612" w:rsidRDefault="006D4AF3" w:rsidP="006D4AF3">
            <w:pPr>
              <w:pStyle w:val="Neotevilenodstavek"/>
              <w:spacing w:before="0" w:after="0" w:line="240" w:lineRule="auto"/>
              <w:rPr>
                <w:color w:val="000000" w:themeColor="text1"/>
                <w:sz w:val="20"/>
                <w:szCs w:val="20"/>
              </w:rPr>
            </w:pPr>
          </w:p>
          <w:p w14:paraId="52BF960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(11) Družbe in podjetniki morajo AJPES za javno objavo po tretjem odstavku tega člena plačati nadomestilo, ki ga določa tarifa AJPES. Ne glede na prejšnji stavek morajo družbe in podjetniki, ki nameravajo prenehati s opravljanjem dejavnosti pred iztekom treh mesecev po koncu poslovnega leta, za javno objavo po tretjem odstavku tega člena hkrati s predložitvijo poročil plačati nadomestilo, ki ga določa tarifa AJPES.</w:t>
            </w:r>
          </w:p>
          <w:p w14:paraId="1AEC4C83" w14:textId="77777777" w:rsidR="006D4AF3" w:rsidRPr="00605612" w:rsidRDefault="006D4AF3" w:rsidP="006D4AF3">
            <w:pPr>
              <w:pStyle w:val="Neotevilenodstavek"/>
              <w:spacing w:before="0" w:after="0" w:line="240" w:lineRule="auto"/>
              <w:rPr>
                <w:color w:val="000000" w:themeColor="text1"/>
                <w:sz w:val="20"/>
                <w:szCs w:val="20"/>
              </w:rPr>
            </w:pPr>
          </w:p>
          <w:p w14:paraId="7640049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(12) Tarifo, s katero določi nadomestila iz šestega in desetega odstavka tega člena, sprejme AJPES, v soglasju z ministroma, pristojnima za gospodarstvo in za pravosodje. Nadomestila ne smejo biti višja od dejanskih stroškov, povezanih z zajemanjem poročil v informatizirani obliki in vzdrževanjem spletnih strani, namenjenih javni objavi letnih poročil ali stroškov, povezanih z izdelavo kopij poročil.</w:t>
            </w:r>
          </w:p>
          <w:p w14:paraId="10FE2919" w14:textId="77777777" w:rsidR="006D4AF3" w:rsidRPr="00605612" w:rsidRDefault="006D4AF3" w:rsidP="006D4AF3">
            <w:pPr>
              <w:pStyle w:val="Neotevilenodstavek"/>
              <w:spacing w:before="0" w:after="0" w:line="240" w:lineRule="auto"/>
              <w:rPr>
                <w:color w:val="000000" w:themeColor="text1"/>
                <w:sz w:val="20"/>
                <w:szCs w:val="20"/>
              </w:rPr>
            </w:pPr>
          </w:p>
          <w:p w14:paraId="017B55C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(13) Ministra, pristojna za gospodarstvo in za pravosodje, po predhodnem mnenju AJPES predpišeta podrobnejša pravila o:</w:t>
            </w:r>
          </w:p>
          <w:p w14:paraId="7395DDB9" w14:textId="77777777" w:rsidR="006D4AF3" w:rsidRPr="00605612" w:rsidRDefault="006D4AF3" w:rsidP="006D4AF3">
            <w:pPr>
              <w:pStyle w:val="Neotevilenodstavek"/>
              <w:numPr>
                <w:ilvl w:val="0"/>
                <w:numId w:val="54"/>
              </w:numPr>
              <w:spacing w:before="0" w:after="0" w:line="240" w:lineRule="auto"/>
              <w:rPr>
                <w:color w:val="000000" w:themeColor="text1"/>
                <w:sz w:val="20"/>
                <w:szCs w:val="20"/>
              </w:rPr>
            </w:pPr>
            <w:r w:rsidRPr="00605612">
              <w:rPr>
                <w:color w:val="000000" w:themeColor="text1"/>
                <w:sz w:val="20"/>
                <w:szCs w:val="20"/>
              </w:rPr>
              <w:t>načinu predložitve poročil po prvem ali drugem odstavku tega člena;</w:t>
            </w:r>
          </w:p>
          <w:p w14:paraId="5767F1C6" w14:textId="77777777" w:rsidR="006D4AF3" w:rsidRPr="00605612" w:rsidRDefault="006D4AF3" w:rsidP="006D4AF3">
            <w:pPr>
              <w:pStyle w:val="Neotevilenodstavek"/>
              <w:numPr>
                <w:ilvl w:val="0"/>
                <w:numId w:val="54"/>
              </w:numPr>
              <w:spacing w:before="0" w:after="0" w:line="240" w:lineRule="auto"/>
              <w:rPr>
                <w:color w:val="000000" w:themeColor="text1"/>
                <w:sz w:val="20"/>
                <w:szCs w:val="20"/>
              </w:rPr>
            </w:pPr>
            <w:r w:rsidRPr="00605612">
              <w:rPr>
                <w:color w:val="000000" w:themeColor="text1"/>
                <w:sz w:val="20"/>
                <w:szCs w:val="20"/>
              </w:rPr>
              <w:t>načinu javne objave po tretjem odstavku tega člena ter o zasnovi spletnih strani iz tretjega odstavka tega člena.</w:t>
            </w:r>
          </w:p>
          <w:p w14:paraId="49B33024" w14:textId="77777777" w:rsidR="006D4AF3" w:rsidRPr="00605612" w:rsidRDefault="006D4AF3" w:rsidP="006D4AF3">
            <w:pPr>
              <w:pStyle w:val="Neotevilenodstavek"/>
              <w:numPr>
                <w:ilvl w:val="0"/>
                <w:numId w:val="54"/>
              </w:numPr>
              <w:spacing w:before="0" w:after="0" w:line="240" w:lineRule="auto"/>
              <w:rPr>
                <w:color w:val="000000" w:themeColor="text1"/>
                <w:sz w:val="20"/>
                <w:szCs w:val="20"/>
              </w:rPr>
            </w:pPr>
            <w:r w:rsidRPr="00605612">
              <w:rPr>
                <w:color w:val="000000" w:themeColor="text1"/>
                <w:sz w:val="20"/>
                <w:szCs w:val="20"/>
              </w:rPr>
              <w:t>(prenehala veljati).</w:t>
            </w:r>
          </w:p>
          <w:p w14:paraId="7A4AAE8A" w14:textId="77777777" w:rsidR="006D4AF3" w:rsidRPr="00605612" w:rsidRDefault="006D4AF3" w:rsidP="006D4AF3">
            <w:pPr>
              <w:pStyle w:val="Neotevilenodstavek"/>
              <w:spacing w:before="0" w:after="0" w:line="240" w:lineRule="auto"/>
              <w:rPr>
                <w:color w:val="000000" w:themeColor="text1"/>
                <w:sz w:val="20"/>
                <w:szCs w:val="20"/>
              </w:rPr>
            </w:pPr>
          </w:p>
          <w:p w14:paraId="1E16DFB1"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(14) Bilanco stanja in izkaz poslovnega izida iz petega odstavka 54. člena tega zakona ter zaključno poročilo iz 68. člena tega zakona je treba predložiti AJPES v rokih, ki jih za njihovo predložitev določa zakon, ki ureja davčni postopek. AJPES prejete dokumente informatizira in brezplačno javno objavi na svojih spletnih straneh tako, da navede tudi razlog njihove sestave.</w:t>
            </w:r>
          </w:p>
          <w:p w14:paraId="6E905101" w14:textId="77777777" w:rsidR="006D4AF3" w:rsidRPr="00605612" w:rsidRDefault="006D4AF3" w:rsidP="006D4AF3">
            <w:pPr>
              <w:pStyle w:val="Neotevilenodstavek"/>
              <w:spacing w:before="0" w:after="0" w:line="240" w:lineRule="auto"/>
              <w:rPr>
                <w:color w:val="000000" w:themeColor="text1"/>
                <w:sz w:val="20"/>
                <w:szCs w:val="20"/>
              </w:rPr>
            </w:pPr>
          </w:p>
          <w:p w14:paraId="31808D0C"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59. člen</w:t>
            </w:r>
          </w:p>
          <w:p w14:paraId="2BAFDE9A"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(pošiljanje podatkov iz letnih poročil)</w:t>
            </w:r>
          </w:p>
          <w:p w14:paraId="14FB7A3D" w14:textId="77777777" w:rsidR="006D4AF3" w:rsidRPr="00605612" w:rsidRDefault="006D4AF3" w:rsidP="006D4AF3">
            <w:pPr>
              <w:pStyle w:val="Neotevilenodstavek"/>
              <w:spacing w:before="0" w:after="0" w:line="240" w:lineRule="auto"/>
              <w:rPr>
                <w:color w:val="000000" w:themeColor="text1"/>
                <w:sz w:val="20"/>
                <w:szCs w:val="20"/>
              </w:rPr>
            </w:pPr>
          </w:p>
          <w:p w14:paraId="0E8D23C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Družbe in podjetniki, razen podjetnikov, ki so po določbah o obdavčitvi dohodkov iz dejavnosti zakona, ki ureja dohodnino, obdavčeni na podlagi ugotovljenega dobička z upoštevanjem normiranih odhodkov, morajo v treh mesecih po koncu koledarskega leta poslati AJPES podatke iz letnih poročil o svojem premoženjskem in finančnem poslovanju ter poslovnem izidu za državno statistiko ter druge evidenčne, analitsko-informativne, raziskovalne in davčne namene.</w:t>
            </w:r>
          </w:p>
          <w:p w14:paraId="57A2EDF9" w14:textId="77777777" w:rsidR="006D4AF3" w:rsidRPr="00605612" w:rsidRDefault="006D4AF3" w:rsidP="006D4AF3">
            <w:pPr>
              <w:pStyle w:val="Neotevilenodstavek"/>
              <w:spacing w:before="0" w:after="0" w:line="240" w:lineRule="auto"/>
              <w:rPr>
                <w:color w:val="000000" w:themeColor="text1"/>
                <w:sz w:val="20"/>
                <w:szCs w:val="20"/>
              </w:rPr>
            </w:pPr>
          </w:p>
          <w:p w14:paraId="2090516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Družbe in podjetniki iz drugega odstavka prejšnjega člena, katerih poslovno leto je enako koledarskemu letu, lahko izpolnijo obveznost iz drugega odstavka prejšnjega člena tako, da ob predložitvi podatkov v skladu s prejšnjim odstavkom navedejo, naj se podatki iz letnega poročila uporabijo tudi za javno objavo.</w:t>
            </w:r>
          </w:p>
          <w:p w14:paraId="5B8EF3F7" w14:textId="77777777" w:rsidR="006D4AF3" w:rsidRPr="00605612" w:rsidRDefault="006D4AF3" w:rsidP="006D4AF3">
            <w:pPr>
              <w:pStyle w:val="Neotevilenodstavek"/>
              <w:spacing w:before="0" w:after="0" w:line="240" w:lineRule="auto"/>
              <w:rPr>
                <w:color w:val="000000" w:themeColor="text1"/>
                <w:sz w:val="20"/>
                <w:szCs w:val="20"/>
              </w:rPr>
            </w:pPr>
          </w:p>
          <w:p w14:paraId="163242F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Družbe in podjetniki iz petega odstavka 54. člena tega zakona ter družbe iz 68. člena tega zakona morajo predložiti podatke iz bilance stanja in izkaza poslovnega izida oziroma zaključnega poročila AJPES v elektronski obliki zaradi nadaljnje obdelave podatkov za državno statistiko ter druge evidenčne, analitsko-informativne, raziskovalne in davčne namene. Družbe in podjetniki iz petega odstavka 54. člena tega zakona lahko ob predložitvi podatkov iz bilance stanja in izkaza poslovnega izida izpolnijo svojo obveznost iz štirinajstega odstavka prejšnjega člena tako, da ob predložitvi podatkov iz tega odstavka navedejo, naj se podatki uporabijo tudi za javno objavo.</w:t>
            </w:r>
          </w:p>
          <w:p w14:paraId="2140D235" w14:textId="77777777" w:rsidR="006D4AF3" w:rsidRPr="00605612" w:rsidRDefault="006D4AF3" w:rsidP="006D4AF3">
            <w:pPr>
              <w:pStyle w:val="Neotevilenodstavek"/>
              <w:spacing w:before="0" w:after="0" w:line="240" w:lineRule="auto"/>
              <w:rPr>
                <w:color w:val="000000" w:themeColor="text1"/>
                <w:sz w:val="20"/>
                <w:szCs w:val="20"/>
              </w:rPr>
            </w:pPr>
          </w:p>
          <w:p w14:paraId="4ECCFD1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AJPES lahko podatke iz letnih poročil o premoženjskem in finančnem položaju ter poslovnem izidu družb in podjetnikov uporabi samo za izdelavo uskupinjenih informacij o gospodarskih gibanjih. Podatkov o posamezni družbi ali podjetniku ne sme dati drugim osebam ali jih javno objavljati. Ne glede na prejšnji stavek mora AJPES ministrstvu, pristojnemu za finance ali gospodarstvo, na njegovo zahtevo poslati podatke o posamezni družbi ali podjetniku.</w:t>
            </w:r>
          </w:p>
          <w:p w14:paraId="291734C7" w14:textId="77777777" w:rsidR="006D4AF3" w:rsidRPr="00605612" w:rsidRDefault="006D4AF3" w:rsidP="006D4AF3">
            <w:pPr>
              <w:pStyle w:val="Neotevilenodstavek"/>
              <w:spacing w:before="0" w:after="0" w:line="240" w:lineRule="auto"/>
              <w:rPr>
                <w:color w:val="000000" w:themeColor="text1"/>
                <w:sz w:val="20"/>
                <w:szCs w:val="20"/>
              </w:rPr>
            </w:pPr>
          </w:p>
          <w:p w14:paraId="7A5077B4"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AJPES mora podatke, ki so po zakonu, ki ureja davčni postopek, del davčnega obračuna, avtomatično posredovati Finančni upravi Republike Slovenije v roku in na način, ki ga predpiše minister, pristojen za finance. Šteje se, da so s tem družbe in podjetniki oddali del davčnega obračuna.</w:t>
            </w:r>
          </w:p>
          <w:p w14:paraId="7C0D242E" w14:textId="77777777" w:rsidR="006D4AF3" w:rsidRPr="00605612" w:rsidRDefault="006D4AF3" w:rsidP="006D4AF3">
            <w:pPr>
              <w:pStyle w:val="Neotevilenodstavek"/>
              <w:spacing w:before="0" w:after="0" w:line="240" w:lineRule="auto"/>
              <w:rPr>
                <w:color w:val="000000" w:themeColor="text1"/>
                <w:sz w:val="20"/>
                <w:szCs w:val="20"/>
              </w:rPr>
            </w:pPr>
          </w:p>
          <w:p w14:paraId="1F31F93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Ne glede na četrti odstavek tega člena mora AJPES podatke iz prvega in tretjega odstavka tega člena poslati v ustrezni elektronski obliki državnim organom in pravnim osebam, ki so z zakonom pooblaščene za pridobivanje in uporabo teh podatkov za evidenčne, analitsko-informativne, raziskovalne in davčne namene. Državnim organom, Banki Slovenije in članom Ekonomsko-socialnega sveta mora te podatke dati brezplačno, pravnim osebam pa za plačilo dejanskih stroškov obdelave ali dajanja podatkov.</w:t>
            </w:r>
          </w:p>
          <w:p w14:paraId="5B327A3C" w14:textId="77777777" w:rsidR="006D4AF3" w:rsidRPr="00605612" w:rsidRDefault="006D4AF3" w:rsidP="006D4AF3">
            <w:pPr>
              <w:pStyle w:val="Neotevilenodstavek"/>
              <w:spacing w:before="0" w:after="0" w:line="240" w:lineRule="auto"/>
              <w:rPr>
                <w:color w:val="000000" w:themeColor="text1"/>
                <w:sz w:val="20"/>
                <w:szCs w:val="20"/>
              </w:rPr>
            </w:pPr>
          </w:p>
          <w:p w14:paraId="3A88460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Družbe iz prvega in sedmega odstavka 57. člena tega zakona morajo hkrati s predložitvijo revidiranega letnega poročila oziroma preiskanih letnih računovodskih izkazov v spletni aplikaciji AJPES potrditi pravilnost podatkov, predloženih po tem členu, ali popraviti tiste podatke, ki so se spremenili po opravljeni reviziji oziroma preiskavi letnih računovodskih izkazov.</w:t>
            </w:r>
          </w:p>
          <w:p w14:paraId="18F392E0" w14:textId="77777777" w:rsidR="006D4AF3" w:rsidRPr="00605612" w:rsidRDefault="006D4AF3" w:rsidP="006D4AF3">
            <w:pPr>
              <w:pStyle w:val="Neotevilenodstavek"/>
              <w:spacing w:before="0" w:after="0" w:line="240" w:lineRule="auto"/>
              <w:rPr>
                <w:color w:val="000000" w:themeColor="text1"/>
                <w:sz w:val="20"/>
                <w:szCs w:val="20"/>
              </w:rPr>
            </w:pPr>
          </w:p>
          <w:p w14:paraId="5356596A"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60.a člen</w:t>
            </w:r>
          </w:p>
          <w:p w14:paraId="32B120A2"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(obveznost zagotavljanja sestave in objave letnih poročil)</w:t>
            </w:r>
          </w:p>
          <w:p w14:paraId="503DBA9F" w14:textId="77777777" w:rsidR="006D4AF3" w:rsidRPr="00605612" w:rsidRDefault="006D4AF3" w:rsidP="006D4AF3">
            <w:pPr>
              <w:pStyle w:val="Neotevilenodstavek"/>
              <w:spacing w:before="0" w:after="0" w:line="240" w:lineRule="auto"/>
              <w:rPr>
                <w:color w:val="000000" w:themeColor="text1"/>
                <w:sz w:val="20"/>
                <w:szCs w:val="20"/>
              </w:rPr>
            </w:pPr>
          </w:p>
          <w:p w14:paraId="6B2D427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Člani organov vodenja in nadzora družbe morajo skupno zagotavljati, da so letna poročila z vsemi sestavnimi deli, vključno z izjavo o upravljanju družbe in izjavo o nefinančnem poslovanju, sestavljena in objavljena v skladu s tem zakonom, slovenskimi računovodskimi standardi ali mednarodnimi standardi računovodskega poročanja. Pri tem ravnajo v skladu s pristojnostmi, skrbnostjo in odgovornostmi, kakor jih za posamezno obliko družbe določa ta zakon.</w:t>
            </w:r>
          </w:p>
          <w:p w14:paraId="425B03B4" w14:textId="77777777" w:rsidR="006D4AF3" w:rsidRPr="00605612" w:rsidRDefault="006D4AF3" w:rsidP="006D4AF3">
            <w:pPr>
              <w:pStyle w:val="Neotevilenodstavek"/>
              <w:spacing w:before="0" w:after="0" w:line="240" w:lineRule="auto"/>
              <w:rPr>
                <w:color w:val="000000" w:themeColor="text1"/>
                <w:sz w:val="20"/>
                <w:szCs w:val="20"/>
              </w:rPr>
            </w:pPr>
          </w:p>
          <w:p w14:paraId="38A9E6A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Letno poročilo in njegove sestavne dele morajo podpisati vsi člani poslovodstva družbe.</w:t>
            </w:r>
          </w:p>
          <w:p w14:paraId="6901B150" w14:textId="77777777" w:rsidR="006D4AF3" w:rsidRDefault="006D4AF3" w:rsidP="006D4AF3">
            <w:pPr>
              <w:pStyle w:val="Neotevilenodstavek"/>
              <w:spacing w:before="0" w:after="0" w:line="240" w:lineRule="auto"/>
              <w:rPr>
                <w:color w:val="000000" w:themeColor="text1"/>
                <w:sz w:val="20"/>
                <w:szCs w:val="20"/>
              </w:rPr>
            </w:pPr>
          </w:p>
          <w:p w14:paraId="00FC2973" w14:textId="77777777" w:rsidR="006D4AF3" w:rsidRPr="00496612" w:rsidRDefault="006D4AF3" w:rsidP="006D4AF3">
            <w:pPr>
              <w:pStyle w:val="Neotevilenodstavek"/>
              <w:spacing w:line="240" w:lineRule="auto"/>
              <w:jc w:val="center"/>
              <w:rPr>
                <w:b/>
                <w:bCs/>
                <w:color w:val="000000" w:themeColor="text1"/>
                <w:sz w:val="20"/>
                <w:szCs w:val="20"/>
              </w:rPr>
            </w:pPr>
            <w:r w:rsidRPr="00496612">
              <w:rPr>
                <w:b/>
                <w:bCs/>
                <w:color w:val="000000" w:themeColor="text1"/>
                <w:sz w:val="20"/>
                <w:szCs w:val="20"/>
              </w:rPr>
              <w:t>61. člen</w:t>
            </w:r>
          </w:p>
          <w:p w14:paraId="64CEDD05" w14:textId="77777777" w:rsidR="006D4AF3" w:rsidRPr="00496612" w:rsidRDefault="006D4AF3" w:rsidP="006D4AF3">
            <w:pPr>
              <w:pStyle w:val="Neotevilenodstavek"/>
              <w:spacing w:line="240" w:lineRule="auto"/>
              <w:jc w:val="center"/>
              <w:rPr>
                <w:b/>
                <w:bCs/>
                <w:color w:val="000000" w:themeColor="text1"/>
                <w:sz w:val="20"/>
                <w:szCs w:val="20"/>
              </w:rPr>
            </w:pPr>
            <w:r w:rsidRPr="00496612">
              <w:rPr>
                <w:b/>
                <w:bCs/>
                <w:color w:val="000000" w:themeColor="text1"/>
                <w:sz w:val="20"/>
                <w:szCs w:val="20"/>
              </w:rPr>
              <w:t>(splošno pravilo)</w:t>
            </w:r>
          </w:p>
          <w:p w14:paraId="6F01E427" w14:textId="77777777" w:rsidR="006D4AF3" w:rsidRDefault="006D4AF3" w:rsidP="006D4AF3">
            <w:pPr>
              <w:pStyle w:val="Neotevilenodstavek"/>
              <w:spacing w:line="240" w:lineRule="auto"/>
              <w:rPr>
                <w:color w:val="000000" w:themeColor="text1"/>
                <w:sz w:val="20"/>
                <w:szCs w:val="20"/>
              </w:rPr>
            </w:pPr>
          </w:p>
          <w:p w14:paraId="369AA195" w14:textId="77777777" w:rsidR="006D4AF3" w:rsidRPr="00496612" w:rsidRDefault="006D4AF3" w:rsidP="006D4AF3">
            <w:pPr>
              <w:pStyle w:val="Neotevilenodstavek"/>
              <w:spacing w:line="240" w:lineRule="auto"/>
              <w:rPr>
                <w:color w:val="000000" w:themeColor="text1"/>
                <w:sz w:val="20"/>
                <w:szCs w:val="20"/>
              </w:rPr>
            </w:pPr>
            <w:r w:rsidRPr="00496612">
              <w:rPr>
                <w:color w:val="000000" w:themeColor="text1"/>
                <w:sz w:val="20"/>
                <w:szCs w:val="20"/>
              </w:rPr>
              <w:t>(1) Letno poročilo mora biti sestavljeno jasno in pregledno. Izkazovati mora resničen in pošten prikaz premoženja in obveznosti družbe, njenega finančnega položaja ter poslovnega izida.</w:t>
            </w:r>
          </w:p>
          <w:p w14:paraId="65359CE1" w14:textId="77777777" w:rsidR="006D4AF3" w:rsidRDefault="006D4AF3" w:rsidP="006D4AF3">
            <w:pPr>
              <w:pStyle w:val="Neotevilenodstavek"/>
              <w:spacing w:line="240" w:lineRule="auto"/>
              <w:rPr>
                <w:color w:val="000000" w:themeColor="text1"/>
                <w:sz w:val="20"/>
                <w:szCs w:val="20"/>
              </w:rPr>
            </w:pPr>
          </w:p>
          <w:p w14:paraId="54D05614" w14:textId="77777777" w:rsidR="006D4AF3" w:rsidRPr="00496612" w:rsidRDefault="006D4AF3" w:rsidP="006D4AF3">
            <w:pPr>
              <w:pStyle w:val="Neotevilenodstavek"/>
              <w:spacing w:line="240" w:lineRule="auto"/>
              <w:rPr>
                <w:color w:val="000000" w:themeColor="text1"/>
                <w:sz w:val="20"/>
                <w:szCs w:val="20"/>
              </w:rPr>
            </w:pPr>
            <w:r w:rsidRPr="00496612">
              <w:rPr>
                <w:color w:val="000000" w:themeColor="text1"/>
                <w:sz w:val="20"/>
                <w:szCs w:val="20"/>
              </w:rPr>
              <w:t>(2) Če uporaba določb 62. do 70. člena tega zakona in slovenskih računovodskih standardov ali mednarodnih standardov računovodskega poročanja ne zadošča za resničen in pošten prikaz iz prejšnjega odstavka, mora priloga k izkazom vsebovati ustrezna pojasnila.</w:t>
            </w:r>
          </w:p>
          <w:p w14:paraId="57831E26" w14:textId="77777777" w:rsidR="006D4AF3" w:rsidRDefault="006D4AF3" w:rsidP="006D4AF3">
            <w:pPr>
              <w:pStyle w:val="Neotevilenodstavek"/>
              <w:spacing w:before="0" w:after="0" w:line="240" w:lineRule="auto"/>
              <w:rPr>
                <w:color w:val="000000" w:themeColor="text1"/>
                <w:sz w:val="20"/>
                <w:szCs w:val="20"/>
              </w:rPr>
            </w:pPr>
          </w:p>
          <w:p w14:paraId="5C286C53" w14:textId="77777777" w:rsidR="006D4AF3" w:rsidRDefault="006D4AF3" w:rsidP="006D4AF3">
            <w:pPr>
              <w:pStyle w:val="Neotevilenodstavek"/>
              <w:spacing w:before="0" w:after="0" w:line="240" w:lineRule="auto"/>
              <w:rPr>
                <w:color w:val="000000" w:themeColor="text1"/>
                <w:sz w:val="20"/>
                <w:szCs w:val="20"/>
              </w:rPr>
            </w:pPr>
            <w:r w:rsidRPr="00496612">
              <w:rPr>
                <w:color w:val="000000" w:themeColor="text1"/>
                <w:sz w:val="20"/>
                <w:szCs w:val="20"/>
              </w:rPr>
              <w:t>(3) Če v izjemnih primerih zaradi uporabe posameznih določb 62. do 70. člena tega zakona ni mogoče izpolniti obveznosti iz prvega odstavka tega člena, se taka določba ne sme uporabiti, če se z opustitvijo njene uporabe doseže resničen in pošten prikaz iz prvega odstavka tega člena. V takem primeru je treba v prilogi k izkazom pojasniti razloge za opustitev uporabe posamezne določbe in opisati, kakšne učinke bi imela uporaba take določbe na prikaz premoženja in obveznosti družbe, njenega finančnega položaja ter poslovnega izida.</w:t>
            </w:r>
          </w:p>
          <w:p w14:paraId="15D081CC" w14:textId="77777777" w:rsidR="006D4AF3" w:rsidRPr="00605612" w:rsidRDefault="006D4AF3" w:rsidP="006D4AF3">
            <w:pPr>
              <w:pStyle w:val="Neotevilenodstavek"/>
              <w:spacing w:before="0" w:after="0" w:line="240" w:lineRule="auto"/>
              <w:rPr>
                <w:color w:val="000000" w:themeColor="text1"/>
                <w:sz w:val="20"/>
                <w:szCs w:val="20"/>
              </w:rPr>
            </w:pPr>
          </w:p>
          <w:p w14:paraId="7B103A2F"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70. člen</w:t>
            </w:r>
          </w:p>
          <w:p w14:paraId="38951D6D"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(poslovno poročilo)</w:t>
            </w:r>
          </w:p>
          <w:p w14:paraId="4B96BE48" w14:textId="77777777" w:rsidR="006D4AF3" w:rsidRPr="00605612" w:rsidRDefault="006D4AF3" w:rsidP="006D4AF3">
            <w:pPr>
              <w:pStyle w:val="Neotevilenodstavek"/>
              <w:spacing w:before="0" w:after="0" w:line="240" w:lineRule="auto"/>
              <w:rPr>
                <w:color w:val="000000" w:themeColor="text1"/>
                <w:sz w:val="20"/>
                <w:szCs w:val="20"/>
              </w:rPr>
            </w:pPr>
          </w:p>
          <w:p w14:paraId="710EA84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Poslovno poročilo mora vsebovati vsaj pošten prikaz razvoja in izidov poslovanja družbe ter njenega finančnega položaja, vključno z opisom bistvenih tveganj in negotovosti, ki jim je družba izpostavljena.</w:t>
            </w:r>
          </w:p>
          <w:p w14:paraId="5A5A5048" w14:textId="77777777" w:rsidR="006D4AF3" w:rsidRPr="00605612" w:rsidRDefault="006D4AF3" w:rsidP="006D4AF3">
            <w:pPr>
              <w:pStyle w:val="Neotevilenodstavek"/>
              <w:spacing w:before="0" w:after="0" w:line="240" w:lineRule="auto"/>
              <w:rPr>
                <w:color w:val="000000" w:themeColor="text1"/>
                <w:sz w:val="20"/>
                <w:szCs w:val="20"/>
              </w:rPr>
            </w:pPr>
          </w:p>
          <w:p w14:paraId="55C6C5A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Pošten prikaz mora biti uravnotežena in celovita analiza razvoja in izidov poslovanja družbe ter njenega finančnega položaja, ki ustreza obsegu in vsestranskosti njenega poslovanja. Analiza mora v obsegu, ki je potreben za razumevanje razvoja in izidov poslovanja družbe ter njenega finančnega položaja, vsebovati ključne računovodske, finančne, in če je to potrebno, druge kazalce, kazalnike in druge pokazatelje, ki vključujejo tudi informacije, povezane z varstvom okolja in delavci. Analiza vključuje ustrezno sklicevanje na zneske v računovodskih izkazih in potrebna dodatna pojasnila.</w:t>
            </w:r>
          </w:p>
          <w:p w14:paraId="459A70CA" w14:textId="77777777" w:rsidR="006D4AF3" w:rsidRPr="00605612" w:rsidRDefault="006D4AF3" w:rsidP="006D4AF3">
            <w:pPr>
              <w:pStyle w:val="Neotevilenodstavek"/>
              <w:spacing w:before="0" w:after="0" w:line="240" w:lineRule="auto"/>
              <w:rPr>
                <w:color w:val="000000" w:themeColor="text1"/>
                <w:sz w:val="20"/>
                <w:szCs w:val="20"/>
              </w:rPr>
            </w:pPr>
          </w:p>
          <w:p w14:paraId="50E5C14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V poslovnem poročilu morajo biti prikazani tudi:</w:t>
            </w:r>
          </w:p>
          <w:p w14:paraId="1934E770"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vsi pomembnejši poslovni dogodki, ki so nastopili po koncu poslovnega leta;</w:t>
            </w:r>
          </w:p>
          <w:p w14:paraId="1D9F65F8"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pričakovani razvoj družbe;</w:t>
            </w:r>
          </w:p>
          <w:p w14:paraId="07178A01"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aktivnosti družbe na področju raziskav in razvoja,</w:t>
            </w:r>
          </w:p>
          <w:p w14:paraId="2D15F09A"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obstoj podružnic družbe.</w:t>
            </w:r>
          </w:p>
          <w:p w14:paraId="3DBC0C2D" w14:textId="77777777" w:rsidR="006D4AF3" w:rsidRPr="00605612" w:rsidRDefault="006D4AF3" w:rsidP="006D4AF3">
            <w:pPr>
              <w:pStyle w:val="Neotevilenodstavek"/>
              <w:spacing w:before="0" w:after="0" w:line="240" w:lineRule="auto"/>
              <w:rPr>
                <w:color w:val="000000" w:themeColor="text1"/>
                <w:sz w:val="20"/>
                <w:szCs w:val="20"/>
              </w:rPr>
            </w:pPr>
          </w:p>
          <w:p w14:paraId="722BF81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Če je to pomembno za presojo premoženja in obveznosti družbe, njenega finančnega položaja ter poslovnega izida, morajo biti v poslovnem poročilu prikazani tudi cilji in ukrepi upravljanja finančnih tveganj družbe, vključno z ukrepi za zavarovanje vseh najpomembnejših vrst načrtovanih transakcij, za katere se posli zavarovanja računovodsko posebej prikazujejo, ter izpostavljenost družbe cenovnim, kreditnim, likvidnostnim tveganjem in tveganjem v zvezi z denarnim tokom.</w:t>
            </w:r>
          </w:p>
          <w:p w14:paraId="1BD92063" w14:textId="77777777" w:rsidR="006D4AF3" w:rsidRPr="00605612" w:rsidRDefault="006D4AF3" w:rsidP="006D4AF3">
            <w:pPr>
              <w:pStyle w:val="Neotevilenodstavek"/>
              <w:spacing w:before="0" w:after="0" w:line="240" w:lineRule="auto"/>
              <w:rPr>
                <w:color w:val="000000" w:themeColor="text1"/>
                <w:sz w:val="20"/>
                <w:szCs w:val="20"/>
              </w:rPr>
            </w:pPr>
          </w:p>
          <w:p w14:paraId="73BC390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Družbe, ki so zavezane k reviziji, vključijo v svoje poslovno poročilo izjavo o upravljanju družbe. Izjava se vključi kot poseben oddelek poslovnega poročila in vsebuje vsaj naslednje:</w:t>
            </w:r>
          </w:p>
          <w:p w14:paraId="16E48AD3"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sklicevanje na:</w:t>
            </w:r>
          </w:p>
          <w:p w14:paraId="58AE8D01"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kodeks o upravljanju, ki velja za družbo, z navedbo podatka o javni dostopnosti besedila kodeksa,</w:t>
            </w:r>
          </w:p>
          <w:p w14:paraId="3B643CB9"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kodeks o upravljanju, ki ga je družba prostovoljno sklenila uporabljati, z navedbo podatka o javni dostopnosti besedila kodeksa in</w:t>
            </w:r>
          </w:p>
          <w:p w14:paraId="0F7A6B7D" w14:textId="77777777" w:rsidR="006D4AF3" w:rsidRPr="00605612" w:rsidRDefault="006D4AF3" w:rsidP="006D4AF3">
            <w:pPr>
              <w:pStyle w:val="Neotevilenodstavek"/>
              <w:numPr>
                <w:ilvl w:val="0"/>
                <w:numId w:val="52"/>
              </w:numPr>
              <w:spacing w:before="0" w:after="0" w:line="240" w:lineRule="auto"/>
              <w:rPr>
                <w:color w:val="000000" w:themeColor="text1"/>
                <w:sz w:val="20"/>
                <w:szCs w:val="20"/>
              </w:rPr>
            </w:pPr>
            <w:r w:rsidRPr="00605612">
              <w:rPr>
                <w:color w:val="000000" w:themeColor="text1"/>
                <w:sz w:val="20"/>
                <w:szCs w:val="20"/>
              </w:rPr>
              <w:t>vse ustrezne podatke o upravljanju, ki presega zahteve tega zakona, z navedbo, kje je njena praksa upravljanja javno dostopna;</w:t>
            </w:r>
          </w:p>
          <w:p w14:paraId="667A4B90"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podatke o obsegu odstopanja od kodeksov o upravljanju po prvi in drugi alineji prejšnje točke. Pri tem je treba razložiti, katerih delov kodeksa o upravljanju družba ne upošteva in o razlogih za to. Če družba ne uporablja nobene določbe kodeksov o upravljanju, je treba pojasniti razloge za neuporabo;</w:t>
            </w:r>
          </w:p>
          <w:p w14:paraId="7CB1B324"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opis glavnih značilnosti sistemov notranjih kontrol in upravljanja tveganj v družbi v povezavi s postopkom računovodskega poročanja;</w:t>
            </w:r>
          </w:p>
          <w:p w14:paraId="4832787E"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podatke iz 3., 4., 6., 8. in 9. točke šestega odstavka tega člena;</w:t>
            </w:r>
          </w:p>
          <w:p w14:paraId="534562E6"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podatke o delovanju skupščine družbe in njenih ključnih pristojnostih ter opis pravic delničarjev in načinu njihovega uveljavljanja;</w:t>
            </w:r>
          </w:p>
          <w:p w14:paraId="27EFE554"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podatke o sestavi in delovanju organov vodenja ali nadzora ter njihovih komisij;</w:t>
            </w:r>
          </w:p>
          <w:p w14:paraId="393D7DD7" w14:textId="77777777" w:rsidR="006D4AF3" w:rsidRPr="00605612" w:rsidRDefault="006D4AF3" w:rsidP="006D4AF3">
            <w:pPr>
              <w:pStyle w:val="Neotevilenodstavek"/>
              <w:numPr>
                <w:ilvl w:val="0"/>
                <w:numId w:val="55"/>
              </w:numPr>
              <w:spacing w:before="0" w:after="0" w:line="240" w:lineRule="auto"/>
              <w:rPr>
                <w:color w:val="000000" w:themeColor="text1"/>
                <w:sz w:val="20"/>
                <w:szCs w:val="20"/>
              </w:rPr>
            </w:pPr>
            <w:r w:rsidRPr="00605612">
              <w:rPr>
                <w:color w:val="000000" w:themeColor="text1"/>
                <w:sz w:val="20"/>
                <w:szCs w:val="20"/>
              </w:rPr>
              <w:t>opis politike raznolikosti, ki se izvaja v zvezi z zastopanostjo v organih vodenja ali nadzora družbe z vidika spola in drugih vidikov, kot so na primer starost ali izobrazba in poklicne izkušnje, in navedba ciljev, načina izvajanja ter doseženih rezultatov politike raznolikosti v obdobju poročanja. Opis politike raznolikosti z vidika spola vsebuje navedbo razmerja obeh spolov v organih vodenja ali nadzora družbe, ki je primerno za družbo glede na njeno velikost, cilje, ki jim družba sledi, in vpliv na postopke izbire članov organov vodenja ali nadzora družbe ter druge postopke v družbi. Če se politika raznolikosti v družbi ne izvaja, se v izjavi o upravljanju to obrazloži. Obrazložitev vsebuje navedbo, kdaj in kako bo družba oblikovala politiko raznolikosti.</w:t>
            </w:r>
          </w:p>
          <w:p w14:paraId="07116F09" w14:textId="77777777" w:rsidR="006D4AF3" w:rsidRPr="00605612" w:rsidRDefault="006D4AF3" w:rsidP="006D4AF3">
            <w:pPr>
              <w:pStyle w:val="Neotevilenodstavek"/>
              <w:spacing w:before="0" w:after="0" w:line="240" w:lineRule="auto"/>
              <w:rPr>
                <w:color w:val="000000" w:themeColor="text1"/>
                <w:sz w:val="20"/>
                <w:szCs w:val="20"/>
              </w:rPr>
            </w:pPr>
          </w:p>
          <w:p w14:paraId="42DD5C2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Izjavo o upravljanju lahko družba objavi kot ločeno poročilo, skupaj z letnim poročilom. V tem primeru mora biti v poslovnem poročilu navedeno, kje v elektronskem mediju družbe je dostopno besedilo izjave o upravljanju. Če se pripravi ločeno poročilo, lahko izjava o upravljanju vsebuje sklicevanje na poslovno poročilo, v katerem so na voljo zahtevani podatki iz 4. točke tega odstavka. Majhnim in srednjim družbam v izjavo o upravljanju ni potrebno vključiti podatkov iz 7. točke tega odstavka.</w:t>
            </w:r>
          </w:p>
          <w:p w14:paraId="4124FA44" w14:textId="77777777" w:rsidR="006D4AF3" w:rsidRPr="00605612" w:rsidRDefault="006D4AF3" w:rsidP="006D4AF3">
            <w:pPr>
              <w:pStyle w:val="Neotevilenodstavek"/>
              <w:spacing w:before="0" w:after="0" w:line="240" w:lineRule="auto"/>
              <w:rPr>
                <w:color w:val="000000" w:themeColor="text1"/>
                <w:sz w:val="20"/>
                <w:szCs w:val="20"/>
              </w:rPr>
            </w:pPr>
          </w:p>
          <w:p w14:paraId="42A1E21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lastRenderedPageBreak/>
              <w:t>(6) Poslovno poročilo družb, ki so zavezane k uporabi zakona, ki ureja prevzeme, mora vsebovati tudi podatke po stanju na zadnji dan poslovnega leta in vsa potrebna pojasnila o:</w:t>
            </w:r>
          </w:p>
          <w:p w14:paraId="576B4899"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strukturi osnovnega kapitala družbe, vključno z vsemi vrednostnimi papirji, kot jih določa zakon, ki ureja prevzeme, (v nadaljnjem besedilu tega odstavka: vrednostni papirji) družbe, ki niso uvrščeni na organiziran trg vrednostnih papirjev, zlasti z navedbo:</w:t>
            </w:r>
          </w:p>
          <w:p w14:paraId="49CCF0EB" w14:textId="77777777" w:rsidR="006D4AF3" w:rsidRPr="00605612" w:rsidRDefault="006D4AF3" w:rsidP="006D4AF3">
            <w:pPr>
              <w:pStyle w:val="Neotevilenodstavek"/>
              <w:numPr>
                <w:ilvl w:val="0"/>
                <w:numId w:val="57"/>
              </w:numPr>
              <w:spacing w:before="0" w:after="0" w:line="240" w:lineRule="auto"/>
              <w:rPr>
                <w:color w:val="000000" w:themeColor="text1"/>
                <w:sz w:val="20"/>
                <w:szCs w:val="20"/>
              </w:rPr>
            </w:pPr>
            <w:r w:rsidRPr="00605612">
              <w:rPr>
                <w:color w:val="000000" w:themeColor="text1"/>
                <w:sz w:val="20"/>
                <w:szCs w:val="20"/>
              </w:rPr>
              <w:t>pravic in obveznosti, ki jih zagotavljajo delnice ali delnice posameznega razreda, in</w:t>
            </w:r>
          </w:p>
          <w:p w14:paraId="56435152" w14:textId="77777777" w:rsidR="006D4AF3" w:rsidRPr="00605612" w:rsidRDefault="006D4AF3" w:rsidP="006D4AF3">
            <w:pPr>
              <w:pStyle w:val="Neotevilenodstavek"/>
              <w:numPr>
                <w:ilvl w:val="0"/>
                <w:numId w:val="57"/>
              </w:numPr>
              <w:spacing w:before="0" w:after="0" w:line="240" w:lineRule="auto"/>
              <w:rPr>
                <w:color w:val="000000" w:themeColor="text1"/>
                <w:sz w:val="20"/>
                <w:szCs w:val="20"/>
              </w:rPr>
            </w:pPr>
            <w:r w:rsidRPr="00605612">
              <w:rPr>
                <w:color w:val="000000" w:themeColor="text1"/>
                <w:sz w:val="20"/>
                <w:szCs w:val="20"/>
              </w:rPr>
              <w:t>če obstaja več razredov delnic, delež osnovnega kapitala, ki ga predstavlja posamezen razred;</w:t>
            </w:r>
          </w:p>
          <w:p w14:paraId="6F938A7B"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vseh omejitvah prenosa delnic, zlasti:</w:t>
            </w:r>
          </w:p>
          <w:p w14:paraId="0A348CC5"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omejitvah imetništva vrednostnih papirjev, in</w:t>
            </w:r>
          </w:p>
          <w:p w14:paraId="1D090D41"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potrebah po pridobitvi dovoljenja družbe ali drugih imetnikov vrednostnih papirjev za prenos delnic;</w:t>
            </w:r>
          </w:p>
          <w:p w14:paraId="7F4E261D"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pomembnem neposrednem in posrednem imetništvu vrednostnih papirjev družbe, v smislu doseganja kvalificiranega deleža, kot ga določa zakon, ki ureja prevzeme, in sicer:</w:t>
            </w:r>
          </w:p>
          <w:p w14:paraId="74192CE1" w14:textId="77777777" w:rsidR="006D4AF3" w:rsidRPr="00605612" w:rsidRDefault="006D4AF3" w:rsidP="006D4AF3">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ime in priimek ali firmo imetnika,</w:t>
            </w:r>
          </w:p>
          <w:p w14:paraId="04DBA7CE" w14:textId="77777777" w:rsidR="006D4AF3" w:rsidRPr="00605612" w:rsidRDefault="006D4AF3" w:rsidP="006D4AF3">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število vrednostnih papirjev in delež, ki ga predstavljajo v osnovnem kapitalu družbe, in</w:t>
            </w:r>
          </w:p>
          <w:p w14:paraId="79C14B3F" w14:textId="77777777" w:rsidR="006D4AF3" w:rsidRPr="00605612" w:rsidRDefault="006D4AF3" w:rsidP="006D4AF3">
            <w:pPr>
              <w:pStyle w:val="Neotevilenodstavek"/>
              <w:numPr>
                <w:ilvl w:val="0"/>
                <w:numId w:val="58"/>
              </w:numPr>
              <w:spacing w:before="0" w:after="0" w:line="240" w:lineRule="auto"/>
              <w:rPr>
                <w:color w:val="000000" w:themeColor="text1"/>
                <w:sz w:val="20"/>
                <w:szCs w:val="20"/>
              </w:rPr>
            </w:pPr>
            <w:r w:rsidRPr="00605612">
              <w:rPr>
                <w:color w:val="000000" w:themeColor="text1"/>
                <w:sz w:val="20"/>
                <w:szCs w:val="20"/>
              </w:rPr>
              <w:t>naravo imetništva.</w:t>
            </w:r>
          </w:p>
          <w:p w14:paraId="07709FA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Oseba je posredni imetnik vrednostnih papirjev, če jih ima druga oseba za njen račun, ali če lahko zagotovi, da se pravice iz njih izvršujejo v skladu z njeno voljo;</w:t>
            </w:r>
          </w:p>
          <w:p w14:paraId="06AAB05A"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vsakem imetniku vrednostnih papirjev, ki zagotavljajo posebne kontrolne pravice:</w:t>
            </w:r>
          </w:p>
          <w:p w14:paraId="5D3C33E0" w14:textId="77777777" w:rsidR="006D4AF3" w:rsidRPr="00605612" w:rsidRDefault="006D4AF3" w:rsidP="006D4AF3">
            <w:pPr>
              <w:pStyle w:val="Neotevilenodstavek"/>
              <w:numPr>
                <w:ilvl w:val="0"/>
                <w:numId w:val="59"/>
              </w:numPr>
              <w:spacing w:before="0" w:after="0" w:line="240" w:lineRule="auto"/>
              <w:rPr>
                <w:color w:val="000000" w:themeColor="text1"/>
                <w:sz w:val="20"/>
                <w:szCs w:val="20"/>
              </w:rPr>
            </w:pPr>
            <w:r w:rsidRPr="00605612">
              <w:rPr>
                <w:color w:val="000000" w:themeColor="text1"/>
                <w:sz w:val="20"/>
                <w:szCs w:val="20"/>
              </w:rPr>
              <w:t>ime in priimek ali firmo imetnika, in</w:t>
            </w:r>
          </w:p>
          <w:p w14:paraId="699F07A4" w14:textId="77777777" w:rsidR="006D4AF3" w:rsidRPr="00605612" w:rsidRDefault="006D4AF3" w:rsidP="006D4AF3">
            <w:pPr>
              <w:pStyle w:val="Neotevilenodstavek"/>
              <w:numPr>
                <w:ilvl w:val="0"/>
                <w:numId w:val="59"/>
              </w:numPr>
              <w:spacing w:before="0" w:after="0" w:line="240" w:lineRule="auto"/>
              <w:rPr>
                <w:color w:val="000000" w:themeColor="text1"/>
                <w:sz w:val="20"/>
                <w:szCs w:val="20"/>
              </w:rPr>
            </w:pPr>
            <w:r w:rsidRPr="00605612">
              <w:rPr>
                <w:color w:val="000000" w:themeColor="text1"/>
                <w:sz w:val="20"/>
                <w:szCs w:val="20"/>
              </w:rPr>
              <w:t>naravo pravic;</w:t>
            </w:r>
          </w:p>
          <w:p w14:paraId="14F514AB"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delniški shemi za delavce, če jo družba ima, delnic, na katere se le-ta nanaša, in o načinu izvajanja kontrole nad njo, če kontrolnih pravic ne izvajajo delavci neposredno;</w:t>
            </w:r>
          </w:p>
          <w:p w14:paraId="1926A1CA"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vseh omejitvah glasovalnih pravic, zlasti:</w:t>
            </w:r>
          </w:p>
          <w:p w14:paraId="7A1988AA" w14:textId="77777777" w:rsidR="006D4AF3" w:rsidRPr="00605612" w:rsidRDefault="006D4AF3" w:rsidP="006D4AF3">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omejitvah glasovalnih pravic na določen delež ali določeno število glasov,</w:t>
            </w:r>
          </w:p>
          <w:p w14:paraId="409CCA22" w14:textId="77777777" w:rsidR="006D4AF3" w:rsidRPr="00605612" w:rsidRDefault="006D4AF3" w:rsidP="006D4AF3">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rokih za izvajanje glasovalnih pravic, in</w:t>
            </w:r>
          </w:p>
          <w:p w14:paraId="5A03553D" w14:textId="77777777" w:rsidR="006D4AF3" w:rsidRPr="00605612" w:rsidRDefault="006D4AF3" w:rsidP="006D4AF3">
            <w:pPr>
              <w:pStyle w:val="Neotevilenodstavek"/>
              <w:numPr>
                <w:ilvl w:val="0"/>
                <w:numId w:val="60"/>
              </w:numPr>
              <w:spacing w:before="0" w:after="0" w:line="240" w:lineRule="auto"/>
              <w:rPr>
                <w:color w:val="000000" w:themeColor="text1"/>
                <w:sz w:val="20"/>
                <w:szCs w:val="20"/>
              </w:rPr>
            </w:pPr>
            <w:r w:rsidRPr="00605612">
              <w:rPr>
                <w:color w:val="000000" w:themeColor="text1"/>
                <w:sz w:val="20"/>
                <w:szCs w:val="20"/>
              </w:rPr>
              <w:t>dogovorih, pri katerih so s sodelovanjem družbe finančne pravice, ki izhajajo iz vrednostnih papirjev, ločene od lastništva vrednostnih papirjev;</w:t>
            </w:r>
          </w:p>
          <w:p w14:paraId="4CE9EBA9"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vseh družbi znanih dogovorih med delničarji, ki lahko povzročijo omejitev prenosa vrednostnih papirjev ali glasovalnih pravic;</w:t>
            </w:r>
          </w:p>
          <w:p w14:paraId="45029ED1"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pravilih družbe o:</w:t>
            </w:r>
          </w:p>
          <w:p w14:paraId="10938B66" w14:textId="77777777" w:rsidR="006D4AF3" w:rsidRPr="00605612" w:rsidRDefault="006D4AF3" w:rsidP="006D4AF3">
            <w:pPr>
              <w:pStyle w:val="Neotevilenodstavek"/>
              <w:numPr>
                <w:ilvl w:val="0"/>
                <w:numId w:val="61"/>
              </w:numPr>
              <w:spacing w:before="0" w:after="0" w:line="240" w:lineRule="auto"/>
              <w:rPr>
                <w:color w:val="000000" w:themeColor="text1"/>
                <w:sz w:val="20"/>
                <w:szCs w:val="20"/>
              </w:rPr>
            </w:pPr>
            <w:r w:rsidRPr="00605612">
              <w:rPr>
                <w:color w:val="000000" w:themeColor="text1"/>
                <w:sz w:val="20"/>
                <w:szCs w:val="20"/>
              </w:rPr>
              <w:t>imenovanju ter zamenjavi članov organov vodenja ali nadzora, in</w:t>
            </w:r>
          </w:p>
          <w:p w14:paraId="075788DF" w14:textId="77777777" w:rsidR="006D4AF3" w:rsidRPr="00605612" w:rsidRDefault="006D4AF3" w:rsidP="006D4AF3">
            <w:pPr>
              <w:pStyle w:val="Neotevilenodstavek"/>
              <w:numPr>
                <w:ilvl w:val="0"/>
                <w:numId w:val="61"/>
              </w:numPr>
              <w:spacing w:before="0" w:after="0" w:line="240" w:lineRule="auto"/>
              <w:rPr>
                <w:color w:val="000000" w:themeColor="text1"/>
                <w:sz w:val="20"/>
                <w:szCs w:val="20"/>
              </w:rPr>
            </w:pPr>
            <w:r w:rsidRPr="00605612">
              <w:rPr>
                <w:color w:val="000000" w:themeColor="text1"/>
                <w:sz w:val="20"/>
                <w:szCs w:val="20"/>
              </w:rPr>
              <w:t>spremembah statuta;</w:t>
            </w:r>
          </w:p>
          <w:p w14:paraId="442A8B0F"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pooblastilih članov poslovodstva, zlasti pooblastilih za izdajo ali nakup lastnih delnic;</w:t>
            </w:r>
          </w:p>
          <w:p w14:paraId="2F259332"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vseh pomembnih dogovorih, katerih stranka je družba, ki pričnejo učinkovati, se spremenijo ali prenehajo na podlagi spremembe kontrole v družbi, ki je posledica ponudbe, kot jo določa zakon, ki ureja prevzeme, in učinke takšnih dogovorov. To ni potrebno, če bi razkritje dogovora družbi lahko pomembno škodovalo, razen če je družba zavezana k razkritju dogovorov na podlagi drugih predpisov;</w:t>
            </w:r>
          </w:p>
          <w:p w14:paraId="4F8CA959" w14:textId="77777777" w:rsidR="006D4AF3" w:rsidRPr="00605612" w:rsidRDefault="006D4AF3" w:rsidP="006D4AF3">
            <w:pPr>
              <w:pStyle w:val="Neotevilenodstavek"/>
              <w:numPr>
                <w:ilvl w:val="0"/>
                <w:numId w:val="56"/>
              </w:numPr>
              <w:spacing w:before="0" w:after="0" w:line="240" w:lineRule="auto"/>
              <w:rPr>
                <w:color w:val="000000" w:themeColor="text1"/>
                <w:sz w:val="20"/>
                <w:szCs w:val="20"/>
              </w:rPr>
            </w:pPr>
            <w:r w:rsidRPr="00605612">
              <w:rPr>
                <w:color w:val="000000" w:themeColor="text1"/>
                <w:sz w:val="20"/>
                <w:szCs w:val="20"/>
              </w:rPr>
              <w:t>vseh dogovorih med družbo in člani njenega organa vodenja ali nadzora ali delavci, ki predvidevajo nadomestilo, če ti zaradi ponudbe, kot jo določa zakon, ki ureja prevzeme:</w:t>
            </w:r>
          </w:p>
          <w:p w14:paraId="6249A069" w14:textId="77777777" w:rsidR="006D4AF3" w:rsidRPr="00605612" w:rsidRDefault="006D4AF3" w:rsidP="006D4AF3">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odstopijo,</w:t>
            </w:r>
          </w:p>
          <w:p w14:paraId="3D9BB742" w14:textId="77777777" w:rsidR="006D4AF3" w:rsidRPr="00605612" w:rsidRDefault="006D4AF3" w:rsidP="006D4AF3">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so odpuščeni brez utemeljenega razloga, ali</w:t>
            </w:r>
          </w:p>
          <w:p w14:paraId="19D23406" w14:textId="77777777" w:rsidR="006D4AF3" w:rsidRPr="00605612" w:rsidRDefault="006D4AF3" w:rsidP="006D4AF3">
            <w:pPr>
              <w:pStyle w:val="Neotevilenodstavek"/>
              <w:numPr>
                <w:ilvl w:val="0"/>
                <w:numId w:val="62"/>
              </w:numPr>
              <w:spacing w:before="0" w:after="0" w:line="240" w:lineRule="auto"/>
              <w:rPr>
                <w:color w:val="000000" w:themeColor="text1"/>
                <w:sz w:val="20"/>
                <w:szCs w:val="20"/>
              </w:rPr>
            </w:pPr>
            <w:r w:rsidRPr="00605612">
              <w:rPr>
                <w:color w:val="000000" w:themeColor="text1"/>
                <w:sz w:val="20"/>
                <w:szCs w:val="20"/>
              </w:rPr>
              <w:t>njihovo delovno razmerje preneha.</w:t>
            </w:r>
          </w:p>
          <w:p w14:paraId="302283E0" w14:textId="77777777" w:rsidR="006D4AF3" w:rsidRPr="00605612" w:rsidRDefault="006D4AF3" w:rsidP="006D4AF3">
            <w:pPr>
              <w:pStyle w:val="Neotevilenodstavek"/>
              <w:spacing w:before="0" w:after="0" w:line="240" w:lineRule="auto"/>
              <w:rPr>
                <w:color w:val="000000" w:themeColor="text1"/>
                <w:sz w:val="20"/>
                <w:szCs w:val="20"/>
              </w:rPr>
            </w:pPr>
          </w:p>
          <w:p w14:paraId="3729FCF8"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70.c člen</w:t>
            </w:r>
          </w:p>
          <w:p w14:paraId="60DA92B4"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(posebne določbe za subjekte javnega interesa)</w:t>
            </w:r>
          </w:p>
          <w:p w14:paraId="3C3AF0B6" w14:textId="77777777" w:rsidR="006D4AF3" w:rsidRPr="00605612" w:rsidRDefault="006D4AF3" w:rsidP="006D4AF3">
            <w:pPr>
              <w:pStyle w:val="Neotevilenodstavek"/>
              <w:spacing w:before="0" w:after="0" w:line="240" w:lineRule="auto"/>
              <w:rPr>
                <w:color w:val="000000" w:themeColor="text1"/>
                <w:sz w:val="20"/>
                <w:szCs w:val="20"/>
              </w:rPr>
            </w:pPr>
          </w:p>
          <w:p w14:paraId="3C31507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Subjekt javnega interesa, katerega povprečno število zaposlenih v poslovnem letu je na bilančni presečni dan večje od 500, vključi v svoje poslovno poročilo tudi izjavo o nefinančnem poslovanju, ki, kolikor je potrebno za razumevanje razvoja, uspešnosti in položaja družbe ter učinka njenih dejavnosti, vsebuje vsaj informacije o okoljskih, socialnih in kadrovskih zadevah, spoštovanju človekovih pravic ter v zadevah v zvezi z bojem proti korupciji in podkupovanju, vključno s:</w:t>
            </w:r>
          </w:p>
          <w:p w14:paraId="4AE95AC5"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kratkim opisom poslovnega modela družbe;</w:t>
            </w:r>
          </w:p>
          <w:p w14:paraId="754C1A78"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opisom politik družbe glede navedenih zadev, med drugim v zvezi z izvajanjem postopkov skrbnega pregleda;</w:t>
            </w:r>
          </w:p>
          <w:p w14:paraId="03A064CF"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rezultati teh politik;</w:t>
            </w:r>
          </w:p>
          <w:p w14:paraId="3B480C60"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 xml:space="preserve">glavnimi tveganji v zvezi z navedenimi zadevami, ki so povezana z dejavnostmi družbe, vključno z njenimi poslovnimi odnosi, proizvodi ali storitvami, kadar je to ustrezno in sorazmerno, ki bi </w:t>
            </w:r>
            <w:r w:rsidRPr="00605612">
              <w:rPr>
                <w:color w:val="000000" w:themeColor="text1"/>
                <w:sz w:val="20"/>
                <w:szCs w:val="20"/>
              </w:rPr>
              <w:lastRenderedPageBreak/>
              <w:t>lahko povzročili resne škodljive učinke na teh področjih, ter načini, kako družba upravlja ta tveganja in</w:t>
            </w:r>
          </w:p>
          <w:p w14:paraId="560F9B09"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ključnimi nefinančnimi kazalniki uspešnosti, pomembnimi za posamezne dejavnosti.</w:t>
            </w:r>
          </w:p>
          <w:p w14:paraId="2FBB9225" w14:textId="77777777" w:rsidR="006D4AF3" w:rsidRPr="00605612" w:rsidRDefault="006D4AF3" w:rsidP="006D4AF3">
            <w:pPr>
              <w:pStyle w:val="Neotevilenodstavek"/>
              <w:spacing w:before="0" w:after="0" w:line="240" w:lineRule="auto"/>
              <w:rPr>
                <w:color w:val="000000" w:themeColor="text1"/>
                <w:sz w:val="20"/>
                <w:szCs w:val="20"/>
              </w:rPr>
            </w:pPr>
          </w:p>
          <w:p w14:paraId="49E2622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Če družba katere od navedenih politik ne izvaja, to v izjavi o nefinančnem poslovanju jasno in utemeljeno obrazloži.</w:t>
            </w:r>
          </w:p>
          <w:p w14:paraId="0CDCE577" w14:textId="77777777" w:rsidR="006D4AF3" w:rsidRPr="00605612" w:rsidRDefault="006D4AF3" w:rsidP="006D4AF3">
            <w:pPr>
              <w:pStyle w:val="Neotevilenodstavek"/>
              <w:spacing w:before="0" w:after="0" w:line="240" w:lineRule="auto"/>
              <w:rPr>
                <w:color w:val="000000" w:themeColor="text1"/>
                <w:sz w:val="20"/>
                <w:szCs w:val="20"/>
              </w:rPr>
            </w:pPr>
          </w:p>
          <w:p w14:paraId="115BB18B"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Kadar je to mogoče, izjava o nefinančnem poslovanju vključuje ustrezno sklicevanje na zneske v računovodskih izkazih in potrebna dodatna pojasnila.</w:t>
            </w:r>
          </w:p>
          <w:p w14:paraId="05B6D487" w14:textId="77777777" w:rsidR="006D4AF3" w:rsidRPr="00605612" w:rsidRDefault="006D4AF3" w:rsidP="006D4AF3">
            <w:pPr>
              <w:pStyle w:val="Neotevilenodstavek"/>
              <w:spacing w:before="0" w:after="0" w:line="240" w:lineRule="auto"/>
              <w:rPr>
                <w:color w:val="000000" w:themeColor="text1"/>
                <w:sz w:val="20"/>
                <w:szCs w:val="20"/>
              </w:rPr>
            </w:pPr>
          </w:p>
          <w:p w14:paraId="5203E6E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Družba lahko razkrije informacije iz prvega odstavka tega člena na podlagi tega zakona, drugih nacionalnih okvirov, okvirov Evropske unije ali mednarodnih okvirov. V tem primeru navede, katere okvire je uporabila.</w:t>
            </w:r>
          </w:p>
          <w:p w14:paraId="7ABE1E08" w14:textId="77777777" w:rsidR="006D4AF3" w:rsidRPr="00605612" w:rsidRDefault="006D4AF3" w:rsidP="006D4AF3">
            <w:pPr>
              <w:pStyle w:val="Neotevilenodstavek"/>
              <w:spacing w:before="0" w:after="0" w:line="240" w:lineRule="auto"/>
              <w:rPr>
                <w:color w:val="000000" w:themeColor="text1"/>
                <w:sz w:val="20"/>
                <w:szCs w:val="20"/>
              </w:rPr>
            </w:pPr>
          </w:p>
          <w:p w14:paraId="6A930B3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Družbi ni treba izkazati informacij iz prvega odstavka tega člena v izjemnih primerih, na podlagi ustrezno utemeljenega mnenja članov organa vodenja ali nadzora družbe, če gre za razkritje informacij o 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p w14:paraId="262350EC" w14:textId="77777777" w:rsidR="006D4AF3" w:rsidRPr="00605612" w:rsidRDefault="006D4AF3" w:rsidP="006D4AF3">
            <w:pPr>
              <w:pStyle w:val="Neotevilenodstavek"/>
              <w:spacing w:before="0" w:after="0" w:line="240" w:lineRule="auto"/>
              <w:rPr>
                <w:color w:val="000000" w:themeColor="text1"/>
                <w:sz w:val="20"/>
                <w:szCs w:val="20"/>
              </w:rPr>
            </w:pPr>
          </w:p>
          <w:p w14:paraId="33E429D4"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Ne glede na določbo prvega odstavka tega člena, lahko družba izjavo o nefinančnem poslovanju pripravi kot ločeno poročilo. V tem primeru se ločeno poročilo objavi skupaj s poslovnim poročilom, ali pa se ločeno poročilo objavi na spletni strani družbe, v razumnem roku, ki ne presega šestih mesecev po dnevu bilance stanja, poslovno poročilo pa se nanj sklicuje.</w:t>
            </w:r>
          </w:p>
          <w:p w14:paraId="5325776A" w14:textId="77777777" w:rsidR="006D4AF3" w:rsidRPr="00605612" w:rsidRDefault="006D4AF3" w:rsidP="006D4AF3">
            <w:pPr>
              <w:pStyle w:val="Neotevilenodstavek"/>
              <w:spacing w:before="0" w:after="0" w:line="240" w:lineRule="auto"/>
              <w:rPr>
                <w:color w:val="000000" w:themeColor="text1"/>
                <w:sz w:val="20"/>
                <w:szCs w:val="20"/>
              </w:rPr>
            </w:pPr>
          </w:p>
          <w:p w14:paraId="5F630FB2"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Odvisni družbi, ki je vključena v konsolidirano poslovno poročilo obvladujoče družbe ali ločeno poročilo te obvladujoče ali druge družbe, ni treba izpolniti obveznosti iz prvega odstavka tega člena.</w:t>
            </w:r>
          </w:p>
          <w:p w14:paraId="765E18F8" w14:textId="77777777" w:rsidR="006D4AF3" w:rsidRPr="00605612" w:rsidRDefault="006D4AF3" w:rsidP="006D4AF3">
            <w:pPr>
              <w:pStyle w:val="Neotevilenodstavek"/>
              <w:spacing w:before="0" w:after="0" w:line="240" w:lineRule="auto"/>
              <w:rPr>
                <w:color w:val="000000" w:themeColor="text1"/>
                <w:sz w:val="20"/>
                <w:szCs w:val="20"/>
              </w:rPr>
            </w:pPr>
          </w:p>
          <w:p w14:paraId="12F0E53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Če družba izpolni zahteve iz prvega ali petega odstavka tega člena, se šteje, da je izpolnila tudi obveznost iz drugega odstavka 70. člena tega zakona glede analize nefinančnih informacij.</w:t>
            </w:r>
          </w:p>
          <w:p w14:paraId="3E966A63" w14:textId="77777777" w:rsidR="006D4AF3" w:rsidRPr="00605612" w:rsidRDefault="006D4AF3" w:rsidP="006D4AF3">
            <w:pPr>
              <w:pStyle w:val="Neotevilenodstavek"/>
              <w:spacing w:before="0" w:after="0" w:line="240" w:lineRule="auto"/>
              <w:rPr>
                <w:color w:val="000000" w:themeColor="text1"/>
                <w:sz w:val="20"/>
                <w:szCs w:val="20"/>
              </w:rPr>
            </w:pPr>
          </w:p>
          <w:p w14:paraId="2B7C3806"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71. člen</w:t>
            </w:r>
          </w:p>
          <w:p w14:paraId="577E12C6"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(uporaba določb tega zakona za podjetnika)</w:t>
            </w:r>
          </w:p>
          <w:p w14:paraId="1AA3128B" w14:textId="77777777" w:rsidR="006D4AF3" w:rsidRPr="00605612" w:rsidRDefault="006D4AF3" w:rsidP="006D4AF3">
            <w:pPr>
              <w:pStyle w:val="Neotevilenodstavek"/>
              <w:spacing w:before="0" w:after="0" w:line="240" w:lineRule="auto"/>
              <w:rPr>
                <w:color w:val="000000" w:themeColor="text1"/>
                <w:sz w:val="20"/>
                <w:szCs w:val="20"/>
              </w:rPr>
            </w:pPr>
          </w:p>
          <w:p w14:paraId="7D0B257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Za podjetnika se smiselno uporabljajo določbe tega zakona o:</w:t>
            </w:r>
          </w:p>
          <w:p w14:paraId="2FA8AD81"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dejavnosti (6. člen),</w:t>
            </w:r>
          </w:p>
          <w:p w14:paraId="75150A19"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firmi (12. do 23. člen),</w:t>
            </w:r>
          </w:p>
          <w:p w14:paraId="433151ED"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sedežu (29. in prvi odstavek 30. člena),</w:t>
            </w:r>
          </w:p>
          <w:p w14:paraId="5620B9DA"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podružnici (31. člen) in</w:t>
            </w:r>
          </w:p>
          <w:p w14:paraId="4086C859" w14:textId="77777777" w:rsidR="006D4AF3" w:rsidRPr="00605612" w:rsidRDefault="006D4AF3" w:rsidP="006D4AF3">
            <w:pPr>
              <w:pStyle w:val="Neotevilenodstavek"/>
              <w:numPr>
                <w:ilvl w:val="0"/>
                <w:numId w:val="63"/>
              </w:numPr>
              <w:spacing w:before="0" w:after="0" w:line="240" w:lineRule="auto"/>
              <w:rPr>
                <w:color w:val="000000" w:themeColor="text1"/>
                <w:sz w:val="20"/>
                <w:szCs w:val="20"/>
              </w:rPr>
            </w:pPr>
            <w:r w:rsidRPr="00605612">
              <w:rPr>
                <w:color w:val="000000" w:themeColor="text1"/>
                <w:sz w:val="20"/>
                <w:szCs w:val="20"/>
              </w:rPr>
              <w:t>prokuri (33. do 37. člen).</w:t>
            </w:r>
          </w:p>
          <w:p w14:paraId="0DC0C43E" w14:textId="77777777" w:rsidR="006D4AF3" w:rsidRPr="00605612" w:rsidRDefault="006D4AF3" w:rsidP="006D4AF3">
            <w:pPr>
              <w:pStyle w:val="Neotevilenodstavek"/>
              <w:spacing w:before="0" w:after="0" w:line="240" w:lineRule="auto"/>
              <w:rPr>
                <w:color w:val="000000" w:themeColor="text1"/>
                <w:sz w:val="20"/>
                <w:szCs w:val="20"/>
              </w:rPr>
            </w:pPr>
          </w:p>
          <w:p w14:paraId="3735440F"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72. člen</w:t>
            </w:r>
          </w:p>
          <w:p w14:paraId="1180BC82"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(posebne določbe o podjetniku)</w:t>
            </w:r>
          </w:p>
          <w:p w14:paraId="12CC7E87" w14:textId="77777777" w:rsidR="006D4AF3" w:rsidRPr="00605612" w:rsidRDefault="006D4AF3" w:rsidP="006D4AF3">
            <w:pPr>
              <w:pStyle w:val="Neotevilenodstavek"/>
              <w:spacing w:before="0" w:after="0" w:line="240" w:lineRule="auto"/>
              <w:rPr>
                <w:color w:val="000000" w:themeColor="text1"/>
                <w:sz w:val="20"/>
                <w:szCs w:val="20"/>
              </w:rPr>
            </w:pPr>
          </w:p>
          <w:p w14:paraId="4A1EB67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Firma podjetnika vsebuje ime in priimek podjetnika, skrajšano oznako, da gre za samostojnega podjetnika (s.p.), oznako dejavnosti in morebitne dodatne sestavine. Firma podružnice podjetnika mora vsebovati tudi njegovo ime, priimek in oznako, da gre za podružnico.</w:t>
            </w:r>
          </w:p>
          <w:p w14:paraId="174AE0A1" w14:textId="77777777" w:rsidR="006D4AF3" w:rsidRPr="00605612" w:rsidRDefault="006D4AF3" w:rsidP="006D4AF3">
            <w:pPr>
              <w:pStyle w:val="Neotevilenodstavek"/>
              <w:spacing w:before="0" w:after="0" w:line="240" w:lineRule="auto"/>
              <w:rPr>
                <w:color w:val="000000" w:themeColor="text1"/>
                <w:sz w:val="20"/>
                <w:szCs w:val="20"/>
              </w:rPr>
            </w:pPr>
          </w:p>
          <w:p w14:paraId="2E983B7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Podjetnik lahko uporablja tudi skrajšano ﬁrmo, ki vsebuje vsaj njegovo ime, priimek in oznako s.p..</w:t>
            </w:r>
          </w:p>
          <w:p w14:paraId="212DCF79" w14:textId="77777777" w:rsidR="006D4AF3" w:rsidRPr="00605612" w:rsidRDefault="006D4AF3" w:rsidP="006D4AF3">
            <w:pPr>
              <w:pStyle w:val="Neotevilenodstavek"/>
              <w:spacing w:before="0" w:after="0" w:line="240" w:lineRule="auto"/>
              <w:rPr>
                <w:color w:val="000000" w:themeColor="text1"/>
                <w:sz w:val="20"/>
                <w:szCs w:val="20"/>
              </w:rPr>
            </w:pPr>
          </w:p>
          <w:p w14:paraId="757D11D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Če podjetnik podjetje proda ali vloži v družbo, lahko kupec ali družba še naprej uporablja v ﬁrmi tudi ime in priimek podjetnika le, če s tem izrecno soglaša.</w:t>
            </w:r>
          </w:p>
          <w:p w14:paraId="5A238BB3" w14:textId="77777777" w:rsidR="006D4AF3" w:rsidRPr="00605612" w:rsidRDefault="006D4AF3" w:rsidP="006D4AF3">
            <w:pPr>
              <w:pStyle w:val="Neotevilenodstavek"/>
              <w:spacing w:before="0" w:after="0" w:line="240" w:lineRule="auto"/>
              <w:rPr>
                <w:color w:val="000000" w:themeColor="text1"/>
                <w:sz w:val="20"/>
                <w:szCs w:val="20"/>
              </w:rPr>
            </w:pPr>
          </w:p>
          <w:p w14:paraId="20B33D41"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Če podjetnik umre, lahko podjetnikov dedič, ki nadaljuje zapustnikovo podjetje, v ﬁrmi še naprej uporablja tudi ime in priimek zapustnika. Z nadaljevanjem zapustnikovega podjetja preidejo na podjetnikovega dediča podjetje podjetnika ter pravice in obveznosti podjetnika v zvezi s podjetjem. Podjetnikov dedič kot univerzalni pravni naslednik vstopi v vsa pravna razmerja v zvezi s prenesenim podjetjem podjetnika in se v skladu s 74. členom tega zakona vpiše kot podjetnik.</w:t>
            </w:r>
          </w:p>
          <w:p w14:paraId="17419752" w14:textId="77777777" w:rsidR="006D4AF3" w:rsidRPr="00605612" w:rsidRDefault="006D4AF3" w:rsidP="006D4AF3">
            <w:pPr>
              <w:pStyle w:val="Neotevilenodstavek"/>
              <w:spacing w:before="0" w:after="0" w:line="240" w:lineRule="auto"/>
              <w:rPr>
                <w:color w:val="000000" w:themeColor="text1"/>
                <w:sz w:val="20"/>
                <w:szCs w:val="20"/>
              </w:rPr>
            </w:pPr>
          </w:p>
          <w:p w14:paraId="4A56DAD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lastRenderedPageBreak/>
              <w:t>(5) Na sporočilih, ki jih podjetnik pošlje posameznemu naslovniku, morajo biti navedeni ﬁrma in sedež podjetnika ter njegova matična številka.</w:t>
            </w:r>
          </w:p>
          <w:p w14:paraId="011535FB" w14:textId="77777777" w:rsidR="006D4AF3" w:rsidRPr="00605612" w:rsidRDefault="006D4AF3" w:rsidP="006D4AF3">
            <w:pPr>
              <w:pStyle w:val="Neotevilenodstavek"/>
              <w:spacing w:before="0" w:after="0" w:line="240" w:lineRule="auto"/>
              <w:rPr>
                <w:color w:val="000000" w:themeColor="text1"/>
                <w:sz w:val="20"/>
                <w:szCs w:val="20"/>
              </w:rPr>
            </w:pPr>
          </w:p>
          <w:p w14:paraId="25C49E8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Na sporočilih, ki se pošiljajo v okviru obstoječih poslovnih stikov, morata biti navedena le ﬁrma in sedež. Naročilnice se štejejo za sporočila iz prejšnjega odstavka.</w:t>
            </w:r>
          </w:p>
          <w:p w14:paraId="03033BD4" w14:textId="77777777" w:rsidR="006D4AF3" w:rsidRPr="00605612" w:rsidRDefault="006D4AF3" w:rsidP="006D4AF3">
            <w:pPr>
              <w:pStyle w:val="Neotevilenodstavek"/>
              <w:spacing w:before="0" w:after="0" w:line="240" w:lineRule="auto"/>
              <w:rPr>
                <w:color w:val="000000" w:themeColor="text1"/>
                <w:sz w:val="20"/>
                <w:szCs w:val="20"/>
              </w:rPr>
            </w:pPr>
          </w:p>
          <w:p w14:paraId="2E1AE04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(7) Prokura ne preneha s smrtjo ali izgubo poslovne sposobnosti podjetnika.</w:t>
            </w:r>
          </w:p>
          <w:p w14:paraId="581A3AED" w14:textId="77777777" w:rsidR="006D4AF3" w:rsidRPr="00605612" w:rsidRDefault="006D4AF3" w:rsidP="006D4AF3">
            <w:pPr>
              <w:pStyle w:val="Neotevilenodstavek"/>
              <w:spacing w:before="0" w:after="0" w:line="240" w:lineRule="auto"/>
              <w:rPr>
                <w:color w:val="000000" w:themeColor="text1"/>
                <w:sz w:val="20"/>
                <w:szCs w:val="20"/>
              </w:rPr>
            </w:pPr>
          </w:p>
          <w:p w14:paraId="0153815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(8) Podjetnik lahko imenuje zastopnika za primer smrti, ki je od trenutka smrti podjetnika pooblaščen za opravljanje vseh pravnih dejanj, ki spadajo v redno poslovanje podjetnika. Dedič podjetnika lahko to pooblastilo vsak čas prekliče. Podelitev in prenehanje tega pooblastila se mora vpisati v Poslovni register Slovenije.</w:t>
            </w:r>
          </w:p>
          <w:p w14:paraId="7B966DC0" w14:textId="77777777" w:rsidR="006D4AF3" w:rsidRPr="00605612" w:rsidRDefault="006D4AF3" w:rsidP="006D4AF3">
            <w:pPr>
              <w:pStyle w:val="Neotevilenodstavek"/>
              <w:spacing w:before="0" w:after="0" w:line="240" w:lineRule="auto"/>
              <w:rPr>
                <w:color w:val="000000" w:themeColor="text1"/>
                <w:sz w:val="20"/>
                <w:szCs w:val="20"/>
              </w:rPr>
            </w:pPr>
          </w:p>
          <w:p w14:paraId="54FD5BF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(9) Če podjetnik nima zastopnika za primer smrti ali prokurista, podjetniku zastopnika v primeru njegove smrti, trajne ali dolgotrajne nezmožnosti za delo ali v drugih nujnih primerih, na predlog imenuje sodišče v nepravdnem postopku. Predlog lahko vloži vsakdo, ki ima pravni interes. Funkcija sodno imenovanega zastopnika preneha najkasneje s potekom obdobja, za katerega je bil imenovan s strani sodišča, ali z imenovanjem novega zastopnika s strani dedičev. Sodno imenovani zastopnik ima pravico do plačila za delo in poravnave stroškov, ki jih določi sodišče.</w:t>
            </w:r>
          </w:p>
          <w:p w14:paraId="16BD991A" w14:textId="77777777" w:rsidR="006D4AF3" w:rsidRDefault="006D4AF3" w:rsidP="006D4AF3">
            <w:pPr>
              <w:pStyle w:val="Neotevilenodstavek"/>
              <w:spacing w:before="0" w:after="0" w:line="240" w:lineRule="auto"/>
              <w:rPr>
                <w:color w:val="000000" w:themeColor="text1"/>
                <w:sz w:val="20"/>
                <w:szCs w:val="20"/>
              </w:rPr>
            </w:pPr>
          </w:p>
          <w:p w14:paraId="02A73EC9" w14:textId="77777777" w:rsidR="006D4AF3" w:rsidRPr="00A04B73" w:rsidRDefault="006D4AF3" w:rsidP="006D4AF3">
            <w:pPr>
              <w:pStyle w:val="Neotevilenodstavek"/>
              <w:spacing w:line="240" w:lineRule="auto"/>
              <w:jc w:val="center"/>
              <w:rPr>
                <w:b/>
                <w:bCs/>
                <w:color w:val="000000" w:themeColor="text1"/>
                <w:sz w:val="20"/>
                <w:szCs w:val="20"/>
              </w:rPr>
            </w:pPr>
            <w:r w:rsidRPr="00A04B73">
              <w:rPr>
                <w:b/>
                <w:bCs/>
                <w:color w:val="000000" w:themeColor="text1"/>
                <w:sz w:val="20"/>
                <w:szCs w:val="20"/>
              </w:rPr>
              <w:t>168.a člen</w:t>
            </w:r>
            <w:r>
              <w:rPr>
                <w:b/>
                <w:bCs/>
                <w:color w:val="000000" w:themeColor="text1"/>
                <w:sz w:val="20"/>
                <w:szCs w:val="20"/>
              </w:rPr>
              <w:br/>
            </w:r>
            <w:r w:rsidRPr="00A04B73">
              <w:rPr>
                <w:b/>
                <w:bCs/>
                <w:color w:val="000000" w:themeColor="text1"/>
                <w:sz w:val="20"/>
                <w:szCs w:val="20"/>
              </w:rPr>
              <w:t>(pomen pojmov)</w:t>
            </w:r>
          </w:p>
          <w:p w14:paraId="65204B4E" w14:textId="77777777" w:rsidR="006D4AF3" w:rsidRDefault="006D4AF3" w:rsidP="006D4AF3">
            <w:pPr>
              <w:pStyle w:val="Neotevilenodstavek"/>
              <w:spacing w:line="240" w:lineRule="auto"/>
              <w:rPr>
                <w:color w:val="000000" w:themeColor="text1"/>
                <w:sz w:val="20"/>
                <w:szCs w:val="20"/>
              </w:rPr>
            </w:pPr>
          </w:p>
          <w:p w14:paraId="22F5E893" w14:textId="77777777" w:rsidR="006D4AF3" w:rsidRPr="00A04B73" w:rsidRDefault="006D4AF3" w:rsidP="006D4AF3">
            <w:pPr>
              <w:pStyle w:val="Neotevilenodstavek"/>
              <w:spacing w:line="240" w:lineRule="auto"/>
              <w:rPr>
                <w:color w:val="000000" w:themeColor="text1"/>
                <w:sz w:val="20"/>
                <w:szCs w:val="20"/>
              </w:rPr>
            </w:pPr>
            <w:r w:rsidRPr="00A04B73">
              <w:rPr>
                <w:color w:val="000000" w:themeColor="text1"/>
                <w:sz w:val="20"/>
                <w:szCs w:val="20"/>
              </w:rPr>
              <w:t>(1) Izraza, uporabljena v tem poglavju, imata naslednji pomen:</w:t>
            </w:r>
          </w:p>
          <w:p w14:paraId="4EE815D6" w14:textId="77777777" w:rsidR="006D4AF3" w:rsidRPr="00A04B73" w:rsidRDefault="006D4AF3" w:rsidP="006D4AF3">
            <w:pPr>
              <w:pStyle w:val="Neotevilenodstavek"/>
              <w:numPr>
                <w:ilvl w:val="0"/>
                <w:numId w:val="109"/>
              </w:numPr>
              <w:spacing w:line="240" w:lineRule="auto"/>
              <w:rPr>
                <w:color w:val="000000" w:themeColor="text1"/>
                <w:sz w:val="20"/>
                <w:szCs w:val="20"/>
              </w:rPr>
            </w:pPr>
            <w:r w:rsidRPr="00A04B73">
              <w:rPr>
                <w:color w:val="000000" w:themeColor="text1"/>
                <w:sz w:val="20"/>
                <w:szCs w:val="20"/>
              </w:rPr>
              <w:t>»posrednik« je:</w:t>
            </w:r>
          </w:p>
          <w:p w14:paraId="389A82B1" w14:textId="77777777" w:rsidR="006D4AF3" w:rsidRPr="00A04B73" w:rsidRDefault="006D4AF3" w:rsidP="006D4AF3">
            <w:pPr>
              <w:pStyle w:val="Neotevilenodstavek"/>
              <w:numPr>
                <w:ilvl w:val="0"/>
                <w:numId w:val="63"/>
              </w:numPr>
              <w:spacing w:line="240" w:lineRule="auto"/>
              <w:ind w:left="720"/>
              <w:rPr>
                <w:color w:val="000000" w:themeColor="text1"/>
                <w:sz w:val="20"/>
                <w:szCs w:val="20"/>
              </w:rPr>
            </w:pPr>
            <w:r w:rsidRPr="00A04B73">
              <w:rPr>
                <w:color w:val="000000" w:themeColor="text1"/>
                <w:sz w:val="20"/>
                <w:szCs w:val="20"/>
              </w:rPr>
              <w:t>investicijsko podjetje, kot je določeno v zakonu, ki ureja trg finančnih instrumentov,</w:t>
            </w:r>
          </w:p>
          <w:p w14:paraId="1A9492E0" w14:textId="77777777" w:rsidR="006D4AF3" w:rsidRPr="00A04B73" w:rsidRDefault="006D4AF3" w:rsidP="006D4AF3">
            <w:pPr>
              <w:pStyle w:val="Neotevilenodstavek"/>
              <w:numPr>
                <w:ilvl w:val="0"/>
                <w:numId w:val="63"/>
              </w:numPr>
              <w:spacing w:line="240" w:lineRule="auto"/>
              <w:ind w:left="720"/>
              <w:rPr>
                <w:color w:val="000000" w:themeColor="text1"/>
                <w:sz w:val="20"/>
                <w:szCs w:val="20"/>
              </w:rPr>
            </w:pPr>
            <w:r w:rsidRPr="00A04B73">
              <w:rPr>
                <w:color w:val="000000" w:themeColor="text1"/>
                <w:sz w:val="20"/>
                <w:szCs w:val="20"/>
              </w:rPr>
              <w:t>kreditna institucija, kot je določeno v 1. točki prvega odstavka 4. člena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in</w:t>
            </w:r>
          </w:p>
          <w:p w14:paraId="50D3554B" w14:textId="77777777" w:rsidR="006D4AF3" w:rsidRDefault="006D4AF3" w:rsidP="006D4AF3">
            <w:pPr>
              <w:pStyle w:val="Neotevilenodstavek"/>
              <w:numPr>
                <w:ilvl w:val="0"/>
                <w:numId w:val="63"/>
              </w:numPr>
              <w:spacing w:line="240" w:lineRule="auto"/>
              <w:ind w:left="720"/>
              <w:rPr>
                <w:color w:val="000000" w:themeColor="text1"/>
                <w:sz w:val="20"/>
                <w:szCs w:val="20"/>
              </w:rPr>
            </w:pPr>
            <w:r w:rsidRPr="00A04B73">
              <w:rPr>
                <w:color w:val="000000" w:themeColor="text1"/>
                <w:sz w:val="20"/>
                <w:szCs w:val="20"/>
              </w:rPr>
              <w:t>centralna depotna družba,</w:t>
            </w:r>
          </w:p>
          <w:p w14:paraId="567C07BE" w14:textId="77777777" w:rsidR="006D4AF3" w:rsidRPr="00775E1E" w:rsidRDefault="006D4AF3" w:rsidP="006D4AF3">
            <w:pPr>
              <w:pStyle w:val="Neotevilenodstavek"/>
              <w:numPr>
                <w:ilvl w:val="0"/>
                <w:numId w:val="63"/>
              </w:numPr>
              <w:spacing w:line="240" w:lineRule="auto"/>
              <w:ind w:left="720"/>
              <w:rPr>
                <w:color w:val="000000" w:themeColor="text1"/>
                <w:sz w:val="20"/>
                <w:szCs w:val="20"/>
              </w:rPr>
            </w:pPr>
            <w:r w:rsidRPr="00775E1E">
              <w:rPr>
                <w:color w:val="000000" w:themeColor="text1"/>
                <w:sz w:val="20"/>
                <w:szCs w:val="20"/>
              </w:rPr>
              <w:t>ki zagotavlja storitve hrambe delnic, upravljanja delnic ali vodenja računov vrednostnih papirjev v imenu delničarjev ali drugih oseb.</w:t>
            </w:r>
          </w:p>
          <w:p w14:paraId="6F41FAA2" w14:textId="77777777" w:rsidR="006D4AF3" w:rsidRPr="00A04B73" w:rsidRDefault="006D4AF3" w:rsidP="006D4AF3">
            <w:pPr>
              <w:pStyle w:val="Neotevilenodstavek"/>
              <w:numPr>
                <w:ilvl w:val="0"/>
                <w:numId w:val="109"/>
              </w:numPr>
              <w:spacing w:line="240" w:lineRule="auto"/>
              <w:rPr>
                <w:color w:val="000000" w:themeColor="text1"/>
                <w:sz w:val="20"/>
                <w:szCs w:val="20"/>
              </w:rPr>
            </w:pPr>
            <w:r w:rsidRPr="00A04B73">
              <w:rPr>
                <w:color w:val="000000" w:themeColor="text1"/>
                <w:sz w:val="20"/>
                <w:szCs w:val="20"/>
              </w:rPr>
              <w:t>»fiduciarni račun« je račun, kot je določeno v zakonu, ki ureja trg finančnih instrumentov.</w:t>
            </w:r>
          </w:p>
          <w:p w14:paraId="5139074C" w14:textId="77777777" w:rsidR="006D4AF3" w:rsidRDefault="006D4AF3" w:rsidP="006D4AF3">
            <w:pPr>
              <w:pStyle w:val="Neotevilenodstavek"/>
              <w:spacing w:line="240" w:lineRule="auto"/>
              <w:rPr>
                <w:color w:val="000000" w:themeColor="text1"/>
                <w:sz w:val="20"/>
                <w:szCs w:val="20"/>
              </w:rPr>
            </w:pPr>
          </w:p>
          <w:p w14:paraId="13D9BE90" w14:textId="77777777" w:rsidR="006D4AF3" w:rsidRPr="00A04B73" w:rsidRDefault="006D4AF3" w:rsidP="006D4AF3">
            <w:pPr>
              <w:pStyle w:val="Neotevilenodstavek"/>
              <w:spacing w:line="240" w:lineRule="auto"/>
              <w:rPr>
                <w:color w:val="000000" w:themeColor="text1"/>
                <w:sz w:val="20"/>
                <w:szCs w:val="20"/>
              </w:rPr>
            </w:pPr>
            <w:r w:rsidRPr="00A04B73">
              <w:rPr>
                <w:color w:val="000000" w:themeColor="text1"/>
                <w:sz w:val="20"/>
                <w:szCs w:val="20"/>
              </w:rPr>
              <w:t>(2) Določbe 235.a do 235.e člena tega zakona se uporabljajo tudi za posrednike, ki:</w:t>
            </w:r>
          </w:p>
          <w:p w14:paraId="23704686" w14:textId="77777777" w:rsidR="006D4AF3" w:rsidRPr="00A04B73" w:rsidRDefault="006D4AF3" w:rsidP="006D4AF3">
            <w:pPr>
              <w:pStyle w:val="Neotevilenodstavek"/>
              <w:numPr>
                <w:ilvl w:val="0"/>
                <w:numId w:val="110"/>
              </w:numPr>
              <w:spacing w:line="240" w:lineRule="auto"/>
              <w:rPr>
                <w:color w:val="000000" w:themeColor="text1"/>
                <w:sz w:val="20"/>
                <w:szCs w:val="20"/>
              </w:rPr>
            </w:pPr>
            <w:r w:rsidRPr="00A04B73">
              <w:rPr>
                <w:color w:val="000000" w:themeColor="text1"/>
                <w:sz w:val="20"/>
                <w:szCs w:val="20"/>
              </w:rPr>
              <w:t>zagotavljajo storitve v zvezi z delnicami družb, ki imajo sedež v državi članici in katerih delnice so sprejete v trgovanje na organiziranem trgu, ki se nahaja ali deluje v državi članici, ali</w:t>
            </w:r>
          </w:p>
          <w:p w14:paraId="254E3C9A" w14:textId="77777777" w:rsidR="006D4AF3" w:rsidRPr="00605612" w:rsidRDefault="006D4AF3" w:rsidP="006D4AF3">
            <w:pPr>
              <w:pStyle w:val="Neotevilenodstavek"/>
              <w:numPr>
                <w:ilvl w:val="0"/>
                <w:numId w:val="110"/>
              </w:numPr>
              <w:spacing w:before="0" w:after="0" w:line="240" w:lineRule="auto"/>
              <w:rPr>
                <w:color w:val="000000" w:themeColor="text1"/>
                <w:sz w:val="20"/>
                <w:szCs w:val="20"/>
              </w:rPr>
            </w:pPr>
            <w:r w:rsidRPr="00A04B73">
              <w:rPr>
                <w:color w:val="000000" w:themeColor="text1"/>
                <w:sz w:val="20"/>
                <w:szCs w:val="20"/>
              </w:rPr>
              <w:t>nimajo sedeža ali glavnega poslovodstva v državi članici, ko opravljajo storitve iz prejšnje alineje.</w:t>
            </w:r>
          </w:p>
          <w:p w14:paraId="4577A315" w14:textId="77777777" w:rsidR="006D4AF3" w:rsidRPr="00605612" w:rsidRDefault="006D4AF3" w:rsidP="006D4AF3">
            <w:pPr>
              <w:pStyle w:val="Neotevilenodstavek"/>
              <w:spacing w:before="0" w:after="0" w:line="240" w:lineRule="auto"/>
              <w:rPr>
                <w:color w:val="000000" w:themeColor="text1"/>
                <w:sz w:val="20"/>
                <w:szCs w:val="20"/>
              </w:rPr>
            </w:pPr>
          </w:p>
          <w:p w14:paraId="19B82CE1"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280. člen</w:t>
            </w:r>
          </w:p>
          <w:p w14:paraId="499E7BD2"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(revizijska komisija)</w:t>
            </w:r>
          </w:p>
          <w:p w14:paraId="6000F716" w14:textId="77777777" w:rsidR="006D4AF3" w:rsidRPr="00605612" w:rsidRDefault="006D4AF3" w:rsidP="006D4AF3">
            <w:pPr>
              <w:pStyle w:val="Neotevilenodstavek"/>
              <w:spacing w:before="0" w:after="0" w:line="240" w:lineRule="auto"/>
              <w:rPr>
                <w:color w:val="000000" w:themeColor="text1"/>
                <w:sz w:val="20"/>
                <w:szCs w:val="20"/>
              </w:rPr>
            </w:pPr>
          </w:p>
          <w:p w14:paraId="2013F1F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Če nadzorni svet imenuje revizijsko komisijo, mora biti vsaj en član komisije neodvisen strokovnjak in usposobljen za računovodstvo ali revizijo. Ostali člani revizijske komisije so lahko le člani nadzornega sveta, ki so neodvisni od revidiranega subjekta..</w:t>
            </w:r>
          </w:p>
          <w:p w14:paraId="38375F70" w14:textId="77777777" w:rsidR="006D4AF3" w:rsidRPr="00605612" w:rsidRDefault="006D4AF3" w:rsidP="006D4AF3">
            <w:pPr>
              <w:pStyle w:val="Neotevilenodstavek"/>
              <w:spacing w:before="0" w:after="0" w:line="240" w:lineRule="auto"/>
              <w:rPr>
                <w:color w:val="000000" w:themeColor="text1"/>
                <w:sz w:val="20"/>
                <w:szCs w:val="20"/>
              </w:rPr>
            </w:pPr>
          </w:p>
          <w:p w14:paraId="3F550E1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Vsi člani revizijske komisije so ustrezno usposobljeni za področje delovanja revidiranega subjekta.</w:t>
            </w:r>
          </w:p>
          <w:p w14:paraId="3D09C632" w14:textId="77777777" w:rsidR="006D4AF3" w:rsidRPr="00605612" w:rsidRDefault="006D4AF3" w:rsidP="006D4AF3">
            <w:pPr>
              <w:pStyle w:val="Neotevilenodstavek"/>
              <w:spacing w:before="0" w:after="0" w:line="240" w:lineRule="auto"/>
              <w:rPr>
                <w:color w:val="000000" w:themeColor="text1"/>
                <w:sz w:val="20"/>
                <w:szCs w:val="20"/>
              </w:rPr>
            </w:pPr>
          </w:p>
          <w:p w14:paraId="3B053718"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Naloge revizijske komisije so:</w:t>
            </w:r>
          </w:p>
          <w:p w14:paraId="521F5FC5"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spremlja postopek računovodskega poročanja ter pripravlja priporočila in predloge za zagotovitev njegove celovitosti,</w:t>
            </w:r>
          </w:p>
          <w:p w14:paraId="18A9F06B"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lastRenderedPageBreak/>
              <w:t>spremlja učinkovitost in uspešnost notranje kontrole v družbi, notranje revizije, če obstaja, in sistemov za obvladovanje tveganja,</w:t>
            </w:r>
          </w:p>
          <w:p w14:paraId="4A790945"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spremlja obvezne revizije letnih in konsolidiranih računovodskih izkazov, zlasti uspešnost obvezne revizije, pri čemer upošteva vse ugotovitve in zaključke pristojnega organa,</w:t>
            </w:r>
          </w:p>
          <w:p w14:paraId="20657216"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pregleduje in spremlja neodvisnost revizorja letnega poročilo družbe, zlasti glede zagotavljanja dodatnih nerevizijskih storitev,</w:t>
            </w:r>
          </w:p>
          <w:p w14:paraId="6ED67D8C"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odgovarja za postopek izbire revizorja in predlaga nadzornemu svetu imenovanje kandidata za revizorja letnega poročila družbe,</w:t>
            </w:r>
          </w:p>
          <w:p w14:paraId="359B4F9B"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nadzoruje neoporečnost finančnih informacij, ki jih daje družba,</w:t>
            </w:r>
          </w:p>
          <w:p w14:paraId="2249CEF1"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ocenjuje sestavo letnega poročila, vključno z oblikovanjem predloga za nadzorni svet,</w:t>
            </w:r>
          </w:p>
          <w:p w14:paraId="0494C108"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sodeluje pri določitvi pomembnejših področij revidiranja,</w:t>
            </w:r>
          </w:p>
          <w:p w14:paraId="59BDFC56"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sodeluje pri pripravi pogodbe med revizorjem in družbo, pri čemer so prepovedana vsa pogodbena določila, ki skupščini omejujejo izbiro imenovanja revizorja. Vse take določbe so nične,</w:t>
            </w:r>
          </w:p>
          <w:p w14:paraId="6886646E"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poroča nadzornemu svetu o rezultatu obvezne revizije, vključno s pojasnilom, kako je obvezna revizija prispevala k celovitosti računovodskega poročanja in kakšno vlogo je imela revizijska komisija v tem postopku,</w:t>
            </w:r>
          </w:p>
          <w:p w14:paraId="06C7AD1A"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opravlja druge naloge, določene s statutom ali sklepom nadzornega sveta,</w:t>
            </w:r>
          </w:p>
          <w:p w14:paraId="35486975"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sodeluje z revizorjem pri opravljanju revizije letnega poročila družbe, zlasti z medsebojnim obveščanjem o glavnih zadevah v zvezi z revizijo, in</w:t>
            </w:r>
          </w:p>
          <w:p w14:paraId="36026B05" w14:textId="77777777" w:rsidR="006D4AF3" w:rsidRPr="00605612" w:rsidRDefault="006D4AF3" w:rsidP="006D4AF3">
            <w:pPr>
              <w:pStyle w:val="Neotevilenodstavek"/>
              <w:numPr>
                <w:ilvl w:val="0"/>
                <w:numId w:val="64"/>
              </w:numPr>
              <w:spacing w:before="0" w:after="0" w:line="240" w:lineRule="auto"/>
              <w:rPr>
                <w:color w:val="000000" w:themeColor="text1"/>
                <w:sz w:val="20"/>
                <w:szCs w:val="20"/>
              </w:rPr>
            </w:pPr>
            <w:r w:rsidRPr="00605612">
              <w:rPr>
                <w:color w:val="000000" w:themeColor="text1"/>
                <w:sz w:val="20"/>
                <w:szCs w:val="20"/>
              </w:rPr>
              <w:t>sodeluje z notranjim revizorjem, zlasti z medsebojnim obveščanjem o glavnih zadevah v zvezi z notranjo revizijo.</w:t>
            </w:r>
          </w:p>
          <w:p w14:paraId="15D07D87" w14:textId="77777777" w:rsidR="006D4AF3" w:rsidRPr="00605612" w:rsidRDefault="006D4AF3" w:rsidP="006D4AF3">
            <w:pPr>
              <w:pStyle w:val="Neotevilenodstavek"/>
              <w:spacing w:before="0" w:after="0" w:line="240" w:lineRule="auto"/>
              <w:rPr>
                <w:color w:val="000000" w:themeColor="text1"/>
                <w:sz w:val="20"/>
                <w:szCs w:val="20"/>
              </w:rPr>
            </w:pPr>
          </w:p>
          <w:p w14:paraId="7A6C6E4B"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281. člen</w:t>
            </w:r>
          </w:p>
          <w:p w14:paraId="2CD033AD"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(pristojnosti nadzornega sveta)</w:t>
            </w:r>
          </w:p>
          <w:p w14:paraId="4A5B3436" w14:textId="77777777" w:rsidR="006D4AF3" w:rsidRPr="00605612" w:rsidRDefault="006D4AF3" w:rsidP="006D4AF3">
            <w:pPr>
              <w:pStyle w:val="Neotevilenodstavek"/>
              <w:spacing w:before="0" w:after="0" w:line="240" w:lineRule="auto"/>
              <w:rPr>
                <w:color w:val="000000" w:themeColor="text1"/>
                <w:sz w:val="20"/>
                <w:szCs w:val="20"/>
              </w:rPr>
            </w:pPr>
          </w:p>
          <w:p w14:paraId="27EED69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Nadzorni svet nadzoruje vodenje poslov družbe.</w:t>
            </w:r>
          </w:p>
          <w:p w14:paraId="10AAD93D" w14:textId="77777777" w:rsidR="006D4AF3" w:rsidRPr="00605612" w:rsidRDefault="006D4AF3" w:rsidP="006D4AF3">
            <w:pPr>
              <w:pStyle w:val="Neotevilenodstavek"/>
              <w:spacing w:before="0" w:after="0" w:line="240" w:lineRule="auto"/>
              <w:rPr>
                <w:color w:val="000000" w:themeColor="text1"/>
                <w:sz w:val="20"/>
                <w:szCs w:val="20"/>
              </w:rPr>
            </w:pPr>
          </w:p>
          <w:p w14:paraId="055CBB1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Nadzorni svet lahko pregleduje in preverja knjige in dokumentacijo družbe, njeno blagajno, shranjene vrednostne papirje in zaloge blaga ter druge stvari. Za izvrševanje teh pravic lahko pooblasti posameznega člana, komisijo ali za določene naloge tudi posebnega izvedenca. Pri sklenitvi pogodbe z izvedencem zastopa družbo predsednik nadzornega sveta. Predsednik nadzornega sveta zastopa družbo tudi pri sklenitvi pogodbe z revizorjem letnega in konsolidiranega letnega poročila.</w:t>
            </w:r>
          </w:p>
          <w:p w14:paraId="518281ED" w14:textId="77777777" w:rsidR="006D4AF3" w:rsidRPr="00605612" w:rsidRDefault="006D4AF3" w:rsidP="006D4AF3">
            <w:pPr>
              <w:pStyle w:val="Neotevilenodstavek"/>
              <w:spacing w:before="0" w:after="0" w:line="240" w:lineRule="auto"/>
              <w:rPr>
                <w:color w:val="000000" w:themeColor="text1"/>
                <w:sz w:val="20"/>
                <w:szCs w:val="20"/>
              </w:rPr>
            </w:pPr>
          </w:p>
          <w:p w14:paraId="16BF44C1"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Nadzorni svet lahko od uprave zahteva kakršnekoli informacije, potrebne za izvajanje nadzora. Če statut tako določa, lahko te informacije zahteva tudi vsak posamezen član nadzornega sveta, uprava pa pošlje zahtevane informacije nadzornemu svetu kot organu.</w:t>
            </w:r>
          </w:p>
          <w:p w14:paraId="42BD69EB" w14:textId="77777777" w:rsidR="006D4AF3" w:rsidRPr="00605612" w:rsidRDefault="006D4AF3" w:rsidP="006D4AF3">
            <w:pPr>
              <w:pStyle w:val="Neotevilenodstavek"/>
              <w:spacing w:before="0" w:after="0" w:line="240" w:lineRule="auto"/>
              <w:rPr>
                <w:color w:val="000000" w:themeColor="text1"/>
                <w:sz w:val="20"/>
                <w:szCs w:val="20"/>
              </w:rPr>
            </w:pPr>
          </w:p>
          <w:p w14:paraId="779532FC"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Nadzorni svet lahko skliče skupščino. Nadzorni svet da skupščini predlog za imenovanje revizorja, ki mora temeljiti na predlogu revizijske komisije.</w:t>
            </w:r>
          </w:p>
          <w:p w14:paraId="31D1ECDA" w14:textId="77777777" w:rsidR="006D4AF3" w:rsidRPr="00605612" w:rsidRDefault="006D4AF3" w:rsidP="006D4AF3">
            <w:pPr>
              <w:pStyle w:val="Neotevilenodstavek"/>
              <w:spacing w:before="0" w:after="0" w:line="240" w:lineRule="auto"/>
              <w:rPr>
                <w:color w:val="000000" w:themeColor="text1"/>
                <w:sz w:val="20"/>
                <w:szCs w:val="20"/>
              </w:rPr>
            </w:pPr>
          </w:p>
          <w:p w14:paraId="5D78320C"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Vodenje poslov se ne more prenesti na nadzorni svet. Statut ali nadzorni svet lahko določi, da se smejo posamezne vrste poslov opravljati le z njegovim soglasjem. Če nadzorni svet zavrne soglasje, lahko uprava zahteva, da o soglasju odloči skupščina. Za sklep, s katerim skupščina da soglasje, je potrebna večina najmanj treh četrtin oddanih glasov.</w:t>
            </w:r>
          </w:p>
          <w:p w14:paraId="6724E1CE" w14:textId="77777777" w:rsidR="006D4AF3" w:rsidRPr="00605612" w:rsidRDefault="006D4AF3" w:rsidP="006D4AF3">
            <w:pPr>
              <w:pStyle w:val="Neotevilenodstavek"/>
              <w:spacing w:before="0" w:after="0" w:line="240" w:lineRule="auto"/>
              <w:rPr>
                <w:color w:val="000000" w:themeColor="text1"/>
                <w:sz w:val="20"/>
                <w:szCs w:val="20"/>
              </w:rPr>
            </w:pPr>
          </w:p>
          <w:p w14:paraId="0CF787D0"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522. člen</w:t>
            </w:r>
          </w:p>
          <w:p w14:paraId="0F21E03A"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(smiselna uporaba)</w:t>
            </w:r>
          </w:p>
          <w:p w14:paraId="21A3C440" w14:textId="77777777" w:rsidR="006D4AF3" w:rsidRPr="00605612" w:rsidRDefault="006D4AF3" w:rsidP="006D4AF3">
            <w:pPr>
              <w:pStyle w:val="Neotevilenodstavek"/>
              <w:spacing w:before="0" w:after="0" w:line="240" w:lineRule="auto"/>
              <w:rPr>
                <w:color w:val="000000" w:themeColor="text1"/>
                <w:sz w:val="20"/>
                <w:szCs w:val="20"/>
              </w:rPr>
            </w:pPr>
          </w:p>
          <w:p w14:paraId="22AC810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Za postopek likvidacije, prenehanja po skrajšanem postopku, uveljavljanje ničnosti in izpodbojnosti sklepov skupščine se smiselno uporabljajo določbe tega zakona o delniški družbi.</w:t>
            </w:r>
          </w:p>
          <w:p w14:paraId="4EDF933C" w14:textId="77777777" w:rsidR="006D4AF3" w:rsidRPr="00605612" w:rsidRDefault="006D4AF3" w:rsidP="006D4AF3">
            <w:pPr>
              <w:pStyle w:val="Neotevilenodstavek"/>
              <w:spacing w:before="0" w:after="0" w:line="240" w:lineRule="auto"/>
              <w:rPr>
                <w:color w:val="000000" w:themeColor="text1"/>
                <w:sz w:val="20"/>
                <w:szCs w:val="20"/>
              </w:rPr>
            </w:pPr>
          </w:p>
          <w:p w14:paraId="72203185"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684. člen</w:t>
            </w:r>
          </w:p>
          <w:p w14:paraId="5818BB84" w14:textId="77777777" w:rsidR="006D4AF3" w:rsidRPr="00605612" w:rsidRDefault="006D4AF3" w:rsidP="006D4AF3">
            <w:pPr>
              <w:pStyle w:val="Neotevilenodstavek"/>
              <w:spacing w:before="0" w:after="0" w:line="240" w:lineRule="auto"/>
              <w:rPr>
                <w:color w:val="000000" w:themeColor="text1"/>
                <w:sz w:val="20"/>
                <w:szCs w:val="20"/>
              </w:rPr>
            </w:pPr>
          </w:p>
          <w:p w14:paraId="47DEAF1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Nadzor nad izvajanjem posameznih določb tega zakona opravljajo AJPES, Finančna uprava Republike Slovenije, Inšpektorat Republike Slovenije za delo, Tržni inšpektorat Republike Slovenije in Ministrstvo za gospodarstvo.</w:t>
            </w:r>
          </w:p>
          <w:p w14:paraId="44EED92C" w14:textId="77777777" w:rsidR="006D4AF3" w:rsidRPr="00605612" w:rsidRDefault="006D4AF3" w:rsidP="006D4AF3">
            <w:pPr>
              <w:pStyle w:val="Neotevilenodstavek"/>
              <w:spacing w:before="0" w:after="0" w:line="240" w:lineRule="auto"/>
              <w:rPr>
                <w:color w:val="000000" w:themeColor="text1"/>
                <w:sz w:val="20"/>
                <w:szCs w:val="20"/>
              </w:rPr>
            </w:pPr>
          </w:p>
          <w:p w14:paraId="1A0E371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lastRenderedPageBreak/>
              <w:t>(2) AJPES je pristojna za nadzor nad izvajanjem določb prvega in drugega odstavka 58., prvega odstavka 59., tretjega in četrtega odstavka 680. v zvezi z 58., drugega in tretjega odstavka 74. ter prvega odstavka 75. člena tega zakona.</w:t>
            </w:r>
          </w:p>
          <w:p w14:paraId="2E64397C" w14:textId="77777777" w:rsidR="006D4AF3" w:rsidRPr="00605612" w:rsidRDefault="006D4AF3" w:rsidP="006D4AF3">
            <w:pPr>
              <w:pStyle w:val="Neotevilenodstavek"/>
              <w:spacing w:before="0" w:after="0" w:line="240" w:lineRule="auto"/>
              <w:rPr>
                <w:color w:val="000000" w:themeColor="text1"/>
                <w:sz w:val="20"/>
                <w:szCs w:val="20"/>
              </w:rPr>
            </w:pPr>
          </w:p>
          <w:p w14:paraId="55FE1280"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Finančna uprava Republike Slovenije je pristojna za nadzor nad izvajanjem določb tretjega odstavka 54. člena tega zakona.</w:t>
            </w:r>
          </w:p>
          <w:p w14:paraId="0F18AB25" w14:textId="77777777" w:rsidR="006D4AF3" w:rsidRPr="00605612" w:rsidRDefault="006D4AF3" w:rsidP="006D4AF3">
            <w:pPr>
              <w:pStyle w:val="Neotevilenodstavek"/>
              <w:spacing w:before="0" w:after="0" w:line="240" w:lineRule="auto"/>
              <w:rPr>
                <w:color w:val="000000" w:themeColor="text1"/>
                <w:sz w:val="20"/>
                <w:szCs w:val="20"/>
              </w:rPr>
            </w:pPr>
          </w:p>
          <w:p w14:paraId="406A5A79"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Inšpektorat Republike Slovenije za delo je pristojen za nadzor nad izvajanjem določb četrtega odstavka 11. člena tega zakona.</w:t>
            </w:r>
          </w:p>
          <w:p w14:paraId="4B1D97FE" w14:textId="77777777" w:rsidR="006D4AF3" w:rsidRPr="00605612" w:rsidRDefault="006D4AF3" w:rsidP="006D4AF3">
            <w:pPr>
              <w:pStyle w:val="Neotevilenodstavek"/>
              <w:spacing w:before="0" w:after="0" w:line="240" w:lineRule="auto"/>
              <w:rPr>
                <w:color w:val="000000" w:themeColor="text1"/>
                <w:sz w:val="20"/>
                <w:szCs w:val="20"/>
              </w:rPr>
            </w:pPr>
          </w:p>
          <w:p w14:paraId="495CC26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(5) Tržni inšpektorat Republike Slovenije je pristojen za nadzor nad izvajanjem določb 13. člena, prvega in šestega odstavka 15. člena, 19. člena, 30. člena, prvega odstavka 45. člena, petega in šestega odstavka 72. člena, 127. člena, 156. člena, 495. člena in drugega odstavka 679. člena tega zakona.</w:t>
            </w:r>
          </w:p>
          <w:p w14:paraId="069B3FDE" w14:textId="77777777" w:rsidR="006D4AF3" w:rsidRPr="00605612" w:rsidRDefault="006D4AF3" w:rsidP="006D4AF3">
            <w:pPr>
              <w:pStyle w:val="Neotevilenodstavek"/>
              <w:spacing w:before="0" w:after="0" w:line="240" w:lineRule="auto"/>
              <w:rPr>
                <w:color w:val="000000" w:themeColor="text1"/>
                <w:sz w:val="20"/>
                <w:szCs w:val="20"/>
              </w:rPr>
            </w:pPr>
          </w:p>
          <w:p w14:paraId="0CEDD59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(6) Ministrstvo za gospodarstvo je pristojno za nadzor nad izvajanjem drugih določb tega zakona.</w:t>
            </w:r>
          </w:p>
          <w:p w14:paraId="1B2775DF" w14:textId="77777777" w:rsidR="006D4AF3" w:rsidRPr="00605612" w:rsidRDefault="006D4AF3" w:rsidP="006D4AF3">
            <w:pPr>
              <w:pStyle w:val="Neotevilenodstavek"/>
              <w:spacing w:before="0" w:after="0" w:line="240" w:lineRule="auto"/>
              <w:rPr>
                <w:color w:val="000000" w:themeColor="text1"/>
                <w:sz w:val="20"/>
                <w:szCs w:val="20"/>
              </w:rPr>
            </w:pPr>
          </w:p>
          <w:p w14:paraId="53E19D17"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685. člen</w:t>
            </w:r>
          </w:p>
          <w:p w14:paraId="11545439"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družbe)</w:t>
            </w:r>
          </w:p>
          <w:p w14:paraId="6B2FD284" w14:textId="77777777" w:rsidR="006D4AF3" w:rsidRPr="00605612" w:rsidRDefault="006D4AF3" w:rsidP="006D4AF3">
            <w:pPr>
              <w:pStyle w:val="Neotevilenodstavek"/>
              <w:spacing w:before="0" w:after="0" w:line="240" w:lineRule="auto"/>
              <w:rPr>
                <w:color w:val="000000" w:themeColor="text1"/>
                <w:sz w:val="20"/>
                <w:szCs w:val="20"/>
              </w:rPr>
            </w:pPr>
          </w:p>
          <w:p w14:paraId="24ABFA8E"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Z globo od 15.000 do 45.000 eurov se za prekršek kaznuje velika družba, z globo od 10.000 do 30.000 eurov srednja družba, z globo od 2.500 do 15.000 eurov majhna družba, z globo od 1.000 do 6.000 eurov pa mikro družba če:</w:t>
            </w:r>
          </w:p>
          <w:p w14:paraId="74B7E2F0"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ima določen poslovni naslov v nasprotju z drugim odstavkom 30. člena tega zakona;</w:t>
            </w:r>
          </w:p>
          <w:p w14:paraId="4D8A0AB8"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v register ne prijavi podatkov ali ima v registru vpisane napačne podatke (prvi odstavek 47. člena);</w:t>
            </w:r>
          </w:p>
          <w:p w14:paraId="43CA26A9"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v registru nima vpisanih sprememb podatkov ali pri spremembi prijavi napačne podatke ali ni sprejel akta, ki odraža zadnje dejansko stanje (prvi odstavek 48. člena);</w:t>
            </w:r>
          </w:p>
          <w:p w14:paraId="3D39F7DD"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ne vodi poslovnih knjig v skladu s tretjim odstavkom 54. člena tega zakona;</w:t>
            </w:r>
          </w:p>
          <w:p w14:paraId="73E6A449"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priloga z izkazi ni v skladu z 69. členom tega zakona;</w:t>
            </w:r>
          </w:p>
          <w:p w14:paraId="72397DE7"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ob izdaji prodaja delnice pod najmanjšim emisijskim zneskom (prvi odstavek 173. člena);</w:t>
            </w:r>
          </w:p>
          <w:p w14:paraId="229FEAA6"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izda delnice, ki ob enakem deležu v osnovnem kapitalu dajejo različno število glasov (tretji odstavek 178. člena);</w:t>
            </w:r>
          </w:p>
          <w:p w14:paraId="6BF9B326"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delnice družbe, za katero se ne uporablja zakon, ki ureja prevzeme, niso izražene v nematerializirani obliki (182. člen);</w:t>
            </w:r>
          </w:p>
          <w:p w14:paraId="655AB8A1"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ne poda zahteve za izdajo delnic v nematerializirani obliki v roku iz drugega odstavka 182. člena;</w:t>
            </w:r>
          </w:p>
          <w:p w14:paraId="6469F431"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delničarje ali njihove prednike oprosti plačila obveznosti iz 222. in 225. člena tega zakona (prvi odstavek 226. člena);</w:t>
            </w:r>
          </w:p>
          <w:p w14:paraId="4FC9F7BB"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vrne vložke ali jih obrestuje (227. člen);</w:t>
            </w:r>
          </w:p>
          <w:p w14:paraId="1231AB69"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uporabi čisti dobiček v nasprotju z določbo prvega odstavka 230. člena tega zakona;</w:t>
            </w:r>
          </w:p>
          <w:p w14:paraId="168992E5"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pridobi lastne delnice v nasprotju z določbami 247. člena tega zakona;</w:t>
            </w:r>
          </w:p>
          <w:p w14:paraId="36D51410"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družba v nasprotju z določbami 248. člena zagotovi predujem ali posojilo za pridobitev delnic;</w:t>
            </w:r>
          </w:p>
          <w:p w14:paraId="276F7E7C"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pridobi lastne delnice v zastavo v nasprotju z določbami 252. člena tega zakona;</w:t>
            </w:r>
          </w:p>
          <w:p w14:paraId="7B541843"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delničarjem zaračuna stroške v nasprotju s sedmim odstavkom 296. člena tega zakona;</w:t>
            </w:r>
          </w:p>
          <w:p w14:paraId="6433AB8A"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poveča osnovni kapital z vložki v nasprotju z določbami 333. in 334. člena tega zakona;</w:t>
            </w:r>
          </w:p>
          <w:p w14:paraId="2D48A7DF"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ravna v nasprotju s 352. členom tega zakona;</w:t>
            </w:r>
          </w:p>
          <w:p w14:paraId="575CEE93"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izvede pogojno povečanje osnovnega kapitala v nasprotju z določbami 343. člena tega zakona;</w:t>
            </w:r>
          </w:p>
          <w:p w14:paraId="23397211"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izda delnice ali začasnice pred vpisom sklepa o pogojnem povečanju osnovnega kapitala v register (342., 348. in 370. člen tega zakona);</w:t>
            </w:r>
          </w:p>
          <w:p w14:paraId="6DD9C8E5"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zmanjša osnovni kapital v nasprotju z določbami 372. člena tega zakona;</w:t>
            </w:r>
          </w:p>
          <w:p w14:paraId="56FCE769"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združi delnice v nasprotju s 376. členom tega zakona;</w:t>
            </w:r>
          </w:p>
          <w:p w14:paraId="3F46887A"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se zmanjša osnovni kapital pod najnižji znesek iz 171. člena tega zakona v nasprotju z določbo 378. člena tega zakona;</w:t>
            </w:r>
          </w:p>
          <w:p w14:paraId="0FEE884A"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prijava in izvedba skupščine nista v skladu s 386. členom tega zakona;</w:t>
            </w:r>
          </w:p>
          <w:p w14:paraId="4CEF3BCD"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izplača komplementarju dividendo oziroma odobri posojilo v nasprotju s prvim in drugim odstavkom 470. člena tega zakona;</w:t>
            </w:r>
          </w:p>
          <w:p w14:paraId="10D5F4CD"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izplača družbenikom premoženje, ki je potrebno za ohranjanje osnovnega kapitala (495. člen tega zakona);</w:t>
            </w:r>
          </w:p>
          <w:p w14:paraId="7B1D2154" w14:textId="77777777" w:rsidR="006D4AF3" w:rsidRPr="00605612" w:rsidRDefault="006D4AF3" w:rsidP="006D4AF3">
            <w:pPr>
              <w:pStyle w:val="Neotevilenodstavek"/>
              <w:numPr>
                <w:ilvl w:val="0"/>
                <w:numId w:val="65"/>
              </w:numPr>
              <w:spacing w:before="0" w:after="0" w:line="240" w:lineRule="auto"/>
              <w:rPr>
                <w:color w:val="000000" w:themeColor="text1"/>
                <w:sz w:val="20"/>
                <w:szCs w:val="20"/>
              </w:rPr>
            </w:pPr>
            <w:r w:rsidRPr="00605612">
              <w:rPr>
                <w:color w:val="000000" w:themeColor="text1"/>
                <w:sz w:val="20"/>
                <w:szCs w:val="20"/>
              </w:rPr>
              <w:t>pridobi lastne poslovne deleže v nasprotju z določbami 500. člena tega zakona.</w:t>
            </w:r>
          </w:p>
          <w:p w14:paraId="279490F3" w14:textId="77777777" w:rsidR="006D4AF3" w:rsidRPr="00605612" w:rsidRDefault="006D4AF3" w:rsidP="006D4AF3">
            <w:pPr>
              <w:pStyle w:val="Neotevilenodstavek"/>
              <w:spacing w:before="0" w:after="0" w:line="240" w:lineRule="auto"/>
              <w:rPr>
                <w:color w:val="000000" w:themeColor="text1"/>
                <w:sz w:val="20"/>
                <w:szCs w:val="20"/>
              </w:rPr>
            </w:pPr>
          </w:p>
          <w:p w14:paraId="09897074"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lastRenderedPageBreak/>
              <w:t>(2) Z globo od 500 do 4.000 eurov se kaznuje tudi odgovorna oseba družbe, ki stori prekršek iz prejšnjega odstavka.</w:t>
            </w:r>
          </w:p>
          <w:p w14:paraId="78ABD220" w14:textId="77777777" w:rsidR="006D4AF3" w:rsidRPr="00605612" w:rsidRDefault="006D4AF3" w:rsidP="006D4AF3">
            <w:pPr>
              <w:pStyle w:val="Neotevilenodstavek"/>
              <w:spacing w:before="0" w:after="0" w:line="240" w:lineRule="auto"/>
              <w:rPr>
                <w:color w:val="000000" w:themeColor="text1"/>
                <w:sz w:val="20"/>
                <w:szCs w:val="20"/>
              </w:rPr>
            </w:pPr>
          </w:p>
          <w:p w14:paraId="72A91A78"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686. člen</w:t>
            </w:r>
          </w:p>
          <w:p w14:paraId="5C696FBE"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(drugi prekrški družbe)</w:t>
            </w:r>
          </w:p>
          <w:p w14:paraId="53F0B97E" w14:textId="77777777" w:rsidR="006D4AF3" w:rsidRPr="00605612" w:rsidRDefault="006D4AF3" w:rsidP="006D4AF3">
            <w:pPr>
              <w:pStyle w:val="Neotevilenodstavek"/>
              <w:spacing w:before="0" w:after="0" w:line="240" w:lineRule="auto"/>
              <w:rPr>
                <w:color w:val="000000" w:themeColor="text1"/>
                <w:sz w:val="20"/>
                <w:szCs w:val="20"/>
              </w:rPr>
            </w:pPr>
          </w:p>
          <w:p w14:paraId="5508FF13"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Z globo od 6.000 do 30.000 eurov se za prekršek kaznuje velika družba, z globo od 4.000 do 20.000 eurov srednja družba, z globo od 1.000 do 10.000 eurov majhna družba, z globo od 500 do 5.000 eurov pa mikro družba, če:</w:t>
            </w:r>
          </w:p>
          <w:p w14:paraId="552E4FBF"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krši prvi in četrti odstavek 11. člena tega zakona;</w:t>
            </w:r>
          </w:p>
          <w:p w14:paraId="6CB6360A"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ima v firmi dodatne sestavine, ki družbo podrobneje označujejo, v nasprotju s 13. členom tega zakona;</w:t>
            </w:r>
          </w:p>
          <w:p w14:paraId="25440DCD"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uporablja besedo Slovenija v nasprotju s 15. členom tega zakona;</w:t>
            </w:r>
          </w:p>
          <w:p w14:paraId="3ED2482A"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pri svojem poslovanju ne uporablja firme v obliki, kot je vpisana v register (19. člen);</w:t>
            </w:r>
          </w:p>
          <w:p w14:paraId="2427532B"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na dopisih, ki jih pošilja družba, ni podatkov iz prvega odstavka 45. člena tega zakona;</w:t>
            </w:r>
          </w:p>
          <w:p w14:paraId="13AE5F48"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letnega poročila ali konsolidiranega letnega poročila ne sestavi v rokih iz 54. člena tega zakona;</w:t>
            </w:r>
          </w:p>
          <w:p w14:paraId="238A0BA6"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letnega poročila ali konsolidiranega letnega poročila skupaj z revizorjevim poročilom ali popravljenega letnega poročila ali konsolidiranega letnega poročila oziroma spremembe revizorjevega poročila ne predloži AJPES na način in v rokih, ki jih določa prvi odstavek 58. člena tega zakona;</w:t>
            </w:r>
          </w:p>
          <w:p w14:paraId="01EDA584"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letno poročilo ne vsebuje sestavin iz 60. člena tega zakona;</w:t>
            </w:r>
          </w:p>
          <w:p w14:paraId="14F37400"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letno poročilo ni podpisano v skladu s 60.a členom tega zakona;</w:t>
            </w:r>
          </w:p>
          <w:p w14:paraId="5AB5DC92"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poslovno poročilo ne vsebuje sestavin iz 70. člena tega zakona;</w:t>
            </w:r>
          </w:p>
          <w:p w14:paraId="0DDBC334"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na poslovnih listinah poleg firme dvojne družbe nista označena ime in priimek poslovodij ali članov poslovodstva komplementarja v dvojni družbi (prvi odstavek 156. člena);</w:t>
            </w:r>
          </w:p>
          <w:p w14:paraId="42DC6686"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pri vodenju poslov dvojne družbe pri podpisovanju fizične osebe ni dodana tudi firma komplementarja (drugi odstavek 156. člena);</w:t>
            </w:r>
          </w:p>
          <w:p w14:paraId="1C560B35"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ima v sestavi osnovnega kapitala več kot polovico delnic brez glasovalne pravice (drugi odstavek 178. člena);</w:t>
            </w:r>
          </w:p>
          <w:p w14:paraId="2BF8B2A4"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delničarju po ponovnem pozivu ne odvzame neplačanih delnic (drugi odstavek 224. člena);</w:t>
            </w:r>
          </w:p>
          <w:p w14:paraId="7EEA14DE"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vpisuje lastne delnice (prvi odstavek 229. člena);</w:t>
            </w:r>
          </w:p>
          <w:p w14:paraId="752F79F0"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prevzame lastne delnice v nasprotju z drugim odstavkom 229. člena tega zakona;</w:t>
            </w:r>
          </w:p>
          <w:p w14:paraId="3965DE9B"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izplača vmesno dividendo v nasprotju z 232. členom tega zakona;</w:t>
            </w:r>
          </w:p>
          <w:p w14:paraId="1419A1E0"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posreduje informacij za uresničevanje pravic delničarjev iz 1. in 2. točke prvega odstavka 235.c člena tega zakona v skladu z drugim do četrtim odstavkom 235.c člena tega zakona;</w:t>
            </w:r>
          </w:p>
          <w:p w14:paraId="3663BF61"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hrani osebne podatke o delničarjih družbe, ki jih je zbrala za namen iz prvega odstavka 235.d člena tega zakona, dlje od 12 mesecev po tem, ko se je seznanila, da oseba ni več delničar družbe, razen v primerih iz drugega odstavka 235.d člena tega zakona (drugi odstavek 235.d člena);</w:t>
            </w:r>
          </w:p>
          <w:p w14:paraId="2BB1BE23"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informacij za uresničevanje pravic delničarjev ne zagotavlja brezplačno (šesti odstavek 235.e člena);</w:t>
            </w:r>
          </w:p>
          <w:p w14:paraId="5CD80CA5"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ima organ vodenja ali nadzora sestavljen v nasprotju z 254. in 255. členom tega zakona;</w:t>
            </w:r>
          </w:p>
          <w:p w14:paraId="6769FE2A"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odobri posojila v nasprotju z 261. členom tega zakona;</w:t>
            </w:r>
          </w:p>
          <w:p w14:paraId="6848847F"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prijavi v register podatkov iz 277. člena in prvega odstavka 278. člena tega zakona;</w:t>
            </w:r>
          </w:p>
          <w:p w14:paraId="410FE3EA"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objavi posla s povezanimi strankami v skladu z 281.d členom tega zakona;</w:t>
            </w:r>
          </w:p>
          <w:p w14:paraId="19A75171"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potrdila ne zagotovi brez odlašanja (četrti odstavek 297. člena);</w:t>
            </w:r>
          </w:p>
          <w:p w14:paraId="42EC0FD4"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v prilogi k računovodskim izkazom ne razkrije politike prejemkov članov organa vodenja ali nadzora (peti odstavek 294. člena);</w:t>
            </w:r>
          </w:p>
          <w:p w14:paraId="7527FF32"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objavi politike prejemkov v skladu s petim odstavkom 294.a člena tega zakona;</w:t>
            </w:r>
          </w:p>
          <w:p w14:paraId="1A76106F"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zagotovi brezplačnega dostopa do poročila o prejemkih in ga ne objavi v skladu z osmim odstavkom 294.b člena tega zakona;</w:t>
            </w:r>
          </w:p>
          <w:p w14:paraId="3E614220"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objavi dodatnih točk dnevnega reda iz tretjega odstavka 298. člena tega zakona;</w:t>
            </w:r>
          </w:p>
          <w:p w14:paraId="34328A43"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pošlje overjenega prepisa zapisnika in prilog v 24 urah po seji skupščine (peti odstavek 304. člena);</w:t>
            </w:r>
          </w:p>
          <w:p w14:paraId="11EEEE81"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potrdila ne zagotovi brez odlašanja (sedmi odstavek 304. člena);</w:t>
            </w:r>
          </w:p>
          <w:p w14:paraId="16408D41"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ne objavi listin ali ne omogoči njihovega brezplačnega prepisa (drugi odstavek 188. člena, drugi odstavek 297.a člena, drugi in tretji odstavek 437. člena, tretji odstavek 447. člena, drugi odstavek 535.č, četrti odstavek 555.a, šesti odstavek 586. člena in 629. člen);</w:t>
            </w:r>
          </w:p>
          <w:p w14:paraId="4577A78B"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poveča osnovni kapital v nasprotju z določbami 358. člena tega zakona;</w:t>
            </w:r>
          </w:p>
          <w:p w14:paraId="1A634A6D"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lastRenderedPageBreak/>
              <w:t>družbeniku v nasprotju s 512. členom tega zakona ne da informaciji oziroma mu ne dovoli vpogleda;</w:t>
            </w:r>
          </w:p>
          <w:p w14:paraId="6E2B03A6" w14:textId="77777777" w:rsidR="006D4AF3" w:rsidRPr="00605612" w:rsidRDefault="006D4AF3" w:rsidP="006D4AF3">
            <w:pPr>
              <w:pStyle w:val="Neotevilenodstavek"/>
              <w:numPr>
                <w:ilvl w:val="0"/>
                <w:numId w:val="66"/>
              </w:numPr>
              <w:spacing w:before="0" w:after="0" w:line="240" w:lineRule="auto"/>
              <w:rPr>
                <w:color w:val="000000" w:themeColor="text1"/>
                <w:sz w:val="20"/>
                <w:szCs w:val="20"/>
              </w:rPr>
            </w:pPr>
            <w:r w:rsidRPr="00605612">
              <w:rPr>
                <w:color w:val="000000" w:themeColor="text1"/>
                <w:sz w:val="20"/>
                <w:szCs w:val="20"/>
              </w:rPr>
              <w:t>opusti dolžnost obveščanja in objave v skladu s 532. členom tega zakona.</w:t>
            </w:r>
          </w:p>
          <w:p w14:paraId="0337DF29" w14:textId="77777777" w:rsidR="006D4AF3" w:rsidRPr="00605612" w:rsidRDefault="006D4AF3" w:rsidP="006D4AF3">
            <w:pPr>
              <w:pStyle w:val="Neotevilenodstavek"/>
              <w:spacing w:before="0" w:after="0" w:line="240" w:lineRule="auto"/>
              <w:rPr>
                <w:color w:val="000000" w:themeColor="text1"/>
                <w:sz w:val="20"/>
                <w:szCs w:val="20"/>
              </w:rPr>
            </w:pPr>
          </w:p>
          <w:p w14:paraId="1178D215"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Z globo od 300 do 2.500 eurov se kaznuje tudi odgovorna oseba družbe, ki stori prekršek iz prejšnjega odstavka.</w:t>
            </w:r>
          </w:p>
          <w:p w14:paraId="63202D38" w14:textId="77777777" w:rsidR="006D4AF3" w:rsidRPr="00605612" w:rsidRDefault="006D4AF3" w:rsidP="006D4AF3">
            <w:pPr>
              <w:pStyle w:val="Neotevilenodstavek"/>
              <w:spacing w:before="0" w:after="0" w:line="240" w:lineRule="auto"/>
              <w:rPr>
                <w:color w:val="000000" w:themeColor="text1"/>
                <w:sz w:val="20"/>
                <w:szCs w:val="20"/>
              </w:rPr>
            </w:pPr>
          </w:p>
          <w:p w14:paraId="6473BA06"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686.a člen</w:t>
            </w:r>
          </w:p>
          <w:p w14:paraId="46B45B9C"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(drugi prekrški družbe in odgovornih oseb)</w:t>
            </w:r>
          </w:p>
          <w:p w14:paraId="102B4AF0" w14:textId="77777777" w:rsidR="006D4AF3" w:rsidRPr="00605612" w:rsidRDefault="006D4AF3" w:rsidP="006D4AF3">
            <w:pPr>
              <w:pStyle w:val="Neotevilenodstavek"/>
              <w:spacing w:before="0" w:after="0" w:line="240" w:lineRule="auto"/>
              <w:rPr>
                <w:color w:val="000000" w:themeColor="text1"/>
                <w:sz w:val="20"/>
                <w:szCs w:val="20"/>
              </w:rPr>
            </w:pPr>
          </w:p>
          <w:p w14:paraId="67E695C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Z globo od 2.000 do 10.000 eurov se za prekršek kaznuje velika družba, z globo od 1.000 do 5.000 eurov srednja družba, z globo od 700 do 3.000 eurov majhna družba, z globo od 300 do 1.000 eurov pa mikro družba:</w:t>
            </w:r>
          </w:p>
          <w:p w14:paraId="140DD7A8" w14:textId="77777777" w:rsidR="006D4AF3" w:rsidRPr="00605612" w:rsidRDefault="006D4AF3" w:rsidP="006D4AF3">
            <w:pPr>
              <w:pStyle w:val="Neotevilenodstavek"/>
              <w:numPr>
                <w:ilvl w:val="0"/>
                <w:numId w:val="67"/>
              </w:numPr>
              <w:spacing w:before="0" w:after="0" w:line="240" w:lineRule="auto"/>
              <w:rPr>
                <w:color w:val="000000" w:themeColor="text1"/>
                <w:sz w:val="20"/>
                <w:szCs w:val="20"/>
              </w:rPr>
            </w:pPr>
            <w:r w:rsidRPr="00605612">
              <w:rPr>
                <w:color w:val="000000" w:themeColor="text1"/>
                <w:sz w:val="20"/>
                <w:szCs w:val="20"/>
              </w:rPr>
              <w:t>če letnega poročila ne predloži AJPES zaradi javne objave na način in v rokih, ki jih določa drugi odstavek 58. člena tega zakona</w:t>
            </w:r>
          </w:p>
          <w:p w14:paraId="7216F702" w14:textId="77777777" w:rsidR="006D4AF3" w:rsidRPr="00605612" w:rsidRDefault="006D4AF3" w:rsidP="006D4AF3">
            <w:pPr>
              <w:pStyle w:val="Neotevilenodstavek"/>
              <w:numPr>
                <w:ilvl w:val="0"/>
                <w:numId w:val="67"/>
              </w:numPr>
              <w:spacing w:before="0" w:after="0" w:line="240" w:lineRule="auto"/>
              <w:rPr>
                <w:color w:val="000000" w:themeColor="text1"/>
                <w:sz w:val="20"/>
                <w:szCs w:val="20"/>
              </w:rPr>
            </w:pPr>
            <w:r w:rsidRPr="00605612">
              <w:rPr>
                <w:color w:val="000000" w:themeColor="text1"/>
                <w:sz w:val="20"/>
                <w:szCs w:val="20"/>
              </w:rPr>
              <w:t>če ne predloži AJPES podatkov iz letnih poročil o svojem premoženjskem in finančnem poslovanju ter poslovnem izidu v treh mesecih po koncu koledarskega leta (prvi odstavek 59. člena).</w:t>
            </w:r>
          </w:p>
          <w:p w14:paraId="760F03A8" w14:textId="77777777" w:rsidR="006D4AF3" w:rsidRPr="00605612" w:rsidRDefault="006D4AF3" w:rsidP="006D4AF3">
            <w:pPr>
              <w:pStyle w:val="Neotevilenodstavek"/>
              <w:spacing w:before="0" w:after="0" w:line="240" w:lineRule="auto"/>
              <w:rPr>
                <w:color w:val="000000" w:themeColor="text1"/>
                <w:sz w:val="20"/>
                <w:szCs w:val="20"/>
              </w:rPr>
            </w:pPr>
          </w:p>
          <w:p w14:paraId="390C2EA8"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Z globo od 300 do 4.000 eurov se kaznuje tudi odgovorna oseba družbe, ki stori prekršek iz prejšnjega odstavka.</w:t>
            </w:r>
          </w:p>
          <w:p w14:paraId="2366A8CB" w14:textId="77777777" w:rsidR="006D4AF3" w:rsidRPr="00605612" w:rsidRDefault="006D4AF3" w:rsidP="006D4AF3">
            <w:pPr>
              <w:pStyle w:val="Neotevilenodstavek"/>
              <w:spacing w:before="0" w:after="0" w:line="240" w:lineRule="auto"/>
              <w:rPr>
                <w:color w:val="000000" w:themeColor="text1"/>
                <w:sz w:val="20"/>
                <w:szCs w:val="20"/>
              </w:rPr>
            </w:pPr>
          </w:p>
          <w:p w14:paraId="34662B58"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687. člen</w:t>
            </w:r>
          </w:p>
          <w:p w14:paraId="4E99A044"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tujega podjetja, ki je ustanovilo podružnico)</w:t>
            </w:r>
          </w:p>
          <w:p w14:paraId="76A62D9C" w14:textId="77777777" w:rsidR="006D4AF3" w:rsidRPr="00605612" w:rsidRDefault="006D4AF3" w:rsidP="006D4AF3">
            <w:pPr>
              <w:pStyle w:val="Neotevilenodstavek"/>
              <w:spacing w:before="0" w:after="0" w:line="240" w:lineRule="auto"/>
              <w:rPr>
                <w:color w:val="000000" w:themeColor="text1"/>
                <w:sz w:val="20"/>
                <w:szCs w:val="20"/>
              </w:rPr>
            </w:pPr>
          </w:p>
          <w:p w14:paraId="6030C2DD"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Z globo od 15.000 do 45.000 eurov se za prekršek kaznuje tuje podjetje, ki ustreza merilom za velike družbe, z globo od 10.000 do 30.000 eurov tuje podjetje, ki ustreza merilom za srednje družbe, z globo od 5.000 do 15.000 eurov tuje podjetje, ki ustreza merilom za majhne družbe, z globo od 2.000 do 6.000 eurov pa tuje podjetje, ki ustreza merilom za mikro družbe ki je ustanovilo podružnico, če ob vpisu v register ne prijavi vseh podatkov, ki se po tem zakonu vpisujejo v register (677. člen in 681. člen).</w:t>
            </w:r>
          </w:p>
          <w:p w14:paraId="49B0889A" w14:textId="77777777" w:rsidR="006D4AF3" w:rsidRPr="00605612" w:rsidRDefault="006D4AF3" w:rsidP="006D4AF3">
            <w:pPr>
              <w:pStyle w:val="Neotevilenodstavek"/>
              <w:spacing w:before="0" w:after="0" w:line="240" w:lineRule="auto"/>
              <w:rPr>
                <w:color w:val="000000" w:themeColor="text1"/>
                <w:sz w:val="20"/>
                <w:szCs w:val="20"/>
              </w:rPr>
            </w:pPr>
          </w:p>
          <w:p w14:paraId="14756081"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Z globo od 300 do 4.000 eurov se kaznuje tudi odgovorna oseba tujega podjetja, ki stori prekršek iz prejšnjega odstavka.</w:t>
            </w:r>
          </w:p>
          <w:p w14:paraId="7603DF32" w14:textId="77777777" w:rsidR="006D4AF3" w:rsidRPr="00605612" w:rsidRDefault="006D4AF3" w:rsidP="006D4AF3">
            <w:pPr>
              <w:pStyle w:val="Neotevilenodstavek"/>
              <w:spacing w:before="0" w:after="0" w:line="240" w:lineRule="auto"/>
              <w:rPr>
                <w:color w:val="000000" w:themeColor="text1"/>
                <w:sz w:val="20"/>
                <w:szCs w:val="20"/>
              </w:rPr>
            </w:pPr>
          </w:p>
          <w:p w14:paraId="0D96730F"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(3) Z globo od 6.000 do 30.000 eurov se za prekršek kaznuje tuje podjetje, ki ustreza merilom za velike družbe, z globo od 4.000 do 20.000 eurov tuje podjetje, ki ustreza merilom za srednje družbe, z globo od 2.000 do 10.000 eurov tuje podjetje, ki ustreza merilom za majhne družbe, z globo od 1.000 do 5.000 eurov pa tuje podjetje, ki ustreza merilom za mikro družbe ki je ustanovilo podružnico, če podružnica:</w:t>
            </w:r>
          </w:p>
          <w:p w14:paraId="5FC8BD85" w14:textId="77777777" w:rsidR="006D4AF3" w:rsidRPr="00605612" w:rsidRDefault="006D4AF3" w:rsidP="006D4AF3">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pri svojem poslovanju ne uporablja firme in drugih podatkov iz 679. člena tega zakona;</w:t>
            </w:r>
          </w:p>
          <w:p w14:paraId="331B8490" w14:textId="77777777" w:rsidR="006D4AF3" w:rsidRPr="00605612" w:rsidRDefault="006D4AF3" w:rsidP="006D4AF3">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ne predloži AJPES podatkov iz letnih poročil o svojem premoženjskem in finančnem poslovanju ter poslovnem izidu v treh mesecih po koncu koledarskega leta (drugi odstavek 680. člena v zvezi s prvim odstavkom 59. člena);</w:t>
            </w:r>
          </w:p>
          <w:p w14:paraId="41B95BB5" w14:textId="77777777" w:rsidR="006D4AF3" w:rsidRPr="00605612" w:rsidRDefault="006D4AF3" w:rsidP="006D4AF3">
            <w:pPr>
              <w:pStyle w:val="Neotevilenodstavek"/>
              <w:numPr>
                <w:ilvl w:val="0"/>
                <w:numId w:val="68"/>
              </w:numPr>
              <w:spacing w:before="0" w:after="0" w:line="240" w:lineRule="auto"/>
              <w:rPr>
                <w:color w:val="000000" w:themeColor="text1"/>
                <w:sz w:val="20"/>
                <w:szCs w:val="20"/>
              </w:rPr>
            </w:pPr>
            <w:r w:rsidRPr="00605612">
              <w:rPr>
                <w:color w:val="000000" w:themeColor="text1"/>
                <w:sz w:val="20"/>
                <w:szCs w:val="20"/>
              </w:rPr>
              <w:t>ne predloži AJPES letnega poročila zaradi javne objave v osmih mesecih po koncu poslovnega leta (tretji in četrti odstavek 680. člena v zvezi z 58. členom).</w:t>
            </w:r>
          </w:p>
          <w:p w14:paraId="7F000EF5" w14:textId="77777777" w:rsidR="006D4AF3" w:rsidRPr="00605612" w:rsidRDefault="006D4AF3" w:rsidP="006D4AF3">
            <w:pPr>
              <w:pStyle w:val="Neotevilenodstavek"/>
              <w:spacing w:before="0" w:after="0" w:line="240" w:lineRule="auto"/>
              <w:rPr>
                <w:color w:val="000000" w:themeColor="text1"/>
                <w:sz w:val="20"/>
                <w:szCs w:val="20"/>
              </w:rPr>
            </w:pPr>
          </w:p>
          <w:p w14:paraId="404AD5E6"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(4) Z globo od 300 do 4.000 eurov se kaznuje tudi odgovorna oseba tujega podjetja, ki stori prekršek iz prejšnjega odstavka.</w:t>
            </w:r>
          </w:p>
          <w:p w14:paraId="11FCAD01" w14:textId="77777777" w:rsidR="006D4AF3" w:rsidRPr="00605612" w:rsidRDefault="006D4AF3" w:rsidP="006D4AF3">
            <w:pPr>
              <w:pStyle w:val="Neotevilenodstavek"/>
              <w:spacing w:before="0" w:after="0" w:line="240" w:lineRule="auto"/>
              <w:rPr>
                <w:color w:val="000000" w:themeColor="text1"/>
                <w:sz w:val="20"/>
                <w:szCs w:val="20"/>
              </w:rPr>
            </w:pPr>
          </w:p>
          <w:p w14:paraId="2585A7AD"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688. člen</w:t>
            </w:r>
          </w:p>
          <w:p w14:paraId="137E670D" w14:textId="77777777" w:rsidR="006D4AF3" w:rsidRPr="00605612" w:rsidRDefault="006D4AF3" w:rsidP="006D4AF3">
            <w:pPr>
              <w:pStyle w:val="Neotevilenodstavek"/>
              <w:spacing w:before="0" w:after="0" w:line="240" w:lineRule="auto"/>
              <w:jc w:val="center"/>
              <w:rPr>
                <w:b/>
                <w:bCs/>
                <w:color w:val="000000" w:themeColor="text1"/>
                <w:sz w:val="20"/>
                <w:szCs w:val="20"/>
              </w:rPr>
            </w:pPr>
            <w:r w:rsidRPr="00605612">
              <w:rPr>
                <w:b/>
                <w:bCs/>
                <w:color w:val="000000" w:themeColor="text1"/>
                <w:sz w:val="20"/>
                <w:szCs w:val="20"/>
              </w:rPr>
              <w:t>(prekrški podjetnika)</w:t>
            </w:r>
          </w:p>
          <w:p w14:paraId="734410F9" w14:textId="77777777" w:rsidR="006D4AF3" w:rsidRPr="00605612" w:rsidRDefault="006D4AF3" w:rsidP="006D4AF3">
            <w:pPr>
              <w:pStyle w:val="Neotevilenodstavek"/>
              <w:spacing w:before="0" w:after="0" w:line="240" w:lineRule="auto"/>
              <w:rPr>
                <w:color w:val="000000" w:themeColor="text1"/>
                <w:sz w:val="20"/>
                <w:szCs w:val="20"/>
              </w:rPr>
            </w:pPr>
          </w:p>
          <w:p w14:paraId="154C0397"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(1) Z globo od 2.000 do 5.000 eurov se za prekršek kaznuje podjetnik, ki ustreza merilom za velike družbe, z globo od 1.300 do 3.500 eurov podjetnik, ki ustreza merilom za srednje družbe, z globo od 600 do 2.000 eurov podjetnik, ki ustreza merilom za majhne družbe, z globo od 200 do 800 eurov pa podjetnik, ki ustreza merilom za mikro družbe:</w:t>
            </w:r>
          </w:p>
          <w:p w14:paraId="20327752"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ima v firmi dodatne sestavine, ki podjetnika podrobneje označujejo, v nasprotju s 13. členom tega zakona;</w:t>
            </w:r>
          </w:p>
          <w:p w14:paraId="4B1858DC"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lastRenderedPageBreak/>
              <w:t>če v primeru iz drugega odstavka 58. člena tega zakona ne predloži AJPES letnega poročila zaradi javne objave v treh mesecih po koncu poslovnega leta ali ga ne predloži v elektronski obliki, razen podjetnikov, ki so po določbah o obdavčitvi dohodkov iz dejavnosti zakona, ki ureja dohodnino, obdavčeni na podlagi ugotovljenega dobička z upoštevanjem normiranih odhodkov;</w:t>
            </w:r>
          </w:p>
          <w:p w14:paraId="0015C21F"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v primeru iz prvega odstavka 59. člena tega zakona ne predloži AJPES podatkov iz letnih poročil o svojem premoženjskem in finančnem poslovanju ter poslovnem izidu v treh mesecih po koncu koledarskega leta, razen podjetnikov, ki so po določbah o obdavčitvi dohodkov iz dejavnosti zakona, ki ureja dohodnino, obdavčeni na podlagi ugotovljenega dobička z upoštevanjem normiranih odhodkov;</w:t>
            </w:r>
          </w:p>
          <w:p w14:paraId="5DC4DCB4"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uporablja oznako v nasprotju s prvim in drugim odstavkom 72. člena tega zakona;</w:t>
            </w:r>
          </w:p>
          <w:p w14:paraId="6453BD22"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na sporočilih, ki jih pošlje posameznemu naslovniku, ali sporočilih, ki jih pošilja v okviru obstoječih poslovnih stikov, ne navede podatkov v skladu s petim ali šestim odstavkom 72. člena;</w:t>
            </w:r>
          </w:p>
          <w:p w14:paraId="7B8B9D5C"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ne prijavi za vpis v Poslovni register Slovenije sprememb podatkov ali prenehanja poslovanja v skladu s prvim odstavkom 75. člena tega zakona;</w:t>
            </w:r>
          </w:p>
          <w:p w14:paraId="3620D4B9"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v prijavi za vpis v Poslovni register Slovenije navede napačne podatke (drugi odstavek 74. člena);</w:t>
            </w:r>
          </w:p>
          <w:p w14:paraId="248D9241" w14:textId="77777777" w:rsidR="006D4AF3" w:rsidRPr="00605612" w:rsidRDefault="006D4AF3" w:rsidP="006D4AF3">
            <w:pPr>
              <w:pStyle w:val="Neotevilenodstavek"/>
              <w:numPr>
                <w:ilvl w:val="0"/>
                <w:numId w:val="69"/>
              </w:numPr>
              <w:spacing w:before="0" w:after="0" w:line="240" w:lineRule="auto"/>
              <w:rPr>
                <w:color w:val="000000" w:themeColor="text1"/>
                <w:sz w:val="20"/>
                <w:szCs w:val="20"/>
              </w:rPr>
            </w:pPr>
            <w:r w:rsidRPr="00605612">
              <w:rPr>
                <w:color w:val="000000" w:themeColor="text1"/>
                <w:sz w:val="20"/>
                <w:szCs w:val="20"/>
              </w:rPr>
              <w:t>če kot poslovni naslov v skladu z osmo alinejo drugega odstavka 74. člena tega zakona v poslovni register navede naslov, na katerem je objekt, katerega lastnik je druga oseba, ki mu ni dala dovoljenja za poslovanje na tem naslovu.</w:t>
            </w:r>
          </w:p>
          <w:p w14:paraId="6630814E" w14:textId="77777777" w:rsidR="006D4AF3" w:rsidRPr="00605612" w:rsidRDefault="006D4AF3" w:rsidP="006D4AF3">
            <w:pPr>
              <w:pStyle w:val="Neotevilenodstavek"/>
              <w:spacing w:before="0" w:after="0" w:line="240" w:lineRule="auto"/>
              <w:rPr>
                <w:color w:val="000000" w:themeColor="text1"/>
                <w:sz w:val="20"/>
                <w:szCs w:val="20"/>
              </w:rPr>
            </w:pPr>
          </w:p>
          <w:p w14:paraId="6DDD884A" w14:textId="77777777" w:rsidR="006D4AF3" w:rsidRPr="00605612" w:rsidRDefault="006D4AF3" w:rsidP="006D4AF3">
            <w:pPr>
              <w:pStyle w:val="Neotevilenodstavek"/>
              <w:spacing w:before="0" w:after="0" w:line="240" w:lineRule="auto"/>
              <w:rPr>
                <w:color w:val="000000" w:themeColor="text1"/>
                <w:sz w:val="20"/>
                <w:szCs w:val="20"/>
              </w:rPr>
            </w:pPr>
            <w:r w:rsidRPr="00605612">
              <w:rPr>
                <w:color w:val="000000" w:themeColor="text1"/>
                <w:sz w:val="20"/>
                <w:szCs w:val="20"/>
              </w:rPr>
              <w:t>(2) Z globo od 600 do 1200 eurov se kaznuje za prekršek tudi odgovorna oseba podjetnika, ki stori prekršek iz prejšnjega odstavka.</w:t>
            </w:r>
          </w:p>
          <w:p w14:paraId="66C281DB" w14:textId="77777777" w:rsidR="006D4AF3" w:rsidRPr="00605612" w:rsidRDefault="006D4AF3" w:rsidP="006D4AF3">
            <w:pPr>
              <w:pStyle w:val="Neotevilenodstavek"/>
              <w:spacing w:before="0" w:after="0" w:line="260" w:lineRule="exact"/>
              <w:rPr>
                <w:color w:val="000000" w:themeColor="text1"/>
                <w:sz w:val="20"/>
                <w:szCs w:val="20"/>
              </w:rPr>
            </w:pPr>
          </w:p>
          <w:p w14:paraId="4EFC9BE1" w14:textId="77777777" w:rsidR="006D4AF3" w:rsidRPr="00CB3549" w:rsidRDefault="006D4AF3" w:rsidP="006D4AF3">
            <w:pPr>
              <w:pStyle w:val="Neotevilenodstavek"/>
              <w:jc w:val="center"/>
              <w:rPr>
                <w:b/>
                <w:bCs/>
                <w:color w:val="000000" w:themeColor="text1"/>
                <w:sz w:val="20"/>
                <w:szCs w:val="20"/>
              </w:rPr>
            </w:pPr>
            <w:r w:rsidRPr="00CB3549">
              <w:rPr>
                <w:b/>
                <w:bCs/>
                <w:color w:val="000000" w:themeColor="text1"/>
                <w:sz w:val="20"/>
                <w:szCs w:val="20"/>
              </w:rPr>
              <w:t>689.c člen</w:t>
            </w:r>
          </w:p>
          <w:p w14:paraId="4BF4E11A" w14:textId="77777777" w:rsidR="006D4AF3" w:rsidRPr="00CB3549" w:rsidRDefault="006D4AF3" w:rsidP="006D4AF3">
            <w:pPr>
              <w:pStyle w:val="Neotevilenodstavek"/>
              <w:jc w:val="center"/>
              <w:rPr>
                <w:b/>
                <w:bCs/>
                <w:color w:val="000000" w:themeColor="text1"/>
                <w:sz w:val="20"/>
                <w:szCs w:val="20"/>
              </w:rPr>
            </w:pPr>
            <w:r w:rsidRPr="00CB3549">
              <w:rPr>
                <w:b/>
                <w:bCs/>
                <w:color w:val="000000" w:themeColor="text1"/>
                <w:sz w:val="20"/>
                <w:szCs w:val="20"/>
              </w:rPr>
              <w:t>(prekrški nadzornega sveta)</w:t>
            </w:r>
          </w:p>
          <w:p w14:paraId="0C6C7E89" w14:textId="77777777" w:rsidR="006D4AF3" w:rsidRPr="00CB3549" w:rsidRDefault="006D4AF3" w:rsidP="006D4AF3">
            <w:pPr>
              <w:pStyle w:val="Neotevilenodstavek"/>
              <w:rPr>
                <w:color w:val="000000" w:themeColor="text1"/>
                <w:sz w:val="20"/>
                <w:szCs w:val="20"/>
              </w:rPr>
            </w:pPr>
          </w:p>
          <w:p w14:paraId="393F0A50" w14:textId="77777777" w:rsidR="006D4AF3" w:rsidRPr="00CB3549" w:rsidRDefault="006D4AF3" w:rsidP="006D4AF3">
            <w:pPr>
              <w:pStyle w:val="Neotevilenodstavek"/>
              <w:rPr>
                <w:color w:val="000000" w:themeColor="text1"/>
                <w:sz w:val="20"/>
                <w:szCs w:val="20"/>
              </w:rPr>
            </w:pPr>
            <w:r w:rsidRPr="00CB3549">
              <w:rPr>
                <w:color w:val="000000" w:themeColor="text1"/>
                <w:sz w:val="20"/>
                <w:szCs w:val="20"/>
              </w:rPr>
              <w:t>(1) Z globo od 1.000 do 5.000 eurov se kaznuje za prekršek predsednik nadzornega sveta, če:</w:t>
            </w:r>
          </w:p>
          <w:p w14:paraId="427B6FE9" w14:textId="77777777" w:rsidR="006D4AF3" w:rsidRPr="00CB3549" w:rsidRDefault="006D4AF3" w:rsidP="006D4AF3">
            <w:pPr>
              <w:pStyle w:val="Neotevilenodstavek"/>
              <w:numPr>
                <w:ilvl w:val="0"/>
                <w:numId w:val="97"/>
              </w:numPr>
              <w:rPr>
                <w:color w:val="000000" w:themeColor="text1"/>
                <w:sz w:val="20"/>
                <w:szCs w:val="20"/>
              </w:rPr>
            </w:pPr>
            <w:r w:rsidRPr="00CB3549">
              <w:rPr>
                <w:color w:val="000000" w:themeColor="text1"/>
                <w:sz w:val="20"/>
                <w:szCs w:val="20"/>
              </w:rPr>
              <w:t>nadzorni svet ni sklican v skladu s prvim odstavkom 257. člena tega zakona;</w:t>
            </w:r>
          </w:p>
          <w:p w14:paraId="1481171D" w14:textId="77777777" w:rsidR="006D4AF3" w:rsidRPr="00CB3549" w:rsidRDefault="006D4AF3" w:rsidP="006D4AF3">
            <w:pPr>
              <w:pStyle w:val="Neotevilenodstavek"/>
              <w:numPr>
                <w:ilvl w:val="0"/>
                <w:numId w:val="97"/>
              </w:numPr>
              <w:rPr>
                <w:color w:val="000000" w:themeColor="text1"/>
                <w:sz w:val="20"/>
                <w:szCs w:val="20"/>
              </w:rPr>
            </w:pPr>
            <w:r w:rsidRPr="00CB3549">
              <w:rPr>
                <w:color w:val="000000" w:themeColor="text1"/>
                <w:sz w:val="20"/>
                <w:szCs w:val="20"/>
              </w:rPr>
              <w:t>nadzorni svet sprejme sklep v nasprotju z določbo tretjega odstavka 257. člena tega zakona;</w:t>
            </w:r>
          </w:p>
          <w:p w14:paraId="3760625E" w14:textId="77777777" w:rsidR="006D4AF3" w:rsidRPr="00CB3549" w:rsidRDefault="006D4AF3" w:rsidP="006D4AF3">
            <w:pPr>
              <w:pStyle w:val="Neotevilenodstavek"/>
              <w:numPr>
                <w:ilvl w:val="0"/>
                <w:numId w:val="97"/>
              </w:numPr>
              <w:rPr>
                <w:color w:val="000000" w:themeColor="text1"/>
                <w:sz w:val="20"/>
                <w:szCs w:val="20"/>
              </w:rPr>
            </w:pPr>
            <w:r w:rsidRPr="00CB3549">
              <w:rPr>
                <w:color w:val="000000" w:themeColor="text1"/>
                <w:sz w:val="20"/>
                <w:szCs w:val="20"/>
              </w:rPr>
              <w:t>ne skliče seje v skladu s prvim odstavkom 260. člena tega zakona;</w:t>
            </w:r>
          </w:p>
          <w:p w14:paraId="07AA77C9" w14:textId="77777777" w:rsidR="006D4AF3" w:rsidRPr="00CB3549" w:rsidRDefault="006D4AF3" w:rsidP="006D4AF3">
            <w:pPr>
              <w:pStyle w:val="Neotevilenodstavek"/>
              <w:numPr>
                <w:ilvl w:val="0"/>
                <w:numId w:val="97"/>
              </w:numPr>
              <w:rPr>
                <w:color w:val="000000" w:themeColor="text1"/>
                <w:sz w:val="20"/>
                <w:szCs w:val="20"/>
              </w:rPr>
            </w:pPr>
            <w:r w:rsidRPr="00CB3549">
              <w:rPr>
                <w:color w:val="000000" w:themeColor="text1"/>
                <w:sz w:val="20"/>
                <w:szCs w:val="20"/>
              </w:rPr>
              <w:t>se na sejah nadzornega sveta ne piše zapisnika (drugi odstavek 278. člen);</w:t>
            </w:r>
          </w:p>
          <w:p w14:paraId="31C20002" w14:textId="77777777" w:rsidR="006D4AF3" w:rsidRPr="00CB3549" w:rsidRDefault="006D4AF3" w:rsidP="006D4AF3">
            <w:pPr>
              <w:pStyle w:val="Neotevilenodstavek"/>
              <w:numPr>
                <w:ilvl w:val="0"/>
                <w:numId w:val="97"/>
              </w:numPr>
              <w:rPr>
                <w:color w:val="000000" w:themeColor="text1"/>
                <w:sz w:val="20"/>
                <w:szCs w:val="20"/>
              </w:rPr>
            </w:pPr>
            <w:r w:rsidRPr="00CB3549">
              <w:rPr>
                <w:color w:val="000000" w:themeColor="text1"/>
                <w:sz w:val="20"/>
                <w:szCs w:val="20"/>
              </w:rPr>
              <w:t>nadzorni svet ne pripravi poročila o prejemkih v skladu s prvim do četrtim odstavkom 294.b člena tega zakona.</w:t>
            </w:r>
          </w:p>
          <w:p w14:paraId="7A872A15" w14:textId="77777777" w:rsidR="006D4AF3" w:rsidRDefault="006D4AF3" w:rsidP="006D4AF3">
            <w:pPr>
              <w:pStyle w:val="Neotevilenodstavek"/>
              <w:rPr>
                <w:color w:val="000000" w:themeColor="text1"/>
                <w:sz w:val="20"/>
                <w:szCs w:val="20"/>
              </w:rPr>
            </w:pPr>
          </w:p>
          <w:p w14:paraId="2E667445" w14:textId="77777777" w:rsidR="006D4AF3" w:rsidRPr="00CB3549" w:rsidRDefault="006D4AF3" w:rsidP="006D4AF3">
            <w:pPr>
              <w:pStyle w:val="Neotevilenodstavek"/>
              <w:rPr>
                <w:color w:val="000000" w:themeColor="text1"/>
                <w:sz w:val="20"/>
                <w:szCs w:val="20"/>
              </w:rPr>
            </w:pPr>
            <w:r w:rsidRPr="00CB3549">
              <w:rPr>
                <w:color w:val="000000" w:themeColor="text1"/>
                <w:sz w:val="20"/>
                <w:szCs w:val="20"/>
              </w:rPr>
              <w:t>(2) Z globo od 1.000 do 5.000 eurov se kaznuje za prekršek član nadzornega sveta, ki je glasoval za sklep:</w:t>
            </w:r>
          </w:p>
          <w:p w14:paraId="2B8752A9" w14:textId="77777777" w:rsidR="006D4AF3" w:rsidRPr="00CB3549" w:rsidRDefault="006D4AF3" w:rsidP="006D4AF3">
            <w:pPr>
              <w:pStyle w:val="Neotevilenodstavek"/>
              <w:numPr>
                <w:ilvl w:val="0"/>
                <w:numId w:val="98"/>
              </w:numPr>
              <w:rPr>
                <w:color w:val="000000" w:themeColor="text1"/>
                <w:sz w:val="20"/>
                <w:szCs w:val="20"/>
              </w:rPr>
            </w:pPr>
            <w:r w:rsidRPr="00CB3549">
              <w:rPr>
                <w:color w:val="000000" w:themeColor="text1"/>
                <w:sz w:val="20"/>
                <w:szCs w:val="20"/>
              </w:rPr>
              <w:t>s katerim je bi imenovan član oziroma predsednik uprave v nasprotju z drugim odstavkom 255. člena tega zakona;</w:t>
            </w:r>
          </w:p>
          <w:p w14:paraId="017ADDD6" w14:textId="77777777" w:rsidR="006D4AF3" w:rsidRPr="00CB3549" w:rsidRDefault="006D4AF3" w:rsidP="006D4AF3">
            <w:pPr>
              <w:pStyle w:val="Neotevilenodstavek"/>
              <w:numPr>
                <w:ilvl w:val="0"/>
                <w:numId w:val="98"/>
              </w:numPr>
              <w:rPr>
                <w:color w:val="000000" w:themeColor="text1"/>
                <w:sz w:val="20"/>
                <w:szCs w:val="20"/>
              </w:rPr>
            </w:pPr>
            <w:r w:rsidRPr="00CB3549">
              <w:rPr>
                <w:color w:val="000000" w:themeColor="text1"/>
                <w:sz w:val="20"/>
                <w:szCs w:val="20"/>
              </w:rPr>
              <w:t>ki ni v skladu z določbami 261. člena tega zakona;</w:t>
            </w:r>
          </w:p>
          <w:p w14:paraId="619D164F" w14:textId="77777777" w:rsidR="006D4AF3" w:rsidRPr="00CB3549" w:rsidRDefault="006D4AF3" w:rsidP="006D4AF3">
            <w:pPr>
              <w:pStyle w:val="Neotevilenodstavek"/>
              <w:numPr>
                <w:ilvl w:val="0"/>
                <w:numId w:val="98"/>
              </w:numPr>
              <w:rPr>
                <w:color w:val="000000" w:themeColor="text1"/>
                <w:sz w:val="20"/>
                <w:szCs w:val="20"/>
              </w:rPr>
            </w:pPr>
            <w:r w:rsidRPr="00CB3549">
              <w:rPr>
                <w:color w:val="000000" w:themeColor="text1"/>
                <w:sz w:val="20"/>
                <w:szCs w:val="20"/>
              </w:rPr>
              <w:t>na podlagi katerega so prejemki članov uprave določeni v nasprotju z določbami 270. člena tega zakona;</w:t>
            </w:r>
          </w:p>
          <w:p w14:paraId="626DBE0C" w14:textId="77777777" w:rsidR="006D4AF3" w:rsidRPr="00CB3549" w:rsidRDefault="006D4AF3" w:rsidP="006D4AF3">
            <w:pPr>
              <w:pStyle w:val="Neotevilenodstavek"/>
              <w:numPr>
                <w:ilvl w:val="0"/>
                <w:numId w:val="98"/>
              </w:numPr>
              <w:rPr>
                <w:color w:val="000000" w:themeColor="text1"/>
                <w:sz w:val="20"/>
                <w:szCs w:val="20"/>
              </w:rPr>
            </w:pPr>
            <w:r w:rsidRPr="00CB3549">
              <w:rPr>
                <w:color w:val="000000" w:themeColor="text1"/>
                <w:sz w:val="20"/>
                <w:szCs w:val="20"/>
              </w:rPr>
              <w:t>s katerim se imenuje nadomestnega člana v nasprotju z drugim odstavkom 273. člena tega zakona;</w:t>
            </w:r>
          </w:p>
          <w:p w14:paraId="2720C680" w14:textId="77777777" w:rsidR="006D4AF3" w:rsidRPr="00CB3549" w:rsidRDefault="006D4AF3" w:rsidP="006D4AF3">
            <w:pPr>
              <w:pStyle w:val="Neotevilenodstavek"/>
              <w:numPr>
                <w:ilvl w:val="0"/>
                <w:numId w:val="98"/>
              </w:numPr>
              <w:rPr>
                <w:color w:val="000000" w:themeColor="text1"/>
                <w:sz w:val="20"/>
                <w:szCs w:val="20"/>
              </w:rPr>
            </w:pPr>
            <w:r w:rsidRPr="00CB3549">
              <w:rPr>
                <w:color w:val="000000" w:themeColor="text1"/>
                <w:sz w:val="20"/>
                <w:szCs w:val="20"/>
              </w:rPr>
              <w:t>na podlagi katerega je revizijska komisija imenovana v nasprotju z določbo prvega odstavka 280. člena tega zakona.</w:t>
            </w:r>
          </w:p>
          <w:p w14:paraId="2F6BE4CF" w14:textId="77777777" w:rsidR="006D4AF3" w:rsidRDefault="006D4AF3" w:rsidP="006D4AF3">
            <w:pPr>
              <w:pStyle w:val="Neotevilenodstavek"/>
              <w:rPr>
                <w:color w:val="000000" w:themeColor="text1"/>
                <w:sz w:val="20"/>
                <w:szCs w:val="20"/>
              </w:rPr>
            </w:pPr>
          </w:p>
          <w:p w14:paraId="5935978A" w14:textId="77777777" w:rsidR="006D4AF3" w:rsidRPr="00CB3549" w:rsidRDefault="006D4AF3" w:rsidP="006D4AF3">
            <w:pPr>
              <w:pStyle w:val="Neotevilenodstavek"/>
              <w:rPr>
                <w:color w:val="000000" w:themeColor="text1"/>
                <w:sz w:val="20"/>
                <w:szCs w:val="20"/>
              </w:rPr>
            </w:pPr>
            <w:r w:rsidRPr="00CB3549">
              <w:rPr>
                <w:color w:val="000000" w:themeColor="text1"/>
                <w:sz w:val="20"/>
                <w:szCs w:val="20"/>
              </w:rPr>
              <w:t>(3) Z globo od 1.000 do 5.000 eurov se kaznuje za prekršek član nadzornega sveta, če nadzorni svet:</w:t>
            </w:r>
          </w:p>
          <w:p w14:paraId="780367C4" w14:textId="77777777" w:rsidR="006D4AF3" w:rsidRPr="00CB3549" w:rsidRDefault="006D4AF3" w:rsidP="006D4AF3">
            <w:pPr>
              <w:pStyle w:val="Neotevilenodstavek"/>
              <w:numPr>
                <w:ilvl w:val="0"/>
                <w:numId w:val="99"/>
              </w:numPr>
              <w:rPr>
                <w:color w:val="000000" w:themeColor="text1"/>
                <w:sz w:val="20"/>
                <w:szCs w:val="20"/>
              </w:rPr>
            </w:pPr>
            <w:r w:rsidRPr="00CB3549">
              <w:rPr>
                <w:color w:val="000000" w:themeColor="text1"/>
                <w:sz w:val="20"/>
                <w:szCs w:val="20"/>
              </w:rPr>
              <w:t>nima poslovnika o svojem delu v skladu s prvim odstavkom 258. člena tega zakona;</w:t>
            </w:r>
          </w:p>
          <w:p w14:paraId="35B0B3DA" w14:textId="77777777" w:rsidR="006D4AF3" w:rsidRPr="00CB3549" w:rsidRDefault="006D4AF3" w:rsidP="006D4AF3">
            <w:pPr>
              <w:pStyle w:val="Neotevilenodstavek"/>
              <w:numPr>
                <w:ilvl w:val="0"/>
                <w:numId w:val="99"/>
              </w:numPr>
              <w:rPr>
                <w:color w:val="000000" w:themeColor="text1"/>
                <w:sz w:val="20"/>
                <w:szCs w:val="20"/>
              </w:rPr>
            </w:pPr>
            <w:r w:rsidRPr="00CB3549">
              <w:rPr>
                <w:color w:val="000000" w:themeColor="text1"/>
                <w:sz w:val="20"/>
                <w:szCs w:val="20"/>
              </w:rPr>
              <w:t>ne imenuje članov uprave in predsednika (prvi odstavek 268. člena);</w:t>
            </w:r>
          </w:p>
          <w:p w14:paraId="56F09087" w14:textId="77777777" w:rsidR="006D4AF3" w:rsidRPr="00CB3549" w:rsidRDefault="006D4AF3" w:rsidP="006D4AF3">
            <w:pPr>
              <w:pStyle w:val="Neotevilenodstavek"/>
              <w:numPr>
                <w:ilvl w:val="0"/>
                <w:numId w:val="99"/>
              </w:numPr>
              <w:rPr>
                <w:color w:val="000000" w:themeColor="text1"/>
                <w:sz w:val="20"/>
                <w:szCs w:val="20"/>
              </w:rPr>
            </w:pPr>
            <w:r w:rsidRPr="00CB3549">
              <w:rPr>
                <w:color w:val="000000" w:themeColor="text1"/>
                <w:sz w:val="20"/>
                <w:szCs w:val="20"/>
              </w:rPr>
              <w:t>v družbi, s katere vrednostnimi papirji se trguje na organiziranem trgu, ne oblikuje revizijske komisije (prvi odstavek 279. člena);</w:t>
            </w:r>
          </w:p>
          <w:p w14:paraId="65E57F2E" w14:textId="77777777" w:rsidR="006D4AF3" w:rsidRPr="00CB3549" w:rsidRDefault="006D4AF3" w:rsidP="006D4AF3">
            <w:pPr>
              <w:pStyle w:val="Neotevilenodstavek"/>
              <w:numPr>
                <w:ilvl w:val="0"/>
                <w:numId w:val="99"/>
              </w:numPr>
              <w:rPr>
                <w:color w:val="000000" w:themeColor="text1"/>
                <w:sz w:val="20"/>
                <w:szCs w:val="20"/>
              </w:rPr>
            </w:pPr>
            <w:r w:rsidRPr="00CB3549">
              <w:rPr>
                <w:color w:val="000000" w:themeColor="text1"/>
                <w:sz w:val="20"/>
                <w:szCs w:val="20"/>
              </w:rPr>
              <w:t>ne pripravi poročila o prejemkih v skladu s prvim do četrtim odstavkom 294.b člena tega zakona;</w:t>
            </w:r>
          </w:p>
          <w:p w14:paraId="304CF662" w14:textId="77777777" w:rsidR="006D4AF3" w:rsidRDefault="006D4AF3" w:rsidP="006D4AF3">
            <w:pPr>
              <w:pStyle w:val="Neotevilenodstavek"/>
              <w:numPr>
                <w:ilvl w:val="0"/>
                <w:numId w:val="99"/>
              </w:numPr>
              <w:spacing w:before="0" w:after="0" w:line="260" w:lineRule="exact"/>
              <w:rPr>
                <w:color w:val="000000" w:themeColor="text1"/>
                <w:sz w:val="20"/>
                <w:szCs w:val="20"/>
              </w:rPr>
            </w:pPr>
            <w:r w:rsidRPr="00CB3549">
              <w:rPr>
                <w:color w:val="000000" w:themeColor="text1"/>
                <w:sz w:val="20"/>
                <w:szCs w:val="20"/>
              </w:rPr>
              <w:t>ne imenuje poslovodstva (četrti odstavek 515. člen).</w:t>
            </w:r>
          </w:p>
          <w:p w14:paraId="1394CBF2" w14:textId="77777777" w:rsidR="006D4AF3" w:rsidRDefault="006D4AF3" w:rsidP="006D4AF3">
            <w:pPr>
              <w:pStyle w:val="Neotevilenodstavek"/>
              <w:spacing w:before="0" w:after="0" w:line="260" w:lineRule="exact"/>
              <w:rPr>
                <w:color w:val="000000" w:themeColor="text1"/>
                <w:sz w:val="20"/>
                <w:szCs w:val="20"/>
              </w:rPr>
            </w:pPr>
          </w:p>
          <w:p w14:paraId="4E60BB2F" w14:textId="77777777" w:rsidR="006D4AF3" w:rsidRPr="00CD7ED1" w:rsidRDefault="006D4AF3" w:rsidP="006D4AF3">
            <w:pPr>
              <w:shd w:val="clear" w:color="auto" w:fill="FFFFFF"/>
              <w:spacing w:line="240" w:lineRule="auto"/>
              <w:jc w:val="center"/>
              <w:rPr>
                <w:rFonts w:cs="Arial"/>
                <w:b/>
                <w:bCs/>
                <w:color w:val="292B2C"/>
                <w:szCs w:val="20"/>
                <w:lang w:eastAsia="sl-SI"/>
              </w:rPr>
            </w:pPr>
            <w:r w:rsidRPr="00CD7ED1">
              <w:rPr>
                <w:rFonts w:cs="Arial"/>
                <w:b/>
                <w:bCs/>
                <w:color w:val="292B2C"/>
                <w:szCs w:val="20"/>
                <w:lang w:eastAsia="sl-SI"/>
              </w:rPr>
              <w:t>689.č člen</w:t>
            </w:r>
          </w:p>
          <w:p w14:paraId="6FF9E3B8" w14:textId="77777777" w:rsidR="006D4AF3" w:rsidRDefault="006D4AF3" w:rsidP="006D4AF3">
            <w:pPr>
              <w:shd w:val="clear" w:color="auto" w:fill="FFFFFF"/>
              <w:spacing w:line="240" w:lineRule="auto"/>
              <w:jc w:val="center"/>
              <w:rPr>
                <w:rFonts w:cs="Arial"/>
                <w:b/>
                <w:bCs/>
                <w:color w:val="292B2C"/>
                <w:szCs w:val="20"/>
                <w:lang w:eastAsia="sl-SI"/>
              </w:rPr>
            </w:pPr>
            <w:r w:rsidRPr="00CD7ED1">
              <w:rPr>
                <w:rFonts w:cs="Arial"/>
                <w:b/>
                <w:bCs/>
                <w:color w:val="292B2C"/>
                <w:szCs w:val="20"/>
                <w:lang w:eastAsia="sl-SI"/>
              </w:rPr>
              <w:t>(prekrški upravnega odbora in izvršnega direktorja)</w:t>
            </w:r>
          </w:p>
          <w:p w14:paraId="60A20E64" w14:textId="77777777" w:rsidR="006D4AF3" w:rsidRPr="00CD7ED1" w:rsidRDefault="006D4AF3" w:rsidP="006D4AF3">
            <w:pPr>
              <w:shd w:val="clear" w:color="auto" w:fill="FFFFFF"/>
              <w:spacing w:line="240" w:lineRule="auto"/>
              <w:jc w:val="center"/>
              <w:rPr>
                <w:rFonts w:cs="Arial"/>
                <w:b/>
                <w:bCs/>
                <w:color w:val="292B2C"/>
                <w:szCs w:val="20"/>
                <w:lang w:eastAsia="sl-SI"/>
              </w:rPr>
            </w:pPr>
          </w:p>
          <w:p w14:paraId="440EF89B" w14:textId="77777777" w:rsidR="006D4AF3" w:rsidRPr="00CD7ED1" w:rsidRDefault="006D4AF3" w:rsidP="006D4AF3">
            <w:pPr>
              <w:shd w:val="clear" w:color="auto" w:fill="FFFFFF"/>
              <w:spacing w:line="240" w:lineRule="auto"/>
              <w:jc w:val="both"/>
              <w:rPr>
                <w:rFonts w:cs="Arial"/>
                <w:color w:val="292B2C"/>
                <w:szCs w:val="20"/>
                <w:lang w:eastAsia="sl-SI"/>
              </w:rPr>
            </w:pPr>
            <w:r w:rsidRPr="00CD7ED1">
              <w:rPr>
                <w:rFonts w:cs="Arial"/>
                <w:color w:val="292B2C"/>
                <w:szCs w:val="20"/>
                <w:lang w:eastAsia="sl-SI"/>
              </w:rPr>
              <w:lastRenderedPageBreak/>
              <w:t>(1) Z globo od 1.000 do 5.000 eurov se kaznuje za prekršek predsednik upravnega odbora, če:</w:t>
            </w:r>
          </w:p>
          <w:p w14:paraId="0D6429D4"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1.      upravni odbor ni sklican v skladu s prvim odstavkom 257. člena tega zakona;</w:t>
            </w:r>
          </w:p>
          <w:p w14:paraId="56A5637C"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2.      ne skliče seje v skladu s prvim odstavkom 260. člena tega zakona;</w:t>
            </w:r>
          </w:p>
          <w:p w14:paraId="21E6721A"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3.      se na sejah upravnega odbora ne piše zapisnika (prvi odstavek 289. člena v povezavi z drugim odstavkom 278. člena);</w:t>
            </w:r>
          </w:p>
          <w:p w14:paraId="20B4120F"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4.      upravni odbor ne pripravi poročila o prejemkih v skladu s prvim do četrtim odstavkom 294.b člena tega zakona.</w:t>
            </w:r>
          </w:p>
          <w:p w14:paraId="37258F49" w14:textId="77777777" w:rsidR="006D4AF3" w:rsidRDefault="006D4AF3" w:rsidP="006D4AF3">
            <w:pPr>
              <w:shd w:val="clear" w:color="auto" w:fill="FFFFFF"/>
              <w:spacing w:line="240" w:lineRule="auto"/>
              <w:jc w:val="both"/>
              <w:rPr>
                <w:rFonts w:cs="Arial"/>
                <w:color w:val="292B2C"/>
                <w:szCs w:val="20"/>
                <w:lang w:eastAsia="sl-SI"/>
              </w:rPr>
            </w:pPr>
          </w:p>
          <w:p w14:paraId="36F6A216" w14:textId="77777777" w:rsidR="006D4AF3" w:rsidRPr="00CD7ED1" w:rsidRDefault="006D4AF3" w:rsidP="006D4AF3">
            <w:pPr>
              <w:shd w:val="clear" w:color="auto" w:fill="FFFFFF"/>
              <w:spacing w:line="240" w:lineRule="auto"/>
              <w:jc w:val="both"/>
              <w:rPr>
                <w:rFonts w:cs="Arial"/>
                <w:color w:val="292B2C"/>
                <w:szCs w:val="20"/>
                <w:lang w:eastAsia="sl-SI"/>
              </w:rPr>
            </w:pPr>
            <w:r w:rsidRPr="00CD7ED1">
              <w:rPr>
                <w:rFonts w:cs="Arial"/>
                <w:color w:val="292B2C"/>
                <w:szCs w:val="20"/>
                <w:lang w:eastAsia="sl-SI"/>
              </w:rPr>
              <w:t>(2) Z globo od 1.000 do 5.000 eurov se kaznuje za prekršek član upravnega odbora, ki je glasoval za sklep, na podlagi katerega:</w:t>
            </w:r>
          </w:p>
          <w:p w14:paraId="2EB4F32B"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1.      je bila za izvršnega direktorja imenovana oseba v nasprotju s tretjim odstavkom 290. člena tega zakona;</w:t>
            </w:r>
          </w:p>
          <w:p w14:paraId="6EE195E7"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2.      so prejemki izvršnih direktorjev določeni v nasprotju z določbami 270. člena tega zakona;</w:t>
            </w:r>
          </w:p>
          <w:p w14:paraId="5F40C497"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3.      je revizijska komisija imenovana v nasprotju z določbo četrtega odstavka 289. člena tega zakona.</w:t>
            </w:r>
          </w:p>
          <w:p w14:paraId="52C2B07E" w14:textId="77777777" w:rsidR="006D4AF3" w:rsidRDefault="006D4AF3" w:rsidP="006D4AF3">
            <w:pPr>
              <w:shd w:val="clear" w:color="auto" w:fill="FFFFFF"/>
              <w:spacing w:line="240" w:lineRule="auto"/>
              <w:jc w:val="both"/>
              <w:rPr>
                <w:rFonts w:cs="Arial"/>
                <w:color w:val="292B2C"/>
                <w:szCs w:val="20"/>
                <w:lang w:eastAsia="sl-SI"/>
              </w:rPr>
            </w:pPr>
          </w:p>
          <w:p w14:paraId="11F9B13C" w14:textId="77777777" w:rsidR="006D4AF3" w:rsidRPr="00CD7ED1" w:rsidRDefault="006D4AF3" w:rsidP="006D4AF3">
            <w:pPr>
              <w:shd w:val="clear" w:color="auto" w:fill="FFFFFF"/>
              <w:spacing w:line="240" w:lineRule="auto"/>
              <w:jc w:val="both"/>
              <w:rPr>
                <w:rFonts w:cs="Arial"/>
                <w:color w:val="292B2C"/>
                <w:szCs w:val="20"/>
                <w:lang w:eastAsia="sl-SI"/>
              </w:rPr>
            </w:pPr>
            <w:r w:rsidRPr="00CD7ED1">
              <w:rPr>
                <w:rFonts w:cs="Arial"/>
                <w:color w:val="292B2C"/>
                <w:szCs w:val="20"/>
                <w:lang w:eastAsia="sl-SI"/>
              </w:rPr>
              <w:t>(3) Z globo od 1.000 do 5.000 eurov se kaznuje za prekršek član upravnega odbora, če:</w:t>
            </w:r>
          </w:p>
          <w:p w14:paraId="33110E02"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1.      upravni odbor nima poslovnika o svojem delu v skladu s prvim odstavkom 258. člena tega zakona;</w:t>
            </w:r>
          </w:p>
          <w:p w14:paraId="305339F2"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2.      upravni odbor v družbi, s katere vrednostnimi papirji se trguje na organiziranem trgu, ne oblikuje revizijske komisije (tretji odstavek 279. člena);</w:t>
            </w:r>
          </w:p>
          <w:p w14:paraId="03E2BCE1"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3.      upravni odbor ne imenuje vsaj enega izvršnega direktorja v skladu z določbami prvega odstavka 291. člena tega zakona;</w:t>
            </w:r>
          </w:p>
          <w:p w14:paraId="2C74AD8D" w14:textId="77777777" w:rsidR="006D4AF3" w:rsidRPr="00CD7ED1" w:rsidRDefault="006D4AF3" w:rsidP="006D4AF3">
            <w:pPr>
              <w:shd w:val="clear" w:color="auto" w:fill="FFFFFF"/>
              <w:spacing w:line="240" w:lineRule="auto"/>
              <w:ind w:left="850" w:hanging="425"/>
              <w:jc w:val="both"/>
              <w:rPr>
                <w:rFonts w:cs="Arial"/>
                <w:color w:val="292B2C"/>
                <w:szCs w:val="20"/>
                <w:lang w:eastAsia="sl-SI"/>
              </w:rPr>
            </w:pPr>
            <w:r w:rsidRPr="00CD7ED1">
              <w:rPr>
                <w:rFonts w:cs="Arial"/>
                <w:color w:val="292B2C"/>
                <w:szCs w:val="20"/>
                <w:lang w:eastAsia="sl-SI"/>
              </w:rPr>
              <w:t>4.      upravni odbor ne pripravi poročila o prejemkih skladno s prvim do četrtim odstavkom 294.b člena tega zakona.</w:t>
            </w:r>
          </w:p>
          <w:p w14:paraId="1332BB57" w14:textId="77777777" w:rsidR="006D4AF3" w:rsidRDefault="006D4AF3" w:rsidP="006D4AF3">
            <w:pPr>
              <w:shd w:val="clear" w:color="auto" w:fill="FFFFFF"/>
              <w:spacing w:line="240" w:lineRule="auto"/>
              <w:jc w:val="both"/>
              <w:rPr>
                <w:rFonts w:cs="Arial"/>
                <w:color w:val="292B2C"/>
                <w:szCs w:val="20"/>
                <w:lang w:eastAsia="sl-SI"/>
              </w:rPr>
            </w:pPr>
          </w:p>
          <w:p w14:paraId="131068B2" w14:textId="509AD88C" w:rsidR="006D4AF3" w:rsidRPr="006D4AF3" w:rsidRDefault="00262CEE" w:rsidP="006D4AF3">
            <w:pPr>
              <w:pStyle w:val="Poglavje"/>
              <w:spacing w:before="0" w:after="0" w:line="260" w:lineRule="exact"/>
              <w:jc w:val="left"/>
              <w:rPr>
                <w:b w:val="0"/>
                <w:bCs/>
                <w:color w:val="000000" w:themeColor="text1"/>
                <w:sz w:val="20"/>
                <w:szCs w:val="20"/>
              </w:rPr>
            </w:pPr>
            <w:r>
              <w:rPr>
                <w:b w:val="0"/>
                <w:color w:val="292B2C"/>
                <w:sz w:val="20"/>
                <w:szCs w:val="20"/>
              </w:rPr>
              <w:t>(</w:t>
            </w:r>
            <w:r w:rsidR="006D4AF3" w:rsidRPr="002F3706">
              <w:rPr>
                <w:b w:val="0"/>
                <w:color w:val="292B2C"/>
                <w:sz w:val="20"/>
                <w:szCs w:val="20"/>
              </w:rPr>
              <w:t>4) Z globo od 1.000 do 5.000 eurov se kaznuje za prekršek izvršni direktor, če ne pripravi poročila o prejemkih v skladu s prvim do četrtim odstavkom 294.b člena tega zakona</w:t>
            </w:r>
            <w:r>
              <w:rPr>
                <w:b w:val="0"/>
                <w:color w:val="292B2C"/>
                <w:sz w:val="20"/>
                <w:szCs w:val="20"/>
              </w:rPr>
              <w:t>.</w:t>
            </w:r>
          </w:p>
        </w:tc>
      </w:tr>
      <w:tr w:rsidR="000C08CA" w:rsidRPr="00605612" w14:paraId="70BFB18F" w14:textId="77777777" w:rsidTr="00FE328D">
        <w:trPr>
          <w:hidden/>
        </w:trPr>
        <w:tc>
          <w:tcPr>
            <w:tcW w:w="9072" w:type="dxa"/>
          </w:tcPr>
          <w:p w14:paraId="7D132134" w14:textId="77777777" w:rsidR="000C08CA" w:rsidRPr="00D94FB4" w:rsidRDefault="000C08CA" w:rsidP="00FE328D">
            <w:pPr>
              <w:pStyle w:val="Neotevilenodstavek"/>
              <w:spacing w:before="0" w:after="0" w:line="260" w:lineRule="exact"/>
              <w:rPr>
                <w:vanish/>
                <w:color w:val="000000" w:themeColor="text1"/>
                <w:sz w:val="20"/>
                <w:szCs w:val="20"/>
              </w:rPr>
            </w:pPr>
          </w:p>
          <w:p w14:paraId="61EDC94A" w14:textId="77777777" w:rsidR="000C08CA" w:rsidRPr="00D94FB4" w:rsidRDefault="000C08CA" w:rsidP="00FE328D">
            <w:pPr>
              <w:pStyle w:val="Neotevilenodstavek"/>
              <w:spacing w:before="0" w:after="0" w:line="260" w:lineRule="exact"/>
              <w:rPr>
                <w:vanish/>
                <w:color w:val="000000" w:themeColor="text1"/>
                <w:sz w:val="20"/>
                <w:szCs w:val="20"/>
              </w:rPr>
            </w:pPr>
            <w:r w:rsidRPr="00D94FB4">
              <w:rPr>
                <w:b/>
                <w:vanish/>
                <w:color w:val="000000" w:themeColor="text1"/>
                <w:sz w:val="20"/>
                <w:szCs w:val="20"/>
              </w:rPr>
              <w:t xml:space="preserve">V Zakonu o gospodarskih družbah </w:t>
            </w:r>
            <w:r w:rsidRPr="00D94FB4">
              <w:rPr>
                <w:vanish/>
                <w:color w:val="000000" w:themeColor="text1"/>
                <w:sz w:val="20"/>
                <w:szCs w:val="20"/>
              </w:rPr>
              <w:t>(Uradni list RS, št. 65/09 – uradno prečiščeno besedilo, 33/11, 91/11, 32/12, 57/12, 44/13 – odl. US, 82/13, 55/15, 15/17, 22/19 – ZPosS, 158/20 – ZIntPK-C, 18/21, 18/23 – ZDU-1O in 75/23):</w:t>
            </w:r>
          </w:p>
          <w:p w14:paraId="7A501065" w14:textId="77777777" w:rsidR="000C08CA" w:rsidRPr="00D94FB4" w:rsidRDefault="000C08CA" w:rsidP="00FE328D">
            <w:pPr>
              <w:pStyle w:val="Neotevilenodstavek"/>
              <w:spacing w:before="0" w:after="0" w:line="260" w:lineRule="exact"/>
              <w:rPr>
                <w:vanish/>
                <w:color w:val="000000" w:themeColor="text1"/>
                <w:sz w:val="20"/>
                <w:szCs w:val="20"/>
              </w:rPr>
            </w:pPr>
          </w:p>
          <w:p w14:paraId="6C91DDD6"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2. člen</w:t>
            </w:r>
          </w:p>
          <w:p w14:paraId="32F8515B"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(prenos direktiv in izvajanje uredb Evropske unije)</w:t>
            </w:r>
          </w:p>
          <w:p w14:paraId="7B55D836" w14:textId="77777777" w:rsidR="000C08CA" w:rsidRPr="00D94FB4" w:rsidRDefault="000C08CA" w:rsidP="00FE328D">
            <w:pPr>
              <w:pStyle w:val="Neotevilenodstavek"/>
              <w:spacing w:before="0" w:after="0" w:line="240" w:lineRule="auto"/>
              <w:rPr>
                <w:vanish/>
                <w:color w:val="000000" w:themeColor="text1"/>
                <w:sz w:val="20"/>
                <w:szCs w:val="20"/>
              </w:rPr>
            </w:pPr>
          </w:p>
          <w:p w14:paraId="27548CC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S tem zakonom se v pravni red Republike Slovenije prenašajo naslednje direktive Evropske unije:</w:t>
            </w:r>
          </w:p>
          <w:p w14:paraId="71A86269"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2007/36/ES Evropskega parlamenta in Sveta z dne 11. julija 2007 o uveljavljanju določenih pravic delničarjev družb, ki kotirajo na borzi (UL L št. 184 z dne 14. 7. 2007, str. 17),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2007/36/EU),</w:t>
            </w:r>
          </w:p>
          <w:p w14:paraId="63D44CFB"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2009/38/ES Evropskega parlamenta in Sveta z dne 6. maja 2009 o ustanovitvi Evropskega sveta delavcev ali uvedbi postopka obveščanja in posvetovanja z delavci v družbah ali povezanih družbah na območju Skupnosti (Prenovitev) (UL L št. 122 z dne 16. 5. 2009, str. 28), zadnjič spremenjena z Direktivo (EU) 2015/1794 Evropskega parlamenta in Sveta z dne 6. oktobra 2015 o spremembi direktiv 2008/94/ES, 2009/38/ES in 2002/14/ES Evropskega parlamenta in Sveta ter direktiv Sveta 98/59/ES in 2001/23/ES v zvezi s pomorščaki (UL L št. 263 z dne 8. 10. 2015, str. 1), (v nadaljnjem besedilu: Direktiva 2009/38/ES) in</w:t>
            </w:r>
          </w:p>
          <w:p w14:paraId="629A1651"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2009/102/ES Evropskega parlamenta in Sveta z dne 16. septembra 2009 na področju prava družb o družbah z omejeno odgovornostjo z enim družbenikom (Kodificirana različica) (UL L št. 258, 1. 10. 2009, str. 20), zadnjič spremenjena z Direktivo Sveta 2013/24/EU z dne 13. maja 2013 o prilagoditvi nekaterih direktiv na področju prava družb zaradi pristopa Republike Hrvaške (UL L št. 158 z dne 10. 6. 2013, str. 365), (v nadaljnjem besedilu: Direktiva 2009/102/ES).</w:t>
            </w:r>
          </w:p>
          <w:p w14:paraId="4C571929" w14:textId="77777777" w:rsidR="000C08CA" w:rsidRPr="00D94FB4" w:rsidRDefault="000C08CA" w:rsidP="00FE328D">
            <w:pPr>
              <w:pStyle w:val="Neotevilenodstavek"/>
              <w:spacing w:before="0" w:after="0" w:line="240" w:lineRule="auto"/>
              <w:rPr>
                <w:vanish/>
                <w:color w:val="000000" w:themeColor="text1"/>
                <w:sz w:val="20"/>
                <w:szCs w:val="20"/>
              </w:rPr>
            </w:pPr>
          </w:p>
          <w:p w14:paraId="446D1DC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S tem zakonom se v pravni red Republike Slovenije delno prenašajo naslednje direktive Evropske unije:</w:t>
            </w:r>
          </w:p>
          <w:p w14:paraId="291C13A4"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2006/43/ES Evropskega parlamenta in Sveta z dne 17. maja 2006 o obveznih revizijah za letne in konsolidirane računovodske izkaze, spremembi direktiv Sveta 78/660/EGS in 83/349/EGS ter razveljavitvi direktive Sveta 84/253/EGS (UL L št. 157 z dne 9. 6. 2006, str. 87), zadnjič spremenjena z Direktivo 2014/56/EU Evropskega parlamenta in Sveta z dne 16. aprila 2014 o spremembi Direktive 2006/43/ES o obveznih revizijah za letne in konsolidirane računovodske izkaze (UL L št. 158 z dne 27. 5. 2014, str. 196), (v nadaljnjem besedilu: Direktiva 2006/43/ES),</w:t>
            </w:r>
          </w:p>
          <w:p w14:paraId="352A44D5"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2013/34/EU Evropskega parlamenta in Sveta z dne 26. junija 2013 o letnih računovodskih izkazih in povezanih poročilih nekaterih vrst podjetij, spremembi Direktive 2006/43ES Evropskega parlamenta in Sveta ter razveljavitvi direktiv Sveta 78/660/EGS in 83/349/EGS (UL L št. 182 z dne 29. 6. 2013, str. 19), zadnjič spremenjena z Direktivo (EU) 2022/2464 Evropskega parlamenta in Sveta z dne 14. decembra 2022 o spremembi Uredbe (EU) št. 537/2014, Direktive 2004/109/ES, Direktive 2006/43/ES in Direktive 2013/34/EU glede poročanja podjetij o trajnostnosti (UL L št. 322 z dne 16. 12. 2022, str. 15), (v nadaljnjem besedilu: Direktiva 2013/34/EU) in</w:t>
            </w:r>
          </w:p>
          <w:p w14:paraId="319F7972" w14:textId="77777777" w:rsidR="000C08CA" w:rsidRPr="00D94FB4" w:rsidRDefault="000C08CA" w:rsidP="00FE328D">
            <w:pPr>
              <w:pStyle w:val="Neotevilenodstavek"/>
              <w:numPr>
                <w:ilvl w:val="0"/>
                <w:numId w:val="39"/>
              </w:numPr>
              <w:spacing w:before="0" w:after="0" w:line="240" w:lineRule="auto"/>
              <w:rPr>
                <w:vanish/>
                <w:color w:val="000000" w:themeColor="text1"/>
                <w:sz w:val="20"/>
                <w:szCs w:val="20"/>
              </w:rPr>
            </w:pPr>
            <w:r w:rsidRPr="00D94FB4">
              <w:rPr>
                <w:vanish/>
                <w:color w:val="000000" w:themeColor="text1"/>
                <w:sz w:val="20"/>
                <w:szCs w:val="20"/>
              </w:rPr>
              <w:t>Direktiva (EU) 2017/1132 Evropskega parlamenta in Sveta z dne 14. julija 2017 o določenih vidikih prava družb (kodificirano besedilo) (UL L št. 169 z dne 30. 6. 2017, str. 46), zadnjič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 (v nadaljnjem besedilu: Direktiva 2017/1132/EU).</w:t>
            </w:r>
          </w:p>
          <w:p w14:paraId="4E02CAA1" w14:textId="77777777" w:rsidR="000C08CA" w:rsidRPr="00D94FB4" w:rsidRDefault="000C08CA" w:rsidP="00FE328D">
            <w:pPr>
              <w:pStyle w:val="Neotevilenodstavek"/>
              <w:spacing w:before="0" w:after="0" w:line="240" w:lineRule="auto"/>
              <w:rPr>
                <w:vanish/>
                <w:color w:val="000000" w:themeColor="text1"/>
                <w:sz w:val="20"/>
                <w:szCs w:val="20"/>
              </w:rPr>
            </w:pPr>
          </w:p>
          <w:p w14:paraId="5C244F8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S tem zakonom se podrobneje ureja izvajanje naslednjih uredb Evropske unije:</w:t>
            </w:r>
          </w:p>
          <w:p w14:paraId="780B4A4D" w14:textId="77777777" w:rsidR="000C08CA" w:rsidRPr="00D94FB4" w:rsidRDefault="000C08CA" w:rsidP="00FE328D">
            <w:pPr>
              <w:pStyle w:val="Neotevilenodstavek"/>
              <w:numPr>
                <w:ilvl w:val="0"/>
                <w:numId w:val="47"/>
              </w:numPr>
              <w:spacing w:before="0" w:after="0" w:line="240" w:lineRule="auto"/>
              <w:rPr>
                <w:vanish/>
                <w:color w:val="000000" w:themeColor="text1"/>
                <w:sz w:val="20"/>
                <w:szCs w:val="20"/>
              </w:rPr>
            </w:pPr>
            <w:r w:rsidRPr="00D94FB4">
              <w:rPr>
                <w:vanish/>
                <w:color w:val="000000" w:themeColor="text1"/>
                <w:sz w:val="20"/>
                <w:szCs w:val="20"/>
              </w:rPr>
              <w:t>Uredba Sveta 2137/85/EGS z dne 25. julija 1985 o Evropskem gospodarskem združenju (EGIZ) (UL L št. 199 z dne 31. 7. 1985, str. 1; v nadaljnjem besedilu: Uredba 2137/85/EGS),</w:t>
            </w:r>
          </w:p>
          <w:p w14:paraId="642E5386" w14:textId="77777777" w:rsidR="000C08CA" w:rsidRPr="00D94FB4" w:rsidRDefault="000C08CA" w:rsidP="00FE328D">
            <w:pPr>
              <w:pStyle w:val="Neotevilenodstavek"/>
              <w:numPr>
                <w:ilvl w:val="0"/>
                <w:numId w:val="47"/>
              </w:numPr>
              <w:spacing w:before="0" w:after="0" w:line="240" w:lineRule="auto"/>
              <w:rPr>
                <w:vanish/>
                <w:color w:val="000000" w:themeColor="text1"/>
                <w:sz w:val="20"/>
                <w:szCs w:val="20"/>
              </w:rPr>
            </w:pPr>
            <w:r w:rsidRPr="00D94FB4">
              <w:rPr>
                <w:vanish/>
                <w:color w:val="000000" w:themeColor="text1"/>
                <w:sz w:val="20"/>
                <w:szCs w:val="20"/>
              </w:rPr>
              <w:t>Uredba Evropskega parlamenta in Sveta 1606/2002/ES z dne 19. julija 2002 o uporabi mednarodnih računovodskih standardov (UL L št. 243 z dne 11. 9. 2002, str. 1), zadnjič spremenjena z Uredbo (ES) št. 297/2008 Evropskega parlamenta in Sveta z dne 11. marca 2008 o spremembah Uredbe (ES) št. 1606/2002 o uporabi mednarodnih računovodskih standardov, glede Komisiji podeljenih izvedbenih pooblastil (UL L št. 97 z dne 9. 4. 2008, str. 62), (v nadaljnjem besedilu: Uredba 1606/2002/ES),</w:t>
            </w:r>
          </w:p>
          <w:p w14:paraId="604716B7" w14:textId="77777777" w:rsidR="000C08CA" w:rsidRPr="00D94FB4" w:rsidRDefault="000C08CA" w:rsidP="00FE328D">
            <w:pPr>
              <w:pStyle w:val="Neotevilenodstavek"/>
              <w:numPr>
                <w:ilvl w:val="0"/>
                <w:numId w:val="47"/>
              </w:numPr>
              <w:spacing w:before="0" w:after="0" w:line="240" w:lineRule="auto"/>
              <w:rPr>
                <w:vanish/>
                <w:color w:val="000000" w:themeColor="text1"/>
                <w:sz w:val="20"/>
                <w:szCs w:val="20"/>
              </w:rPr>
            </w:pPr>
            <w:r w:rsidRPr="00D94FB4">
              <w:rPr>
                <w:vanish/>
                <w:color w:val="000000" w:themeColor="text1"/>
                <w:sz w:val="20"/>
                <w:szCs w:val="20"/>
              </w:rPr>
              <w:t>Uredba Komisije 1126/2008/ES z dne 3. novembra 2008 o sprejetju nekaterih mednarodnih računovodskih standardov v skladu z Uredbo Evropskega parlamenta in Sveta 1606/2002/EC (UL L št. 320 z dne 29. 11. 2008, str. 1), zadnjič spremenjena z Uredbo Komisije (EU) 2015/29 z dne 17. decembra 2014 o spremembi Uredbe (ES) št. 1126/2008 o sprejetju nekaterih mednarodnih računovodskih standardov v skladu z Uredbo (ES) št. 1606/2002 Evropskega parlamenta in Sveta glede mednarodnega računovodskega standarda 19 (UL L št. 5 z dne 9. 1. 2015, str. 11), (v nadaljnjem besedilu: Uredba 1126/2008/ES), in</w:t>
            </w:r>
          </w:p>
          <w:p w14:paraId="223F5EE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Uredba Sveta 2157/2001/ES z dne 8. oktobra 2001 o statutu evropske družbe (SE) (UL L št. 294 z dne 10. 11. 2001, str. 1), zadnjič spremenjena z Uredbo Sveta (EU) št. 517/2013 z dne 13. maja 2013 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pravosodja in temeljnih pravic, pravice, svobode in varnosti, okolja, carinske unije, zunanjih odnosov, zunanje, varnostne in obrambne politike ter institucij zaradi pristopa Republike Hrvaške (UL L št. 158 10. 6. 2013, str. 1), (v nadaljnjem besedilu: Uredba 2157/2001/ES).</w:t>
            </w:r>
          </w:p>
          <w:p w14:paraId="7429418C" w14:textId="77777777" w:rsidR="000C08CA" w:rsidRPr="00D94FB4" w:rsidRDefault="000C08CA" w:rsidP="00FE328D">
            <w:pPr>
              <w:pStyle w:val="Neotevilenodstavek"/>
              <w:spacing w:before="0" w:after="0" w:line="240" w:lineRule="auto"/>
              <w:rPr>
                <w:vanish/>
                <w:color w:val="000000" w:themeColor="text1"/>
                <w:sz w:val="20"/>
                <w:szCs w:val="20"/>
              </w:rPr>
            </w:pPr>
          </w:p>
          <w:p w14:paraId="6DC49271" w14:textId="77777777" w:rsidR="000C08CA" w:rsidRPr="00D94FB4" w:rsidRDefault="000C08CA" w:rsidP="00FE328D">
            <w:pPr>
              <w:shd w:val="clear" w:color="auto" w:fill="FFFFFF"/>
              <w:spacing w:line="240" w:lineRule="auto"/>
              <w:jc w:val="center"/>
              <w:rPr>
                <w:rFonts w:cs="Arial"/>
                <w:b/>
                <w:bCs/>
                <w:vanish/>
                <w:color w:val="292B2C"/>
                <w:szCs w:val="20"/>
                <w:lang w:eastAsia="sl-SI"/>
              </w:rPr>
            </w:pPr>
            <w:r w:rsidRPr="00D94FB4">
              <w:rPr>
                <w:rFonts w:cs="Arial"/>
                <w:b/>
                <w:bCs/>
                <w:vanish/>
                <w:color w:val="292B2C"/>
                <w:szCs w:val="20"/>
                <w:lang w:eastAsia="sl-SI"/>
              </w:rPr>
              <w:t>3. člen</w:t>
            </w:r>
          </w:p>
          <w:p w14:paraId="2932D92F" w14:textId="77777777" w:rsidR="000C08CA" w:rsidRPr="00D94FB4" w:rsidRDefault="000C08CA" w:rsidP="00FE328D">
            <w:pPr>
              <w:shd w:val="clear" w:color="auto" w:fill="FFFFFF"/>
              <w:spacing w:line="240" w:lineRule="auto"/>
              <w:jc w:val="center"/>
              <w:rPr>
                <w:rFonts w:cs="Arial"/>
                <w:b/>
                <w:bCs/>
                <w:vanish/>
                <w:color w:val="292B2C"/>
                <w:szCs w:val="20"/>
                <w:lang w:eastAsia="sl-SI"/>
              </w:rPr>
            </w:pPr>
            <w:r w:rsidRPr="00D94FB4">
              <w:rPr>
                <w:rFonts w:cs="Arial"/>
                <w:b/>
                <w:bCs/>
                <w:vanish/>
                <w:color w:val="292B2C"/>
                <w:szCs w:val="20"/>
                <w:lang w:eastAsia="sl-SI"/>
              </w:rPr>
              <w:t>(pojmi)</w:t>
            </w:r>
          </w:p>
          <w:p w14:paraId="1EC2BBB7" w14:textId="77777777" w:rsidR="000C08CA" w:rsidRPr="00D94FB4" w:rsidRDefault="000C08CA" w:rsidP="00FE328D">
            <w:pPr>
              <w:shd w:val="clear" w:color="auto" w:fill="FFFFFF"/>
              <w:spacing w:line="240" w:lineRule="auto"/>
              <w:jc w:val="center"/>
              <w:rPr>
                <w:rFonts w:cs="Arial"/>
                <w:b/>
                <w:bCs/>
                <w:vanish/>
                <w:color w:val="292B2C"/>
                <w:szCs w:val="20"/>
                <w:lang w:eastAsia="sl-SI"/>
              </w:rPr>
            </w:pPr>
          </w:p>
          <w:p w14:paraId="2FA81494"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Po tem zakonu je gospodarska družba pravna oseba, ki na trgu samostojno opravlja pridobitno dejavnost kot svojo izključno dejavnost.</w:t>
            </w:r>
          </w:p>
          <w:p w14:paraId="5E2A34FA" w14:textId="77777777" w:rsidR="000C08CA" w:rsidRPr="00D94FB4" w:rsidRDefault="000C08CA" w:rsidP="00FE328D">
            <w:pPr>
              <w:pStyle w:val="ListParagraph"/>
              <w:shd w:val="clear" w:color="auto" w:fill="FFFFFF"/>
              <w:spacing w:after="0" w:line="240" w:lineRule="auto"/>
              <w:ind w:left="360"/>
              <w:jc w:val="both"/>
              <w:rPr>
                <w:rFonts w:ascii="Arial" w:eastAsia="Times New Roman" w:hAnsi="Arial" w:cs="Arial"/>
                <w:vanish/>
                <w:color w:val="292B2C"/>
                <w:sz w:val="20"/>
                <w:szCs w:val="20"/>
                <w:lang w:eastAsia="sl-SI"/>
              </w:rPr>
            </w:pPr>
          </w:p>
          <w:p w14:paraId="143F320A"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Pridobitna dejavnost po tem zakonu je vsaka dejavnost, ki se opravlja na trgu zaradi pridobivanja dobička.</w:t>
            </w:r>
          </w:p>
          <w:p w14:paraId="576F6D97" w14:textId="77777777" w:rsidR="000C08CA" w:rsidRPr="00D94FB4" w:rsidRDefault="000C08CA" w:rsidP="00FE328D">
            <w:pPr>
              <w:pStyle w:val="ListParagraph"/>
              <w:ind w:left="360"/>
              <w:rPr>
                <w:rFonts w:ascii="Arial" w:eastAsia="Times New Roman" w:hAnsi="Arial" w:cs="Arial"/>
                <w:vanish/>
                <w:color w:val="292B2C"/>
                <w:sz w:val="20"/>
                <w:szCs w:val="20"/>
                <w:lang w:eastAsia="sl-SI"/>
              </w:rPr>
            </w:pPr>
          </w:p>
          <w:p w14:paraId="68CC3064"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Gospodarske družbe (v nadaljnjem besedilu: družba) iz prvega odstavka tega člena se organizirajo v eni izmed oblik:</w:t>
            </w:r>
          </w:p>
          <w:p w14:paraId="7C6953CD" w14:textId="77777777" w:rsidR="000C08CA" w:rsidRPr="00D94FB4" w:rsidRDefault="000C08CA" w:rsidP="00FE328D">
            <w:pPr>
              <w:pStyle w:val="ListParagraph"/>
              <w:numPr>
                <w:ilvl w:val="1"/>
                <w:numId w:val="106"/>
              </w:numPr>
              <w:shd w:val="clear" w:color="auto" w:fill="FFFFFF"/>
              <w:spacing w:line="240" w:lineRule="auto"/>
              <w:ind w:left="709"/>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kot osebne družbe: družba z neomejeno odgovornostjo in komanditna družba, ali</w:t>
            </w:r>
          </w:p>
          <w:p w14:paraId="6FC0D9C1" w14:textId="77777777" w:rsidR="000C08CA" w:rsidRPr="00D94FB4" w:rsidRDefault="000C08CA" w:rsidP="00FE328D">
            <w:pPr>
              <w:pStyle w:val="ListParagraph"/>
              <w:numPr>
                <w:ilvl w:val="1"/>
                <w:numId w:val="106"/>
              </w:numPr>
              <w:shd w:val="clear" w:color="auto" w:fill="FFFFFF"/>
              <w:spacing w:line="240" w:lineRule="auto"/>
              <w:ind w:left="709"/>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kot kapitalske družbe: družba z omejeno odgovornostjo, delniška družba, komanditna delniška družba in evropska delniška družba.</w:t>
            </w:r>
          </w:p>
          <w:p w14:paraId="546EABBC" w14:textId="77777777" w:rsidR="000C08CA" w:rsidRPr="00D94FB4" w:rsidRDefault="000C08CA" w:rsidP="00FE328D">
            <w:pPr>
              <w:shd w:val="clear" w:color="auto" w:fill="FFFFFF"/>
              <w:spacing w:line="240" w:lineRule="auto"/>
              <w:ind w:left="65" w:hanging="425"/>
              <w:jc w:val="both"/>
              <w:rPr>
                <w:rFonts w:cs="Arial"/>
                <w:vanish/>
                <w:color w:val="292B2C"/>
                <w:szCs w:val="20"/>
                <w:lang w:eastAsia="sl-SI"/>
              </w:rPr>
            </w:pPr>
          </w:p>
          <w:p w14:paraId="34BF376B"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Družbe iz prejšnjega odstavka se štejejo za gospodarske družbe, tudi če v skladu z zakonom v celoti ali deloma opravljajo dejavnost, ki ni pridobitna.</w:t>
            </w:r>
          </w:p>
          <w:p w14:paraId="26BDE1D5" w14:textId="77777777" w:rsidR="000C08CA" w:rsidRPr="00D94FB4" w:rsidRDefault="000C08CA" w:rsidP="00FE328D">
            <w:pPr>
              <w:pStyle w:val="ListParagraph"/>
              <w:shd w:val="clear" w:color="auto" w:fill="FFFFFF"/>
              <w:spacing w:after="0" w:line="240" w:lineRule="auto"/>
              <w:ind w:left="360"/>
              <w:jc w:val="both"/>
              <w:rPr>
                <w:rFonts w:ascii="Arial" w:eastAsia="Times New Roman" w:hAnsi="Arial" w:cs="Arial"/>
                <w:vanish/>
                <w:color w:val="292B2C"/>
                <w:sz w:val="20"/>
                <w:szCs w:val="20"/>
                <w:lang w:eastAsia="sl-SI"/>
              </w:rPr>
            </w:pPr>
          </w:p>
          <w:p w14:paraId="5D8D79AD"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Ustanovitelj družbe ali gospodarskega interesnega združenja je lahko vsaka fizična ali pravna oseba, če zakon ne določa drugače.</w:t>
            </w:r>
          </w:p>
          <w:p w14:paraId="1781BEC3" w14:textId="77777777" w:rsidR="000C08CA" w:rsidRPr="00D94FB4" w:rsidRDefault="000C08CA" w:rsidP="00FE328D">
            <w:pPr>
              <w:pStyle w:val="ListParagraph"/>
              <w:ind w:left="360"/>
              <w:rPr>
                <w:rFonts w:ascii="Arial" w:eastAsia="Times New Roman" w:hAnsi="Arial" w:cs="Arial"/>
                <w:vanish/>
                <w:color w:val="292B2C"/>
                <w:sz w:val="20"/>
                <w:szCs w:val="20"/>
                <w:lang w:eastAsia="sl-SI"/>
              </w:rPr>
            </w:pPr>
          </w:p>
          <w:p w14:paraId="677FFB4E"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Podjetnik po tem zakonu je fizična oseba, ki na trgu samostojno opravlja pridobitno dejavnost v okviru organiziranega podjetja.</w:t>
            </w:r>
          </w:p>
          <w:p w14:paraId="33D8CF94" w14:textId="77777777" w:rsidR="000C08CA" w:rsidRPr="00D94FB4" w:rsidRDefault="000C08CA" w:rsidP="00FE328D">
            <w:pPr>
              <w:pStyle w:val="ListParagraph"/>
              <w:ind w:left="360"/>
              <w:rPr>
                <w:rFonts w:ascii="Arial" w:eastAsia="Times New Roman" w:hAnsi="Arial" w:cs="Arial"/>
                <w:vanish/>
                <w:color w:val="292B2C"/>
                <w:sz w:val="20"/>
                <w:szCs w:val="20"/>
                <w:lang w:eastAsia="sl-SI"/>
              </w:rPr>
            </w:pPr>
          </w:p>
          <w:p w14:paraId="1FA03E5A"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Vpis v register po tem zakonu ima nasproti tretjim osebam pravni učinek šele od trenutka objave posameznega podatka v skladu z zakonom, ki ureja sodni register.</w:t>
            </w:r>
          </w:p>
          <w:p w14:paraId="6184D783" w14:textId="77777777" w:rsidR="000C08CA" w:rsidRPr="00D94FB4" w:rsidRDefault="000C08CA" w:rsidP="00FE328D">
            <w:pPr>
              <w:pStyle w:val="ListParagraph"/>
              <w:ind w:left="360"/>
              <w:rPr>
                <w:rFonts w:ascii="Arial" w:eastAsia="Times New Roman" w:hAnsi="Arial" w:cs="Arial"/>
                <w:vanish/>
                <w:color w:val="292B2C"/>
                <w:sz w:val="20"/>
                <w:szCs w:val="20"/>
                <w:lang w:eastAsia="sl-SI"/>
              </w:rPr>
            </w:pPr>
          </w:p>
          <w:p w14:paraId="404CAE1B" w14:textId="77777777" w:rsidR="000C08CA" w:rsidRPr="00D94FB4" w:rsidRDefault="000C08CA" w:rsidP="00FE328D">
            <w:pPr>
              <w:pStyle w:val="ListParagraph"/>
              <w:numPr>
                <w:ilvl w:val="0"/>
                <w:numId w:val="105"/>
              </w:numPr>
              <w:shd w:val="clear" w:color="auto" w:fill="FFFFFF"/>
              <w:spacing w:after="0" w:line="240" w:lineRule="auto"/>
              <w:ind w:left="360"/>
              <w:jc w:val="both"/>
              <w:rPr>
                <w:rFonts w:ascii="Arial" w:eastAsia="Times New Roman" w:hAnsi="Arial" w:cs="Arial"/>
                <w:vanish/>
                <w:color w:val="292B2C"/>
                <w:sz w:val="20"/>
                <w:szCs w:val="20"/>
                <w:lang w:eastAsia="sl-SI"/>
              </w:rPr>
            </w:pPr>
            <w:r w:rsidRPr="00D94FB4">
              <w:rPr>
                <w:rFonts w:ascii="Arial" w:eastAsia="Times New Roman" w:hAnsi="Arial" w:cs="Arial"/>
                <w:vanish/>
                <w:color w:val="292B2C"/>
                <w:sz w:val="20"/>
                <w:szCs w:val="20"/>
                <w:lang w:eastAsia="sl-SI"/>
              </w:rPr>
              <w:t>Drugi izrazi, uporabljeni v tem zakonu, pomenijo:</w:t>
            </w:r>
          </w:p>
          <w:p w14:paraId="58C022C4"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»Agencija za trg vrednostnih papirjev« (v nadaljnjem besedilu: ATVP) je Agencija za trg vrednostnih papirjev po zakonu, ki ureja trg finančnih instrumentov;</w:t>
            </w:r>
          </w:p>
          <w:p w14:paraId="5E0294B0"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»centralna depotna družba« je centralna depotna družba po zakonu, ki ureja trg finančnih instrumentov;</w:t>
            </w:r>
          </w:p>
          <w:p w14:paraId="240F1BD3"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»država članica« je država članica Evropske unije ali država podpisnica Sporazuma o ustanovitvi Evropskega gospodarskega prostora (UL L št. 1 z dne 3. 1. 1994, str. 3);</w:t>
            </w:r>
          </w:p>
          <w:p w14:paraId="72AB391A"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»informacijski sistem za podporo poslovnim subjektom« je informacijski sistem za podporo poslovnim subjektom po zakonu, ki ureja poslovni register;</w:t>
            </w:r>
          </w:p>
          <w:p w14:paraId="2DBA9747"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»organizirani trg« je organizirani trg po zakonu, ki ureja trg finančnih instrumentov;</w:t>
            </w:r>
          </w:p>
          <w:p w14:paraId="6A4A49F2"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»registrski organ« je organ, ki vodi register, v katerega se vpisujejo podatki o družbi;</w:t>
            </w:r>
          </w:p>
          <w:p w14:paraId="3F03A9DF"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»revizor« je revizijska družba, ki ima po zakonu, ki ureja revidiranje, dovoljenje za opravljanje revidiranja;</w:t>
            </w:r>
          </w:p>
          <w:p w14:paraId="0A98AB81"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»Slovenski inštitut za revizijo« je Slovenski inštitut za revizijo po zakonu, ki ureja revidiranje;</w:t>
            </w:r>
          </w:p>
          <w:p w14:paraId="1DF81F06"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»sodišče« je sodišče, ki je krajevno pristojno glede na sedež družbe ali podjetnika, če ta zakon ne določa drugače;</w:t>
            </w:r>
          </w:p>
          <w:p w14:paraId="52CAF4A2"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color w:val="292B2C"/>
                <w:sz w:val="20"/>
                <w:szCs w:val="18"/>
                <w:lang w:eastAsia="sl-SI"/>
              </w:rPr>
            </w:pPr>
            <w:r w:rsidRPr="00D94FB4">
              <w:rPr>
                <w:rFonts w:ascii="Arial" w:hAnsi="Arial" w:cs="Arial"/>
                <w:vanish/>
                <w:color w:val="292B2C"/>
                <w:sz w:val="20"/>
                <w:szCs w:val="18"/>
                <w:lang w:eastAsia="sl-SI"/>
              </w:rPr>
              <w:t>»subjekt javnega interesa« je subjekt javnega interesa po zakonu, ki ureja revidiranje;</w:t>
            </w:r>
          </w:p>
          <w:p w14:paraId="4F17C151" w14:textId="77777777" w:rsidR="000C08CA" w:rsidRPr="00D94FB4" w:rsidRDefault="000C08CA" w:rsidP="00FE328D">
            <w:pPr>
              <w:pStyle w:val="ListParagraph"/>
              <w:numPr>
                <w:ilvl w:val="0"/>
                <w:numId w:val="107"/>
              </w:numPr>
              <w:shd w:val="clear" w:color="auto" w:fill="FFFFFF"/>
              <w:spacing w:line="240" w:lineRule="auto"/>
              <w:jc w:val="both"/>
              <w:rPr>
                <w:rFonts w:ascii="Arial" w:hAnsi="Arial" w:cs="Arial"/>
                <w:vanish/>
                <w:sz w:val="20"/>
                <w:szCs w:val="20"/>
              </w:rPr>
            </w:pPr>
            <w:r w:rsidRPr="00D94FB4">
              <w:rPr>
                <w:rFonts w:ascii="Arial" w:hAnsi="Arial" w:cs="Arial"/>
                <w:vanish/>
                <w:color w:val="292B2C"/>
                <w:sz w:val="20"/>
                <w:szCs w:val="18"/>
                <w:lang w:eastAsia="sl-SI"/>
              </w:rPr>
              <w:t>»točka za podporo poslovnim subjektom« je točka za podporo poslovnim subjektom po zakonu, ki ureja poslovni register.</w:t>
            </w:r>
          </w:p>
          <w:p w14:paraId="5D6031CA" w14:textId="77777777" w:rsidR="000C08CA" w:rsidRPr="00D94FB4" w:rsidRDefault="000C08CA" w:rsidP="00FE328D">
            <w:pPr>
              <w:pStyle w:val="Neotevilenodstavek"/>
              <w:pBdr>
                <w:top w:val="none" w:sz="0" w:space="24" w:color="auto"/>
              </w:pBdr>
              <w:spacing w:before="0" w:after="0" w:line="240" w:lineRule="auto"/>
              <w:jc w:val="center"/>
              <w:rPr>
                <w:b/>
                <w:vanish/>
                <w:color w:val="000000" w:themeColor="text1"/>
                <w:sz w:val="20"/>
                <w:szCs w:val="20"/>
              </w:rPr>
            </w:pPr>
            <w:r w:rsidRPr="00D94FB4">
              <w:rPr>
                <w:b/>
                <w:vanish/>
                <w:color w:val="000000" w:themeColor="text1"/>
                <w:sz w:val="20"/>
                <w:szCs w:val="20"/>
              </w:rPr>
              <w:t>10.a člen</w:t>
            </w:r>
          </w:p>
          <w:p w14:paraId="4E630BC4" w14:textId="77777777" w:rsidR="000C08CA" w:rsidRPr="00D94FB4" w:rsidRDefault="000C08CA" w:rsidP="00FE328D">
            <w:pPr>
              <w:pStyle w:val="Neotevilenodstavek"/>
              <w:pBdr>
                <w:top w:val="none" w:sz="0" w:space="24" w:color="auto"/>
              </w:pBdr>
              <w:spacing w:before="0" w:after="0" w:line="240" w:lineRule="auto"/>
              <w:jc w:val="center"/>
              <w:rPr>
                <w:rFonts w:eastAsia="Arial"/>
                <w:b/>
                <w:vanish/>
                <w:color w:val="000000" w:themeColor="text1"/>
                <w:sz w:val="20"/>
                <w:szCs w:val="20"/>
              </w:rPr>
            </w:pPr>
            <w:r w:rsidRPr="00D94FB4">
              <w:rPr>
                <w:rFonts w:eastAsia="Arial"/>
                <w:b/>
                <w:vanish/>
                <w:color w:val="000000" w:themeColor="text1"/>
                <w:sz w:val="20"/>
                <w:szCs w:val="20"/>
              </w:rPr>
              <w:t xml:space="preserve">(omejitve ustanavljanja družb in podjetnikov </w:t>
            </w:r>
            <w:r w:rsidRPr="00D94FB4">
              <w:rPr>
                <w:b/>
                <w:vanish/>
                <w:color w:val="000000" w:themeColor="text1"/>
                <w:sz w:val="20"/>
                <w:szCs w:val="20"/>
              </w:rPr>
              <w:t>ter</w:t>
            </w:r>
            <w:r w:rsidRPr="00D94FB4">
              <w:rPr>
                <w:rFonts w:eastAsia="Arial"/>
                <w:b/>
                <w:vanish/>
                <w:color w:val="000000" w:themeColor="text1"/>
                <w:sz w:val="20"/>
                <w:szCs w:val="20"/>
              </w:rPr>
              <w:t xml:space="preserve"> pridobitve statusa družbenika)</w:t>
            </w:r>
          </w:p>
          <w:p w14:paraId="48C741EF"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 Ustanovitelj, družbenik in podjetnik ne more postati oseba:</w:t>
            </w:r>
          </w:p>
          <w:p w14:paraId="1F393E99" w14:textId="77777777" w:rsidR="000C08CA" w:rsidRPr="00D94FB4" w:rsidRDefault="000C08CA" w:rsidP="00FE328D">
            <w:pPr>
              <w:pStyle w:val="Neotevilenodstavek"/>
              <w:numPr>
                <w:ilvl w:val="0"/>
                <w:numId w:val="108"/>
              </w:numPr>
              <w:spacing w:before="0" w:after="0" w:line="240" w:lineRule="auto"/>
              <w:rPr>
                <w:vanish/>
                <w:color w:val="000000" w:themeColor="text1"/>
                <w:sz w:val="20"/>
                <w:szCs w:val="20"/>
              </w:rPr>
            </w:pPr>
            <w:r w:rsidRPr="00D94FB4">
              <w:rPr>
                <w:vanish/>
                <w:color w:val="000000" w:themeColor="text1"/>
                <w:sz w:val="20"/>
                <w:szCs w:val="20"/>
              </w:rPr>
              <w:t>ki je bila pravnomočno obsojena na kazen zapora zaradi kaznivega dejanja zoper gospodarstvo, zoper delovno razmerje in socialno varnost, zoper pravni promet, zoper premoženje, zoper okolje, prostor in naravne dobrine, zoper človekovo zdravje ter zoper splošno varnost ljudi in premoženja;</w:t>
            </w:r>
          </w:p>
          <w:p w14:paraId="72234613" w14:textId="77777777" w:rsidR="000C08CA" w:rsidRPr="00D94FB4" w:rsidRDefault="000C08CA" w:rsidP="00FE328D">
            <w:pPr>
              <w:pStyle w:val="Neotevilenodstavek"/>
              <w:numPr>
                <w:ilvl w:val="0"/>
                <w:numId w:val="108"/>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ki je bila v obdobju zadnjih 12 mesecev javno objavljena na seznamu nepredlagateljev obračunov na podlagi zakona, ki ureja davčni postopek, ali je javno objavljena na seznamu neplačnikov na podlagi zakona, ki ureja davčni postopek, ali je bila v obdobju zadnjih 12 mesecev na podlagi zakona, ki ureja davčni postopek, javno objavljena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w:t>
            </w:r>
          </w:p>
          <w:p w14:paraId="4E444694" w14:textId="77777777" w:rsidR="000C08CA" w:rsidRPr="00D94FB4" w:rsidRDefault="000C08CA" w:rsidP="00FE328D">
            <w:pPr>
              <w:pStyle w:val="Neotevilenodstavek"/>
              <w:numPr>
                <w:ilvl w:val="0"/>
                <w:numId w:val="108"/>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ki je neposredno ali posredno z več kot 25 odstotki udeležena v kapitalu kapitalske družbe, ki je bila v obdobju zadnjih 12 mesecev javno objavljena na seznamu nepredlagateljev obračunov na podlagi zakona, ki ureja davčni postopek, ali je javno objavljena na seznamu neplačnikov na podlagi zakona, ki ureja davčni postopek, ali je bila v obdobju zadnjih 12 mesecev na podlagi zakona, ki ureja davčni postopek, javno objavljena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w:t>
            </w:r>
          </w:p>
          <w:p w14:paraId="2C548963" w14:textId="77777777" w:rsidR="000C08CA" w:rsidRPr="00D94FB4" w:rsidRDefault="000C08CA" w:rsidP="00FE328D">
            <w:pPr>
              <w:pStyle w:val="Neotevilenodstavek"/>
              <w:numPr>
                <w:ilvl w:val="0"/>
                <w:numId w:val="108"/>
              </w:numPr>
              <w:spacing w:before="0" w:after="0" w:line="240" w:lineRule="auto"/>
              <w:rPr>
                <w:vanish/>
                <w:color w:val="000000" w:themeColor="text1"/>
                <w:sz w:val="20"/>
                <w:szCs w:val="20"/>
              </w:rPr>
            </w:pPr>
            <w:r w:rsidRPr="00D94FB4">
              <w:rPr>
                <w:vanish/>
                <w:color w:val="000000" w:themeColor="text1"/>
                <w:sz w:val="20"/>
                <w:szCs w:val="20"/>
              </w:rPr>
              <w:t>ki ji je bila v zadnjih treh letih s pravnomočno odločbo Inšpektorata Republike Slovenije za delo oziroma Finančne uprave Republike Slovenije najmanj dvakrat izrečena globa zaradi prekrška v zvezi s plačilom za delo oziroma prekrška v zvezi z zaposlovanjem na črno;</w:t>
            </w:r>
          </w:p>
          <w:p w14:paraId="42276AD7" w14:textId="77777777" w:rsidR="000C08CA" w:rsidRPr="00D94FB4" w:rsidRDefault="000C08CA" w:rsidP="00FE328D">
            <w:pPr>
              <w:pStyle w:val="Neotevilenodstavek"/>
              <w:numPr>
                <w:ilvl w:val="0"/>
                <w:numId w:val="108"/>
              </w:numPr>
              <w:spacing w:before="0" w:after="0" w:line="240" w:lineRule="auto"/>
              <w:rPr>
                <w:vanish/>
                <w:color w:val="000000" w:themeColor="text1"/>
                <w:sz w:val="20"/>
                <w:szCs w:val="20"/>
              </w:rPr>
            </w:pPr>
            <w:r w:rsidRPr="00D94FB4">
              <w:rPr>
                <w:vanish/>
                <w:color w:val="000000" w:themeColor="text1"/>
                <w:sz w:val="20"/>
                <w:szCs w:val="20"/>
              </w:rPr>
              <w:t>ki je bila neposredno z več kot 50 odstotki udeležena v kapitalu družbe z omejeno odgovornostjo, ki je bila izbrisana iz sodnega registra brez likvidacije po zakonu, ki ureja finančno poslovanje, postopke zaradi insolventnosti in prisilno prenehanje;</w:t>
            </w:r>
          </w:p>
          <w:p w14:paraId="7D3A85B4" w14:textId="77777777" w:rsidR="000C08CA" w:rsidRPr="00D94FB4" w:rsidRDefault="000C08CA" w:rsidP="00FE328D">
            <w:pPr>
              <w:pStyle w:val="Neotevilenodstavek"/>
              <w:numPr>
                <w:ilvl w:val="0"/>
                <w:numId w:val="108"/>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ki ji je bila v zadnjih treh letih s pravnomočno odločbo izrečena globa zaradi prekrška po 26. točki prvega odstavka 685. člena tega zakona.</w:t>
            </w:r>
          </w:p>
          <w:p w14:paraId="49285528"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(2) Omejitve iz prejšnjega odstavka ne veljajo za osebo, ki je postala družbenik ali podjetnik na podlagi univerzalnega pravnega nasledstva.</w:t>
            </w:r>
          </w:p>
          <w:p w14:paraId="2B57C8A8"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61B9A8CD"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(3) Omejitev iz 2. točke prvega odstavka tega člena v delu, ki se nanaša na javno objavo na seznamu neplačnikov na podlagi zakona, ki ureja davčni postopek, ne velja za stečajnega dolžnika, ki mu sodišče dovoli poslovanje kot podjetniku ali zasebniku v skladu z določbami o osebnem stečaju v zakonu, ki ureja finančno poslovanje, postopke zaradi insolventnosti in prisilno prenehanje. Stečajni dolžnik pri vpisu v Poslovni register Slovenije predloži pravnomočni sklep sodišča.</w:t>
            </w:r>
          </w:p>
          <w:p w14:paraId="2A8D9D29"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15D2FBD3"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(4) Omejitev iz 3. točke prvega odstavka tega člena ne velja za osebo, ki je neposredno ali posredno z več kot 25 odstotki udeležena v kapitalu kapitalske družbe, če je ta oseba:</w:t>
            </w:r>
          </w:p>
          <w:p w14:paraId="5A137D88"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banka oziroma banka države članice po zakonu, ki ureja bančništvo, in je v vlogi za vpis v sodni register predložila dovoljenje Banke Slovenije za opravljanje bančnih storitev,</w:t>
            </w:r>
          </w:p>
          <w:p w14:paraId="38C3A6DE"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zavarovalnica oziroma zavarovalnica države članice po zakonu, ki ureja zavarovalništvo, in je v vlogi za vpis v sodni register predložila dovoljenje Agencije za zavarovalni nadzor za opravljanje zavarovalniških poslov,</w:t>
            </w:r>
          </w:p>
          <w:p w14:paraId="44E57208"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Republika Slovenija, Kapitalska družba pokojninskega in invalidskega zavarovanja, d.d., Slovenski državni holding, d.d., D.S.U., družba za svetovanje in upravljanje, d.o.o., ali</w:t>
            </w:r>
          </w:p>
          <w:p w14:paraId="31547F83"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delež dosegla zaradi izvedbe finančnega prestrukturiranja z namenom, da se zagotovi njena kapitalska ustreznost oziroma dolgoročna plačilna sposobnost v skladu z zakonom, ki ureja finančno poslovanje, postopke zaradi insolventnosti in prisilno prenehanje;</w:t>
            </w:r>
          </w:p>
          <w:p w14:paraId="11AC9FEE"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borznoposredniška družba po zakonu, ki ureja trg finančnih instrumentov, in je v vlogi za vpis v sodni register predložila dovoljenja ATVP;</w:t>
            </w:r>
          </w:p>
          <w:p w14:paraId="2680310C"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borza po zakonu, ki ureja trg finančnih instrumentov, in je v vlogi za vpis v sodni register predložila dovoljenja ATVP; ali</w:t>
            </w:r>
          </w:p>
          <w:p w14:paraId="1EE66D0E"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družba za upravljanje po zakonu, ki ureja investicijske sklade in družbe za upravljanje, in je v vlogi za vpis v sodni register predložila dovoljenja ATVP.</w:t>
            </w:r>
          </w:p>
          <w:p w14:paraId="08F287CF"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(5) Ustanovitelj oziroma družbenik družbe z omejeno odgovornostjo ne more postati oseba, ki je v zadnjih treh mesecih ustanovila družbo z omejeno odgovornostjo oziroma pridobila delež v družbi z omejeno odgovornostjo, ki ni starejša od treh mesecev.</w:t>
            </w:r>
          </w:p>
          <w:p w14:paraId="5B50BBE2"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4344A2F8"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(6) Omejitev iz prejšnjega odstavka ne velja:</w:t>
            </w:r>
          </w:p>
          <w:p w14:paraId="3B2CE414"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za osebe iz četrtega odstavka tega člena,</w:t>
            </w:r>
          </w:p>
          <w:p w14:paraId="4436A0E4"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za ustanavljanje namenskih družb s strani specialnih alternativnih investicijskih skladov oziroma upravljavcev alternativnih investicijskih skladov v njihovem imenu v skladu z določbami zakona, ki ureja upravljavce alternativnih investicijskih skladov, ter zakona, ki ureja investicijske sklade in družbe za upravljanje,</w:t>
            </w:r>
          </w:p>
          <w:p w14:paraId="7EC72B8F"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za srednje in velike družbe, kot izhaja iz Poslovnega registra Slovenije.</w:t>
            </w:r>
          </w:p>
          <w:p w14:paraId="39DEF9E5"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(7) Omejitev iz petega odstavka tega člena ne velja, če družbe z omejeno odgovornostjo, v katerih je oseba v zadnjih treh mesecih pridobila poslovni delež, izpolnjujejo naslednje pogoje:</w:t>
            </w:r>
          </w:p>
          <w:p w14:paraId="3A25A43A"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imajo odprt transakcijski račun;</w:t>
            </w:r>
          </w:p>
          <w:p w14:paraId="511A1D56"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niso bile v obdobju zadnjih 12 mesecev javno objavljene na seznamu nepredlagateljev obračunov na podlagi zakona, ki ureja davčni postopek;</w:t>
            </w:r>
          </w:p>
          <w:p w14:paraId="71E44508"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nimajo neporavnanih obveznosti iz naslova obveznih dajatev in drugih denarnih nedavčnih obveznosti, ki jih izterjuje Finančna uprava Republike Slovenije, več kot v višini več kot 50 eurov;</w:t>
            </w:r>
          </w:p>
          <w:p w14:paraId="5D39271C"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niso bile v obdobju zadnjih 12 mesecev na podlagi zakona, ki ureja davčni postopek, javno objavljene na seznamu zavezancev za davek, ki jim je po uradni dolžnosti prenehala identifikacija za namene DDV zaradi suma zlorabe identifikacije za namene DDV oziroma ugotovitve davčnega organa, da je davčni zavezanec identifikacijo za namene DDV uporabljal tako, da je drugim davčnim zavezancem neupravičeno omogočal odbitek DDV, in</w:t>
            </w:r>
          </w:p>
          <w:p w14:paraId="749E49E4"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ima neprekinjeno vsaj dva meseca zaposleno osebo ali obvezno zavarovanega družbenika v skladu z zakonom, ki ureja zdravstveno zavarovanje, za najmanj polovični delovni čas.</w:t>
            </w:r>
          </w:p>
          <w:p w14:paraId="77859F2B"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(8) Omejitev iz 1. točke prvega odstavka tega člena preneha z izbrisom iz kazenske evidence.</w:t>
            </w:r>
          </w:p>
          <w:p w14:paraId="5C3831D3"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72DC5992"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(9) Omejitvi iz 2. in 3. točke prvega odstavka tega člena prenehata, ko davčni organ za osebo iz prvega odstavka tega člena, ki je bila objavljena na seznamu nepredlagateljev obračunov ali seznamu neplačnikov ali na seznamu zavezancev za DDV, izda potrdilo o tem, da ta oseba ali kapitalska družba, v kateri je ta oseba neposredno ali posredno z več kot 25 odstotki udeležena v njenem kapitalu, nima zapadlih neplačanih obveznih dajatev in drugih denarnih nedavčnih obveznosti, ki jih izterjuje Finančna uprava Republike Slovenije, več kot v višini 50 eurov, in da ima izpolnjene vse obveznosti v zvezi s predložitvijo obračuna davčnega odtegljaja za izplačilo plače in nadomestila plače. Potrdilo iz prejšnjega stavka ob vpisu v sodni register ali Poslovni register Slovenije ne sme biti starejše od dneva objave zadnjega seznama iz 2. in 3. točke prvega odstavka tega člena. Ne glede na prejšnji stavek potrdilo ne sme biti starejše od 15 dni.</w:t>
            </w:r>
          </w:p>
          <w:p w14:paraId="0A6521CA"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64CDFDA6"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(10) Omejitev iz 4. in 6. točke prvega odstavka tega člena preneha v treh letih od dneva pravnomočnosti odločbe oziroma sodbe, zaradi katere je nastopila omejitev iz 4. oziroma 6. točke prvega odstavka tega člena.</w:t>
            </w:r>
          </w:p>
          <w:p w14:paraId="4D88BD25"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11CD073E"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(11) Omejitev iz 5. točke prvega odstavka tega člena preneha v enem letu od datuma izbrisa družbe iz sodnega registra.</w:t>
            </w:r>
          </w:p>
          <w:p w14:paraId="019B7DFD"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453D09AF"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(12) Registrski organi, določeni s tem zakonom, in notarji po uradni dolžnosti z zahtevo v elektronski obliki v kazenski evidenci ter evidenci pravnomočnih odločb sodišč, ki ju upravlja Ministrstvo za pravosodje, v evidenci Inšpektorata Republike Slovenije za delo, evidenci Tržnega Inšpektorata Republike Slovenije in evidenci Finančne uprave Republike Slovenije preverijo, ali za vpis v sodni register ali Poslovni register Slovenije obstaja omejitev iz 1., 4. in 6. točke prvega odstavka tega člena.</w:t>
            </w:r>
          </w:p>
          <w:p w14:paraId="51A94FF2"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676CE641"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(13) Obstoj omejitev iz 1. do 4. točke prvega odstavka tega člena pristojni organi iz prejšnjega odstavka preverijo tudi v primeru ustanovitve družbe, podjetnika ali pridobitve statusa družbenika s strani osebe, ki ni državljan Republike Slovenije in v njej nima stalnega prebivališča ali v Republiki Sloveniji nima sedeža.</w:t>
            </w:r>
          </w:p>
          <w:p w14:paraId="57CA48AB"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0652A808"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(14) Če ustrezne evidence ne omogočajo vzajemne izmenjave podatkov med Republiko Slovenijo, drugo državo članico ali tretjo državo, oseba iz prejšnjega odstavka pristojnemu organu iz dvanajstega odstavka tega člena neobstoj omejitev iz 1., 2. in 4. točke prvega odstavka tega člena izkaže s predložitvijo naslednjih dokazil države svojega stalnega prebivališča ali sedeža:</w:t>
            </w:r>
          </w:p>
          <w:p w14:paraId="2C050191"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izpis iz ustreznega registra, če tega ni, pa enakovreden dokument, ki ga izda pristojni sodni ali upravni organ v Republiki Sloveniji, drugi državi članici ali matični državi ali državi, v kateri ima pravna oseba svoj sedež, iz katerega je razvidno, da ne obstajajo razlogi za omejitev ustanovitve družbe, podjetnika ali pridobitve statusa družbenika v zvezi s 1. in 4. točko prvega odstavka tega člena;</w:t>
            </w:r>
          </w:p>
          <w:p w14:paraId="5719D62A"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potrdilo, ki ga izda pristojni organ v Republiki Sloveniji, drugi državi članici ali tretji državi, iz katerega je razvidno, da oseba iz prejšnjega odstavka v matični državi ali državi, v kateri ima pravna oseba svoj sedež, nima neporavnanih davčnih obveznosti v zvezi z 2. točko prvega odstavka tega člena.</w:t>
            </w:r>
          </w:p>
          <w:p w14:paraId="1539F5D5" w14:textId="77777777" w:rsidR="000C08CA" w:rsidRPr="00D94FB4" w:rsidRDefault="000C08CA" w:rsidP="00FE328D">
            <w:pPr>
              <w:pStyle w:val="Neotevilenodstavek"/>
              <w:spacing w:before="0" w:after="0" w:line="240" w:lineRule="auto"/>
              <w:rPr>
                <w:vanish/>
                <w:color w:val="000000" w:themeColor="text1"/>
                <w:sz w:val="20"/>
                <w:szCs w:val="20"/>
              </w:rPr>
            </w:pPr>
          </w:p>
          <w:p w14:paraId="6B98A76C" w14:textId="77777777" w:rsidR="000C08CA" w:rsidRPr="00D94FB4" w:rsidRDefault="000C08CA" w:rsidP="00FE328D">
            <w:pPr>
              <w:pStyle w:val="Neotevilenodstavek"/>
              <w:spacing w:before="0" w:after="0" w:line="240" w:lineRule="auto"/>
              <w:rPr>
                <w:rFonts w:eastAsia="Arial"/>
                <w:vanish/>
                <w:color w:val="000000" w:themeColor="text1"/>
                <w:sz w:val="20"/>
                <w:szCs w:val="20"/>
              </w:rPr>
            </w:pPr>
            <w:r w:rsidRPr="00D94FB4">
              <w:rPr>
                <w:rFonts w:eastAsia="Arial"/>
                <w:vanish/>
                <w:color w:val="000000" w:themeColor="text1"/>
                <w:sz w:val="20"/>
                <w:szCs w:val="20"/>
              </w:rPr>
              <w:t>Dokumenti iz tega odstavka, predloženi za dokazovanje neobstoja omejitve ustanavljanja družb, podjetnikov ali pridobitve statusa družbenika, ne smejo biti starejši od 60 dni. Omejitev iz 3. točke prvega odstavka tega člena se preverja v skladu s šestnajstim odstavkom tega člena.</w:t>
            </w:r>
          </w:p>
          <w:p w14:paraId="5A5BB92B"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(15) Če država stalnega prebivališča ali sedeža osebe iz prejšnjega odstavka ne vodi evidenc, ki omogočajo vzajemne izmenjave podatkov z Republiko Slovenijo, ali ne izdaja izpisov iz ustreznega registra ali enakovrednih dokumentov iz prve alineje prejšnjega odstavka ali potrdil iz druge alineje prejšnjega odstavka, oseba iz trinajstega odstavka tega člena predloži izjavo, da:</w:t>
            </w:r>
          </w:p>
          <w:p w14:paraId="0BDB85DC"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država stalnega prebivališča ali sedeža osebe iz trinajstega odstavka tega člena ne vodi evidenc,</w:t>
            </w:r>
          </w:p>
          <w:p w14:paraId="7FAAF739"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država stalnega prebivališča ali sedeža osebe iz trinajstega odstavka tega člena ne izdaja izpisov iz ustreznega registra ali enakovrednih dokumentov iz prve alineje prejšnjega odstavka ali potrdil iz druge alineje prejšnjega odstavka,</w:t>
            </w:r>
          </w:p>
          <w:p w14:paraId="5CDB4FA6"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ne obstajajo razlogi za omejitev ustanovitve družbe, podjetnika ali pridobitve statusa družbenika v zvezi s 1., 2. oziroma 4. točko prvega odstavka tega člena.</w:t>
            </w:r>
          </w:p>
          <w:p w14:paraId="648B7C94"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(16) Omejitev iz 2., 3., in 5. točke prvega odstavka, omejitev iz petega odstavka in izpolnjevanje pogojev iz četrtega, šestega in sedmega odstavka tega člena se samodejno preverja v informacijskem sistemu za podporo poslovnim subjektom pred oddajo vloge za vpis v sodni register ali Poslovni register Slovenije z neposredno elektronsko izmenjavo podatkov med:</w:t>
            </w:r>
          </w:p>
          <w:p w14:paraId="56371B79"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Poslovnim registrom Slovenije, Finančno upravo Republike Slovenije in informacijskim sistemom za podporo poslovnim subjektom v primeru omejitev iz 2., 3., in 5. točke prvega odstavka tega člena ter glede izpolnjevanja pogojev iz druge, tretje in četrte alineje sedmega odstavka tega člena,</w:t>
            </w:r>
          </w:p>
          <w:p w14:paraId="1B25C567"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Agencijo Republike Slovenije za javnopravne evidence in storitve ter informacijskim sistemom za podporo poslovnim subjektom v primeru preverjanja izpolnjevanja pogojev iz prve alineje sedmega odstavka tega člena in</w:t>
            </w:r>
          </w:p>
          <w:p w14:paraId="1312CF19" w14:textId="77777777" w:rsidR="000C08CA" w:rsidRPr="00D94FB4" w:rsidRDefault="000C08CA" w:rsidP="00FE328D">
            <w:pPr>
              <w:pStyle w:val="Neotevilenodstavek"/>
              <w:numPr>
                <w:ilvl w:val="0"/>
                <w:numId w:val="107"/>
              </w:numPr>
              <w:spacing w:before="0" w:after="0" w:line="240" w:lineRule="auto"/>
              <w:rPr>
                <w:rFonts w:eastAsia="Arial"/>
                <w:vanish/>
                <w:color w:val="000000" w:themeColor="text1"/>
                <w:sz w:val="20"/>
                <w:szCs w:val="20"/>
              </w:rPr>
            </w:pPr>
            <w:r w:rsidRPr="00D94FB4">
              <w:rPr>
                <w:rFonts w:eastAsia="Arial"/>
                <w:vanish/>
                <w:color w:val="000000" w:themeColor="text1"/>
                <w:sz w:val="20"/>
                <w:szCs w:val="20"/>
              </w:rPr>
              <w:t>Zavodom za zdravstveno zavarovanje Slovenije in informacijskim sistemom za podporo poslovnim subjektom v primeru preverjanja izpolnjevanja pogojev iz pete alineje sedmega odstavka tega člena.</w:t>
            </w:r>
          </w:p>
          <w:p w14:paraId="539F9AEB"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(17) Če so podani razlogi za omejitev iz 2. in 3. točke prvega odstavka in omejitev iz petega odstavka ter niso izpolnjeni pogoji iz četrtega, šestega in sedmega odstavka tega člena, točka za podporo poslovnim subjektom, notar ali informacijski sistem za podporo poslovnim subjektom stranko obvesti o obstoju in vrsti omejitve. Obvestilo o obstoju in vrsti omejitve se predloži vlogi za vpis v sodni register ali Poslovni register Slovenije. Stranka lahko vlogi za vpis v sodni register ali Poslovni register Slovenije predloži potrdilo iz devetega odstavka tega člena.</w:t>
            </w:r>
          </w:p>
          <w:p w14:paraId="2D0702FD"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010A60AE"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(18) Centralna depotna družba in Agencija Republike Slovenije za javnopravne evidence in storitve si za izvajanje 2. in 3. točke prvega odstavka tega člena dnevno izmenjujeta podatke Poslovnega registra Slovenije in centralnega registra nematerializiranih vrednostnih papirjev.</w:t>
            </w:r>
          </w:p>
          <w:p w14:paraId="062BB29B"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556F8B0C"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(19) Za namene tega člena se šteje, da ima družba odprt transakcijski račun, če je vpisan v Poslovni register Slovenije.</w:t>
            </w:r>
          </w:p>
          <w:p w14:paraId="33362D2D" w14:textId="77777777" w:rsidR="000C08CA" w:rsidRPr="00D94FB4" w:rsidRDefault="000C08CA" w:rsidP="00FE328D">
            <w:pPr>
              <w:pStyle w:val="Neotevilenodstavek"/>
              <w:pBdr>
                <w:top w:val="none" w:sz="0" w:space="12" w:color="auto"/>
              </w:pBdr>
              <w:spacing w:before="0" w:after="0" w:line="240" w:lineRule="auto"/>
              <w:rPr>
                <w:vanish/>
                <w:color w:val="000000" w:themeColor="text1"/>
                <w:sz w:val="20"/>
                <w:szCs w:val="20"/>
              </w:rPr>
            </w:pPr>
          </w:p>
          <w:p w14:paraId="406FDB75" w14:textId="77777777" w:rsidR="000C08CA" w:rsidRPr="00D94FB4" w:rsidRDefault="000C08CA" w:rsidP="00FE328D">
            <w:pPr>
              <w:pStyle w:val="Neotevilenodstavek"/>
              <w:pBdr>
                <w:top w:val="none" w:sz="0" w:space="12" w:color="auto"/>
              </w:pBdr>
              <w:spacing w:before="0" w:after="0" w:line="240" w:lineRule="auto"/>
              <w:rPr>
                <w:rFonts w:eastAsia="Arial"/>
                <w:vanish/>
                <w:color w:val="000000" w:themeColor="text1"/>
                <w:sz w:val="20"/>
                <w:szCs w:val="20"/>
              </w:rPr>
            </w:pPr>
            <w:r w:rsidRPr="00D94FB4">
              <w:rPr>
                <w:rFonts w:eastAsia="Arial"/>
                <w:vanish/>
                <w:color w:val="000000" w:themeColor="text1"/>
                <w:sz w:val="20"/>
                <w:szCs w:val="20"/>
              </w:rPr>
              <w:t>(20) Za namene tega člena se šteje, da so vse družbe, ki nimajo vpisane velikosti v Poslovnem registru Slovenije, mikro družbe.</w:t>
            </w:r>
          </w:p>
          <w:p w14:paraId="1E42F59E" w14:textId="77777777" w:rsidR="000C08CA" w:rsidRPr="00D94FB4" w:rsidRDefault="000C08CA" w:rsidP="00FE328D">
            <w:pPr>
              <w:pStyle w:val="Neotevilenodstavek"/>
              <w:spacing w:before="0" w:after="0" w:line="240" w:lineRule="auto"/>
              <w:jc w:val="center"/>
              <w:rPr>
                <w:b/>
                <w:bCs/>
                <w:vanish/>
                <w:color w:val="000000" w:themeColor="text1"/>
                <w:sz w:val="20"/>
                <w:szCs w:val="20"/>
              </w:rPr>
            </w:pPr>
          </w:p>
          <w:p w14:paraId="09D56746"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53. člen</w:t>
            </w:r>
          </w:p>
          <w:p w14:paraId="5AE796BC"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(uporaba določb in pomen pojmov)</w:t>
            </w:r>
          </w:p>
          <w:p w14:paraId="018E8DE1" w14:textId="77777777" w:rsidR="000C08CA" w:rsidRPr="00D94FB4" w:rsidRDefault="000C08CA" w:rsidP="00FE328D">
            <w:pPr>
              <w:pStyle w:val="Neotevilenodstavek"/>
              <w:spacing w:before="0" w:after="0" w:line="240" w:lineRule="auto"/>
              <w:rPr>
                <w:vanish/>
                <w:color w:val="000000" w:themeColor="text1"/>
                <w:sz w:val="20"/>
                <w:szCs w:val="20"/>
              </w:rPr>
            </w:pPr>
          </w:p>
          <w:p w14:paraId="54E5B39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Določbe tega poglavja v celoti veljajo za:</w:t>
            </w:r>
          </w:p>
          <w:p w14:paraId="0B26E925" w14:textId="77777777" w:rsidR="000C08CA" w:rsidRPr="00D94FB4" w:rsidRDefault="000C08CA" w:rsidP="00FE328D">
            <w:pPr>
              <w:pStyle w:val="Neotevilenodstavek"/>
              <w:numPr>
                <w:ilvl w:val="0"/>
                <w:numId w:val="49"/>
              </w:numPr>
              <w:spacing w:before="0" w:after="0" w:line="240" w:lineRule="auto"/>
              <w:rPr>
                <w:vanish/>
                <w:color w:val="000000" w:themeColor="text1"/>
                <w:sz w:val="20"/>
                <w:szCs w:val="20"/>
              </w:rPr>
            </w:pPr>
            <w:r w:rsidRPr="00D94FB4">
              <w:rPr>
                <w:vanish/>
                <w:color w:val="000000" w:themeColor="text1"/>
                <w:sz w:val="20"/>
                <w:szCs w:val="20"/>
              </w:rPr>
              <w:t>kapitalske družbe;</w:t>
            </w:r>
          </w:p>
          <w:p w14:paraId="6ECAEE1B" w14:textId="77777777" w:rsidR="000C08CA" w:rsidRPr="00D94FB4" w:rsidRDefault="000C08CA" w:rsidP="00FE328D">
            <w:pPr>
              <w:pStyle w:val="Neotevilenodstavek"/>
              <w:numPr>
                <w:ilvl w:val="0"/>
                <w:numId w:val="49"/>
              </w:numPr>
              <w:spacing w:before="0" w:after="0" w:line="240" w:lineRule="auto"/>
              <w:rPr>
                <w:vanish/>
                <w:color w:val="000000" w:themeColor="text1"/>
                <w:sz w:val="20"/>
                <w:szCs w:val="20"/>
              </w:rPr>
            </w:pPr>
            <w:r w:rsidRPr="00D94FB4">
              <w:rPr>
                <w:vanish/>
                <w:color w:val="000000" w:themeColor="text1"/>
                <w:sz w:val="20"/>
                <w:szCs w:val="20"/>
              </w:rPr>
              <w:t>tiste osebne družbe, pri katerih za njihove obveznosti ni neomejeno odgovorna nobena fizična oseba.</w:t>
            </w:r>
          </w:p>
          <w:p w14:paraId="7A1D6E74" w14:textId="77777777" w:rsidR="000C08CA" w:rsidRPr="00D94FB4" w:rsidRDefault="000C08CA" w:rsidP="00FE328D">
            <w:pPr>
              <w:pStyle w:val="Neotevilenodstavek"/>
              <w:spacing w:before="0" w:after="0" w:line="240" w:lineRule="auto"/>
              <w:rPr>
                <w:vanish/>
                <w:color w:val="000000" w:themeColor="text1"/>
                <w:sz w:val="20"/>
                <w:szCs w:val="20"/>
              </w:rPr>
            </w:pPr>
          </w:p>
          <w:p w14:paraId="562340A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Za podjetnika, katerega podjetje ustreza merilom za srednje ali velike družbe, veljajo določbe tega poglavje, razen 57. člena tega zakona.</w:t>
            </w:r>
          </w:p>
          <w:p w14:paraId="2174A296" w14:textId="77777777" w:rsidR="000C08CA" w:rsidRPr="00D94FB4" w:rsidRDefault="000C08CA" w:rsidP="00FE328D">
            <w:pPr>
              <w:pStyle w:val="Neotevilenodstavek"/>
              <w:spacing w:before="0" w:after="0" w:line="240" w:lineRule="auto"/>
              <w:rPr>
                <w:vanish/>
                <w:color w:val="000000" w:themeColor="text1"/>
                <w:sz w:val="20"/>
                <w:szCs w:val="20"/>
              </w:rPr>
            </w:pPr>
          </w:p>
          <w:p w14:paraId="128E0C64"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Za druge osebne družbe, ki niso osebne družbe iz prvega odstavka tega člena, in za podjetnika, katerega podjetje ustreza merilom za majhne družbe, veljajo samo določbe 54., 58. do 60. člena ter 65. do 67. člena tega zakona. Pri uporabi navedenih določb morajo členitev in oznake postavk lastnega kapitala prilagoditi svojim razmeram in lahko upoštevajo vse poenostavitve, ki veljajo za majhne družbe.</w:t>
            </w:r>
          </w:p>
          <w:p w14:paraId="6E7E1F22" w14:textId="77777777" w:rsidR="000C08CA" w:rsidRPr="00D94FB4" w:rsidRDefault="000C08CA" w:rsidP="00FE328D">
            <w:pPr>
              <w:pStyle w:val="Neotevilenodstavek"/>
              <w:spacing w:before="0" w:after="0" w:line="240" w:lineRule="auto"/>
              <w:rPr>
                <w:vanish/>
                <w:color w:val="000000" w:themeColor="text1"/>
                <w:sz w:val="20"/>
                <w:szCs w:val="20"/>
              </w:rPr>
            </w:pPr>
          </w:p>
          <w:p w14:paraId="777D4E2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Posamezni izrazi v tem poglavju pomenijo:</w:t>
            </w:r>
          </w:p>
          <w:p w14:paraId="1D2B9F69"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družbenik je družbenik osebne družbe ali družbe z omejeno odgovornostjo ali delničar;</w:t>
            </w:r>
          </w:p>
          <w:p w14:paraId="2D8F3B04"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delež je poslovni delež v družbi z omejeno odgovornostjo ali delnica v delniški družbi;</w:t>
            </w:r>
          </w:p>
          <w:p w14:paraId="6AD7C0F2"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statut je družbena pogodba osebne družbe ali družbena pogodba družbe z omejeno odgovornostjo ali akt o ustanovitvi družbe z omejeno odgovornostjo, če ustanovi to družbo ena sama oseba ali statut delniške družbe;</w:t>
            </w:r>
          </w:p>
          <w:p w14:paraId="72120277"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bilančni presečni dan je dan, po stanju na katerega se izdela bilanca stanja; bilančni presečni dan letne bilance stanja je zadnji dan poslovnega leta;</w:t>
            </w:r>
          </w:p>
          <w:p w14:paraId="37F5877E"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slovenski računovodski standardi so računovodski standardi, ki jih sprejme Slovenski inštitut za revizijo v skladu s tem zakonom, in</w:t>
            </w:r>
          </w:p>
          <w:p w14:paraId="615BB4C7"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mednarodni standardi računovodskega poročanja so standardi, ki so kot mednarodni računovodski standardi določeni z Uredbo 1606/2002/ES in Uredbo 1126/2008/ES.</w:t>
            </w:r>
          </w:p>
          <w:p w14:paraId="1633257D" w14:textId="77777777" w:rsidR="000C08CA" w:rsidRPr="00D94FB4" w:rsidRDefault="000C08CA" w:rsidP="00FE328D">
            <w:pPr>
              <w:pStyle w:val="Neotevilenodstavek"/>
              <w:spacing w:before="0" w:after="0" w:line="240" w:lineRule="auto"/>
              <w:rPr>
                <w:vanish/>
                <w:color w:val="000000" w:themeColor="text1"/>
                <w:sz w:val="20"/>
                <w:szCs w:val="20"/>
              </w:rPr>
            </w:pPr>
          </w:p>
          <w:p w14:paraId="4331F52A"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55. člen</w:t>
            </w:r>
          </w:p>
          <w:p w14:paraId="6E973468"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(mikro, majhne, srednje in velike družbe)</w:t>
            </w:r>
          </w:p>
          <w:p w14:paraId="39C2660E" w14:textId="77777777" w:rsidR="000C08CA" w:rsidRPr="00D94FB4" w:rsidRDefault="000C08CA" w:rsidP="00FE328D">
            <w:pPr>
              <w:pStyle w:val="Neotevilenodstavek"/>
              <w:spacing w:before="0" w:after="0" w:line="240" w:lineRule="auto"/>
              <w:rPr>
                <w:vanish/>
                <w:color w:val="000000" w:themeColor="text1"/>
                <w:sz w:val="20"/>
                <w:szCs w:val="20"/>
              </w:rPr>
            </w:pPr>
          </w:p>
          <w:p w14:paraId="71D1ECB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Družbe se pri uporabi tega zakona razvrščajo na mikro, majhne, srednje in velike družbe z uporabo navedenih meril na bilančni presečni dan letne bilance stanja:</w:t>
            </w:r>
          </w:p>
          <w:p w14:paraId="1D7238B1"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povprečno število delavcev v poslovnem letu,</w:t>
            </w:r>
          </w:p>
          <w:p w14:paraId="41F5917A"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čisti prihodki od prodaje, in</w:t>
            </w:r>
          </w:p>
          <w:p w14:paraId="04DAD17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vrednost aktive.</w:t>
            </w:r>
          </w:p>
          <w:p w14:paraId="59A3458E" w14:textId="77777777" w:rsidR="000C08CA" w:rsidRPr="00D94FB4" w:rsidRDefault="000C08CA" w:rsidP="00FE328D">
            <w:pPr>
              <w:pStyle w:val="Neotevilenodstavek"/>
              <w:spacing w:before="0" w:after="0" w:line="240" w:lineRule="auto"/>
              <w:rPr>
                <w:vanish/>
                <w:color w:val="000000" w:themeColor="text1"/>
                <w:sz w:val="20"/>
                <w:szCs w:val="20"/>
              </w:rPr>
            </w:pPr>
          </w:p>
          <w:p w14:paraId="67B04BAC"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Mikro družba je družba, ki izpolnjuje dve od teh meril:</w:t>
            </w:r>
          </w:p>
          <w:p w14:paraId="715405AF"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povprečno število delavcev v poslovnem letu ne presega deset,</w:t>
            </w:r>
          </w:p>
          <w:p w14:paraId="3F6B029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čisti prihodki od prodaje ne presegajo 700.000 eurov, in</w:t>
            </w:r>
          </w:p>
          <w:p w14:paraId="074FF437"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vrednost aktive ne presega 350.000 eurov.</w:t>
            </w:r>
          </w:p>
          <w:p w14:paraId="215897C8" w14:textId="77777777" w:rsidR="000C08CA" w:rsidRPr="00D94FB4" w:rsidRDefault="000C08CA" w:rsidP="00FE328D">
            <w:pPr>
              <w:pStyle w:val="Neotevilenodstavek"/>
              <w:spacing w:before="0" w:after="0" w:line="240" w:lineRule="auto"/>
              <w:rPr>
                <w:vanish/>
                <w:color w:val="000000" w:themeColor="text1"/>
                <w:sz w:val="20"/>
                <w:szCs w:val="20"/>
              </w:rPr>
            </w:pPr>
          </w:p>
          <w:p w14:paraId="5EC3972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Majhna družba je družba, ki ni mikro družba po prejšnjem odstavku, in ki izpolnjuje dve od teh meril:</w:t>
            </w:r>
          </w:p>
          <w:p w14:paraId="108B195A"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povprečno število delavcev v poslovnem letu ne presega 50,</w:t>
            </w:r>
          </w:p>
          <w:p w14:paraId="4358452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čisti prihodki od prodaje ne presegajo 8.000.000 eurov, in</w:t>
            </w:r>
          </w:p>
          <w:p w14:paraId="2C627AA8"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vrednost aktive ne presega 4.000.000 eurov.</w:t>
            </w:r>
          </w:p>
          <w:p w14:paraId="5908586B" w14:textId="77777777" w:rsidR="000C08CA" w:rsidRPr="00D94FB4" w:rsidRDefault="000C08CA" w:rsidP="00FE328D">
            <w:pPr>
              <w:pStyle w:val="Neotevilenodstavek"/>
              <w:spacing w:before="0" w:after="0" w:line="240" w:lineRule="auto"/>
              <w:rPr>
                <w:vanish/>
                <w:color w:val="000000" w:themeColor="text1"/>
                <w:sz w:val="20"/>
                <w:szCs w:val="20"/>
              </w:rPr>
            </w:pPr>
          </w:p>
          <w:p w14:paraId="3034F57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Srednja družba je družba, ki ni mikro družba po drugem odstavku tega člena ali majhna družba po prejšnjem odstavku, in ki izpolnjuje dve od teh meril:</w:t>
            </w:r>
          </w:p>
          <w:p w14:paraId="7AB97B9E"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povprečno število delavcev v poslovnem letu ne presega 250,</w:t>
            </w:r>
          </w:p>
          <w:p w14:paraId="38C84EBD"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čisti prihodki od prodaje ne presegajo 40.000.000 eurov, in</w:t>
            </w:r>
          </w:p>
          <w:p w14:paraId="778189B0"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vrednost aktive ne presega 20.000.000 eurov.</w:t>
            </w:r>
          </w:p>
          <w:p w14:paraId="3F8C2DC2" w14:textId="77777777" w:rsidR="000C08CA" w:rsidRPr="00D94FB4" w:rsidRDefault="000C08CA" w:rsidP="00FE328D">
            <w:pPr>
              <w:pStyle w:val="Neotevilenodstavek"/>
              <w:spacing w:before="0" w:after="0" w:line="240" w:lineRule="auto"/>
              <w:rPr>
                <w:vanish/>
                <w:color w:val="000000" w:themeColor="text1"/>
                <w:sz w:val="20"/>
                <w:szCs w:val="20"/>
              </w:rPr>
            </w:pPr>
          </w:p>
          <w:p w14:paraId="7FC4390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Velika družba je družba, ki ni mikro družba po drugem odstavku tega člena ali majhna družba po tretjem odstavku tega člena ali srednja družba po prejšnjem odstavku.</w:t>
            </w:r>
          </w:p>
          <w:p w14:paraId="25CC9B4F" w14:textId="77777777" w:rsidR="000C08CA" w:rsidRPr="00D94FB4" w:rsidRDefault="000C08CA" w:rsidP="00FE328D">
            <w:pPr>
              <w:pStyle w:val="Neotevilenodstavek"/>
              <w:spacing w:before="0" w:after="0" w:line="240" w:lineRule="auto"/>
              <w:rPr>
                <w:vanish/>
                <w:color w:val="000000" w:themeColor="text1"/>
                <w:sz w:val="20"/>
                <w:szCs w:val="20"/>
              </w:rPr>
            </w:pPr>
          </w:p>
          <w:p w14:paraId="356EF08E"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Družbe se v skladu z merili iz prvega, drugega, tretjega, četrtega in petega odstavka prerazvrščajo na mikro, majhne, srednje in velike družbe, če na podlagi podatkov zadnjih dveh zaporednih poslovnih let na bilančni presečni dan bilance stanja obakrat presežejo ali nehajo presegati merila iz prvega, drugega, tretjega, četrtega ali petega odstavka tega člena.</w:t>
            </w:r>
          </w:p>
          <w:p w14:paraId="7C0F3CAB" w14:textId="77777777" w:rsidR="000C08CA" w:rsidRPr="00D94FB4" w:rsidRDefault="000C08CA" w:rsidP="00FE328D">
            <w:pPr>
              <w:pStyle w:val="Neotevilenodstavek"/>
              <w:spacing w:before="0" w:after="0" w:line="240" w:lineRule="auto"/>
              <w:rPr>
                <w:vanish/>
                <w:color w:val="000000" w:themeColor="text1"/>
                <w:sz w:val="20"/>
                <w:szCs w:val="20"/>
              </w:rPr>
            </w:pPr>
          </w:p>
          <w:p w14:paraId="6F97581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Določbe tega zakona in drugih predpisov, ki se nanašajo na majhne družbe, se uporabljajo tudi za mikro družbe, razen če ta zakon in drugi predpisi ne določajo drugače. Določbe tretjega, četrtega, petega in šestega odstavka o velikosti družb in njihovem prerazvrščanju veljajo tudi za skupine.</w:t>
            </w:r>
          </w:p>
          <w:p w14:paraId="1C1B60D2" w14:textId="77777777" w:rsidR="000C08CA" w:rsidRPr="00D94FB4" w:rsidRDefault="000C08CA" w:rsidP="00FE328D">
            <w:pPr>
              <w:pStyle w:val="Neotevilenodstavek"/>
              <w:spacing w:before="0" w:after="0" w:line="240" w:lineRule="auto"/>
              <w:rPr>
                <w:vanish/>
                <w:color w:val="000000" w:themeColor="text1"/>
                <w:sz w:val="20"/>
                <w:szCs w:val="20"/>
              </w:rPr>
            </w:pPr>
          </w:p>
          <w:p w14:paraId="615E128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(8) V vsakem primeru je za namene tega poglavja velika družba:</w:t>
            </w:r>
          </w:p>
          <w:p w14:paraId="70F8E43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subjekt javnega interesa, če gre za družbo, s katere vrednostnimi papirji se trguje na organiziranem trgu vrednostnih papirjev, kreditna institucija, kot jo opredeljuje zakon, ki ureja bančništvo, ter zavarovalnica in pokojninska družba, kot ju opredeljuje zakon, ki ureja zavarovalništvo,</w:t>
            </w:r>
          </w:p>
          <w:p w14:paraId="1758B7ED"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subjekt javnega interesa, če gre za družbo, ki je zavezana k reviziji na podlagi prvega odstavka 57. člena tega zakona, ker izpolnjuje merila za srednje ali velike družbe iz četrtega do šestega odstavka tega člena, in v kateri imajo država ali občine, skupaj ali samostojno, neposredno ali posredno, večinski lastniški delež,</w:t>
            </w:r>
          </w:p>
          <w:p w14:paraId="4194C8C1"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borza vrednostnih papirjev,</w:t>
            </w:r>
          </w:p>
          <w:p w14:paraId="03E65CCC" w14:textId="77777777" w:rsidR="000C08CA" w:rsidRPr="00D94FB4" w:rsidRDefault="000C08CA" w:rsidP="00FE328D">
            <w:pPr>
              <w:pStyle w:val="Neotevilenodstavek"/>
              <w:numPr>
                <w:ilvl w:val="0"/>
                <w:numId w:val="48"/>
              </w:numPr>
              <w:spacing w:before="0" w:after="0" w:line="240" w:lineRule="auto"/>
              <w:rPr>
                <w:vanish/>
                <w:color w:val="000000" w:themeColor="text1"/>
                <w:sz w:val="20"/>
                <w:szCs w:val="20"/>
              </w:rPr>
            </w:pPr>
            <w:r w:rsidRPr="00D94FB4">
              <w:rPr>
                <w:vanish/>
                <w:color w:val="000000" w:themeColor="text1"/>
                <w:sz w:val="20"/>
                <w:szCs w:val="20"/>
              </w:rPr>
              <w:t>družba, ki mora po 56. členu tega zakona pripraviti konsolidirano letno poročilo.</w:t>
            </w:r>
          </w:p>
          <w:p w14:paraId="3782B8EE" w14:textId="77777777" w:rsidR="000C08CA" w:rsidRPr="00D94FB4" w:rsidRDefault="000C08CA" w:rsidP="00FE328D">
            <w:pPr>
              <w:pStyle w:val="Neotevilenodstavek"/>
              <w:spacing w:before="0" w:after="0" w:line="240" w:lineRule="auto"/>
              <w:rPr>
                <w:vanish/>
                <w:color w:val="000000" w:themeColor="text1"/>
                <w:sz w:val="20"/>
                <w:szCs w:val="20"/>
              </w:rPr>
            </w:pPr>
          </w:p>
          <w:p w14:paraId="2CFD4C7E"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56. člen</w:t>
            </w:r>
          </w:p>
          <w:p w14:paraId="0C6C42F0"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(konsolidirano letno poročilo)</w:t>
            </w:r>
          </w:p>
          <w:p w14:paraId="30509767" w14:textId="77777777" w:rsidR="000C08CA" w:rsidRPr="00D94FB4" w:rsidRDefault="000C08CA" w:rsidP="00FE328D">
            <w:pPr>
              <w:pStyle w:val="Neotevilenodstavek"/>
              <w:spacing w:before="0" w:after="0" w:line="240" w:lineRule="auto"/>
              <w:rPr>
                <w:vanish/>
                <w:color w:val="000000" w:themeColor="text1"/>
                <w:sz w:val="20"/>
                <w:szCs w:val="20"/>
              </w:rPr>
            </w:pPr>
          </w:p>
          <w:p w14:paraId="1ECD165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Družba s sedežem v Republiki Sloveniji, ki je obvladujoča eni ali več družbam s sedežem v Republiki Sloveniji ali zunaj nje (odvisne družbe), mora pripraviti tudi konsolidirano letno poročilo, če je obvladujoča družba ali ena od odvisnih družb organizirana kot kapitalska družba, kot dvojna družba ali kot druga istovrstna pravnoorganizacijska oblika po pravu države sedeža družbe.</w:t>
            </w:r>
          </w:p>
          <w:p w14:paraId="3CDE21B4" w14:textId="77777777" w:rsidR="000C08CA" w:rsidRPr="00D94FB4" w:rsidRDefault="000C08CA" w:rsidP="00FE328D">
            <w:pPr>
              <w:pStyle w:val="Neotevilenodstavek"/>
              <w:spacing w:before="0" w:after="0" w:line="240" w:lineRule="auto"/>
              <w:rPr>
                <w:vanish/>
                <w:color w:val="000000" w:themeColor="text1"/>
                <w:sz w:val="20"/>
                <w:szCs w:val="20"/>
              </w:rPr>
            </w:pPr>
          </w:p>
          <w:p w14:paraId="30BFCF08"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Družba je za namene iz tega poglavja obvladujoča v drugi družbi, če je izpolnjen eden od pogojev:</w:t>
            </w:r>
          </w:p>
          <w:p w14:paraId="49763B2D" w14:textId="77777777" w:rsidR="000C08CA" w:rsidRPr="00D94FB4" w:rsidRDefault="000C08CA" w:rsidP="00FE328D">
            <w:pPr>
              <w:pStyle w:val="Neotevilenodstavek"/>
              <w:numPr>
                <w:ilvl w:val="0"/>
                <w:numId w:val="50"/>
              </w:numPr>
              <w:spacing w:before="0" w:after="0" w:line="240" w:lineRule="auto"/>
              <w:rPr>
                <w:vanish/>
                <w:color w:val="000000" w:themeColor="text1"/>
                <w:sz w:val="20"/>
                <w:szCs w:val="20"/>
              </w:rPr>
            </w:pPr>
            <w:r w:rsidRPr="00D94FB4">
              <w:rPr>
                <w:vanish/>
                <w:color w:val="000000" w:themeColor="text1"/>
                <w:sz w:val="20"/>
                <w:szCs w:val="20"/>
              </w:rPr>
              <w:t>če ima večino glasovalnih pravic v drugi družbi;</w:t>
            </w:r>
          </w:p>
          <w:p w14:paraId="57C8FBF2" w14:textId="77777777" w:rsidR="000C08CA" w:rsidRPr="00D94FB4" w:rsidRDefault="000C08CA" w:rsidP="00FE328D">
            <w:pPr>
              <w:pStyle w:val="Neotevilenodstavek"/>
              <w:numPr>
                <w:ilvl w:val="0"/>
                <w:numId w:val="50"/>
              </w:numPr>
              <w:spacing w:before="0" w:after="0" w:line="240" w:lineRule="auto"/>
              <w:rPr>
                <w:vanish/>
                <w:color w:val="000000" w:themeColor="text1"/>
                <w:sz w:val="20"/>
                <w:szCs w:val="20"/>
              </w:rPr>
            </w:pPr>
            <w:r w:rsidRPr="00D94FB4">
              <w:rPr>
                <w:vanish/>
                <w:color w:val="000000" w:themeColor="text1"/>
                <w:sz w:val="20"/>
                <w:szCs w:val="20"/>
              </w:rPr>
              <w:t>če ima pravico imenovati ali odpoklicati večino članov poslovodstva ali nadzornega sveta druge družbe in je hkrati družbenik te družbe;</w:t>
            </w:r>
          </w:p>
          <w:p w14:paraId="54766182" w14:textId="77777777" w:rsidR="000C08CA" w:rsidRPr="00D94FB4" w:rsidRDefault="000C08CA" w:rsidP="00FE328D">
            <w:pPr>
              <w:pStyle w:val="Neotevilenodstavek"/>
              <w:numPr>
                <w:ilvl w:val="0"/>
                <w:numId w:val="50"/>
              </w:numPr>
              <w:spacing w:before="0" w:after="0" w:line="240" w:lineRule="auto"/>
              <w:rPr>
                <w:vanish/>
                <w:color w:val="000000" w:themeColor="text1"/>
                <w:sz w:val="20"/>
                <w:szCs w:val="20"/>
              </w:rPr>
            </w:pPr>
            <w:r w:rsidRPr="00D94FB4">
              <w:rPr>
                <w:vanish/>
                <w:color w:val="000000" w:themeColor="text1"/>
                <w:sz w:val="20"/>
                <w:szCs w:val="20"/>
              </w:rPr>
              <w:t>če ima pravico do prevladujočega vpliva nad drugo družbo na podlagi podjetniške pogodbe ali drugega pravnega temelja;</w:t>
            </w:r>
          </w:p>
          <w:p w14:paraId="5C8795F6" w14:textId="77777777" w:rsidR="000C08CA" w:rsidRPr="00D94FB4" w:rsidRDefault="000C08CA" w:rsidP="00FE328D">
            <w:pPr>
              <w:pStyle w:val="Neotevilenodstavek"/>
              <w:numPr>
                <w:ilvl w:val="0"/>
                <w:numId w:val="50"/>
              </w:numPr>
              <w:spacing w:before="0" w:after="0" w:line="240" w:lineRule="auto"/>
              <w:rPr>
                <w:vanish/>
                <w:color w:val="000000" w:themeColor="text1"/>
                <w:sz w:val="20"/>
                <w:szCs w:val="20"/>
              </w:rPr>
            </w:pPr>
            <w:r w:rsidRPr="00D94FB4">
              <w:rPr>
                <w:vanish/>
                <w:color w:val="000000" w:themeColor="text1"/>
                <w:sz w:val="20"/>
                <w:szCs w:val="20"/>
              </w:rPr>
              <w:t>če je družbenik v drugi družbi in če na podlagi pogodbe z drugimi družbeniki te družbe nadzoruje večino glasovalnih pravic v tej družbi ali</w:t>
            </w:r>
          </w:p>
          <w:p w14:paraId="5890E11F" w14:textId="77777777" w:rsidR="000C08CA" w:rsidRPr="00D94FB4" w:rsidRDefault="000C08CA" w:rsidP="00FE328D">
            <w:pPr>
              <w:pStyle w:val="Neotevilenodstavek"/>
              <w:numPr>
                <w:ilvl w:val="0"/>
                <w:numId w:val="50"/>
              </w:numPr>
              <w:spacing w:before="0" w:after="0" w:line="240" w:lineRule="auto"/>
              <w:rPr>
                <w:vanish/>
                <w:color w:val="000000" w:themeColor="text1"/>
                <w:sz w:val="20"/>
                <w:szCs w:val="20"/>
              </w:rPr>
            </w:pPr>
            <w:r w:rsidRPr="00D94FB4">
              <w:rPr>
                <w:vanish/>
                <w:color w:val="000000" w:themeColor="text1"/>
                <w:sz w:val="20"/>
                <w:szCs w:val="20"/>
              </w:rPr>
              <w:t>če ima prevladujoči vpliv nad drugo družbo oziroma ga dejansko izvaja ali si podredi vodenje te družbe.</w:t>
            </w:r>
          </w:p>
          <w:p w14:paraId="49194B89" w14:textId="77777777" w:rsidR="000C08CA" w:rsidRPr="00D94FB4" w:rsidRDefault="000C08CA" w:rsidP="00FE328D">
            <w:pPr>
              <w:pStyle w:val="Neotevilenodstavek"/>
              <w:spacing w:before="0" w:after="0" w:line="240" w:lineRule="auto"/>
              <w:rPr>
                <w:vanish/>
                <w:color w:val="000000" w:themeColor="text1"/>
                <w:sz w:val="20"/>
                <w:szCs w:val="20"/>
              </w:rPr>
            </w:pPr>
          </w:p>
          <w:p w14:paraId="6A73A87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Pri uporabi 1., 2. in 4. točke prejšnjega odstavka se glasovalnim pravicam ali pravicam imenovanja in odpoklica, katerih imetnik je obvladujoča družba, prištejejo glasovalne pravice ali pravice imenovanja in odpoklica, katerih imetnik je druga družba, ki je odvisna obvladujoči družbi, in navedene pravice oseb, ki delujejo za račun obvladujoče družbe ali druge njej odvisne družbe. Pravice iz posedovanja delnic za račun osebe, ki ni obvladujoča družba ali njena odvisna družba, in pravice iz delnic, pridobljenih kot poroštvo, če so uresničene v skladu s prejetimi navodili ali pridobljene z odobritvijo posojil kot del običajne poslovne dejavnosti, se, če so glasovalne pravice uresničene v interesu osebe, ki je dala poroštvo, ne prištevajo pravicam iz prejšnjega stavka.</w:t>
            </w:r>
          </w:p>
          <w:p w14:paraId="721324C3" w14:textId="77777777" w:rsidR="000C08CA" w:rsidRPr="00D94FB4" w:rsidRDefault="000C08CA" w:rsidP="00FE328D">
            <w:pPr>
              <w:pStyle w:val="Neotevilenodstavek"/>
              <w:spacing w:before="0" w:after="0" w:line="240" w:lineRule="auto"/>
              <w:rPr>
                <w:vanish/>
                <w:color w:val="000000" w:themeColor="text1"/>
                <w:sz w:val="20"/>
                <w:szCs w:val="20"/>
              </w:rPr>
            </w:pPr>
          </w:p>
          <w:p w14:paraId="637641E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Pri uporabi 1. in 4. točke drugega odstavka tega člena se od vseh glasovalnih pravic v odvisni družbi odštejejo glasovalne pravice iz deležev, ki jih ima ta družba, odvisna družba te družbe ali oseba, ki deluje v svojem imenu, vendar za račun teh družb.</w:t>
            </w:r>
          </w:p>
          <w:p w14:paraId="4ACA2416" w14:textId="77777777" w:rsidR="000C08CA" w:rsidRPr="00D94FB4" w:rsidRDefault="000C08CA" w:rsidP="00FE328D">
            <w:pPr>
              <w:pStyle w:val="Neotevilenodstavek"/>
              <w:spacing w:before="0" w:after="0" w:line="240" w:lineRule="auto"/>
              <w:rPr>
                <w:vanish/>
                <w:color w:val="000000" w:themeColor="text1"/>
                <w:sz w:val="20"/>
                <w:szCs w:val="20"/>
              </w:rPr>
            </w:pPr>
          </w:p>
          <w:p w14:paraId="47D7478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Obvladujoča družba, ki skupaj z odvisnimi družbami ne dosega pogojev za velike družbe iz petega odstavka 55. člena tega zakona, pri čemer se merili čistih prihodkov od prodaje in vrednosti aktive povečata za 20 %, ni dolžna izdelati konsolidiranega letnega poročila. To ne velja, če je obvladujoča družba ali katera od odvisnih družb subjekt javnega interesa. Konsolidiranega letnega poročila ni treba sestavljati obvladujoči družbi, ki ima le odvisne družbe, ki jih je mogoče izključiti iz konsolidacije na podlagi sedmega odstavka tega člena.</w:t>
            </w:r>
          </w:p>
          <w:p w14:paraId="28E07A63" w14:textId="77777777" w:rsidR="000C08CA" w:rsidRPr="00D94FB4" w:rsidRDefault="000C08CA" w:rsidP="00FE328D">
            <w:pPr>
              <w:pStyle w:val="Neotevilenodstavek"/>
              <w:spacing w:before="0" w:after="0" w:line="240" w:lineRule="auto"/>
              <w:rPr>
                <w:vanish/>
                <w:color w:val="000000" w:themeColor="text1"/>
                <w:sz w:val="20"/>
                <w:szCs w:val="20"/>
              </w:rPr>
            </w:pPr>
          </w:p>
          <w:p w14:paraId="46C3E81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Obvladujoča družba, s katere vrednostnimi papirji se ne trguje na organiziranem trgu in je hkrati tudi odvisna družba družbe iz države članice, ni dolžna izdelati konsolidiranega letnega poročila (izvzeta družba), če je družba iz države članice imetnica vseh deležev v izvzeti družbi ali ima v lasti več kot 90 odstotkov deležev in preostali družbeniki soglašajo z izvzetjem. Izvzeta družba mora biti vključena v konsolidacijo obvladujoče družbe iz države članice. Izvzeta družba mora v roku enega meseca od objave konsolidiranega letnega poročila v državi članici v skladu s tem zakonom objaviti prevedeno letno konsolidirano poročilo in revizorjevo poročilo obvladujoče družbe. V prilogi k izkazom mora izvzeta družba navesti firmo in sedež družbe, ki pripravi konsolidirano letno poročilo in razlog za izvzetje iz priprave konsolidiranega letnega poročila. Ne glede na možnost izvzetja pa mora izvzeta družba zagotoviti podatke iz konsolidiranih letnih računovodskih izkazov ali konsolidiranih poslovnih poročil, če se ti zahtevajo za obveščanje zaposlenih ali njihovih predstavnikov ali če jih zahtevajo upravni ali sodni organi za svoje potrebe.</w:t>
            </w:r>
          </w:p>
          <w:p w14:paraId="64AC19DD" w14:textId="77777777" w:rsidR="000C08CA" w:rsidRPr="00D94FB4" w:rsidRDefault="000C08CA" w:rsidP="00FE328D">
            <w:pPr>
              <w:pStyle w:val="Neotevilenodstavek"/>
              <w:spacing w:before="0" w:after="0" w:line="240" w:lineRule="auto"/>
              <w:rPr>
                <w:vanish/>
                <w:color w:val="000000" w:themeColor="text1"/>
                <w:sz w:val="20"/>
                <w:szCs w:val="20"/>
              </w:rPr>
            </w:pPr>
          </w:p>
          <w:p w14:paraId="39692D1F"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V konsolidacijo ni treba vključiti odvisne družbe, če to ni pomembno za resničen in pošten prikaz po osmem odstavku tega člena. Če več družb izpolnjuje merilo iz prvega stavka tega odstavka, jih je treba vključiti v konsolidacijo, če so vse skupaj pomembne za resničen in pošten prikaz po osmem odstavku tega člena. Družba mora v prilogi h konsolidiranim izkazom navesti družbe, ki jih zaradi razlogov iz prejšnjega stavka ni vključila v konsolidacijo, in pojasniti razloge za tako odločitev.</w:t>
            </w:r>
          </w:p>
          <w:p w14:paraId="12F4BF14" w14:textId="77777777" w:rsidR="000C08CA" w:rsidRPr="00D94FB4" w:rsidRDefault="000C08CA" w:rsidP="00FE328D">
            <w:pPr>
              <w:pStyle w:val="Neotevilenodstavek"/>
              <w:spacing w:before="0" w:after="0" w:line="240" w:lineRule="auto"/>
              <w:rPr>
                <w:vanish/>
                <w:color w:val="000000" w:themeColor="text1"/>
                <w:sz w:val="20"/>
                <w:szCs w:val="20"/>
              </w:rPr>
            </w:pPr>
          </w:p>
          <w:p w14:paraId="52531A5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(8) Konsolidirano letno poročilo mora izkazovati resničen in pošten prikaz finančnega položaja, poslovnega izida, denarnih tokov in gibanja kapitala vseh družb, ki so vključene v konsolidacijo kot celote. Če se sestava družb, vključenih v konsolidacijo, med poslovnim letom bistveno spremeni, se v konsolidirano letno poročilo vključijo podatki, ki omogočijo primerjavo zaporednih letnih konsolidiranih poročil. Obveznost iz prejšnjega stavka se lahko izpolni s pripravo prilagojene bilance stanja in izkaza poslovnega izida. Za vsako družbo, vključeno v konsolidacijo, je treba v prilogi h konsolidiranim izkazom navesti, na podlagi katerih pogojev iz drugega odstavka tega člena je posamezna družba vključena v konsolidacijo.</w:t>
            </w:r>
          </w:p>
          <w:p w14:paraId="592543CE" w14:textId="77777777" w:rsidR="000C08CA" w:rsidRPr="00D94FB4" w:rsidRDefault="000C08CA" w:rsidP="00FE328D">
            <w:pPr>
              <w:pStyle w:val="Neotevilenodstavek"/>
              <w:spacing w:before="0" w:after="0" w:line="240" w:lineRule="auto"/>
              <w:rPr>
                <w:vanish/>
                <w:color w:val="000000" w:themeColor="text1"/>
                <w:sz w:val="20"/>
                <w:szCs w:val="20"/>
              </w:rPr>
            </w:pPr>
          </w:p>
          <w:p w14:paraId="05A7206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(9) Konsolidirano letno poročilo se pripravi na isti presečni dan kot letno poročilo obvladujoče družbe. Družba pri pripravi konsolidiranih letnih računovodskih izkazov praviloma uporabi enake podlage za merjenje, kot se uporabljajo pri letnih računovodskih izkazih obvladujoče družbe. Pri uporabi drugih podlag za merjenje v skladu s tem zakonom mora družba v pojasnilih h konsolidiranim računovodskim izkazom navesti razloge za tako uporabo. Konsolidirano letno poročilo je sestavljeno iz konsolidiranega računovodskega poročila in konsolidiranega poslovnega poročila skupine družb, vključenih v konsolidacijo. Konsolidirano računovodsko poročilo je sestavljeno iz konsolidirane bilance stanja, konsolidiranega izkaza poslovnega izida in konsolidiranega izkaza drugega vseobsegajočega donosa, konsolidiranega izkaza denarnih tokov in konsolidiranega izkaza gibanja kapitala ter priloge h konsolidiranim računovodskim izkazom. Ti sestavni deli konsolidiranega računovodskega poročila sestavljajo celoto. Za obliko, vsebino, obveznost zagotavljanja sestave in objave ter sprejetje konsolidiranega letnega poročila se smiselno uporabljajo določbe tega zakona o letnem poročilu.</w:t>
            </w:r>
          </w:p>
          <w:p w14:paraId="779234AD" w14:textId="77777777" w:rsidR="000C08CA" w:rsidRPr="00D94FB4" w:rsidRDefault="000C08CA" w:rsidP="00FE328D">
            <w:pPr>
              <w:pStyle w:val="Neotevilenodstavek"/>
              <w:spacing w:before="0" w:after="0" w:line="240" w:lineRule="auto"/>
              <w:rPr>
                <w:vanish/>
                <w:color w:val="000000" w:themeColor="text1"/>
                <w:sz w:val="20"/>
                <w:szCs w:val="20"/>
              </w:rPr>
            </w:pPr>
          </w:p>
          <w:p w14:paraId="3EFBD25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(10) V prilogi h konsolidiranim računovodskim izkazom se pri razkrivanju transakcij med povezanimi osebami izločijo transakcije med družbami, vključenimi v konsolidacijo. Pri razkrivanju zneskov nagrad, predujmov in posojil članom poslovodstva in nadzornega sveta se v prilogi h konsolidiranim računovodskim izkazom razkrijejo samo zneski, ki so jih od družb, vključenih v konsolidacijo, dobili člani poslovodstva in nadzornih svetov obvladujoče družbe. Pri sporočanju podatkov o pridobljenih lastnih deležih se v prilogi h konsolidiranim računovodskim izkazom prikažejo samo deleži obvladujoče družbe, ki jih imajo družbe, vključene v konsolidacijo, ali osebe, ki delujejo v svojem imenu, vendar za račun katere koli od teh družb.</w:t>
            </w:r>
          </w:p>
          <w:p w14:paraId="5DC08F32" w14:textId="77777777" w:rsidR="000C08CA" w:rsidRPr="00D94FB4" w:rsidRDefault="000C08CA" w:rsidP="00FE328D">
            <w:pPr>
              <w:pStyle w:val="Neotevilenodstavek"/>
              <w:spacing w:before="0" w:after="0" w:line="240" w:lineRule="auto"/>
              <w:rPr>
                <w:vanish/>
                <w:color w:val="000000" w:themeColor="text1"/>
                <w:sz w:val="20"/>
                <w:szCs w:val="20"/>
              </w:rPr>
            </w:pPr>
          </w:p>
          <w:p w14:paraId="3F42513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(11) V konsolidiranem poslovnem poročilu se v izjavi o upravljanju družbe pri razkrivanju sistema notranjih kontrol in upravljanja tveganj prikaže samo glavne značilnosti sistemov notranje kontrole in upravljanja tveganj na ravni skupine družb.</w:t>
            </w:r>
          </w:p>
          <w:p w14:paraId="6E32CC4C" w14:textId="77777777" w:rsidR="000C08CA" w:rsidRPr="00D94FB4" w:rsidRDefault="000C08CA" w:rsidP="00FE328D">
            <w:pPr>
              <w:pStyle w:val="Neotevilenodstavek"/>
              <w:spacing w:before="0" w:after="0" w:line="240" w:lineRule="auto"/>
              <w:rPr>
                <w:vanish/>
                <w:color w:val="000000" w:themeColor="text1"/>
                <w:sz w:val="20"/>
                <w:szCs w:val="20"/>
              </w:rPr>
            </w:pPr>
          </w:p>
          <w:p w14:paraId="2DD4829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(12) Konsolidirano poslovno poročilo subjekta javnega interesa, katerega povprečno število zaposlenih v poslovnem letu je na bilančni presečni dan na ravni skupine večje od 500, vsebuje tudi konsolidirano izjavo o nefinančnem poslovanju. Za sestavo izjave se smiselno uporabljajo določbe 70.c člena tega zakona.</w:t>
            </w:r>
          </w:p>
          <w:p w14:paraId="4CA27B73" w14:textId="77777777" w:rsidR="000C08CA" w:rsidRPr="00D94FB4" w:rsidRDefault="000C08CA" w:rsidP="00FE328D">
            <w:pPr>
              <w:pStyle w:val="Neotevilenodstavek"/>
              <w:spacing w:before="0" w:after="0" w:line="240" w:lineRule="auto"/>
              <w:rPr>
                <w:vanish/>
                <w:color w:val="000000" w:themeColor="text1"/>
                <w:sz w:val="20"/>
                <w:szCs w:val="20"/>
              </w:rPr>
            </w:pPr>
          </w:p>
          <w:p w14:paraId="1066C525"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57. člen</w:t>
            </w:r>
          </w:p>
          <w:p w14:paraId="51A5D22A"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(revidiranje)</w:t>
            </w:r>
          </w:p>
          <w:p w14:paraId="617C7829" w14:textId="77777777" w:rsidR="000C08CA" w:rsidRPr="00D94FB4" w:rsidRDefault="000C08CA" w:rsidP="00FE328D">
            <w:pPr>
              <w:pStyle w:val="Neotevilenodstavek"/>
              <w:spacing w:before="0" w:after="0" w:line="240" w:lineRule="auto"/>
              <w:rPr>
                <w:vanish/>
                <w:color w:val="000000" w:themeColor="text1"/>
                <w:sz w:val="20"/>
                <w:szCs w:val="20"/>
              </w:rPr>
            </w:pPr>
          </w:p>
          <w:p w14:paraId="7F1AB41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Letna poročila velikih in srednjih kapitalskih družb ter dvojnih družb pregleda revizor na način in pod pogoji, določenimi z zakonom, ki ureja revidiranje. Revizor mora revidirati računovodsko poročilo ter pregledati poslovno poročilo v obsegu, potrebnem, da preveri, ali je njegova vsebina v skladu z drugimi sestavinami letnega poročila. Revizor preveri, ali poslovno poročilo vsebuje izjavo o upravljanju družbe in izjavo o nefinančnem poslovanju ter pregleda njuno formalno popolnost, vsebinsko pa se v mnenju omeji na pregled podatkov iz 3. in 4. točke petega odstavka 70. člena tega zakona. Vse to velja tudi za konsolidirana letna poročila.</w:t>
            </w:r>
          </w:p>
          <w:p w14:paraId="3E7C4946" w14:textId="77777777" w:rsidR="000C08CA" w:rsidRPr="00D94FB4" w:rsidRDefault="000C08CA" w:rsidP="00FE328D">
            <w:pPr>
              <w:pStyle w:val="Neotevilenodstavek"/>
              <w:spacing w:before="0" w:after="0" w:line="240" w:lineRule="auto"/>
              <w:rPr>
                <w:vanish/>
                <w:color w:val="000000" w:themeColor="text1"/>
                <w:sz w:val="20"/>
                <w:szCs w:val="20"/>
              </w:rPr>
            </w:pPr>
          </w:p>
          <w:p w14:paraId="4113D7C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Revizorjevo poročilo je v pisni obliki in mora vsebovati:</w:t>
            </w:r>
          </w:p>
          <w:p w14:paraId="31499C80"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opredelitev družbe, katere letni ali konsolidirani računovodski izkazi so predmet zakonite revizije, navedbo letnih ali konsolidiranih računovodskih izkazov ter datuma in obdobja, ki ga zajemajo, ter opredelitev okvira računovodskega poročanja, uporabljenega pri njihovi pripravi;</w:t>
            </w:r>
          </w:p>
          <w:p w14:paraId="70059E9B"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opis obsega revizije, v katerem se opredelijo vsaj revizijski standardi, v skladu s katerimi je bila izvedena revizija;</w:t>
            </w:r>
          </w:p>
          <w:p w14:paraId="22A2A4C9"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revizijsko mnenje, ki je brez pridržkov, s pridržki ali odklonilno in v katerem je jasno navedeno mnenje revizorja o tem:</w:t>
            </w:r>
          </w:p>
          <w:p w14:paraId="54986BE4" w14:textId="77777777" w:rsidR="000C08CA" w:rsidRPr="00D94FB4" w:rsidRDefault="000C08CA" w:rsidP="00FE328D">
            <w:pPr>
              <w:pStyle w:val="Neotevilenodstavek"/>
              <w:numPr>
                <w:ilvl w:val="0"/>
                <w:numId w:val="53"/>
              </w:numPr>
              <w:spacing w:before="0" w:after="0" w:line="240" w:lineRule="auto"/>
              <w:rPr>
                <w:vanish/>
                <w:color w:val="000000" w:themeColor="text1"/>
                <w:sz w:val="20"/>
                <w:szCs w:val="20"/>
              </w:rPr>
            </w:pPr>
            <w:r w:rsidRPr="00D94FB4">
              <w:rPr>
                <w:vanish/>
                <w:color w:val="000000" w:themeColor="text1"/>
                <w:sz w:val="20"/>
                <w:szCs w:val="20"/>
              </w:rPr>
              <w:t>ali so letni računovodski izkazi resničen in pošten prikaz v skladu z ustreznim okvirom računovodskega poročanja ter;</w:t>
            </w:r>
          </w:p>
          <w:p w14:paraId="766FDE7E" w14:textId="77777777" w:rsidR="000C08CA" w:rsidRPr="00D94FB4" w:rsidRDefault="000C08CA" w:rsidP="00FE328D">
            <w:pPr>
              <w:pStyle w:val="Neotevilenodstavek"/>
              <w:numPr>
                <w:ilvl w:val="0"/>
                <w:numId w:val="53"/>
              </w:numPr>
              <w:spacing w:before="0" w:after="0" w:line="240" w:lineRule="auto"/>
              <w:rPr>
                <w:vanish/>
                <w:color w:val="000000" w:themeColor="text1"/>
                <w:sz w:val="20"/>
                <w:szCs w:val="20"/>
              </w:rPr>
            </w:pPr>
            <w:r w:rsidRPr="00D94FB4">
              <w:rPr>
                <w:vanish/>
                <w:color w:val="000000" w:themeColor="text1"/>
                <w:sz w:val="20"/>
                <w:szCs w:val="20"/>
              </w:rPr>
              <w:t>kjer je to ustrezno, ali letni računovodski izkazi izpolnjujejo zakonske zahteve;</w:t>
            </w:r>
          </w:p>
          <w:p w14:paraId="3CB791B8" w14:textId="77777777" w:rsidR="000C08CA" w:rsidRPr="00D94FB4" w:rsidRDefault="000C08CA" w:rsidP="00FE328D">
            <w:pPr>
              <w:pStyle w:val="Neotevilenodstavek"/>
              <w:numPr>
                <w:ilvl w:val="0"/>
                <w:numId w:val="53"/>
              </w:numPr>
              <w:spacing w:before="0" w:after="0" w:line="240" w:lineRule="auto"/>
              <w:rPr>
                <w:vanish/>
                <w:color w:val="000000" w:themeColor="text1"/>
                <w:sz w:val="20"/>
                <w:szCs w:val="20"/>
              </w:rPr>
            </w:pPr>
            <w:r w:rsidRPr="00D94FB4">
              <w:rPr>
                <w:vanish/>
                <w:color w:val="000000" w:themeColor="text1"/>
                <w:sz w:val="20"/>
                <w:szCs w:val="20"/>
              </w:rPr>
              <w:t>če revizor ne more izraziti revizijskega mnenja, zavrnitev mnenja;</w:t>
            </w:r>
          </w:p>
          <w:p w14:paraId="695E02C1"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sklic na vse morebitne druge zadeve, na katere revizor posebej opozarja, ne da bi se revizijsko mnenje zato spremenilo;</w:t>
            </w:r>
          </w:p>
          <w:p w14:paraId="569C87D2"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mnenje o tem:</w:t>
            </w:r>
          </w:p>
          <w:p w14:paraId="4E1357BC"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ali je poslovno poročilo skladno z računovodskimi izkazi istega poslovnega leta in</w:t>
            </w:r>
          </w:p>
          <w:p w14:paraId="571995F8"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ali je bilo poslovno poročilo pripravljeno v skladu z veljavnimi pravnimi zahtevami;</w:t>
            </w:r>
          </w:p>
          <w:p w14:paraId="0B9B40A9"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navedbo, ali je glede na poznavanje in razumevanje družbe in njenega okolja, ki ju je revizor pridobil med revizijo, ugotovil bistveno napačne navedbe v poslovnem poročilu, pri čemer navede naravo morebitnih takšnih navedb;</w:t>
            </w:r>
          </w:p>
          <w:p w14:paraId="5E0C46A5"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izjavo o kakršni koli pomembni negotovosti, povezani z dogodki ali okoliščinami, ki bi lahko povzročile pomemben dvom o zmožnosti družbe, da bi nadaljevala poslovanje;</w:t>
            </w:r>
          </w:p>
          <w:p w14:paraId="17FF0B13"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navedbo sedeža revizorja ali revizijske družbe;</w:t>
            </w:r>
          </w:p>
          <w:p w14:paraId="2E58974B" w14:textId="77777777" w:rsidR="000C08CA" w:rsidRPr="00D94FB4" w:rsidRDefault="000C08CA" w:rsidP="00FE328D">
            <w:pPr>
              <w:pStyle w:val="Neotevilenodstavek"/>
              <w:numPr>
                <w:ilvl w:val="0"/>
                <w:numId w:val="51"/>
              </w:numPr>
              <w:spacing w:before="0" w:after="0" w:line="240" w:lineRule="auto"/>
              <w:ind w:left="360"/>
              <w:rPr>
                <w:vanish/>
                <w:color w:val="000000" w:themeColor="text1"/>
                <w:sz w:val="20"/>
                <w:szCs w:val="20"/>
              </w:rPr>
            </w:pPr>
            <w:r w:rsidRPr="00D94FB4">
              <w:rPr>
                <w:vanish/>
                <w:color w:val="000000" w:themeColor="text1"/>
                <w:sz w:val="20"/>
                <w:szCs w:val="20"/>
              </w:rPr>
              <w:t>datum in revizorjev podpis.</w:t>
            </w:r>
          </w:p>
          <w:p w14:paraId="17B0E55A" w14:textId="77777777" w:rsidR="000C08CA" w:rsidRPr="00D94FB4" w:rsidRDefault="000C08CA" w:rsidP="00FE328D">
            <w:pPr>
              <w:pStyle w:val="Neotevilenodstavek"/>
              <w:spacing w:before="0" w:after="0" w:line="240" w:lineRule="auto"/>
              <w:rPr>
                <w:vanish/>
                <w:color w:val="000000" w:themeColor="text1"/>
                <w:sz w:val="20"/>
                <w:szCs w:val="20"/>
              </w:rPr>
            </w:pPr>
          </w:p>
          <w:p w14:paraId="785B5DA5"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Revizor je odgovoren družbi in delničarjem ali družbenikom družbe za škodo, ki jim jo povzroči s kršitvijo pravil o revidiranju, določenih z zakonom, ki ureja revidiranje. Revizor je odgovoren za škodo iz prejšnjega stavka do višine 150.000 eurov za majhne kapitalske družbe, do višine 500.000 eurov za srednje kapitalske družbe in do višine 1.000.000 eurov za velike kapitalske družbe. Omejitev odškodninske odgovornosti po prejšnjem stavku ne velja, če je bila škoda povzročena namenoma ali iz hude malomarnosti.</w:t>
            </w:r>
          </w:p>
          <w:p w14:paraId="64248CBC" w14:textId="77777777" w:rsidR="000C08CA" w:rsidRPr="00D94FB4" w:rsidRDefault="000C08CA" w:rsidP="00FE328D">
            <w:pPr>
              <w:pStyle w:val="Neotevilenodstavek"/>
              <w:spacing w:before="0" w:after="0" w:line="240" w:lineRule="auto"/>
              <w:rPr>
                <w:vanish/>
                <w:color w:val="000000" w:themeColor="text1"/>
                <w:sz w:val="20"/>
                <w:szCs w:val="20"/>
              </w:rPr>
            </w:pPr>
          </w:p>
          <w:p w14:paraId="6937E3A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Če revizor v skladu z zakonom, ki ureja revidiranje, zavrne izdelavo mnenja, obveznost iz prvega odstavka tega člena ni izpolnjena.</w:t>
            </w:r>
          </w:p>
          <w:p w14:paraId="2024A7CD" w14:textId="77777777" w:rsidR="000C08CA" w:rsidRPr="00D94FB4" w:rsidRDefault="000C08CA" w:rsidP="00FE328D">
            <w:pPr>
              <w:pStyle w:val="Neotevilenodstavek"/>
              <w:spacing w:before="0" w:after="0" w:line="240" w:lineRule="auto"/>
              <w:rPr>
                <w:vanish/>
                <w:color w:val="000000" w:themeColor="text1"/>
                <w:sz w:val="20"/>
                <w:szCs w:val="20"/>
              </w:rPr>
            </w:pPr>
          </w:p>
          <w:p w14:paraId="3946372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Revizija letnega poročila iz prvega odstavka tega člena mora biti opravljena v šestih mesecih po koncu poslovnega leta. Poslovodstvo mora revidirano letno poročilo ali revidirano konsolidirano letno poročilo predložiti organu družbe, pristojnemu za sprejetje tega poročila, skupaj z revizorjevim poročilom najpozneje v osmih dneh po prejemu revizorjevega poročila.</w:t>
            </w:r>
          </w:p>
          <w:p w14:paraId="55BF4257" w14:textId="77777777" w:rsidR="000C08CA" w:rsidRPr="00D94FB4" w:rsidRDefault="000C08CA" w:rsidP="00FE328D">
            <w:pPr>
              <w:pStyle w:val="Neotevilenodstavek"/>
              <w:spacing w:before="0" w:after="0" w:line="240" w:lineRule="auto"/>
              <w:rPr>
                <w:vanish/>
                <w:color w:val="000000" w:themeColor="text1"/>
                <w:sz w:val="20"/>
                <w:szCs w:val="20"/>
              </w:rPr>
            </w:pPr>
          </w:p>
          <w:p w14:paraId="2560D5A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Revizor mora sodelovati z revizijsko komisijo in jo obveščati o glavnih zadevah v zvezi z revizijo letnega poročila, zlasti o pomembnih pomanjkljivostih notranjih kontrol v povezavi s postopkom računovodskega poročanja.</w:t>
            </w:r>
          </w:p>
          <w:p w14:paraId="0EF13D8A" w14:textId="77777777" w:rsidR="000C08CA" w:rsidRPr="00D94FB4" w:rsidRDefault="000C08CA" w:rsidP="00FE328D">
            <w:pPr>
              <w:pStyle w:val="Neotevilenodstavek"/>
              <w:spacing w:before="0" w:after="0" w:line="240" w:lineRule="auto"/>
              <w:rPr>
                <w:vanish/>
                <w:color w:val="000000" w:themeColor="text1"/>
                <w:sz w:val="20"/>
                <w:szCs w:val="20"/>
              </w:rPr>
            </w:pPr>
          </w:p>
          <w:p w14:paraId="57D290C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Revizor opravi preiskavo letnih računovodskih izkazov in izrazi mnenje v skladu z mednarodnimi revizijskimi standardi pri tistih majhnih kapitalskih družbah, ki po pripoznanju merijo opredmetena osnovna sredstva po revalorizirani vrednosti ali vrednotijo finančne instrumente, za katere ni objavljene cene na organiziranem trgu, vključno z izvedenimi finančnimi instrumenti, ter naložbene nepremičnine po pošteni vrednosti. Preiskava letnih računovodskih izkazov mora biti izvedena v roku šestih mesecev po koncu poslovnega leta.</w:t>
            </w:r>
          </w:p>
          <w:p w14:paraId="440809BD" w14:textId="77777777" w:rsidR="000C08CA" w:rsidRPr="00D94FB4" w:rsidRDefault="000C08CA" w:rsidP="00FE328D">
            <w:pPr>
              <w:pStyle w:val="Neotevilenodstavek"/>
              <w:spacing w:before="0" w:after="0" w:line="240" w:lineRule="auto"/>
              <w:rPr>
                <w:vanish/>
                <w:color w:val="000000" w:themeColor="text1"/>
                <w:sz w:val="20"/>
                <w:szCs w:val="20"/>
              </w:rPr>
            </w:pPr>
          </w:p>
          <w:p w14:paraId="036A7866"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58. člen</w:t>
            </w:r>
          </w:p>
          <w:p w14:paraId="26998147"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(javna objava)</w:t>
            </w:r>
          </w:p>
          <w:p w14:paraId="6A013850" w14:textId="77777777" w:rsidR="000C08CA" w:rsidRPr="00D94FB4" w:rsidRDefault="000C08CA" w:rsidP="00FE328D">
            <w:pPr>
              <w:pStyle w:val="Neotevilenodstavek"/>
              <w:spacing w:before="0" w:after="0" w:line="240" w:lineRule="auto"/>
              <w:rPr>
                <w:vanish/>
                <w:color w:val="000000" w:themeColor="text1"/>
                <w:sz w:val="20"/>
                <w:szCs w:val="20"/>
              </w:rPr>
            </w:pPr>
          </w:p>
          <w:p w14:paraId="4BDA45C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Letna poročila iz prvega in sedmega odstavka prejšnjega člena ter konsolidirana letna poročila je treba zaradi javne objave skupaj z revizorjevim poročilom v elektronski obliki predložiti AJPES v osmih mesecih po koncu poslovnega leta. Družbe morajo v skladu s prejšnjim stavkom predložiti tudi popravljeno letno poročilo ali konsolidirano letno poročilo oziroma spremembe revizorjevega poročila. Družbe iz prvega odstavka 53. člena tega zakona morajo v skladu s prvim stavkom predložiti tudi predlog razporeditve dobička ali obravnavanja izgube ter razporeditev dobička ali obravnavanje izgube, če to ni razvidno iz letnega poročila.</w:t>
            </w:r>
          </w:p>
          <w:p w14:paraId="0FB2DE26" w14:textId="77777777" w:rsidR="000C08CA" w:rsidRPr="00D94FB4" w:rsidRDefault="000C08CA" w:rsidP="00FE328D">
            <w:pPr>
              <w:pStyle w:val="Neotevilenodstavek"/>
              <w:spacing w:before="0" w:after="0" w:line="240" w:lineRule="auto"/>
              <w:rPr>
                <w:vanish/>
                <w:color w:val="000000" w:themeColor="text1"/>
                <w:sz w:val="20"/>
                <w:szCs w:val="20"/>
              </w:rPr>
            </w:pPr>
          </w:p>
          <w:p w14:paraId="5C0113E5"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Letno poročilo majhnih družb, z vrednostnimi papirji katerih se ne trguje na organiziranem trgu, in letno poročilo podjetnikov je treba zaradi javne objave v elektronski obliki predložiti AJPES v treh mesecih po koncu poslovnega leta. Družbe iz prvega odstavka 53. člena tega zakona morajo v skladu s prejšnjim stavkom predložiti tudi predlog razporeditve dobička ali obravnavanja izgube ter razporeditev dobička ali obravnavanje izgube, če to ni razvidno iz letnega poročila. Podjetniki, ki so po določbah o obdavčitvi dohodkov iz dejavnosti zakona, ki ureja dohodnino, obdavčeni na podlagi ugotovljenega dobička z upoštevanjem normiranih odhodkov, niso dolžni predložiti letnih poročil zaradi javne objave. Finančna uprava Republike Slovenije pošlje seznam podjetnikov iz prejšnjega stavka AJPES.</w:t>
            </w:r>
          </w:p>
          <w:p w14:paraId="30652BF5" w14:textId="77777777" w:rsidR="000C08CA" w:rsidRPr="00D94FB4" w:rsidRDefault="000C08CA" w:rsidP="00FE328D">
            <w:pPr>
              <w:pStyle w:val="Neotevilenodstavek"/>
              <w:spacing w:before="0" w:after="0" w:line="240" w:lineRule="auto"/>
              <w:rPr>
                <w:vanish/>
                <w:color w:val="000000" w:themeColor="text1"/>
                <w:sz w:val="20"/>
                <w:szCs w:val="20"/>
              </w:rPr>
            </w:pPr>
          </w:p>
          <w:p w14:paraId="345421D5"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AJPES mora javno objaviti letna poročila in konsolidirana letna poročila skupaj z revizorjevim poročilom, predložena po prvem odstavku tega člena, ali letna poročila, predložena po prejšnjem odstavku, tako da jih zajame v informatizirani obliki in objavi na spletnih straneh, namenjenih javni objavi letnih poročil. V skladu s prejšnjim stavkom je treba za družbe iz prvega odstavka 53. člena tega zakona hkrati objaviti tudi predlog razporeditve dobička ali obravnavanja izgube ter razporeditev dobička ali obravnavanje izgube, če to ni razvidno iz letnega poročila. Spletne strani iz prvega stavka tega odstavka morajo biti zasnovane tako, da je vsakomur omogočen brezplačen vpogled v podatke, objavljene na spletnih straneh.</w:t>
            </w:r>
          </w:p>
          <w:p w14:paraId="1AA2BB54" w14:textId="77777777" w:rsidR="000C08CA" w:rsidRPr="00D94FB4" w:rsidRDefault="000C08CA" w:rsidP="00FE328D">
            <w:pPr>
              <w:pStyle w:val="Neotevilenodstavek"/>
              <w:spacing w:before="0" w:after="0" w:line="240" w:lineRule="auto"/>
              <w:rPr>
                <w:vanish/>
                <w:color w:val="000000" w:themeColor="text1"/>
                <w:sz w:val="20"/>
                <w:szCs w:val="20"/>
              </w:rPr>
            </w:pPr>
          </w:p>
          <w:p w14:paraId="6FF93BE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(prenehal veljati).</w:t>
            </w:r>
          </w:p>
          <w:p w14:paraId="477C54E7" w14:textId="77777777" w:rsidR="000C08CA" w:rsidRPr="00D94FB4" w:rsidRDefault="000C08CA" w:rsidP="00FE328D">
            <w:pPr>
              <w:pStyle w:val="Neotevilenodstavek"/>
              <w:spacing w:before="0" w:after="0" w:line="240" w:lineRule="auto"/>
              <w:rPr>
                <w:vanish/>
                <w:color w:val="000000" w:themeColor="text1"/>
                <w:sz w:val="20"/>
                <w:szCs w:val="20"/>
              </w:rPr>
            </w:pPr>
          </w:p>
          <w:p w14:paraId="07D1F41E"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(prenehal veljati).</w:t>
            </w:r>
          </w:p>
          <w:p w14:paraId="1C8EE058" w14:textId="77777777" w:rsidR="000C08CA" w:rsidRPr="00D94FB4" w:rsidRDefault="000C08CA" w:rsidP="00FE328D">
            <w:pPr>
              <w:pStyle w:val="Neotevilenodstavek"/>
              <w:spacing w:before="0" w:after="0" w:line="240" w:lineRule="auto"/>
              <w:rPr>
                <w:vanish/>
                <w:color w:val="000000" w:themeColor="text1"/>
                <w:sz w:val="20"/>
                <w:szCs w:val="20"/>
              </w:rPr>
            </w:pPr>
          </w:p>
          <w:p w14:paraId="3041415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AJPES prek sistema povezovanja poslovnih registrov po uradni dolžnosti nemudoma obvesti pristojni organ države članice podružnice, ki jo je ustanovila kapitalska družba s sedežem v Republiki Sloveniji, o javni objavi letnega poročila te družbe.</w:t>
            </w:r>
          </w:p>
          <w:p w14:paraId="5274C1B5" w14:textId="77777777" w:rsidR="000C08CA" w:rsidRPr="00D94FB4" w:rsidRDefault="000C08CA" w:rsidP="00FE328D">
            <w:pPr>
              <w:pStyle w:val="Neotevilenodstavek"/>
              <w:spacing w:before="0" w:after="0" w:line="240" w:lineRule="auto"/>
              <w:rPr>
                <w:vanish/>
                <w:color w:val="000000" w:themeColor="text1"/>
                <w:sz w:val="20"/>
                <w:szCs w:val="20"/>
              </w:rPr>
            </w:pPr>
          </w:p>
          <w:p w14:paraId="6438167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AJPES mora vsakomur na njegovo zahtevo izročiti kopijo letnega ali konsolidiranega letnega poročila skupaj z revizorjevim poročilom, ki je bilo predloženo po prvem odstavku tega člena, ali kopijo letnega poročila, predloženega po drugem odstavku tega člena, za plačilo nadomestila, ki ga določa tarifa AJPES. Kopije iz prejšnjega stavka mora AJPES izročiti v obsegu (v celoti ali delih) in v obliki (elektronski ali pisni), kot je to navedeno v zahtevi. Kopija v pisni obliki mora biti označena kot »točen prepis«, za elektronsko obliko pa se uporablja zakon, ki ureja elektronsko poslovanje in elektronski podpis.</w:t>
            </w:r>
          </w:p>
          <w:p w14:paraId="56C1D726" w14:textId="77777777" w:rsidR="000C08CA" w:rsidRPr="00D94FB4" w:rsidRDefault="000C08CA" w:rsidP="00FE328D">
            <w:pPr>
              <w:pStyle w:val="Neotevilenodstavek"/>
              <w:spacing w:before="0" w:after="0" w:line="240" w:lineRule="auto"/>
              <w:rPr>
                <w:vanish/>
                <w:color w:val="000000" w:themeColor="text1"/>
                <w:sz w:val="20"/>
                <w:szCs w:val="20"/>
              </w:rPr>
            </w:pPr>
          </w:p>
          <w:p w14:paraId="6567AE6F"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(8) V vsaki javni objavi celotnega letnega poročila ali konsolidiranega letnega poročila morajo biti ta poročila objavljena v obliki in besedilu, na podlagi katerega so bila revidirana. Hkrati mora biti objavljeno revizorjevo poročilo v celotnem besedilu, vključno z utemeljitvijo morebitnega mnenja s pridržkom ali odklonilnega mnenja. Če izkazov ali poročila ni pregledal revizor, je treba v objavi opozoriti na to okoliščino.</w:t>
            </w:r>
          </w:p>
          <w:p w14:paraId="559BCC2A" w14:textId="77777777" w:rsidR="000C08CA" w:rsidRPr="00D94FB4" w:rsidRDefault="000C08CA" w:rsidP="00FE328D">
            <w:pPr>
              <w:pStyle w:val="Neotevilenodstavek"/>
              <w:spacing w:before="0" w:after="0" w:line="240" w:lineRule="auto"/>
              <w:rPr>
                <w:vanish/>
                <w:color w:val="000000" w:themeColor="text1"/>
                <w:sz w:val="20"/>
                <w:szCs w:val="20"/>
              </w:rPr>
            </w:pPr>
          </w:p>
          <w:p w14:paraId="54F43A0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(9) V vsaki objavi povzetka letnega poročila ali konsolidiranega letnega poročila je treba opozoriti, da gre za povzetek. V objavi povzetka mora biti naveden datum predložitve letnega poročila ali konsolidiranega letnega poročila po prvem ali drugem odstavku tega člena ter datum in način javne objave po tretjem odstavku tega člena. Če ta poročila še niso bila predložena po prvem ali drugem odstavku tega člena, je treba na to okoliščino v objavi opozoriti. Objavi povzetka ne sme biti priloženo celotno revizorjevo poročilo, ampak se razkrije samo revizijsko mnenje in sklic na vse morebitne druge zadeve, na katere revizor posebej opozarja, ne da bi se revizijsko mnenje zato spremenilo.. Lahko pa se objavi povzetka priloži revizorjevo poročilo o povzetku.</w:t>
            </w:r>
          </w:p>
          <w:p w14:paraId="3863F9E9" w14:textId="77777777" w:rsidR="000C08CA" w:rsidRPr="00D94FB4" w:rsidRDefault="000C08CA" w:rsidP="00FE328D">
            <w:pPr>
              <w:pStyle w:val="Neotevilenodstavek"/>
              <w:spacing w:before="0" w:after="0" w:line="240" w:lineRule="auto"/>
              <w:rPr>
                <w:vanish/>
                <w:color w:val="000000" w:themeColor="text1"/>
                <w:sz w:val="20"/>
                <w:szCs w:val="20"/>
              </w:rPr>
            </w:pPr>
          </w:p>
          <w:p w14:paraId="6E773CC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(10) Če je revizor v skladu z zakonom, ki ureja revidiranje, zavrnil pripravo mnenja, je treba na to okoliščino pri objavi po sedmem in osmem odstavku tega člena izrecno opozoriti.</w:t>
            </w:r>
          </w:p>
          <w:p w14:paraId="6F639607" w14:textId="77777777" w:rsidR="000C08CA" w:rsidRPr="00D94FB4" w:rsidRDefault="000C08CA" w:rsidP="00FE328D">
            <w:pPr>
              <w:pStyle w:val="Neotevilenodstavek"/>
              <w:spacing w:before="0" w:after="0" w:line="240" w:lineRule="auto"/>
              <w:rPr>
                <w:vanish/>
                <w:color w:val="000000" w:themeColor="text1"/>
                <w:sz w:val="20"/>
                <w:szCs w:val="20"/>
              </w:rPr>
            </w:pPr>
          </w:p>
          <w:p w14:paraId="5A7F6E9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(11) Družbe in podjetniki morajo AJPES za javno objavo po tretjem odstavku tega člena plačati nadomestilo, ki ga določa tarifa AJPES. Ne glede na prejšnji stavek morajo družbe in podjetniki, ki nameravajo prenehati s opravljanjem dejavnosti pred iztekom treh mesecev po koncu poslovnega leta, za javno objavo po tretjem odstavku tega člena hkrati s predložitvijo poročil plačati nadomestilo, ki ga določa tarifa AJPES.</w:t>
            </w:r>
          </w:p>
          <w:p w14:paraId="65C1C3C2" w14:textId="77777777" w:rsidR="000C08CA" w:rsidRPr="00D94FB4" w:rsidRDefault="000C08CA" w:rsidP="00FE328D">
            <w:pPr>
              <w:pStyle w:val="Neotevilenodstavek"/>
              <w:spacing w:before="0" w:after="0" w:line="240" w:lineRule="auto"/>
              <w:rPr>
                <w:vanish/>
                <w:color w:val="000000" w:themeColor="text1"/>
                <w:sz w:val="20"/>
                <w:szCs w:val="20"/>
              </w:rPr>
            </w:pPr>
          </w:p>
          <w:p w14:paraId="557FD8D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(12) Tarifo, s katero določi nadomestila iz šestega in desetega odstavka tega člena, sprejme AJPES, v soglasju z ministroma, pristojnima za gospodarstvo in za pravosodje. Nadomestila ne smejo biti višja od dejanskih stroškov, povezanih z zajemanjem poročil v informatizirani obliki in vzdrževanjem spletnih strani, namenjenih javni objavi letnih poročil ali stroškov, povezanih z izdelavo kopij poročil.</w:t>
            </w:r>
          </w:p>
          <w:p w14:paraId="24ADC6FC" w14:textId="77777777" w:rsidR="000C08CA" w:rsidRPr="00D94FB4" w:rsidRDefault="000C08CA" w:rsidP="00FE328D">
            <w:pPr>
              <w:pStyle w:val="Neotevilenodstavek"/>
              <w:spacing w:before="0" w:after="0" w:line="240" w:lineRule="auto"/>
              <w:rPr>
                <w:vanish/>
                <w:color w:val="000000" w:themeColor="text1"/>
                <w:sz w:val="20"/>
                <w:szCs w:val="20"/>
              </w:rPr>
            </w:pPr>
          </w:p>
          <w:p w14:paraId="39B76B18"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(13) Ministra, pristojna za gospodarstvo in za pravosodje, po predhodnem mnenju AJPES predpišeta podrobnejša pravila o:</w:t>
            </w:r>
          </w:p>
          <w:p w14:paraId="4C943E60" w14:textId="77777777" w:rsidR="000C08CA" w:rsidRPr="00D94FB4" w:rsidRDefault="000C08CA" w:rsidP="00FE328D">
            <w:pPr>
              <w:pStyle w:val="Neotevilenodstavek"/>
              <w:numPr>
                <w:ilvl w:val="0"/>
                <w:numId w:val="54"/>
              </w:numPr>
              <w:spacing w:before="0" w:after="0" w:line="240" w:lineRule="auto"/>
              <w:rPr>
                <w:vanish/>
                <w:color w:val="000000" w:themeColor="text1"/>
                <w:sz w:val="20"/>
                <w:szCs w:val="20"/>
              </w:rPr>
            </w:pPr>
            <w:r w:rsidRPr="00D94FB4">
              <w:rPr>
                <w:vanish/>
                <w:color w:val="000000" w:themeColor="text1"/>
                <w:sz w:val="20"/>
                <w:szCs w:val="20"/>
              </w:rPr>
              <w:t>načinu predložitve poročil po prvem ali drugem odstavku tega člena;</w:t>
            </w:r>
          </w:p>
          <w:p w14:paraId="6E29CDBA" w14:textId="77777777" w:rsidR="000C08CA" w:rsidRPr="00D94FB4" w:rsidRDefault="000C08CA" w:rsidP="00FE328D">
            <w:pPr>
              <w:pStyle w:val="Neotevilenodstavek"/>
              <w:numPr>
                <w:ilvl w:val="0"/>
                <w:numId w:val="54"/>
              </w:numPr>
              <w:spacing w:before="0" w:after="0" w:line="240" w:lineRule="auto"/>
              <w:rPr>
                <w:vanish/>
                <w:color w:val="000000" w:themeColor="text1"/>
                <w:sz w:val="20"/>
                <w:szCs w:val="20"/>
              </w:rPr>
            </w:pPr>
            <w:r w:rsidRPr="00D94FB4">
              <w:rPr>
                <w:vanish/>
                <w:color w:val="000000" w:themeColor="text1"/>
                <w:sz w:val="20"/>
                <w:szCs w:val="20"/>
              </w:rPr>
              <w:t>načinu javne objave po tretjem odstavku tega člena ter o zasnovi spletnih strani iz tretjega odstavka tega člena.</w:t>
            </w:r>
          </w:p>
          <w:p w14:paraId="54C64524" w14:textId="77777777" w:rsidR="000C08CA" w:rsidRPr="00D94FB4" w:rsidRDefault="000C08CA" w:rsidP="00FE328D">
            <w:pPr>
              <w:pStyle w:val="Neotevilenodstavek"/>
              <w:numPr>
                <w:ilvl w:val="0"/>
                <w:numId w:val="54"/>
              </w:numPr>
              <w:spacing w:before="0" w:after="0" w:line="240" w:lineRule="auto"/>
              <w:rPr>
                <w:vanish/>
                <w:color w:val="000000" w:themeColor="text1"/>
                <w:sz w:val="20"/>
                <w:szCs w:val="20"/>
              </w:rPr>
            </w:pPr>
            <w:r w:rsidRPr="00D94FB4">
              <w:rPr>
                <w:vanish/>
                <w:color w:val="000000" w:themeColor="text1"/>
                <w:sz w:val="20"/>
                <w:szCs w:val="20"/>
              </w:rPr>
              <w:t>(prenehala veljati).</w:t>
            </w:r>
          </w:p>
          <w:p w14:paraId="5557578F" w14:textId="77777777" w:rsidR="000C08CA" w:rsidRPr="00D94FB4" w:rsidRDefault="000C08CA" w:rsidP="00FE328D">
            <w:pPr>
              <w:pStyle w:val="Neotevilenodstavek"/>
              <w:spacing w:before="0" w:after="0" w:line="240" w:lineRule="auto"/>
              <w:rPr>
                <w:vanish/>
                <w:color w:val="000000" w:themeColor="text1"/>
                <w:sz w:val="20"/>
                <w:szCs w:val="20"/>
              </w:rPr>
            </w:pPr>
          </w:p>
          <w:p w14:paraId="12C6EED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(14) Bilanco stanja in izkaz poslovnega izida iz petega odstavka 54. člena tega zakona ter zaključno poročilo iz 68. člena tega zakona je treba predložiti AJPES v rokih, ki jih za njihovo predložitev določa zakon, ki ureja davčni postopek. AJPES prejete dokumente informatizira in brezplačno javno objavi na svojih spletnih straneh tako, da navede tudi razlog njihove sestave.</w:t>
            </w:r>
          </w:p>
          <w:p w14:paraId="74C5FC3B" w14:textId="77777777" w:rsidR="000C08CA" w:rsidRPr="00D94FB4" w:rsidRDefault="000C08CA" w:rsidP="00FE328D">
            <w:pPr>
              <w:pStyle w:val="Neotevilenodstavek"/>
              <w:spacing w:before="0" w:after="0" w:line="240" w:lineRule="auto"/>
              <w:rPr>
                <w:vanish/>
                <w:color w:val="000000" w:themeColor="text1"/>
                <w:sz w:val="20"/>
                <w:szCs w:val="20"/>
              </w:rPr>
            </w:pPr>
          </w:p>
          <w:p w14:paraId="6A6A57DF"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59. člen</w:t>
            </w:r>
          </w:p>
          <w:p w14:paraId="0CB9EA58"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(pošiljanje podatkov iz letnih poročil)</w:t>
            </w:r>
          </w:p>
          <w:p w14:paraId="535FEDC3" w14:textId="77777777" w:rsidR="000C08CA" w:rsidRPr="00D94FB4" w:rsidRDefault="000C08CA" w:rsidP="00FE328D">
            <w:pPr>
              <w:pStyle w:val="Neotevilenodstavek"/>
              <w:spacing w:before="0" w:after="0" w:line="240" w:lineRule="auto"/>
              <w:rPr>
                <w:vanish/>
                <w:color w:val="000000" w:themeColor="text1"/>
                <w:sz w:val="20"/>
                <w:szCs w:val="20"/>
              </w:rPr>
            </w:pPr>
          </w:p>
          <w:p w14:paraId="223129BC"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Družbe in podjetniki, razen podjetnikov, ki so po določbah o obdavčitvi dohodkov iz dejavnosti zakona, ki ureja dohodnino, obdavčeni na podlagi ugotovljenega dobička z upoštevanjem normiranih odhodkov, morajo v treh mesecih po koncu koledarskega leta poslati AJPES podatke iz letnih poročil o svojem premoženjskem in finančnem poslovanju ter poslovnem izidu za državno statistiko ter druge evidenčne, analitsko-informativne, raziskovalne in davčne namene.</w:t>
            </w:r>
          </w:p>
          <w:p w14:paraId="531AC73F" w14:textId="77777777" w:rsidR="000C08CA" w:rsidRPr="00D94FB4" w:rsidRDefault="000C08CA" w:rsidP="00FE328D">
            <w:pPr>
              <w:pStyle w:val="Neotevilenodstavek"/>
              <w:spacing w:before="0" w:after="0" w:line="240" w:lineRule="auto"/>
              <w:rPr>
                <w:vanish/>
                <w:color w:val="000000" w:themeColor="text1"/>
                <w:sz w:val="20"/>
                <w:szCs w:val="20"/>
              </w:rPr>
            </w:pPr>
          </w:p>
          <w:p w14:paraId="455A8D55"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Družbe in podjetniki iz drugega odstavka prejšnjega člena, katerih poslovno leto je enako koledarskemu letu, lahko izpolnijo obveznost iz drugega odstavka prejšnjega člena tako, da ob predložitvi podatkov v skladu s prejšnjim odstavkom navedejo, naj se podatki iz letnega poročila uporabijo tudi za javno objavo.</w:t>
            </w:r>
          </w:p>
          <w:p w14:paraId="3DECE0BA" w14:textId="77777777" w:rsidR="000C08CA" w:rsidRPr="00D94FB4" w:rsidRDefault="000C08CA" w:rsidP="00FE328D">
            <w:pPr>
              <w:pStyle w:val="Neotevilenodstavek"/>
              <w:spacing w:before="0" w:after="0" w:line="240" w:lineRule="auto"/>
              <w:rPr>
                <w:vanish/>
                <w:color w:val="000000" w:themeColor="text1"/>
                <w:sz w:val="20"/>
                <w:szCs w:val="20"/>
              </w:rPr>
            </w:pPr>
          </w:p>
          <w:p w14:paraId="43761A2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Družbe in podjetniki iz petega odstavka 54. člena tega zakona ter družbe iz 68. člena tega zakona morajo predložiti podatke iz bilance stanja in izkaza poslovnega izida oziroma zaključnega poročila AJPES v elektronski obliki zaradi nadaljnje obdelave podatkov za državno statistiko ter druge evidenčne, analitsko-informativne, raziskovalne in davčne namene. Družbe in podjetniki iz petega odstavka 54. člena tega zakona lahko ob predložitvi podatkov iz bilance stanja in izkaza poslovnega izida izpolnijo svojo obveznost iz štirinajstega odstavka prejšnjega člena tako, da ob predložitvi podatkov iz tega odstavka navedejo, naj se podatki uporabijo tudi za javno objavo.</w:t>
            </w:r>
          </w:p>
          <w:p w14:paraId="24D66186" w14:textId="77777777" w:rsidR="000C08CA" w:rsidRPr="00D94FB4" w:rsidRDefault="000C08CA" w:rsidP="00FE328D">
            <w:pPr>
              <w:pStyle w:val="Neotevilenodstavek"/>
              <w:spacing w:before="0" w:after="0" w:line="240" w:lineRule="auto"/>
              <w:rPr>
                <w:vanish/>
                <w:color w:val="000000" w:themeColor="text1"/>
                <w:sz w:val="20"/>
                <w:szCs w:val="20"/>
              </w:rPr>
            </w:pPr>
          </w:p>
          <w:p w14:paraId="4F68283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AJPES lahko podatke iz letnih poročil o premoženjskem in finančnem položaju ter poslovnem izidu družb in podjetnikov uporabi samo za izdelavo uskupinjenih informacij o gospodarskih gibanjih. Podatkov o posamezni družbi ali podjetniku ne sme dati drugim osebam ali jih javno objavljati. Ne glede na prejšnji stavek mora AJPES ministrstvu, pristojnemu za finance ali gospodarstvo, na njegovo zahtevo poslati podatke o posamezni družbi ali podjetniku.</w:t>
            </w:r>
          </w:p>
          <w:p w14:paraId="69DBE4AD" w14:textId="77777777" w:rsidR="000C08CA" w:rsidRPr="00D94FB4" w:rsidRDefault="000C08CA" w:rsidP="00FE328D">
            <w:pPr>
              <w:pStyle w:val="Neotevilenodstavek"/>
              <w:spacing w:before="0" w:after="0" w:line="240" w:lineRule="auto"/>
              <w:rPr>
                <w:vanish/>
                <w:color w:val="000000" w:themeColor="text1"/>
                <w:sz w:val="20"/>
                <w:szCs w:val="20"/>
              </w:rPr>
            </w:pPr>
          </w:p>
          <w:p w14:paraId="33E0B61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AJPES mora podatke, ki so po zakonu, ki ureja davčni postopek, del davčnega obračuna, avtomatično posredovati Finančni upravi Republike Slovenije v roku in na način, ki ga predpiše minister, pristojen za finance. Šteje se, da so s tem družbe in podjetniki oddali del davčnega obračuna.</w:t>
            </w:r>
          </w:p>
          <w:p w14:paraId="4EB73447" w14:textId="77777777" w:rsidR="000C08CA" w:rsidRPr="00D94FB4" w:rsidRDefault="000C08CA" w:rsidP="00FE328D">
            <w:pPr>
              <w:pStyle w:val="Neotevilenodstavek"/>
              <w:spacing w:before="0" w:after="0" w:line="240" w:lineRule="auto"/>
              <w:rPr>
                <w:vanish/>
                <w:color w:val="000000" w:themeColor="text1"/>
                <w:sz w:val="20"/>
                <w:szCs w:val="20"/>
              </w:rPr>
            </w:pPr>
          </w:p>
          <w:p w14:paraId="655D550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Ne glede na četrti odstavek tega člena mora AJPES podatke iz prvega in tretjega odstavka tega člena poslati v ustrezni elektronski obliki državnim organom in pravnim osebam, ki so z zakonom pooblaščene za pridobivanje in uporabo teh podatkov za evidenčne, analitsko-informativne, raziskovalne in davčne namene. Državnim organom, Banki Slovenije in članom Ekonomsko-socialnega sveta mora te podatke dati brezplačno, pravnim osebam pa za plačilo dejanskih stroškov obdelave ali dajanja podatkov.</w:t>
            </w:r>
          </w:p>
          <w:p w14:paraId="48946B40" w14:textId="77777777" w:rsidR="000C08CA" w:rsidRPr="00D94FB4" w:rsidRDefault="000C08CA" w:rsidP="00FE328D">
            <w:pPr>
              <w:pStyle w:val="Neotevilenodstavek"/>
              <w:spacing w:before="0" w:after="0" w:line="240" w:lineRule="auto"/>
              <w:rPr>
                <w:vanish/>
                <w:color w:val="000000" w:themeColor="text1"/>
                <w:sz w:val="20"/>
                <w:szCs w:val="20"/>
              </w:rPr>
            </w:pPr>
          </w:p>
          <w:p w14:paraId="00E3517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Družbe iz prvega in sedmega odstavka 57. člena tega zakona morajo hkrati s predložitvijo revidiranega letnega poročila oziroma preiskanih letnih računovodskih izkazov v spletni aplikaciji AJPES potrditi pravilnost podatkov, predloženih po tem členu, ali popraviti tiste podatke, ki so se spremenili po opravljeni reviziji oziroma preiskavi letnih računovodskih izkazov.</w:t>
            </w:r>
          </w:p>
          <w:p w14:paraId="2BB811B3" w14:textId="77777777" w:rsidR="000C08CA" w:rsidRPr="00D94FB4" w:rsidRDefault="000C08CA" w:rsidP="00FE328D">
            <w:pPr>
              <w:pStyle w:val="Neotevilenodstavek"/>
              <w:spacing w:before="0" w:after="0" w:line="240" w:lineRule="auto"/>
              <w:rPr>
                <w:vanish/>
                <w:color w:val="000000" w:themeColor="text1"/>
                <w:sz w:val="20"/>
                <w:szCs w:val="20"/>
              </w:rPr>
            </w:pPr>
          </w:p>
          <w:p w14:paraId="4F8BDBF7"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60.a člen</w:t>
            </w:r>
          </w:p>
          <w:p w14:paraId="43827333"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(obveznost zagotavljanja sestave in objave letnih poročil)</w:t>
            </w:r>
          </w:p>
          <w:p w14:paraId="7E8A5339" w14:textId="77777777" w:rsidR="000C08CA" w:rsidRPr="00D94FB4" w:rsidRDefault="000C08CA" w:rsidP="00FE328D">
            <w:pPr>
              <w:pStyle w:val="Neotevilenodstavek"/>
              <w:spacing w:before="0" w:after="0" w:line="240" w:lineRule="auto"/>
              <w:rPr>
                <w:vanish/>
                <w:color w:val="000000" w:themeColor="text1"/>
                <w:sz w:val="20"/>
                <w:szCs w:val="20"/>
              </w:rPr>
            </w:pPr>
          </w:p>
          <w:p w14:paraId="1BA7C0E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Člani organov vodenja in nadzora družbe morajo skupno zagotavljati, da so letna poročila z vsemi sestavnimi deli, vključno z izjavo o upravljanju družbe in izjavo o nefinančnem poslovanju, sestavljena in objavljena v skladu s tem zakonom, slovenskimi računovodskimi standardi ali mednarodnimi standardi računovodskega poročanja. Pri tem ravnajo v skladu s pristojnostmi, skrbnostjo in odgovornostmi, kakor jih za posamezno obliko družbe določa ta zakon.</w:t>
            </w:r>
          </w:p>
          <w:p w14:paraId="0D9FEF88" w14:textId="77777777" w:rsidR="000C08CA" w:rsidRPr="00D94FB4" w:rsidRDefault="000C08CA" w:rsidP="00FE328D">
            <w:pPr>
              <w:pStyle w:val="Neotevilenodstavek"/>
              <w:spacing w:before="0" w:after="0" w:line="240" w:lineRule="auto"/>
              <w:rPr>
                <w:vanish/>
                <w:color w:val="000000" w:themeColor="text1"/>
                <w:sz w:val="20"/>
                <w:szCs w:val="20"/>
              </w:rPr>
            </w:pPr>
          </w:p>
          <w:p w14:paraId="4BB4DBD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Letno poročilo in njegove sestavne dele morajo podpisati vsi člani poslovodstva družbe.</w:t>
            </w:r>
          </w:p>
          <w:p w14:paraId="7461CF98" w14:textId="77777777" w:rsidR="000C08CA" w:rsidRPr="00D94FB4" w:rsidRDefault="000C08CA" w:rsidP="00FE328D">
            <w:pPr>
              <w:pStyle w:val="Neotevilenodstavek"/>
              <w:spacing w:before="0" w:after="0" w:line="240" w:lineRule="auto"/>
              <w:rPr>
                <w:vanish/>
                <w:color w:val="000000" w:themeColor="text1"/>
                <w:sz w:val="20"/>
                <w:szCs w:val="20"/>
              </w:rPr>
            </w:pPr>
          </w:p>
          <w:p w14:paraId="6765DEEC" w14:textId="77777777" w:rsidR="000C08CA" w:rsidRPr="00D94FB4" w:rsidRDefault="000C08CA" w:rsidP="00FE328D">
            <w:pPr>
              <w:pStyle w:val="Neotevilenodstavek"/>
              <w:spacing w:line="240" w:lineRule="auto"/>
              <w:jc w:val="center"/>
              <w:rPr>
                <w:b/>
                <w:bCs/>
                <w:vanish/>
                <w:color w:val="000000" w:themeColor="text1"/>
                <w:sz w:val="20"/>
                <w:szCs w:val="20"/>
              </w:rPr>
            </w:pPr>
            <w:r w:rsidRPr="00D94FB4">
              <w:rPr>
                <w:b/>
                <w:bCs/>
                <w:vanish/>
                <w:color w:val="000000" w:themeColor="text1"/>
                <w:sz w:val="20"/>
                <w:szCs w:val="20"/>
              </w:rPr>
              <w:t>61. člen</w:t>
            </w:r>
          </w:p>
          <w:p w14:paraId="4A25E25E" w14:textId="77777777" w:rsidR="000C08CA" w:rsidRPr="00D94FB4" w:rsidRDefault="000C08CA" w:rsidP="00FE328D">
            <w:pPr>
              <w:pStyle w:val="Neotevilenodstavek"/>
              <w:spacing w:line="240" w:lineRule="auto"/>
              <w:jc w:val="center"/>
              <w:rPr>
                <w:b/>
                <w:bCs/>
                <w:vanish/>
                <w:color w:val="000000" w:themeColor="text1"/>
                <w:sz w:val="20"/>
                <w:szCs w:val="20"/>
              </w:rPr>
            </w:pPr>
            <w:r w:rsidRPr="00D94FB4">
              <w:rPr>
                <w:b/>
                <w:bCs/>
                <w:vanish/>
                <w:color w:val="000000" w:themeColor="text1"/>
                <w:sz w:val="20"/>
                <w:szCs w:val="20"/>
              </w:rPr>
              <w:t>(splošno pravilo)</w:t>
            </w:r>
          </w:p>
          <w:p w14:paraId="2A6A19CD" w14:textId="77777777" w:rsidR="000C08CA" w:rsidRPr="00D94FB4" w:rsidRDefault="000C08CA" w:rsidP="00FE328D">
            <w:pPr>
              <w:pStyle w:val="Neotevilenodstavek"/>
              <w:spacing w:line="240" w:lineRule="auto"/>
              <w:rPr>
                <w:vanish/>
                <w:color w:val="000000" w:themeColor="text1"/>
                <w:sz w:val="20"/>
                <w:szCs w:val="20"/>
              </w:rPr>
            </w:pPr>
          </w:p>
          <w:p w14:paraId="436C854B" w14:textId="77777777" w:rsidR="000C08CA" w:rsidRPr="00D94FB4" w:rsidRDefault="000C08CA" w:rsidP="00FE328D">
            <w:pPr>
              <w:pStyle w:val="Neotevilenodstavek"/>
              <w:spacing w:line="240" w:lineRule="auto"/>
              <w:rPr>
                <w:vanish/>
                <w:color w:val="000000" w:themeColor="text1"/>
                <w:sz w:val="20"/>
                <w:szCs w:val="20"/>
              </w:rPr>
            </w:pPr>
            <w:r w:rsidRPr="00D94FB4">
              <w:rPr>
                <w:vanish/>
                <w:color w:val="000000" w:themeColor="text1"/>
                <w:sz w:val="20"/>
                <w:szCs w:val="20"/>
              </w:rPr>
              <w:t>(1) Letno poročilo mora biti sestavljeno jasno in pregledno. Izkazovati mora resničen in pošten prikaz premoženja in obveznosti družbe, njenega finančnega položaja ter poslovnega izida.</w:t>
            </w:r>
          </w:p>
          <w:p w14:paraId="35427473" w14:textId="77777777" w:rsidR="000C08CA" w:rsidRPr="00D94FB4" w:rsidRDefault="000C08CA" w:rsidP="00FE328D">
            <w:pPr>
              <w:pStyle w:val="Neotevilenodstavek"/>
              <w:spacing w:line="240" w:lineRule="auto"/>
              <w:rPr>
                <w:vanish/>
                <w:color w:val="000000" w:themeColor="text1"/>
                <w:sz w:val="20"/>
                <w:szCs w:val="20"/>
              </w:rPr>
            </w:pPr>
          </w:p>
          <w:p w14:paraId="517A3053" w14:textId="77777777" w:rsidR="000C08CA" w:rsidRPr="00D94FB4" w:rsidRDefault="000C08CA" w:rsidP="00FE328D">
            <w:pPr>
              <w:pStyle w:val="Neotevilenodstavek"/>
              <w:spacing w:line="240" w:lineRule="auto"/>
              <w:rPr>
                <w:vanish/>
                <w:color w:val="000000" w:themeColor="text1"/>
                <w:sz w:val="20"/>
                <w:szCs w:val="20"/>
              </w:rPr>
            </w:pPr>
            <w:r w:rsidRPr="00D94FB4">
              <w:rPr>
                <w:vanish/>
                <w:color w:val="000000" w:themeColor="text1"/>
                <w:sz w:val="20"/>
                <w:szCs w:val="20"/>
              </w:rPr>
              <w:t>(2) Če uporaba določb 62. do 70. člena tega zakona in slovenskih računovodskih standardov ali mednarodnih standardov računovodskega poročanja ne zadošča za resničen in pošten prikaz iz prejšnjega odstavka, mora priloga k izkazom vsebovati ustrezna pojasnila.</w:t>
            </w:r>
          </w:p>
          <w:p w14:paraId="579CC41B" w14:textId="77777777" w:rsidR="000C08CA" w:rsidRPr="00D94FB4" w:rsidRDefault="000C08CA" w:rsidP="00FE328D">
            <w:pPr>
              <w:pStyle w:val="Neotevilenodstavek"/>
              <w:spacing w:before="0" w:after="0" w:line="240" w:lineRule="auto"/>
              <w:rPr>
                <w:vanish/>
                <w:color w:val="000000" w:themeColor="text1"/>
                <w:sz w:val="20"/>
                <w:szCs w:val="20"/>
              </w:rPr>
            </w:pPr>
          </w:p>
          <w:p w14:paraId="341C257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Če v izjemnih primerih zaradi uporabe posameznih določb 62. do 70. člena tega zakona ni mogoče izpolniti obveznosti iz prvega odstavka tega člena, se taka določba ne sme uporabiti, če se z opustitvijo njene uporabe doseže resničen in pošten prikaz iz prvega odstavka tega člena. V takem primeru je treba v prilogi k izkazom pojasniti razloge za opustitev uporabe posamezne določbe in opisati, kakšne učinke bi imela uporaba take določbe na prikaz premoženja in obveznosti družbe, njenega finančnega položaja ter poslovnega izida.</w:t>
            </w:r>
          </w:p>
          <w:p w14:paraId="36D6F28B" w14:textId="77777777" w:rsidR="000C08CA" w:rsidRPr="00D94FB4" w:rsidRDefault="000C08CA" w:rsidP="00FE328D">
            <w:pPr>
              <w:pStyle w:val="Neotevilenodstavek"/>
              <w:spacing w:before="0" w:after="0" w:line="240" w:lineRule="auto"/>
              <w:rPr>
                <w:vanish/>
                <w:color w:val="000000" w:themeColor="text1"/>
                <w:sz w:val="20"/>
                <w:szCs w:val="20"/>
              </w:rPr>
            </w:pPr>
          </w:p>
          <w:p w14:paraId="6F2398EF"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70. člen</w:t>
            </w:r>
          </w:p>
          <w:p w14:paraId="43AEEBE1"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(poslovno poročilo)</w:t>
            </w:r>
          </w:p>
          <w:p w14:paraId="289BF5AD" w14:textId="77777777" w:rsidR="000C08CA" w:rsidRPr="00D94FB4" w:rsidRDefault="000C08CA" w:rsidP="00FE328D">
            <w:pPr>
              <w:pStyle w:val="Neotevilenodstavek"/>
              <w:spacing w:before="0" w:after="0" w:line="240" w:lineRule="auto"/>
              <w:rPr>
                <w:vanish/>
                <w:color w:val="000000" w:themeColor="text1"/>
                <w:sz w:val="20"/>
                <w:szCs w:val="20"/>
              </w:rPr>
            </w:pPr>
          </w:p>
          <w:p w14:paraId="022CA6A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Poslovno poročilo mora vsebovati vsaj pošten prikaz razvoja in izidov poslovanja družbe ter njenega finančnega položaja, vključno z opisom bistvenih tveganj in negotovosti, ki jim je družba izpostavljena.</w:t>
            </w:r>
          </w:p>
          <w:p w14:paraId="0601D5A5" w14:textId="77777777" w:rsidR="000C08CA" w:rsidRPr="00D94FB4" w:rsidRDefault="000C08CA" w:rsidP="00FE328D">
            <w:pPr>
              <w:pStyle w:val="Neotevilenodstavek"/>
              <w:spacing w:before="0" w:after="0" w:line="240" w:lineRule="auto"/>
              <w:rPr>
                <w:vanish/>
                <w:color w:val="000000" w:themeColor="text1"/>
                <w:sz w:val="20"/>
                <w:szCs w:val="20"/>
              </w:rPr>
            </w:pPr>
          </w:p>
          <w:p w14:paraId="0F6DDC4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Pošten prikaz mora biti uravnotežena in celovita analiza razvoja in izidov poslovanja družbe ter njenega finančnega položaja, ki ustreza obsegu in vsestranskosti njenega poslovanja. Analiza mora v obsegu, ki je potreben za razumevanje razvoja in izidov poslovanja družbe ter njenega finančnega položaja, vsebovati ključne računovodske, finančne, in če je to potrebno, druge kazalce, kazalnike in druge pokazatelje, ki vključujejo tudi informacije, povezane z varstvom okolja in delavci. Analiza vključuje ustrezno sklicevanje na zneske v računovodskih izkazih in potrebna dodatna pojasnila.</w:t>
            </w:r>
          </w:p>
          <w:p w14:paraId="04A88F9D" w14:textId="77777777" w:rsidR="000C08CA" w:rsidRPr="00D94FB4" w:rsidRDefault="000C08CA" w:rsidP="00FE328D">
            <w:pPr>
              <w:pStyle w:val="Neotevilenodstavek"/>
              <w:spacing w:before="0" w:after="0" w:line="240" w:lineRule="auto"/>
              <w:rPr>
                <w:vanish/>
                <w:color w:val="000000" w:themeColor="text1"/>
                <w:sz w:val="20"/>
                <w:szCs w:val="20"/>
              </w:rPr>
            </w:pPr>
          </w:p>
          <w:p w14:paraId="519A3FF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V poslovnem poročilu morajo biti prikazani tudi:</w:t>
            </w:r>
          </w:p>
          <w:p w14:paraId="25955C63"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vsi pomembnejši poslovni dogodki, ki so nastopili po koncu poslovnega leta;</w:t>
            </w:r>
          </w:p>
          <w:p w14:paraId="6E05F5D0"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pričakovani razvoj družbe;</w:t>
            </w:r>
          </w:p>
          <w:p w14:paraId="75B42113"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aktivnosti družbe na področju raziskav in razvoja,</w:t>
            </w:r>
          </w:p>
          <w:p w14:paraId="1A65C121"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obstoj podružnic družbe.</w:t>
            </w:r>
          </w:p>
          <w:p w14:paraId="4CAEBFC4" w14:textId="77777777" w:rsidR="000C08CA" w:rsidRPr="00D94FB4" w:rsidRDefault="000C08CA" w:rsidP="00FE328D">
            <w:pPr>
              <w:pStyle w:val="Neotevilenodstavek"/>
              <w:spacing w:before="0" w:after="0" w:line="240" w:lineRule="auto"/>
              <w:rPr>
                <w:vanish/>
                <w:color w:val="000000" w:themeColor="text1"/>
                <w:sz w:val="20"/>
                <w:szCs w:val="20"/>
              </w:rPr>
            </w:pPr>
          </w:p>
          <w:p w14:paraId="66FFA58E"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Če je to pomembno za presojo premoženja in obveznosti družbe, njenega finančnega položaja ter poslovnega izida, morajo biti v poslovnem poročilu prikazani tudi cilji in ukrepi upravljanja finančnih tveganj družbe, vključno z ukrepi za zavarovanje vseh najpomembnejših vrst načrtovanih transakcij, za katere se posli zavarovanja računovodsko posebej prikazujejo, ter izpostavljenost družbe cenovnim, kreditnim, likvidnostnim tveganjem in tveganjem v zvezi z denarnim tokom.</w:t>
            </w:r>
          </w:p>
          <w:p w14:paraId="787F333E" w14:textId="77777777" w:rsidR="000C08CA" w:rsidRPr="00D94FB4" w:rsidRDefault="000C08CA" w:rsidP="00FE328D">
            <w:pPr>
              <w:pStyle w:val="Neotevilenodstavek"/>
              <w:spacing w:before="0" w:after="0" w:line="240" w:lineRule="auto"/>
              <w:rPr>
                <w:vanish/>
                <w:color w:val="000000" w:themeColor="text1"/>
                <w:sz w:val="20"/>
                <w:szCs w:val="20"/>
              </w:rPr>
            </w:pPr>
          </w:p>
          <w:p w14:paraId="42DDB8A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Družbe, ki so zavezane k reviziji, vključijo v svoje poslovno poročilo izjavo o upravljanju družbe. Izjava se vključi kot poseben oddelek poslovnega poročila in vsebuje vsaj naslednje:</w:t>
            </w:r>
          </w:p>
          <w:p w14:paraId="4F00A991"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sklicevanje na:</w:t>
            </w:r>
          </w:p>
          <w:p w14:paraId="6775F88A"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kodeks o upravljanju, ki velja za družbo, z navedbo podatka o javni dostopnosti besedila kodeksa,</w:t>
            </w:r>
          </w:p>
          <w:p w14:paraId="33CCB04F"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kodeks o upravljanju, ki ga je družba prostovoljno sklenila uporabljati, z navedbo podatka o javni dostopnosti besedila kodeksa in</w:t>
            </w:r>
          </w:p>
          <w:p w14:paraId="4E9488EF" w14:textId="77777777" w:rsidR="000C08CA" w:rsidRPr="00D94FB4" w:rsidRDefault="000C08CA" w:rsidP="00FE328D">
            <w:pPr>
              <w:pStyle w:val="Neotevilenodstavek"/>
              <w:numPr>
                <w:ilvl w:val="0"/>
                <w:numId w:val="52"/>
              </w:numPr>
              <w:spacing w:before="0" w:after="0" w:line="240" w:lineRule="auto"/>
              <w:rPr>
                <w:vanish/>
                <w:color w:val="000000" w:themeColor="text1"/>
                <w:sz w:val="20"/>
                <w:szCs w:val="20"/>
              </w:rPr>
            </w:pPr>
            <w:r w:rsidRPr="00D94FB4">
              <w:rPr>
                <w:vanish/>
                <w:color w:val="000000" w:themeColor="text1"/>
                <w:sz w:val="20"/>
                <w:szCs w:val="20"/>
              </w:rPr>
              <w:t>vse ustrezne podatke o upravljanju, ki presega zahteve tega zakona, z navedbo, kje je njena praksa upravljanja javno dostopna;</w:t>
            </w:r>
          </w:p>
          <w:p w14:paraId="3356288B"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podatke o obsegu odstopanja od kodeksov o upravljanju po prvi in drugi alineji prejšnje točke. Pri tem je treba razložiti, katerih delov kodeksa o upravljanju družba ne upošteva in o razlogih za to. Če družba ne uporablja nobene določbe kodeksov o upravljanju, je treba pojasniti razloge za neuporabo;</w:t>
            </w:r>
          </w:p>
          <w:p w14:paraId="0B5E2FAC"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opis glavnih značilnosti sistemov notranjih kontrol in upravljanja tveganj v družbi v povezavi s postopkom računovodskega poročanja;</w:t>
            </w:r>
          </w:p>
          <w:p w14:paraId="37577E6D"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podatke iz 3., 4., 6., 8. in 9. točke šestega odstavka tega člena;</w:t>
            </w:r>
          </w:p>
          <w:p w14:paraId="3299E421"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podatke o delovanju skupščine družbe in njenih ključnih pristojnostih ter opis pravic delničarjev in načinu njihovega uveljavljanja;</w:t>
            </w:r>
          </w:p>
          <w:p w14:paraId="54D1993C"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podatke o sestavi in delovanju organov vodenja ali nadzora ter njihovih komisij;</w:t>
            </w:r>
          </w:p>
          <w:p w14:paraId="07F06512" w14:textId="77777777" w:rsidR="000C08CA" w:rsidRPr="00D94FB4" w:rsidRDefault="000C08CA" w:rsidP="00FE328D">
            <w:pPr>
              <w:pStyle w:val="Neotevilenodstavek"/>
              <w:numPr>
                <w:ilvl w:val="0"/>
                <w:numId w:val="55"/>
              </w:numPr>
              <w:spacing w:before="0" w:after="0" w:line="240" w:lineRule="auto"/>
              <w:rPr>
                <w:vanish/>
                <w:color w:val="000000" w:themeColor="text1"/>
                <w:sz w:val="20"/>
                <w:szCs w:val="20"/>
              </w:rPr>
            </w:pPr>
            <w:r w:rsidRPr="00D94FB4">
              <w:rPr>
                <w:vanish/>
                <w:color w:val="000000" w:themeColor="text1"/>
                <w:sz w:val="20"/>
                <w:szCs w:val="20"/>
              </w:rPr>
              <w:t>opis politike raznolikosti, ki se izvaja v zvezi z zastopanostjo v organih vodenja ali nadzora družbe z vidika spola in drugih vidikov, kot so na primer starost ali izobrazba in poklicne izkušnje, in navedba ciljev, načina izvajanja ter doseženih rezultatov politike raznolikosti v obdobju poročanja. Opis politike raznolikosti z vidika spola vsebuje navedbo razmerja obeh spolov v organih vodenja ali nadzora družbe, ki je primerno za družbo glede na njeno velikost, cilje, ki jim družba sledi, in vpliv na postopke izbire članov organov vodenja ali nadzora družbe ter druge postopke v družbi. Če se politika raznolikosti v družbi ne izvaja, se v izjavi o upravljanju to obrazloži. Obrazložitev vsebuje navedbo, kdaj in kako bo družba oblikovala politiko raznolikosti.</w:t>
            </w:r>
          </w:p>
          <w:p w14:paraId="2C6227F3" w14:textId="77777777" w:rsidR="000C08CA" w:rsidRPr="00D94FB4" w:rsidRDefault="000C08CA" w:rsidP="00FE328D">
            <w:pPr>
              <w:pStyle w:val="Neotevilenodstavek"/>
              <w:spacing w:before="0" w:after="0" w:line="240" w:lineRule="auto"/>
              <w:rPr>
                <w:vanish/>
                <w:color w:val="000000" w:themeColor="text1"/>
                <w:sz w:val="20"/>
                <w:szCs w:val="20"/>
              </w:rPr>
            </w:pPr>
          </w:p>
          <w:p w14:paraId="4CA368E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Izjavo o upravljanju lahko družba objavi kot ločeno poročilo, skupaj z letnim poročilom. V tem primeru mora biti v poslovnem poročilu navedeno, kje v elektronskem mediju družbe je dostopno besedilo izjave o upravljanju. Če se pripravi ločeno poročilo, lahko izjava o upravljanju vsebuje sklicevanje na poslovno poročilo, v katerem so na voljo zahtevani podatki iz 4. točke tega odstavka. Majhnim in srednjim družbam v izjavo o upravljanju ni potrebno vključiti podatkov iz 7. točke tega odstavka.</w:t>
            </w:r>
          </w:p>
          <w:p w14:paraId="33FC0E4E" w14:textId="77777777" w:rsidR="000C08CA" w:rsidRPr="00D94FB4" w:rsidRDefault="000C08CA" w:rsidP="00FE328D">
            <w:pPr>
              <w:pStyle w:val="Neotevilenodstavek"/>
              <w:spacing w:before="0" w:after="0" w:line="240" w:lineRule="auto"/>
              <w:rPr>
                <w:vanish/>
                <w:color w:val="000000" w:themeColor="text1"/>
                <w:sz w:val="20"/>
                <w:szCs w:val="20"/>
              </w:rPr>
            </w:pPr>
          </w:p>
          <w:p w14:paraId="67BD9C8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Poslovno poročilo družb, ki so zavezane k uporabi zakona, ki ureja prevzeme, mora vsebovati tudi podatke po stanju na zadnji dan poslovnega leta in vsa potrebna pojasnila o:</w:t>
            </w:r>
          </w:p>
          <w:p w14:paraId="7029D65B"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strukturi osnovnega kapitala družbe, vključno z vsemi vrednostnimi papirji, kot jih določa zakon, ki ureja prevzeme, (v nadaljnjem besedilu tega odstavka: vrednostni papirji) družbe, ki niso uvrščeni na organiziran trg vrednostnih papirjev, zlasti z navedbo:</w:t>
            </w:r>
          </w:p>
          <w:p w14:paraId="10114491" w14:textId="77777777" w:rsidR="000C08CA" w:rsidRPr="00D94FB4" w:rsidRDefault="000C08CA" w:rsidP="00FE328D">
            <w:pPr>
              <w:pStyle w:val="Neotevilenodstavek"/>
              <w:numPr>
                <w:ilvl w:val="0"/>
                <w:numId w:val="57"/>
              </w:numPr>
              <w:spacing w:before="0" w:after="0" w:line="240" w:lineRule="auto"/>
              <w:rPr>
                <w:vanish/>
                <w:color w:val="000000" w:themeColor="text1"/>
                <w:sz w:val="20"/>
                <w:szCs w:val="20"/>
              </w:rPr>
            </w:pPr>
            <w:r w:rsidRPr="00D94FB4">
              <w:rPr>
                <w:vanish/>
                <w:color w:val="000000" w:themeColor="text1"/>
                <w:sz w:val="20"/>
                <w:szCs w:val="20"/>
              </w:rPr>
              <w:t>pravic in obveznosti, ki jih zagotavljajo delnice ali delnice posameznega razreda, in</w:t>
            </w:r>
          </w:p>
          <w:p w14:paraId="01802A8C" w14:textId="77777777" w:rsidR="000C08CA" w:rsidRPr="00D94FB4" w:rsidRDefault="000C08CA" w:rsidP="00FE328D">
            <w:pPr>
              <w:pStyle w:val="Neotevilenodstavek"/>
              <w:numPr>
                <w:ilvl w:val="0"/>
                <w:numId w:val="57"/>
              </w:numPr>
              <w:spacing w:before="0" w:after="0" w:line="240" w:lineRule="auto"/>
              <w:rPr>
                <w:vanish/>
                <w:color w:val="000000" w:themeColor="text1"/>
                <w:sz w:val="20"/>
                <w:szCs w:val="20"/>
              </w:rPr>
            </w:pPr>
            <w:r w:rsidRPr="00D94FB4">
              <w:rPr>
                <w:vanish/>
                <w:color w:val="000000" w:themeColor="text1"/>
                <w:sz w:val="20"/>
                <w:szCs w:val="20"/>
              </w:rPr>
              <w:t>če obstaja več razredov delnic, delež osnovnega kapitala, ki ga predstavlja posamezen razred;</w:t>
            </w:r>
          </w:p>
          <w:p w14:paraId="2CECF55B"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vseh omejitvah prenosa delnic, zlasti:</w:t>
            </w:r>
          </w:p>
          <w:p w14:paraId="198D7C41"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omejitvah imetništva vrednostnih papirjev, in</w:t>
            </w:r>
          </w:p>
          <w:p w14:paraId="63E48092"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potrebah po pridobitvi dovoljenja družbe ali drugih imetnikov vrednostnih papirjev za prenos delnic;</w:t>
            </w:r>
          </w:p>
          <w:p w14:paraId="50255703"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pomembnem neposrednem in posrednem imetništvu vrednostnih papirjev družbe, v smislu doseganja kvalificiranega deleža, kot ga določa zakon, ki ureja prevzeme, in sicer:</w:t>
            </w:r>
          </w:p>
          <w:p w14:paraId="4387FAE3" w14:textId="77777777" w:rsidR="000C08CA" w:rsidRPr="00D94FB4" w:rsidRDefault="000C08CA" w:rsidP="00FE328D">
            <w:pPr>
              <w:pStyle w:val="Neotevilenodstavek"/>
              <w:numPr>
                <w:ilvl w:val="0"/>
                <w:numId w:val="58"/>
              </w:numPr>
              <w:spacing w:before="0" w:after="0" w:line="240" w:lineRule="auto"/>
              <w:rPr>
                <w:vanish/>
                <w:color w:val="000000" w:themeColor="text1"/>
                <w:sz w:val="20"/>
                <w:szCs w:val="20"/>
              </w:rPr>
            </w:pPr>
            <w:r w:rsidRPr="00D94FB4">
              <w:rPr>
                <w:vanish/>
                <w:color w:val="000000" w:themeColor="text1"/>
                <w:sz w:val="20"/>
                <w:szCs w:val="20"/>
              </w:rPr>
              <w:t>ime in priimek ali firmo imetnika,</w:t>
            </w:r>
          </w:p>
          <w:p w14:paraId="52B0A66A" w14:textId="77777777" w:rsidR="000C08CA" w:rsidRPr="00D94FB4" w:rsidRDefault="000C08CA" w:rsidP="00FE328D">
            <w:pPr>
              <w:pStyle w:val="Neotevilenodstavek"/>
              <w:numPr>
                <w:ilvl w:val="0"/>
                <w:numId w:val="58"/>
              </w:numPr>
              <w:spacing w:before="0" w:after="0" w:line="240" w:lineRule="auto"/>
              <w:rPr>
                <w:vanish/>
                <w:color w:val="000000" w:themeColor="text1"/>
                <w:sz w:val="20"/>
                <w:szCs w:val="20"/>
              </w:rPr>
            </w:pPr>
            <w:r w:rsidRPr="00D94FB4">
              <w:rPr>
                <w:vanish/>
                <w:color w:val="000000" w:themeColor="text1"/>
                <w:sz w:val="20"/>
                <w:szCs w:val="20"/>
              </w:rPr>
              <w:t>število vrednostnih papirjev in delež, ki ga predstavljajo v osnovnem kapitalu družbe, in</w:t>
            </w:r>
          </w:p>
          <w:p w14:paraId="5DED0314" w14:textId="77777777" w:rsidR="000C08CA" w:rsidRPr="00D94FB4" w:rsidRDefault="000C08CA" w:rsidP="00FE328D">
            <w:pPr>
              <w:pStyle w:val="Neotevilenodstavek"/>
              <w:numPr>
                <w:ilvl w:val="0"/>
                <w:numId w:val="58"/>
              </w:numPr>
              <w:spacing w:before="0" w:after="0" w:line="240" w:lineRule="auto"/>
              <w:rPr>
                <w:vanish/>
                <w:color w:val="000000" w:themeColor="text1"/>
                <w:sz w:val="20"/>
                <w:szCs w:val="20"/>
              </w:rPr>
            </w:pPr>
            <w:r w:rsidRPr="00D94FB4">
              <w:rPr>
                <w:vanish/>
                <w:color w:val="000000" w:themeColor="text1"/>
                <w:sz w:val="20"/>
                <w:szCs w:val="20"/>
              </w:rPr>
              <w:t>naravo imetništva.</w:t>
            </w:r>
          </w:p>
          <w:p w14:paraId="689BF68C"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Oseba je posredni imetnik vrednostnih papirjev, če jih ima druga oseba za njen račun, ali če lahko zagotovi, da se pravice iz njih izvršujejo v skladu z njeno voljo;</w:t>
            </w:r>
          </w:p>
          <w:p w14:paraId="424E425C"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vsakem imetniku vrednostnih papirjev, ki zagotavljajo posebne kontrolne pravice:</w:t>
            </w:r>
          </w:p>
          <w:p w14:paraId="4F5493AB" w14:textId="77777777" w:rsidR="000C08CA" w:rsidRPr="00D94FB4" w:rsidRDefault="000C08CA" w:rsidP="00FE328D">
            <w:pPr>
              <w:pStyle w:val="Neotevilenodstavek"/>
              <w:numPr>
                <w:ilvl w:val="0"/>
                <w:numId w:val="59"/>
              </w:numPr>
              <w:spacing w:before="0" w:after="0" w:line="240" w:lineRule="auto"/>
              <w:rPr>
                <w:vanish/>
                <w:color w:val="000000" w:themeColor="text1"/>
                <w:sz w:val="20"/>
                <w:szCs w:val="20"/>
              </w:rPr>
            </w:pPr>
            <w:r w:rsidRPr="00D94FB4">
              <w:rPr>
                <w:vanish/>
                <w:color w:val="000000" w:themeColor="text1"/>
                <w:sz w:val="20"/>
                <w:szCs w:val="20"/>
              </w:rPr>
              <w:t>ime in priimek ali firmo imetnika, in</w:t>
            </w:r>
          </w:p>
          <w:p w14:paraId="7AB1F590" w14:textId="77777777" w:rsidR="000C08CA" w:rsidRPr="00D94FB4" w:rsidRDefault="000C08CA" w:rsidP="00FE328D">
            <w:pPr>
              <w:pStyle w:val="Neotevilenodstavek"/>
              <w:numPr>
                <w:ilvl w:val="0"/>
                <w:numId w:val="59"/>
              </w:numPr>
              <w:spacing w:before="0" w:after="0" w:line="240" w:lineRule="auto"/>
              <w:rPr>
                <w:vanish/>
                <w:color w:val="000000" w:themeColor="text1"/>
                <w:sz w:val="20"/>
                <w:szCs w:val="20"/>
              </w:rPr>
            </w:pPr>
            <w:r w:rsidRPr="00D94FB4">
              <w:rPr>
                <w:vanish/>
                <w:color w:val="000000" w:themeColor="text1"/>
                <w:sz w:val="20"/>
                <w:szCs w:val="20"/>
              </w:rPr>
              <w:t>naravo pravic;</w:t>
            </w:r>
          </w:p>
          <w:p w14:paraId="18268B7A"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delniški shemi za delavce, če jo družba ima, delnic, na katere se le-ta nanaša, in o načinu izvajanja kontrole nad njo, če kontrolnih pravic ne izvajajo delavci neposredno;</w:t>
            </w:r>
          </w:p>
          <w:p w14:paraId="19C18C08"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vseh omejitvah glasovalnih pravic, zlasti:</w:t>
            </w:r>
          </w:p>
          <w:p w14:paraId="3125D80A" w14:textId="77777777" w:rsidR="000C08CA" w:rsidRPr="00D94FB4" w:rsidRDefault="000C08CA" w:rsidP="00FE328D">
            <w:pPr>
              <w:pStyle w:val="Neotevilenodstavek"/>
              <w:numPr>
                <w:ilvl w:val="0"/>
                <w:numId w:val="60"/>
              </w:numPr>
              <w:spacing w:before="0" w:after="0" w:line="240" w:lineRule="auto"/>
              <w:rPr>
                <w:vanish/>
                <w:color w:val="000000" w:themeColor="text1"/>
                <w:sz w:val="20"/>
                <w:szCs w:val="20"/>
              </w:rPr>
            </w:pPr>
            <w:r w:rsidRPr="00D94FB4">
              <w:rPr>
                <w:vanish/>
                <w:color w:val="000000" w:themeColor="text1"/>
                <w:sz w:val="20"/>
                <w:szCs w:val="20"/>
              </w:rPr>
              <w:t>omejitvah glasovalnih pravic na določen delež ali določeno število glasov,</w:t>
            </w:r>
          </w:p>
          <w:p w14:paraId="13DDB5E7" w14:textId="77777777" w:rsidR="000C08CA" w:rsidRPr="00D94FB4" w:rsidRDefault="000C08CA" w:rsidP="00FE328D">
            <w:pPr>
              <w:pStyle w:val="Neotevilenodstavek"/>
              <w:numPr>
                <w:ilvl w:val="0"/>
                <w:numId w:val="60"/>
              </w:numPr>
              <w:spacing w:before="0" w:after="0" w:line="240" w:lineRule="auto"/>
              <w:rPr>
                <w:vanish/>
                <w:color w:val="000000" w:themeColor="text1"/>
                <w:sz w:val="20"/>
                <w:szCs w:val="20"/>
              </w:rPr>
            </w:pPr>
            <w:r w:rsidRPr="00D94FB4">
              <w:rPr>
                <w:vanish/>
                <w:color w:val="000000" w:themeColor="text1"/>
                <w:sz w:val="20"/>
                <w:szCs w:val="20"/>
              </w:rPr>
              <w:t>rokih za izvajanje glasovalnih pravic, in</w:t>
            </w:r>
          </w:p>
          <w:p w14:paraId="3B981039" w14:textId="77777777" w:rsidR="000C08CA" w:rsidRPr="00D94FB4" w:rsidRDefault="000C08CA" w:rsidP="00FE328D">
            <w:pPr>
              <w:pStyle w:val="Neotevilenodstavek"/>
              <w:numPr>
                <w:ilvl w:val="0"/>
                <w:numId w:val="60"/>
              </w:numPr>
              <w:spacing w:before="0" w:after="0" w:line="240" w:lineRule="auto"/>
              <w:rPr>
                <w:vanish/>
                <w:color w:val="000000" w:themeColor="text1"/>
                <w:sz w:val="20"/>
                <w:szCs w:val="20"/>
              </w:rPr>
            </w:pPr>
            <w:r w:rsidRPr="00D94FB4">
              <w:rPr>
                <w:vanish/>
                <w:color w:val="000000" w:themeColor="text1"/>
                <w:sz w:val="20"/>
                <w:szCs w:val="20"/>
              </w:rPr>
              <w:t>dogovorih, pri katerih so s sodelovanjem družbe finančne pravice, ki izhajajo iz vrednostnih papirjev, ločene od lastništva vrednostnih papirjev;</w:t>
            </w:r>
          </w:p>
          <w:p w14:paraId="53B3221D"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vseh družbi znanih dogovorih med delničarji, ki lahko povzročijo omejitev prenosa vrednostnih papirjev ali glasovalnih pravic;</w:t>
            </w:r>
          </w:p>
          <w:p w14:paraId="1A309059"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pravilih družbe o:</w:t>
            </w:r>
          </w:p>
          <w:p w14:paraId="541E69B1" w14:textId="77777777" w:rsidR="000C08CA" w:rsidRPr="00D94FB4" w:rsidRDefault="000C08CA" w:rsidP="00FE328D">
            <w:pPr>
              <w:pStyle w:val="Neotevilenodstavek"/>
              <w:numPr>
                <w:ilvl w:val="0"/>
                <w:numId w:val="61"/>
              </w:numPr>
              <w:spacing w:before="0" w:after="0" w:line="240" w:lineRule="auto"/>
              <w:rPr>
                <w:vanish/>
                <w:color w:val="000000" w:themeColor="text1"/>
                <w:sz w:val="20"/>
                <w:szCs w:val="20"/>
              </w:rPr>
            </w:pPr>
            <w:r w:rsidRPr="00D94FB4">
              <w:rPr>
                <w:vanish/>
                <w:color w:val="000000" w:themeColor="text1"/>
                <w:sz w:val="20"/>
                <w:szCs w:val="20"/>
              </w:rPr>
              <w:t>imenovanju ter zamenjavi članov organov vodenja ali nadzora, in</w:t>
            </w:r>
          </w:p>
          <w:p w14:paraId="2DC99075" w14:textId="77777777" w:rsidR="000C08CA" w:rsidRPr="00D94FB4" w:rsidRDefault="000C08CA" w:rsidP="00FE328D">
            <w:pPr>
              <w:pStyle w:val="Neotevilenodstavek"/>
              <w:numPr>
                <w:ilvl w:val="0"/>
                <w:numId w:val="61"/>
              </w:numPr>
              <w:spacing w:before="0" w:after="0" w:line="240" w:lineRule="auto"/>
              <w:rPr>
                <w:vanish/>
                <w:color w:val="000000" w:themeColor="text1"/>
                <w:sz w:val="20"/>
                <w:szCs w:val="20"/>
              </w:rPr>
            </w:pPr>
            <w:r w:rsidRPr="00D94FB4">
              <w:rPr>
                <w:vanish/>
                <w:color w:val="000000" w:themeColor="text1"/>
                <w:sz w:val="20"/>
                <w:szCs w:val="20"/>
              </w:rPr>
              <w:t>spremembah statuta;</w:t>
            </w:r>
          </w:p>
          <w:p w14:paraId="28B79439"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pooblastilih članov poslovodstva, zlasti pooblastilih za izdajo ali nakup lastnih delnic;</w:t>
            </w:r>
          </w:p>
          <w:p w14:paraId="25BE1FA2"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vseh pomembnih dogovorih, katerih stranka je družba, ki pričnejo učinkovati, se spremenijo ali prenehajo na podlagi spremembe kontrole v družbi, ki je posledica ponudbe, kot jo določa zakon, ki ureja prevzeme, in učinke takšnih dogovorov. To ni potrebno, če bi razkritje dogovora družbi lahko pomembno škodovalo, razen če je družba zavezana k razkritju dogovorov na podlagi drugih predpisov;</w:t>
            </w:r>
          </w:p>
          <w:p w14:paraId="09D043ED" w14:textId="77777777" w:rsidR="000C08CA" w:rsidRPr="00D94FB4" w:rsidRDefault="000C08CA" w:rsidP="00FE328D">
            <w:pPr>
              <w:pStyle w:val="Neotevilenodstavek"/>
              <w:numPr>
                <w:ilvl w:val="0"/>
                <w:numId w:val="56"/>
              </w:numPr>
              <w:spacing w:before="0" w:after="0" w:line="240" w:lineRule="auto"/>
              <w:rPr>
                <w:vanish/>
                <w:color w:val="000000" w:themeColor="text1"/>
                <w:sz w:val="20"/>
                <w:szCs w:val="20"/>
              </w:rPr>
            </w:pPr>
            <w:r w:rsidRPr="00D94FB4">
              <w:rPr>
                <w:vanish/>
                <w:color w:val="000000" w:themeColor="text1"/>
                <w:sz w:val="20"/>
                <w:szCs w:val="20"/>
              </w:rPr>
              <w:t>vseh dogovorih med družbo in člani njenega organa vodenja ali nadzora ali delavci, ki predvidevajo nadomestilo, če ti zaradi ponudbe, kot jo določa zakon, ki ureja prevzeme:</w:t>
            </w:r>
          </w:p>
          <w:p w14:paraId="15CA85CF" w14:textId="77777777" w:rsidR="000C08CA" w:rsidRPr="00D94FB4" w:rsidRDefault="000C08CA" w:rsidP="00FE328D">
            <w:pPr>
              <w:pStyle w:val="Neotevilenodstavek"/>
              <w:numPr>
                <w:ilvl w:val="0"/>
                <w:numId w:val="62"/>
              </w:numPr>
              <w:spacing w:before="0" w:after="0" w:line="240" w:lineRule="auto"/>
              <w:rPr>
                <w:vanish/>
                <w:color w:val="000000" w:themeColor="text1"/>
                <w:sz w:val="20"/>
                <w:szCs w:val="20"/>
              </w:rPr>
            </w:pPr>
            <w:r w:rsidRPr="00D94FB4">
              <w:rPr>
                <w:vanish/>
                <w:color w:val="000000" w:themeColor="text1"/>
                <w:sz w:val="20"/>
                <w:szCs w:val="20"/>
              </w:rPr>
              <w:t>odstopijo,</w:t>
            </w:r>
          </w:p>
          <w:p w14:paraId="157C1E35" w14:textId="77777777" w:rsidR="000C08CA" w:rsidRPr="00D94FB4" w:rsidRDefault="000C08CA" w:rsidP="00FE328D">
            <w:pPr>
              <w:pStyle w:val="Neotevilenodstavek"/>
              <w:numPr>
                <w:ilvl w:val="0"/>
                <w:numId w:val="62"/>
              </w:numPr>
              <w:spacing w:before="0" w:after="0" w:line="240" w:lineRule="auto"/>
              <w:rPr>
                <w:vanish/>
                <w:color w:val="000000" w:themeColor="text1"/>
                <w:sz w:val="20"/>
                <w:szCs w:val="20"/>
              </w:rPr>
            </w:pPr>
            <w:r w:rsidRPr="00D94FB4">
              <w:rPr>
                <w:vanish/>
                <w:color w:val="000000" w:themeColor="text1"/>
                <w:sz w:val="20"/>
                <w:szCs w:val="20"/>
              </w:rPr>
              <w:t>so odpuščeni brez utemeljenega razloga, ali</w:t>
            </w:r>
          </w:p>
          <w:p w14:paraId="559FA015" w14:textId="77777777" w:rsidR="000C08CA" w:rsidRPr="00D94FB4" w:rsidRDefault="000C08CA" w:rsidP="00FE328D">
            <w:pPr>
              <w:pStyle w:val="Neotevilenodstavek"/>
              <w:numPr>
                <w:ilvl w:val="0"/>
                <w:numId w:val="62"/>
              </w:numPr>
              <w:spacing w:before="0" w:after="0" w:line="240" w:lineRule="auto"/>
              <w:rPr>
                <w:vanish/>
                <w:color w:val="000000" w:themeColor="text1"/>
                <w:sz w:val="20"/>
                <w:szCs w:val="20"/>
              </w:rPr>
            </w:pPr>
            <w:r w:rsidRPr="00D94FB4">
              <w:rPr>
                <w:vanish/>
                <w:color w:val="000000" w:themeColor="text1"/>
                <w:sz w:val="20"/>
                <w:szCs w:val="20"/>
              </w:rPr>
              <w:t>njihovo delovno razmerje preneha.</w:t>
            </w:r>
          </w:p>
          <w:p w14:paraId="67CD34BF" w14:textId="77777777" w:rsidR="000C08CA" w:rsidRPr="00D94FB4" w:rsidRDefault="000C08CA" w:rsidP="00FE328D">
            <w:pPr>
              <w:pStyle w:val="Neotevilenodstavek"/>
              <w:spacing w:before="0" w:after="0" w:line="240" w:lineRule="auto"/>
              <w:rPr>
                <w:vanish/>
                <w:color w:val="000000" w:themeColor="text1"/>
                <w:sz w:val="20"/>
                <w:szCs w:val="20"/>
              </w:rPr>
            </w:pPr>
          </w:p>
          <w:p w14:paraId="466D6B89"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70.c člen</w:t>
            </w:r>
          </w:p>
          <w:p w14:paraId="6EC3530A"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(posebne določbe za subjekte javnega interesa)</w:t>
            </w:r>
          </w:p>
          <w:p w14:paraId="56559287" w14:textId="77777777" w:rsidR="000C08CA" w:rsidRPr="00D94FB4" w:rsidRDefault="000C08CA" w:rsidP="00FE328D">
            <w:pPr>
              <w:pStyle w:val="Neotevilenodstavek"/>
              <w:spacing w:before="0" w:after="0" w:line="240" w:lineRule="auto"/>
              <w:rPr>
                <w:vanish/>
                <w:color w:val="000000" w:themeColor="text1"/>
                <w:sz w:val="20"/>
                <w:szCs w:val="20"/>
              </w:rPr>
            </w:pPr>
          </w:p>
          <w:p w14:paraId="2BE3347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Subjekt javnega interesa, katerega povprečno število zaposlenih v poslovnem letu je na bilančni presečni dan večje od 500, vključi v svoje poslovno poročilo tudi izjavo o nefinančnem poslovanju, ki, kolikor je potrebno za razumevanje razvoja, uspešnosti in položaja družbe ter učinka njenih dejavnosti, vsebuje vsaj informacije o okoljskih, socialnih in kadrovskih zadevah, spoštovanju človekovih pravic ter v zadevah v zvezi z bojem proti korupciji in podkupovanju, vključno s:</w:t>
            </w:r>
          </w:p>
          <w:p w14:paraId="46607087"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kratkim opisom poslovnega modela družbe;</w:t>
            </w:r>
          </w:p>
          <w:p w14:paraId="7CC9C6D4"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opisom politik družbe glede navedenih zadev, med drugim v zvezi z izvajanjem postopkov skrbnega pregleda;</w:t>
            </w:r>
          </w:p>
          <w:p w14:paraId="63DDA069"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rezultati teh politik;</w:t>
            </w:r>
          </w:p>
          <w:p w14:paraId="485FBD7A"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glavnimi tveganji v zvezi z navedenimi zadevami, ki so povezana z dejavnostmi družbe, vključno z njenimi poslovnimi odnosi, proizvodi ali storitvami, kadar je to ustrezno in sorazmerno, ki bi lahko povzročili resne škodljive učinke na teh področjih, ter načini, kako družba upravlja ta tveganja in</w:t>
            </w:r>
          </w:p>
          <w:p w14:paraId="1BF4C94A"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ključnimi nefinančnimi kazalniki uspešnosti, pomembnimi za posamezne dejavnosti.</w:t>
            </w:r>
          </w:p>
          <w:p w14:paraId="18DAD8CD" w14:textId="77777777" w:rsidR="000C08CA" w:rsidRPr="00D94FB4" w:rsidRDefault="000C08CA" w:rsidP="00FE328D">
            <w:pPr>
              <w:pStyle w:val="Neotevilenodstavek"/>
              <w:spacing w:before="0" w:after="0" w:line="240" w:lineRule="auto"/>
              <w:rPr>
                <w:vanish/>
                <w:color w:val="000000" w:themeColor="text1"/>
                <w:sz w:val="20"/>
                <w:szCs w:val="20"/>
              </w:rPr>
            </w:pPr>
          </w:p>
          <w:p w14:paraId="1EBBFDC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Če družba katere od navedenih politik ne izvaja, to v izjavi o nefinančnem poslovanju jasno in utemeljeno obrazloži.</w:t>
            </w:r>
          </w:p>
          <w:p w14:paraId="2D046655" w14:textId="77777777" w:rsidR="000C08CA" w:rsidRPr="00D94FB4" w:rsidRDefault="000C08CA" w:rsidP="00FE328D">
            <w:pPr>
              <w:pStyle w:val="Neotevilenodstavek"/>
              <w:spacing w:before="0" w:after="0" w:line="240" w:lineRule="auto"/>
              <w:rPr>
                <w:vanish/>
                <w:color w:val="000000" w:themeColor="text1"/>
                <w:sz w:val="20"/>
                <w:szCs w:val="20"/>
              </w:rPr>
            </w:pPr>
          </w:p>
          <w:p w14:paraId="1CD6A1F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Kadar je to mogoče, izjava o nefinančnem poslovanju vključuje ustrezno sklicevanje na zneske v računovodskih izkazih in potrebna dodatna pojasnila.</w:t>
            </w:r>
          </w:p>
          <w:p w14:paraId="710F9D4C" w14:textId="77777777" w:rsidR="000C08CA" w:rsidRPr="00D94FB4" w:rsidRDefault="000C08CA" w:rsidP="00FE328D">
            <w:pPr>
              <w:pStyle w:val="Neotevilenodstavek"/>
              <w:spacing w:before="0" w:after="0" w:line="240" w:lineRule="auto"/>
              <w:rPr>
                <w:vanish/>
                <w:color w:val="000000" w:themeColor="text1"/>
                <w:sz w:val="20"/>
                <w:szCs w:val="20"/>
              </w:rPr>
            </w:pPr>
          </w:p>
          <w:p w14:paraId="7F126B6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Družba lahko razkrije informacije iz prvega odstavka tega člena na podlagi tega zakona, drugih nacionalnih okvirov, okvirov Evropske unije ali mednarodnih okvirov. V tem primeru navede, katere okvire je uporabila.</w:t>
            </w:r>
          </w:p>
          <w:p w14:paraId="00AE9BB2" w14:textId="77777777" w:rsidR="000C08CA" w:rsidRPr="00D94FB4" w:rsidRDefault="000C08CA" w:rsidP="00FE328D">
            <w:pPr>
              <w:pStyle w:val="Neotevilenodstavek"/>
              <w:spacing w:before="0" w:after="0" w:line="240" w:lineRule="auto"/>
              <w:rPr>
                <w:vanish/>
                <w:color w:val="000000" w:themeColor="text1"/>
                <w:sz w:val="20"/>
                <w:szCs w:val="20"/>
              </w:rPr>
            </w:pPr>
          </w:p>
          <w:p w14:paraId="4597B05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Družbi ni treba izkazati informacij iz prvega odstavka tega člena v izjemnih primerih, na podlagi ustrezno utemeljenega mnenja članov organa vodenja ali nadzora družbe, če gre za razkritje informacij o predvidenih dogodkih ali zadevah, ki so predmet tekočih pogajanj, in bi njihovo razkritje resno škodovalo poslovnemu položaju družbe, pri tem pa opustitev razkritja ne sme vplivati na pošteno in uravnoteženo razumevanje razvoja, uspešnosti in položaja družbe ter učinka njenega delovanja.</w:t>
            </w:r>
          </w:p>
          <w:p w14:paraId="6754C7AE" w14:textId="77777777" w:rsidR="000C08CA" w:rsidRPr="00D94FB4" w:rsidRDefault="000C08CA" w:rsidP="00FE328D">
            <w:pPr>
              <w:pStyle w:val="Neotevilenodstavek"/>
              <w:spacing w:before="0" w:after="0" w:line="240" w:lineRule="auto"/>
              <w:rPr>
                <w:vanish/>
                <w:color w:val="000000" w:themeColor="text1"/>
                <w:sz w:val="20"/>
                <w:szCs w:val="20"/>
              </w:rPr>
            </w:pPr>
          </w:p>
          <w:p w14:paraId="3A7D4DD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Ne glede na določbo prvega odstavka tega člena, lahko družba izjavo o nefinančnem poslovanju pripravi kot ločeno poročilo. V tem primeru se ločeno poročilo objavi skupaj s poslovnim poročilom, ali pa se ločeno poročilo objavi na spletni strani družbe, v razumnem roku, ki ne presega šestih mesecev po dnevu bilance stanja, poslovno poročilo pa se nanj sklicuje.</w:t>
            </w:r>
          </w:p>
          <w:p w14:paraId="742096C2" w14:textId="77777777" w:rsidR="000C08CA" w:rsidRPr="00D94FB4" w:rsidRDefault="000C08CA" w:rsidP="00FE328D">
            <w:pPr>
              <w:pStyle w:val="Neotevilenodstavek"/>
              <w:spacing w:before="0" w:after="0" w:line="240" w:lineRule="auto"/>
              <w:rPr>
                <w:vanish/>
                <w:color w:val="000000" w:themeColor="text1"/>
                <w:sz w:val="20"/>
                <w:szCs w:val="20"/>
              </w:rPr>
            </w:pPr>
          </w:p>
          <w:p w14:paraId="21448644"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Odvisni družbi, ki je vključena v konsolidirano poslovno poročilo obvladujoče družbe ali ločeno poročilo te obvladujoče ali druge družbe, ni treba izpolniti obveznosti iz prvega odstavka tega člena.</w:t>
            </w:r>
          </w:p>
          <w:p w14:paraId="5CDFA6DC" w14:textId="77777777" w:rsidR="000C08CA" w:rsidRPr="00D94FB4" w:rsidRDefault="000C08CA" w:rsidP="00FE328D">
            <w:pPr>
              <w:pStyle w:val="Neotevilenodstavek"/>
              <w:spacing w:before="0" w:after="0" w:line="240" w:lineRule="auto"/>
              <w:rPr>
                <w:vanish/>
                <w:color w:val="000000" w:themeColor="text1"/>
                <w:sz w:val="20"/>
                <w:szCs w:val="20"/>
              </w:rPr>
            </w:pPr>
          </w:p>
          <w:p w14:paraId="0B111CB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Če družba izpolni zahteve iz prvega ali petega odstavka tega člena, se šteje, da je izpolnila tudi obveznost iz drugega odstavka 70. člena tega zakona glede analize nefinančnih informacij.</w:t>
            </w:r>
          </w:p>
          <w:p w14:paraId="2A8672D1" w14:textId="77777777" w:rsidR="000C08CA" w:rsidRPr="00D94FB4" w:rsidRDefault="000C08CA" w:rsidP="00FE328D">
            <w:pPr>
              <w:pStyle w:val="Neotevilenodstavek"/>
              <w:spacing w:before="0" w:after="0" w:line="240" w:lineRule="auto"/>
              <w:rPr>
                <w:vanish/>
                <w:color w:val="000000" w:themeColor="text1"/>
                <w:sz w:val="20"/>
                <w:szCs w:val="20"/>
              </w:rPr>
            </w:pPr>
          </w:p>
          <w:p w14:paraId="02EF7E77"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71. člen</w:t>
            </w:r>
          </w:p>
          <w:p w14:paraId="38D35A19"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(uporaba določb tega zakona za podjetnika)</w:t>
            </w:r>
          </w:p>
          <w:p w14:paraId="1F3433C6" w14:textId="77777777" w:rsidR="000C08CA" w:rsidRPr="00D94FB4" w:rsidRDefault="000C08CA" w:rsidP="00FE328D">
            <w:pPr>
              <w:pStyle w:val="Neotevilenodstavek"/>
              <w:spacing w:before="0" w:after="0" w:line="240" w:lineRule="auto"/>
              <w:rPr>
                <w:vanish/>
                <w:color w:val="000000" w:themeColor="text1"/>
                <w:sz w:val="20"/>
                <w:szCs w:val="20"/>
              </w:rPr>
            </w:pPr>
          </w:p>
          <w:p w14:paraId="30B2F05F"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Za podjetnika se smiselno uporabljajo določbe tega zakona o:</w:t>
            </w:r>
          </w:p>
          <w:p w14:paraId="5BBC4440"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dejavnosti (6. člen),</w:t>
            </w:r>
          </w:p>
          <w:p w14:paraId="60933FFD"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firmi (12. do 23. člen),</w:t>
            </w:r>
          </w:p>
          <w:p w14:paraId="0C0AA69A"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sedežu (29. in prvi odstavek 30. člena),</w:t>
            </w:r>
          </w:p>
          <w:p w14:paraId="0FA625AF"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podružnici (31. člen) in</w:t>
            </w:r>
          </w:p>
          <w:p w14:paraId="740065D7" w14:textId="77777777" w:rsidR="000C08CA" w:rsidRPr="00D94FB4" w:rsidRDefault="000C08CA" w:rsidP="00FE328D">
            <w:pPr>
              <w:pStyle w:val="Neotevilenodstavek"/>
              <w:numPr>
                <w:ilvl w:val="0"/>
                <w:numId w:val="63"/>
              </w:numPr>
              <w:spacing w:before="0" w:after="0" w:line="240" w:lineRule="auto"/>
              <w:rPr>
                <w:vanish/>
                <w:color w:val="000000" w:themeColor="text1"/>
                <w:sz w:val="20"/>
                <w:szCs w:val="20"/>
              </w:rPr>
            </w:pPr>
            <w:r w:rsidRPr="00D94FB4">
              <w:rPr>
                <w:vanish/>
                <w:color w:val="000000" w:themeColor="text1"/>
                <w:sz w:val="20"/>
                <w:szCs w:val="20"/>
              </w:rPr>
              <w:t>prokuri (33. do 37. člen).</w:t>
            </w:r>
          </w:p>
          <w:p w14:paraId="4E4FDCF2" w14:textId="77777777" w:rsidR="000C08CA" w:rsidRPr="00D94FB4" w:rsidRDefault="000C08CA" w:rsidP="00FE328D">
            <w:pPr>
              <w:pStyle w:val="Neotevilenodstavek"/>
              <w:spacing w:before="0" w:after="0" w:line="240" w:lineRule="auto"/>
              <w:rPr>
                <w:vanish/>
                <w:color w:val="000000" w:themeColor="text1"/>
                <w:sz w:val="20"/>
                <w:szCs w:val="20"/>
              </w:rPr>
            </w:pPr>
          </w:p>
          <w:p w14:paraId="68DC02DC"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72. člen</w:t>
            </w:r>
          </w:p>
          <w:p w14:paraId="5B668EAF"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(posebne določbe o podjetniku)</w:t>
            </w:r>
          </w:p>
          <w:p w14:paraId="087CA479" w14:textId="77777777" w:rsidR="000C08CA" w:rsidRPr="00D94FB4" w:rsidRDefault="000C08CA" w:rsidP="00FE328D">
            <w:pPr>
              <w:pStyle w:val="Neotevilenodstavek"/>
              <w:spacing w:before="0" w:after="0" w:line="240" w:lineRule="auto"/>
              <w:rPr>
                <w:vanish/>
                <w:color w:val="000000" w:themeColor="text1"/>
                <w:sz w:val="20"/>
                <w:szCs w:val="20"/>
              </w:rPr>
            </w:pPr>
          </w:p>
          <w:p w14:paraId="30BE61B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Firma podjetnika vsebuje ime in priimek podjetnika, skrajšano oznako, da gre za samostojnega podjetnika (s.p.), oznako dejavnosti in morebitne dodatne sestavine. Firma podružnice podjetnika mora vsebovati tudi njegovo ime, priimek in oznako, da gre za podružnico.</w:t>
            </w:r>
          </w:p>
          <w:p w14:paraId="12B78652" w14:textId="77777777" w:rsidR="000C08CA" w:rsidRPr="00D94FB4" w:rsidRDefault="000C08CA" w:rsidP="00FE328D">
            <w:pPr>
              <w:pStyle w:val="Neotevilenodstavek"/>
              <w:spacing w:before="0" w:after="0" w:line="240" w:lineRule="auto"/>
              <w:rPr>
                <w:vanish/>
                <w:color w:val="000000" w:themeColor="text1"/>
                <w:sz w:val="20"/>
                <w:szCs w:val="20"/>
              </w:rPr>
            </w:pPr>
          </w:p>
          <w:p w14:paraId="25A8AD4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Podjetnik lahko uporablja tudi skrajšano ﬁrmo, ki vsebuje vsaj njegovo ime, priimek in oznako s.p..</w:t>
            </w:r>
          </w:p>
          <w:p w14:paraId="530CBDE2" w14:textId="77777777" w:rsidR="000C08CA" w:rsidRPr="00D94FB4" w:rsidRDefault="000C08CA" w:rsidP="00FE328D">
            <w:pPr>
              <w:pStyle w:val="Neotevilenodstavek"/>
              <w:spacing w:before="0" w:after="0" w:line="240" w:lineRule="auto"/>
              <w:rPr>
                <w:vanish/>
                <w:color w:val="000000" w:themeColor="text1"/>
                <w:sz w:val="20"/>
                <w:szCs w:val="20"/>
              </w:rPr>
            </w:pPr>
          </w:p>
          <w:p w14:paraId="2ADD645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Če podjetnik podjetje proda ali vloži v družbo, lahko kupec ali družba še naprej uporablja v ﬁrmi tudi ime in priimek podjetnika le, če s tem izrecno soglaša.</w:t>
            </w:r>
          </w:p>
          <w:p w14:paraId="0A5E2968" w14:textId="77777777" w:rsidR="000C08CA" w:rsidRPr="00D94FB4" w:rsidRDefault="000C08CA" w:rsidP="00FE328D">
            <w:pPr>
              <w:pStyle w:val="Neotevilenodstavek"/>
              <w:spacing w:before="0" w:after="0" w:line="240" w:lineRule="auto"/>
              <w:rPr>
                <w:vanish/>
                <w:color w:val="000000" w:themeColor="text1"/>
                <w:sz w:val="20"/>
                <w:szCs w:val="20"/>
              </w:rPr>
            </w:pPr>
          </w:p>
          <w:p w14:paraId="5967342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Če podjetnik umre, lahko podjetnikov dedič, ki nadaljuje zapustnikovo podjetje, v ﬁrmi še naprej uporablja tudi ime in priimek zapustnika. Z nadaljevanjem zapustnikovega podjetja preidejo na podjetnikovega dediča podjetje podjetnika ter pravice in obveznosti podjetnika v zvezi s podjetjem. Podjetnikov dedič kot univerzalni pravni naslednik vstopi v vsa pravna razmerja v zvezi s prenesenim podjetjem podjetnika in se v skladu s 74. členom tega zakona vpiše kot podjetnik.</w:t>
            </w:r>
          </w:p>
          <w:p w14:paraId="6749816E" w14:textId="77777777" w:rsidR="000C08CA" w:rsidRPr="00D94FB4" w:rsidRDefault="000C08CA" w:rsidP="00FE328D">
            <w:pPr>
              <w:pStyle w:val="Neotevilenodstavek"/>
              <w:spacing w:before="0" w:after="0" w:line="240" w:lineRule="auto"/>
              <w:rPr>
                <w:vanish/>
                <w:color w:val="000000" w:themeColor="text1"/>
                <w:sz w:val="20"/>
                <w:szCs w:val="20"/>
              </w:rPr>
            </w:pPr>
          </w:p>
          <w:p w14:paraId="09F7460F"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Na sporočilih, ki jih podjetnik pošlje posameznemu naslovniku, morajo biti navedeni ﬁrma in sedež podjetnika ter njegova matična številka.</w:t>
            </w:r>
          </w:p>
          <w:p w14:paraId="6E4772E8" w14:textId="77777777" w:rsidR="000C08CA" w:rsidRPr="00D94FB4" w:rsidRDefault="000C08CA" w:rsidP="00FE328D">
            <w:pPr>
              <w:pStyle w:val="Neotevilenodstavek"/>
              <w:spacing w:before="0" w:after="0" w:line="240" w:lineRule="auto"/>
              <w:rPr>
                <w:vanish/>
                <w:color w:val="000000" w:themeColor="text1"/>
                <w:sz w:val="20"/>
                <w:szCs w:val="20"/>
              </w:rPr>
            </w:pPr>
          </w:p>
          <w:p w14:paraId="461016B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Na sporočilih, ki se pošiljajo v okviru obstoječih poslovnih stikov, morata biti navedena le ﬁrma in sedež. Naročilnice se štejejo za sporočila iz prejšnjega odstavka.</w:t>
            </w:r>
          </w:p>
          <w:p w14:paraId="7244E5DD" w14:textId="77777777" w:rsidR="000C08CA" w:rsidRPr="00D94FB4" w:rsidRDefault="000C08CA" w:rsidP="00FE328D">
            <w:pPr>
              <w:pStyle w:val="Neotevilenodstavek"/>
              <w:spacing w:before="0" w:after="0" w:line="240" w:lineRule="auto"/>
              <w:rPr>
                <w:vanish/>
                <w:color w:val="000000" w:themeColor="text1"/>
                <w:sz w:val="20"/>
                <w:szCs w:val="20"/>
              </w:rPr>
            </w:pPr>
          </w:p>
          <w:p w14:paraId="583338A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(7) Prokura ne preneha s smrtjo ali izgubo poslovne sposobnosti podjetnika.</w:t>
            </w:r>
          </w:p>
          <w:p w14:paraId="401087AD" w14:textId="77777777" w:rsidR="000C08CA" w:rsidRPr="00D94FB4" w:rsidRDefault="000C08CA" w:rsidP="00FE328D">
            <w:pPr>
              <w:pStyle w:val="Neotevilenodstavek"/>
              <w:spacing w:before="0" w:after="0" w:line="240" w:lineRule="auto"/>
              <w:rPr>
                <w:vanish/>
                <w:color w:val="000000" w:themeColor="text1"/>
                <w:sz w:val="20"/>
                <w:szCs w:val="20"/>
              </w:rPr>
            </w:pPr>
          </w:p>
          <w:p w14:paraId="5531D61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(8) Podjetnik lahko imenuje zastopnika za primer smrti, ki je od trenutka smrti podjetnika pooblaščen za opravljanje vseh pravnih dejanj, ki spadajo v redno poslovanje podjetnika. Dedič podjetnika lahko to pooblastilo vsak čas prekliče. Podelitev in prenehanje tega pooblastila se mora vpisati v Poslovni register Slovenije.</w:t>
            </w:r>
          </w:p>
          <w:p w14:paraId="73EFB6FA" w14:textId="77777777" w:rsidR="000C08CA" w:rsidRPr="00D94FB4" w:rsidRDefault="000C08CA" w:rsidP="00FE328D">
            <w:pPr>
              <w:pStyle w:val="Neotevilenodstavek"/>
              <w:spacing w:before="0" w:after="0" w:line="240" w:lineRule="auto"/>
              <w:rPr>
                <w:vanish/>
                <w:color w:val="000000" w:themeColor="text1"/>
                <w:sz w:val="20"/>
                <w:szCs w:val="20"/>
              </w:rPr>
            </w:pPr>
          </w:p>
          <w:p w14:paraId="4E4B879C"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(9) Če podjetnik nima zastopnika za primer smrti ali prokurista, podjetniku zastopnika v primeru njegove smrti, trajne ali dolgotrajne nezmožnosti za delo ali v drugih nujnih primerih, na predlog imenuje sodišče v nepravdnem postopku. Predlog lahko vloži vsakdo, ki ima pravni interes. Funkcija sodno imenovanega zastopnika preneha najkasneje s potekom obdobja, za katerega je bil imenovan s strani sodišča, ali z imenovanjem novega zastopnika s strani dedičev. Sodno imenovani zastopnik ima pravico do plačila za delo in poravnave stroškov, ki jih določi sodišče.</w:t>
            </w:r>
          </w:p>
          <w:p w14:paraId="429E5000" w14:textId="77777777" w:rsidR="000C08CA" w:rsidRPr="00D94FB4" w:rsidRDefault="000C08CA" w:rsidP="00FE328D">
            <w:pPr>
              <w:pStyle w:val="Neotevilenodstavek"/>
              <w:spacing w:before="0" w:after="0" w:line="240" w:lineRule="auto"/>
              <w:rPr>
                <w:vanish/>
                <w:color w:val="000000" w:themeColor="text1"/>
                <w:sz w:val="20"/>
                <w:szCs w:val="20"/>
              </w:rPr>
            </w:pPr>
          </w:p>
          <w:p w14:paraId="4E6FF228" w14:textId="77777777" w:rsidR="000C08CA" w:rsidRPr="00D94FB4" w:rsidRDefault="000C08CA" w:rsidP="00FE328D">
            <w:pPr>
              <w:pStyle w:val="Neotevilenodstavek"/>
              <w:spacing w:line="240" w:lineRule="auto"/>
              <w:jc w:val="center"/>
              <w:rPr>
                <w:b/>
                <w:bCs/>
                <w:vanish/>
                <w:color w:val="000000" w:themeColor="text1"/>
                <w:sz w:val="20"/>
                <w:szCs w:val="20"/>
              </w:rPr>
            </w:pPr>
            <w:r w:rsidRPr="00D94FB4">
              <w:rPr>
                <w:b/>
                <w:bCs/>
                <w:vanish/>
                <w:color w:val="000000" w:themeColor="text1"/>
                <w:sz w:val="20"/>
                <w:szCs w:val="20"/>
              </w:rPr>
              <w:t>168.a člen</w:t>
            </w:r>
            <w:r w:rsidRPr="00D94FB4">
              <w:rPr>
                <w:b/>
                <w:bCs/>
                <w:vanish/>
                <w:color w:val="000000" w:themeColor="text1"/>
                <w:sz w:val="20"/>
                <w:szCs w:val="20"/>
              </w:rPr>
              <w:br/>
              <w:t>(pomen pojmov)</w:t>
            </w:r>
          </w:p>
          <w:p w14:paraId="37A9C06C" w14:textId="77777777" w:rsidR="000C08CA" w:rsidRPr="00D94FB4" w:rsidRDefault="000C08CA" w:rsidP="00FE328D">
            <w:pPr>
              <w:pStyle w:val="Neotevilenodstavek"/>
              <w:spacing w:line="240" w:lineRule="auto"/>
              <w:rPr>
                <w:vanish/>
                <w:color w:val="000000" w:themeColor="text1"/>
                <w:sz w:val="20"/>
                <w:szCs w:val="20"/>
              </w:rPr>
            </w:pPr>
          </w:p>
          <w:p w14:paraId="0647CB8D" w14:textId="77777777" w:rsidR="000C08CA" w:rsidRPr="00D94FB4" w:rsidRDefault="000C08CA" w:rsidP="00FE328D">
            <w:pPr>
              <w:pStyle w:val="Neotevilenodstavek"/>
              <w:spacing w:line="240" w:lineRule="auto"/>
              <w:rPr>
                <w:vanish/>
                <w:color w:val="000000" w:themeColor="text1"/>
                <w:sz w:val="20"/>
                <w:szCs w:val="20"/>
              </w:rPr>
            </w:pPr>
            <w:r w:rsidRPr="00D94FB4">
              <w:rPr>
                <w:vanish/>
                <w:color w:val="000000" w:themeColor="text1"/>
                <w:sz w:val="20"/>
                <w:szCs w:val="20"/>
              </w:rPr>
              <w:t>(1) Izraza, uporabljena v tem poglavju, imata naslednji pomen:</w:t>
            </w:r>
          </w:p>
          <w:p w14:paraId="0B588B4F" w14:textId="77777777" w:rsidR="000C08CA" w:rsidRPr="00D94FB4" w:rsidRDefault="000C08CA" w:rsidP="00FE328D">
            <w:pPr>
              <w:pStyle w:val="Neotevilenodstavek"/>
              <w:numPr>
                <w:ilvl w:val="0"/>
                <w:numId w:val="109"/>
              </w:numPr>
              <w:spacing w:line="240" w:lineRule="auto"/>
              <w:rPr>
                <w:vanish/>
                <w:color w:val="000000" w:themeColor="text1"/>
                <w:sz w:val="20"/>
                <w:szCs w:val="20"/>
              </w:rPr>
            </w:pPr>
            <w:r w:rsidRPr="00D94FB4">
              <w:rPr>
                <w:vanish/>
                <w:color w:val="000000" w:themeColor="text1"/>
                <w:sz w:val="20"/>
                <w:szCs w:val="20"/>
              </w:rPr>
              <w:t>»posrednik« je:</w:t>
            </w:r>
          </w:p>
          <w:p w14:paraId="5EE51A2F" w14:textId="77777777" w:rsidR="000C08CA" w:rsidRPr="00D94FB4" w:rsidRDefault="000C08CA" w:rsidP="00FE328D">
            <w:pPr>
              <w:pStyle w:val="Neotevilenodstavek"/>
              <w:numPr>
                <w:ilvl w:val="0"/>
                <w:numId w:val="63"/>
              </w:numPr>
              <w:spacing w:line="240" w:lineRule="auto"/>
              <w:ind w:left="720"/>
              <w:rPr>
                <w:vanish/>
                <w:color w:val="000000" w:themeColor="text1"/>
                <w:sz w:val="20"/>
                <w:szCs w:val="20"/>
              </w:rPr>
            </w:pPr>
            <w:r w:rsidRPr="00D94FB4">
              <w:rPr>
                <w:vanish/>
                <w:color w:val="000000" w:themeColor="text1"/>
                <w:sz w:val="20"/>
                <w:szCs w:val="20"/>
              </w:rPr>
              <w:t>investicijsko podjetje, kot je določeno v zakonu, ki ureja trg finančnih instrumentov,</w:t>
            </w:r>
          </w:p>
          <w:p w14:paraId="162A57AA" w14:textId="77777777" w:rsidR="000C08CA" w:rsidRPr="00D94FB4" w:rsidRDefault="000C08CA" w:rsidP="00FE328D">
            <w:pPr>
              <w:pStyle w:val="Neotevilenodstavek"/>
              <w:numPr>
                <w:ilvl w:val="0"/>
                <w:numId w:val="63"/>
              </w:numPr>
              <w:spacing w:line="240" w:lineRule="auto"/>
              <w:ind w:left="720"/>
              <w:rPr>
                <w:vanish/>
                <w:color w:val="000000" w:themeColor="text1"/>
                <w:sz w:val="20"/>
                <w:szCs w:val="20"/>
              </w:rPr>
            </w:pPr>
            <w:r w:rsidRPr="00D94FB4">
              <w:rPr>
                <w:vanish/>
                <w:color w:val="000000" w:themeColor="text1"/>
                <w:sz w:val="20"/>
                <w:szCs w:val="20"/>
              </w:rPr>
              <w:t>kreditna institucija, kot je določeno v 1. točki prvega odstavka 4. člena Uredbe (EU) št. 575/2013 Evropskega parlamenta in Sveta z dne 26. junija 2013 o bonitetnih zahtevah za kreditne institucije in investicijska podjetja ter o spremembi Uredbe (EU) št. 648/2012 (UL L št. 176 z dne 27. 6. 2013, str. 1), zadnjič spremenjena z Uredbo (EU) 2019/630 Evropskega parlamenta in Sveta z dne 17. aprila 2019 o spremembi Uredbe (EU) št. 575/2013 glede minimalnega kritja izgub za nedonosne izpostavljenosti (UL L št. 111 z dne 25. 4. 2019, str. 4), in</w:t>
            </w:r>
          </w:p>
          <w:p w14:paraId="7171DF62" w14:textId="77777777" w:rsidR="000C08CA" w:rsidRPr="00D94FB4" w:rsidRDefault="000C08CA" w:rsidP="00FE328D">
            <w:pPr>
              <w:pStyle w:val="Neotevilenodstavek"/>
              <w:numPr>
                <w:ilvl w:val="0"/>
                <w:numId w:val="63"/>
              </w:numPr>
              <w:spacing w:line="240" w:lineRule="auto"/>
              <w:ind w:left="720"/>
              <w:rPr>
                <w:vanish/>
                <w:color w:val="000000" w:themeColor="text1"/>
                <w:sz w:val="20"/>
                <w:szCs w:val="20"/>
              </w:rPr>
            </w:pPr>
            <w:r w:rsidRPr="00D94FB4">
              <w:rPr>
                <w:vanish/>
                <w:color w:val="000000" w:themeColor="text1"/>
                <w:sz w:val="20"/>
                <w:szCs w:val="20"/>
              </w:rPr>
              <w:t>centralna depotna družba,</w:t>
            </w:r>
          </w:p>
          <w:p w14:paraId="3893AF82" w14:textId="77777777" w:rsidR="000C08CA" w:rsidRPr="00D94FB4" w:rsidRDefault="000C08CA" w:rsidP="00FE328D">
            <w:pPr>
              <w:pStyle w:val="Neotevilenodstavek"/>
              <w:numPr>
                <w:ilvl w:val="0"/>
                <w:numId w:val="63"/>
              </w:numPr>
              <w:spacing w:line="240" w:lineRule="auto"/>
              <w:ind w:left="720"/>
              <w:rPr>
                <w:vanish/>
                <w:color w:val="000000" w:themeColor="text1"/>
                <w:sz w:val="20"/>
                <w:szCs w:val="20"/>
              </w:rPr>
            </w:pPr>
            <w:r w:rsidRPr="00D94FB4">
              <w:rPr>
                <w:vanish/>
                <w:color w:val="000000" w:themeColor="text1"/>
                <w:sz w:val="20"/>
                <w:szCs w:val="20"/>
              </w:rPr>
              <w:t>ki zagotavlja storitve hrambe delnic, upravljanja delnic ali vodenja računov vrednostnih papirjev v imenu delničarjev ali drugih oseb.</w:t>
            </w:r>
          </w:p>
          <w:p w14:paraId="14C0E047" w14:textId="77777777" w:rsidR="000C08CA" w:rsidRPr="00D94FB4" w:rsidRDefault="000C08CA" w:rsidP="00FE328D">
            <w:pPr>
              <w:pStyle w:val="Neotevilenodstavek"/>
              <w:numPr>
                <w:ilvl w:val="0"/>
                <w:numId w:val="109"/>
              </w:numPr>
              <w:spacing w:line="240" w:lineRule="auto"/>
              <w:rPr>
                <w:vanish/>
                <w:color w:val="000000" w:themeColor="text1"/>
                <w:sz w:val="20"/>
                <w:szCs w:val="20"/>
              </w:rPr>
            </w:pPr>
            <w:r w:rsidRPr="00D94FB4">
              <w:rPr>
                <w:vanish/>
                <w:color w:val="000000" w:themeColor="text1"/>
                <w:sz w:val="20"/>
                <w:szCs w:val="20"/>
              </w:rPr>
              <w:t>»fiduciarni račun« je račun, kot je določeno v zakonu, ki ureja trg finančnih instrumentov.</w:t>
            </w:r>
          </w:p>
          <w:p w14:paraId="4668B34C" w14:textId="77777777" w:rsidR="000C08CA" w:rsidRPr="00D94FB4" w:rsidRDefault="000C08CA" w:rsidP="00FE328D">
            <w:pPr>
              <w:pStyle w:val="Neotevilenodstavek"/>
              <w:spacing w:line="240" w:lineRule="auto"/>
              <w:rPr>
                <w:vanish/>
                <w:color w:val="000000" w:themeColor="text1"/>
                <w:sz w:val="20"/>
                <w:szCs w:val="20"/>
              </w:rPr>
            </w:pPr>
          </w:p>
          <w:p w14:paraId="39B34A98" w14:textId="77777777" w:rsidR="000C08CA" w:rsidRPr="00D94FB4" w:rsidRDefault="000C08CA" w:rsidP="00FE328D">
            <w:pPr>
              <w:pStyle w:val="Neotevilenodstavek"/>
              <w:spacing w:line="240" w:lineRule="auto"/>
              <w:rPr>
                <w:vanish/>
                <w:color w:val="000000" w:themeColor="text1"/>
                <w:sz w:val="20"/>
                <w:szCs w:val="20"/>
              </w:rPr>
            </w:pPr>
            <w:r w:rsidRPr="00D94FB4">
              <w:rPr>
                <w:vanish/>
                <w:color w:val="000000" w:themeColor="text1"/>
                <w:sz w:val="20"/>
                <w:szCs w:val="20"/>
              </w:rPr>
              <w:t>(2) Določbe 235.a do 235.e člena tega zakona se uporabljajo tudi za posrednike, ki:</w:t>
            </w:r>
          </w:p>
          <w:p w14:paraId="2E4176D9" w14:textId="77777777" w:rsidR="000C08CA" w:rsidRPr="00D94FB4" w:rsidRDefault="000C08CA" w:rsidP="00FE328D">
            <w:pPr>
              <w:pStyle w:val="Neotevilenodstavek"/>
              <w:numPr>
                <w:ilvl w:val="0"/>
                <w:numId w:val="110"/>
              </w:numPr>
              <w:spacing w:line="240" w:lineRule="auto"/>
              <w:rPr>
                <w:vanish/>
                <w:color w:val="000000" w:themeColor="text1"/>
                <w:sz w:val="20"/>
                <w:szCs w:val="20"/>
              </w:rPr>
            </w:pPr>
            <w:r w:rsidRPr="00D94FB4">
              <w:rPr>
                <w:vanish/>
                <w:color w:val="000000" w:themeColor="text1"/>
                <w:sz w:val="20"/>
                <w:szCs w:val="20"/>
              </w:rPr>
              <w:t>zagotavljajo storitve v zvezi z delnicami družb, ki imajo sedež v državi članici in katerih delnice so sprejete v trgovanje na organiziranem trgu, ki se nahaja ali deluje v državi članici, ali</w:t>
            </w:r>
          </w:p>
          <w:p w14:paraId="20791D34" w14:textId="77777777" w:rsidR="000C08CA" w:rsidRPr="00D94FB4" w:rsidRDefault="000C08CA" w:rsidP="00FE328D">
            <w:pPr>
              <w:pStyle w:val="Neotevilenodstavek"/>
              <w:numPr>
                <w:ilvl w:val="0"/>
                <w:numId w:val="110"/>
              </w:numPr>
              <w:spacing w:before="0" w:after="0" w:line="240" w:lineRule="auto"/>
              <w:rPr>
                <w:vanish/>
                <w:color w:val="000000" w:themeColor="text1"/>
                <w:sz w:val="20"/>
                <w:szCs w:val="20"/>
              </w:rPr>
            </w:pPr>
            <w:r w:rsidRPr="00D94FB4">
              <w:rPr>
                <w:vanish/>
                <w:color w:val="000000" w:themeColor="text1"/>
                <w:sz w:val="20"/>
                <w:szCs w:val="20"/>
              </w:rPr>
              <w:t>nimajo sedeža ali glavnega poslovodstva v državi članici, ko opravljajo storitve iz prejšnje alineje.</w:t>
            </w:r>
          </w:p>
          <w:p w14:paraId="61621A79" w14:textId="77777777" w:rsidR="000C08CA" w:rsidRPr="00D94FB4" w:rsidRDefault="000C08CA" w:rsidP="00FE328D">
            <w:pPr>
              <w:pStyle w:val="Neotevilenodstavek"/>
              <w:spacing w:before="0" w:after="0" w:line="240" w:lineRule="auto"/>
              <w:rPr>
                <w:vanish/>
                <w:color w:val="000000" w:themeColor="text1"/>
                <w:sz w:val="20"/>
                <w:szCs w:val="20"/>
              </w:rPr>
            </w:pPr>
          </w:p>
          <w:p w14:paraId="0B9E71D9"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280. člen</w:t>
            </w:r>
          </w:p>
          <w:p w14:paraId="588235CC"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(revizijska komisija)</w:t>
            </w:r>
          </w:p>
          <w:p w14:paraId="1656B425" w14:textId="77777777" w:rsidR="000C08CA" w:rsidRPr="00D94FB4" w:rsidRDefault="000C08CA" w:rsidP="00FE328D">
            <w:pPr>
              <w:pStyle w:val="Neotevilenodstavek"/>
              <w:spacing w:before="0" w:after="0" w:line="240" w:lineRule="auto"/>
              <w:rPr>
                <w:vanish/>
                <w:color w:val="000000" w:themeColor="text1"/>
                <w:sz w:val="20"/>
                <w:szCs w:val="20"/>
              </w:rPr>
            </w:pPr>
          </w:p>
          <w:p w14:paraId="1749AB89"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Če nadzorni svet imenuje revizijsko komisijo, mora biti vsaj en član komisije neodvisen strokovnjak in usposobljen za računovodstvo ali revizijo. Ostali člani revizijske komisije so lahko le člani nadzornega sveta, ki so neodvisni od revidiranega subjekta..</w:t>
            </w:r>
          </w:p>
          <w:p w14:paraId="0046742D" w14:textId="77777777" w:rsidR="000C08CA" w:rsidRPr="00D94FB4" w:rsidRDefault="000C08CA" w:rsidP="00FE328D">
            <w:pPr>
              <w:pStyle w:val="Neotevilenodstavek"/>
              <w:spacing w:before="0" w:after="0" w:line="240" w:lineRule="auto"/>
              <w:rPr>
                <w:vanish/>
                <w:color w:val="000000" w:themeColor="text1"/>
                <w:sz w:val="20"/>
                <w:szCs w:val="20"/>
              </w:rPr>
            </w:pPr>
          </w:p>
          <w:p w14:paraId="29E387D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Vsi člani revizijske komisije so ustrezno usposobljeni za področje delovanja revidiranega subjekta.</w:t>
            </w:r>
          </w:p>
          <w:p w14:paraId="18DE0983" w14:textId="77777777" w:rsidR="000C08CA" w:rsidRPr="00D94FB4" w:rsidRDefault="000C08CA" w:rsidP="00FE328D">
            <w:pPr>
              <w:pStyle w:val="Neotevilenodstavek"/>
              <w:spacing w:before="0" w:after="0" w:line="240" w:lineRule="auto"/>
              <w:rPr>
                <w:vanish/>
                <w:color w:val="000000" w:themeColor="text1"/>
                <w:sz w:val="20"/>
                <w:szCs w:val="20"/>
              </w:rPr>
            </w:pPr>
          </w:p>
          <w:p w14:paraId="191FAB60"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Naloge revizijske komisije so:</w:t>
            </w:r>
          </w:p>
          <w:p w14:paraId="6EFE51F9"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spremlja postopek računovodskega poročanja ter pripravlja priporočila in predloge za zagotovitev njegove celovitosti,</w:t>
            </w:r>
          </w:p>
          <w:p w14:paraId="2D9B9DF7"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spremlja učinkovitost in uspešnost notranje kontrole v družbi, notranje revizije, če obstaja, in sistemov za obvladovanje tveganja,</w:t>
            </w:r>
          </w:p>
          <w:p w14:paraId="4607E4C5"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spremlja obvezne revizije letnih in konsolidiranih računovodskih izkazov, zlasti uspešnost obvezne revizije, pri čemer upošteva vse ugotovitve in zaključke pristojnega organa,</w:t>
            </w:r>
          </w:p>
          <w:p w14:paraId="37E043D1"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pregleduje in spremlja neodvisnost revizorja letnega poročilo družbe, zlasti glede zagotavljanja dodatnih nerevizijskih storitev,</w:t>
            </w:r>
          </w:p>
          <w:p w14:paraId="31967222"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odgovarja za postopek izbire revizorja in predlaga nadzornemu svetu imenovanje kandidata za revizorja letnega poročila družbe,</w:t>
            </w:r>
          </w:p>
          <w:p w14:paraId="73A54795"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nadzoruje neoporečnost finančnih informacij, ki jih daje družba,</w:t>
            </w:r>
          </w:p>
          <w:p w14:paraId="26B8190A"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ocenjuje sestavo letnega poročila, vključno z oblikovanjem predloga za nadzorni svet,</w:t>
            </w:r>
          </w:p>
          <w:p w14:paraId="7FA55C7C"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sodeluje pri določitvi pomembnejših področij revidiranja,</w:t>
            </w:r>
          </w:p>
          <w:p w14:paraId="05DA08AC"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sodeluje pri pripravi pogodbe med revizorjem in družbo, pri čemer so prepovedana vsa pogodbena določila, ki skupščini omejujejo izbiro imenovanja revizorja. Vse take določbe so nične,</w:t>
            </w:r>
          </w:p>
          <w:p w14:paraId="188B5945"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poroča nadzornemu svetu o rezultatu obvezne revizije, vključno s pojasnilom, kako je obvezna revizija prispevala k celovitosti računovodskega poročanja in kakšno vlogo je imela revizijska komisija v tem postopku,</w:t>
            </w:r>
          </w:p>
          <w:p w14:paraId="34EC7B0B"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opravlja druge naloge, določene s statutom ali sklepom nadzornega sveta,</w:t>
            </w:r>
          </w:p>
          <w:p w14:paraId="6F3919B4"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sodeluje z revizorjem pri opravljanju revizije letnega poročila družbe, zlasti z medsebojnim obveščanjem o glavnih zadevah v zvezi z revizijo, in</w:t>
            </w:r>
          </w:p>
          <w:p w14:paraId="7C9BFDE1" w14:textId="77777777" w:rsidR="000C08CA" w:rsidRPr="00D94FB4" w:rsidRDefault="000C08CA" w:rsidP="00FE328D">
            <w:pPr>
              <w:pStyle w:val="Neotevilenodstavek"/>
              <w:numPr>
                <w:ilvl w:val="0"/>
                <w:numId w:val="64"/>
              </w:numPr>
              <w:spacing w:before="0" w:after="0" w:line="240" w:lineRule="auto"/>
              <w:rPr>
                <w:vanish/>
                <w:color w:val="000000" w:themeColor="text1"/>
                <w:sz w:val="20"/>
                <w:szCs w:val="20"/>
              </w:rPr>
            </w:pPr>
            <w:r w:rsidRPr="00D94FB4">
              <w:rPr>
                <w:vanish/>
                <w:color w:val="000000" w:themeColor="text1"/>
                <w:sz w:val="20"/>
                <w:szCs w:val="20"/>
              </w:rPr>
              <w:t>sodeluje z notranjim revizorjem, zlasti z medsebojnim obveščanjem o glavnih zadevah v zvezi z notranjo revizijo.</w:t>
            </w:r>
          </w:p>
          <w:p w14:paraId="0767ABBC" w14:textId="77777777" w:rsidR="000C08CA" w:rsidRPr="00D94FB4" w:rsidRDefault="000C08CA" w:rsidP="00FE328D">
            <w:pPr>
              <w:pStyle w:val="Neotevilenodstavek"/>
              <w:spacing w:before="0" w:after="0" w:line="240" w:lineRule="auto"/>
              <w:rPr>
                <w:vanish/>
                <w:color w:val="000000" w:themeColor="text1"/>
                <w:sz w:val="20"/>
                <w:szCs w:val="20"/>
              </w:rPr>
            </w:pPr>
          </w:p>
          <w:p w14:paraId="2F33FCAD"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281. člen</w:t>
            </w:r>
          </w:p>
          <w:p w14:paraId="78714738"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(pristojnosti nadzornega sveta)</w:t>
            </w:r>
          </w:p>
          <w:p w14:paraId="2CC62F66" w14:textId="77777777" w:rsidR="000C08CA" w:rsidRPr="00D94FB4" w:rsidRDefault="000C08CA" w:rsidP="00FE328D">
            <w:pPr>
              <w:pStyle w:val="Neotevilenodstavek"/>
              <w:spacing w:before="0" w:after="0" w:line="240" w:lineRule="auto"/>
              <w:rPr>
                <w:vanish/>
                <w:color w:val="000000" w:themeColor="text1"/>
                <w:sz w:val="20"/>
                <w:szCs w:val="20"/>
              </w:rPr>
            </w:pPr>
          </w:p>
          <w:p w14:paraId="4A151FD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Nadzorni svet nadzoruje vodenje poslov družbe.</w:t>
            </w:r>
          </w:p>
          <w:p w14:paraId="277449E3" w14:textId="77777777" w:rsidR="000C08CA" w:rsidRPr="00D94FB4" w:rsidRDefault="000C08CA" w:rsidP="00FE328D">
            <w:pPr>
              <w:pStyle w:val="Neotevilenodstavek"/>
              <w:spacing w:before="0" w:after="0" w:line="240" w:lineRule="auto"/>
              <w:rPr>
                <w:vanish/>
                <w:color w:val="000000" w:themeColor="text1"/>
                <w:sz w:val="20"/>
                <w:szCs w:val="20"/>
              </w:rPr>
            </w:pPr>
          </w:p>
          <w:p w14:paraId="334352D2"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Nadzorni svet lahko pregleduje in preverja knjige in dokumentacijo družbe, njeno blagajno, shranjene vrednostne papirje in zaloge blaga ter druge stvari. Za izvrševanje teh pravic lahko pooblasti posameznega člana, komisijo ali za določene naloge tudi posebnega izvedenca. Pri sklenitvi pogodbe z izvedencem zastopa družbo predsednik nadzornega sveta. Predsednik nadzornega sveta zastopa družbo tudi pri sklenitvi pogodbe z revizorjem letnega in konsolidiranega letnega poročila.</w:t>
            </w:r>
          </w:p>
          <w:p w14:paraId="38CD1576" w14:textId="77777777" w:rsidR="000C08CA" w:rsidRPr="00D94FB4" w:rsidRDefault="000C08CA" w:rsidP="00FE328D">
            <w:pPr>
              <w:pStyle w:val="Neotevilenodstavek"/>
              <w:spacing w:before="0" w:after="0" w:line="240" w:lineRule="auto"/>
              <w:rPr>
                <w:vanish/>
                <w:color w:val="000000" w:themeColor="text1"/>
                <w:sz w:val="20"/>
                <w:szCs w:val="20"/>
              </w:rPr>
            </w:pPr>
          </w:p>
          <w:p w14:paraId="2EBD1B2C"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Nadzorni svet lahko od uprave zahteva kakršnekoli informacije, potrebne za izvajanje nadzora. Če statut tako določa, lahko te informacije zahteva tudi vsak posamezen član nadzornega sveta, uprava pa pošlje zahtevane informacije nadzornemu svetu kot organu.</w:t>
            </w:r>
          </w:p>
          <w:p w14:paraId="27C82F84" w14:textId="77777777" w:rsidR="000C08CA" w:rsidRPr="00D94FB4" w:rsidRDefault="000C08CA" w:rsidP="00FE328D">
            <w:pPr>
              <w:pStyle w:val="Neotevilenodstavek"/>
              <w:spacing w:before="0" w:after="0" w:line="240" w:lineRule="auto"/>
              <w:rPr>
                <w:vanish/>
                <w:color w:val="000000" w:themeColor="text1"/>
                <w:sz w:val="20"/>
                <w:szCs w:val="20"/>
              </w:rPr>
            </w:pPr>
          </w:p>
          <w:p w14:paraId="45D3AE33"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Nadzorni svet lahko skliče skupščino. Nadzorni svet da skupščini predlog za imenovanje revizorja, ki mora temeljiti na predlogu revizijske komisije.</w:t>
            </w:r>
          </w:p>
          <w:p w14:paraId="64CEACCC" w14:textId="77777777" w:rsidR="000C08CA" w:rsidRPr="00D94FB4" w:rsidRDefault="000C08CA" w:rsidP="00FE328D">
            <w:pPr>
              <w:pStyle w:val="Neotevilenodstavek"/>
              <w:spacing w:before="0" w:after="0" w:line="240" w:lineRule="auto"/>
              <w:rPr>
                <w:vanish/>
                <w:color w:val="000000" w:themeColor="text1"/>
                <w:sz w:val="20"/>
                <w:szCs w:val="20"/>
              </w:rPr>
            </w:pPr>
          </w:p>
          <w:p w14:paraId="67C7F8E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Vodenje poslov se ne more prenesti na nadzorni svet. Statut ali nadzorni svet lahko določi, da se smejo posamezne vrste poslov opravljati le z njegovim soglasjem. Če nadzorni svet zavrne soglasje, lahko uprava zahteva, da o soglasju odloči skupščina. Za sklep, s katerim skupščina da soglasje, je potrebna večina najmanj treh četrtin oddanih glasov.</w:t>
            </w:r>
          </w:p>
          <w:p w14:paraId="7DA3C9B8" w14:textId="77777777" w:rsidR="000C08CA" w:rsidRPr="00D94FB4" w:rsidRDefault="000C08CA" w:rsidP="00FE328D">
            <w:pPr>
              <w:pStyle w:val="Neotevilenodstavek"/>
              <w:spacing w:before="0" w:after="0" w:line="240" w:lineRule="auto"/>
              <w:rPr>
                <w:vanish/>
                <w:color w:val="000000" w:themeColor="text1"/>
                <w:sz w:val="20"/>
                <w:szCs w:val="20"/>
              </w:rPr>
            </w:pPr>
          </w:p>
          <w:p w14:paraId="0F7E8CF6"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522. člen</w:t>
            </w:r>
          </w:p>
          <w:p w14:paraId="04F26940"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(smiselna uporaba)</w:t>
            </w:r>
          </w:p>
          <w:p w14:paraId="62BC7259" w14:textId="77777777" w:rsidR="000C08CA" w:rsidRPr="00D94FB4" w:rsidRDefault="000C08CA" w:rsidP="00FE328D">
            <w:pPr>
              <w:pStyle w:val="Neotevilenodstavek"/>
              <w:spacing w:before="0" w:after="0" w:line="240" w:lineRule="auto"/>
              <w:rPr>
                <w:vanish/>
                <w:color w:val="000000" w:themeColor="text1"/>
                <w:sz w:val="20"/>
                <w:szCs w:val="20"/>
              </w:rPr>
            </w:pPr>
          </w:p>
          <w:p w14:paraId="727B9FB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Za postopek likvidacije, prenehanja po skrajšanem postopku, uveljavljanje ničnosti in izpodbojnosti sklepov skupščine se smiselno uporabljajo določbe tega zakona o delniški družbi.</w:t>
            </w:r>
          </w:p>
          <w:p w14:paraId="0BAB1217" w14:textId="77777777" w:rsidR="000C08CA" w:rsidRPr="00D94FB4" w:rsidRDefault="000C08CA" w:rsidP="00FE328D">
            <w:pPr>
              <w:pStyle w:val="Neotevilenodstavek"/>
              <w:spacing w:before="0" w:after="0" w:line="240" w:lineRule="auto"/>
              <w:rPr>
                <w:vanish/>
                <w:color w:val="000000" w:themeColor="text1"/>
                <w:sz w:val="20"/>
                <w:szCs w:val="20"/>
              </w:rPr>
            </w:pPr>
          </w:p>
          <w:p w14:paraId="3CE1B155"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684. člen</w:t>
            </w:r>
          </w:p>
          <w:p w14:paraId="395CCD77" w14:textId="77777777" w:rsidR="000C08CA" w:rsidRPr="00D94FB4" w:rsidRDefault="000C08CA" w:rsidP="00FE328D">
            <w:pPr>
              <w:pStyle w:val="Neotevilenodstavek"/>
              <w:spacing w:before="0" w:after="0" w:line="240" w:lineRule="auto"/>
              <w:rPr>
                <w:vanish/>
                <w:color w:val="000000" w:themeColor="text1"/>
                <w:sz w:val="20"/>
                <w:szCs w:val="20"/>
              </w:rPr>
            </w:pPr>
          </w:p>
          <w:p w14:paraId="384321E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Nadzor nad izvajanjem posameznih določb tega zakona opravljajo AJPES, Finančna uprava Republike Slovenije, Inšpektorat Republike Slovenije za delo, Tržni inšpektorat Republike Slovenije in Ministrstvo za gospodarstvo.</w:t>
            </w:r>
          </w:p>
          <w:p w14:paraId="027956D2" w14:textId="77777777" w:rsidR="000C08CA" w:rsidRPr="00D94FB4" w:rsidRDefault="000C08CA" w:rsidP="00FE328D">
            <w:pPr>
              <w:pStyle w:val="Neotevilenodstavek"/>
              <w:spacing w:before="0" w:after="0" w:line="240" w:lineRule="auto"/>
              <w:rPr>
                <w:vanish/>
                <w:color w:val="000000" w:themeColor="text1"/>
                <w:sz w:val="20"/>
                <w:szCs w:val="20"/>
              </w:rPr>
            </w:pPr>
          </w:p>
          <w:p w14:paraId="040461F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AJPES je pristojna za nadzor nad izvajanjem določb prvega in drugega odstavka 58., prvega odstavka 59., tretjega in četrtega odstavka 680. v zvezi z 58., drugega in tretjega odstavka 74. ter prvega odstavka 75. člena tega zakona.</w:t>
            </w:r>
          </w:p>
          <w:p w14:paraId="372F6354" w14:textId="77777777" w:rsidR="000C08CA" w:rsidRPr="00D94FB4" w:rsidRDefault="000C08CA" w:rsidP="00FE328D">
            <w:pPr>
              <w:pStyle w:val="Neotevilenodstavek"/>
              <w:spacing w:before="0" w:after="0" w:line="240" w:lineRule="auto"/>
              <w:rPr>
                <w:vanish/>
                <w:color w:val="000000" w:themeColor="text1"/>
                <w:sz w:val="20"/>
                <w:szCs w:val="20"/>
              </w:rPr>
            </w:pPr>
          </w:p>
          <w:p w14:paraId="30025E21"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Finančna uprava Republike Slovenije je pristojna za nadzor nad izvajanjem določb tretjega odstavka 54. člena tega zakona.</w:t>
            </w:r>
          </w:p>
          <w:p w14:paraId="65E1F3A0" w14:textId="77777777" w:rsidR="000C08CA" w:rsidRPr="00D94FB4" w:rsidRDefault="000C08CA" w:rsidP="00FE328D">
            <w:pPr>
              <w:pStyle w:val="Neotevilenodstavek"/>
              <w:spacing w:before="0" w:after="0" w:line="240" w:lineRule="auto"/>
              <w:rPr>
                <w:vanish/>
                <w:color w:val="000000" w:themeColor="text1"/>
                <w:sz w:val="20"/>
                <w:szCs w:val="20"/>
              </w:rPr>
            </w:pPr>
          </w:p>
          <w:p w14:paraId="284C2096"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Inšpektorat Republike Slovenije za delo je pristojen za nadzor nad izvajanjem določb četrtega odstavka 11. člena tega zakona.</w:t>
            </w:r>
          </w:p>
          <w:p w14:paraId="0B8ADDB5" w14:textId="77777777" w:rsidR="000C08CA" w:rsidRPr="00D94FB4" w:rsidRDefault="000C08CA" w:rsidP="00FE328D">
            <w:pPr>
              <w:pStyle w:val="Neotevilenodstavek"/>
              <w:spacing w:before="0" w:after="0" w:line="240" w:lineRule="auto"/>
              <w:rPr>
                <w:vanish/>
                <w:color w:val="000000" w:themeColor="text1"/>
                <w:sz w:val="20"/>
                <w:szCs w:val="20"/>
              </w:rPr>
            </w:pPr>
          </w:p>
          <w:p w14:paraId="6968199B"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(5) Tržni inšpektorat Republike Slovenije je pristojen za nadzor nad izvajanjem določb 13. člena, prvega in šestega odstavka 15. člena, 19. člena, 30. člena, prvega odstavka 45. člena, petega in šestega odstavka 72. člena, 127. člena, 156. člena, 495. člena in drugega odstavka 679. člena tega zakona.</w:t>
            </w:r>
          </w:p>
          <w:p w14:paraId="59AB39A1" w14:textId="77777777" w:rsidR="000C08CA" w:rsidRPr="00D94FB4" w:rsidRDefault="000C08CA" w:rsidP="00FE328D">
            <w:pPr>
              <w:pStyle w:val="Neotevilenodstavek"/>
              <w:spacing w:before="0" w:after="0" w:line="240" w:lineRule="auto"/>
              <w:rPr>
                <w:vanish/>
                <w:color w:val="000000" w:themeColor="text1"/>
                <w:sz w:val="20"/>
                <w:szCs w:val="20"/>
              </w:rPr>
            </w:pPr>
          </w:p>
          <w:p w14:paraId="18CECC0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(6) Ministrstvo za gospodarstvo je pristojno za nadzor nad izvajanjem drugih določb tega zakona.</w:t>
            </w:r>
          </w:p>
          <w:p w14:paraId="5075E9A8" w14:textId="77777777" w:rsidR="000C08CA" w:rsidRPr="00D94FB4" w:rsidRDefault="000C08CA" w:rsidP="00FE328D">
            <w:pPr>
              <w:pStyle w:val="Neotevilenodstavek"/>
              <w:spacing w:before="0" w:after="0" w:line="240" w:lineRule="auto"/>
              <w:rPr>
                <w:vanish/>
                <w:color w:val="000000" w:themeColor="text1"/>
                <w:sz w:val="20"/>
                <w:szCs w:val="20"/>
              </w:rPr>
            </w:pPr>
          </w:p>
          <w:p w14:paraId="5691A5F3"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685. člen</w:t>
            </w:r>
          </w:p>
          <w:p w14:paraId="2C9845E7"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(prekrški družbe)</w:t>
            </w:r>
          </w:p>
          <w:p w14:paraId="68BE7499" w14:textId="77777777" w:rsidR="000C08CA" w:rsidRPr="00D94FB4" w:rsidRDefault="000C08CA" w:rsidP="00FE328D">
            <w:pPr>
              <w:pStyle w:val="Neotevilenodstavek"/>
              <w:spacing w:before="0" w:after="0" w:line="240" w:lineRule="auto"/>
              <w:rPr>
                <w:vanish/>
                <w:color w:val="000000" w:themeColor="text1"/>
                <w:sz w:val="20"/>
                <w:szCs w:val="20"/>
              </w:rPr>
            </w:pPr>
          </w:p>
          <w:p w14:paraId="6D8C0EEF"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Z globo od 15.000 do 45.000 eurov se za prekršek kaznuje velika družba, z globo od 10.000 do 30.000 eurov srednja družba, z globo od 2.500 do 15.000 eurov majhna družba, z globo od 1.000 do 6.000 eurov pa mikro družba če:</w:t>
            </w:r>
          </w:p>
          <w:p w14:paraId="3125E29B"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ima določen poslovni naslov v nasprotju z drugim odstavkom 30. člena tega zakona;</w:t>
            </w:r>
          </w:p>
          <w:p w14:paraId="157330D9"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v register ne prijavi podatkov ali ima v registru vpisane napačne podatke (prvi odstavek 47. člena);</w:t>
            </w:r>
          </w:p>
          <w:p w14:paraId="7F25B4D1"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v registru nima vpisanih sprememb podatkov ali pri spremembi prijavi napačne podatke ali ni sprejel akta, ki odraža zadnje dejansko stanje (prvi odstavek 48. člena);</w:t>
            </w:r>
          </w:p>
          <w:p w14:paraId="6496BAC6"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ne vodi poslovnih knjig v skladu s tretjim odstavkom 54. člena tega zakona;</w:t>
            </w:r>
          </w:p>
          <w:p w14:paraId="058819B9"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priloga z izkazi ni v skladu z 69. členom tega zakona;</w:t>
            </w:r>
          </w:p>
          <w:p w14:paraId="514F6EE0"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ob izdaji prodaja delnice pod najmanjšim emisijskim zneskom (prvi odstavek 173. člena);</w:t>
            </w:r>
          </w:p>
          <w:p w14:paraId="6F5D68B4"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izda delnice, ki ob enakem deležu v osnovnem kapitalu dajejo različno število glasov (tretji odstavek 178. člena);</w:t>
            </w:r>
          </w:p>
          <w:p w14:paraId="6D86BFB8"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delnice družbe, za katero se ne uporablja zakon, ki ureja prevzeme, niso izražene v nematerializirani obliki (182. člen);</w:t>
            </w:r>
          </w:p>
          <w:p w14:paraId="6575D946"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ne poda zahteve za izdajo delnic v nematerializirani obliki v roku iz drugega odstavka 182. člena;</w:t>
            </w:r>
          </w:p>
          <w:p w14:paraId="751D2DC4"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delničarje ali njihove prednike oprosti plačila obveznosti iz 222. in 225. člena tega zakona (prvi odstavek 226. člena);</w:t>
            </w:r>
          </w:p>
          <w:p w14:paraId="7B71A226"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vrne vložke ali jih obrestuje (227. člen);</w:t>
            </w:r>
          </w:p>
          <w:p w14:paraId="51668603"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uporabi čisti dobiček v nasprotju z določbo prvega odstavka 230. člena tega zakona;</w:t>
            </w:r>
          </w:p>
          <w:p w14:paraId="653004D1"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pridobi lastne delnice v nasprotju z določbami 247. člena tega zakona;</w:t>
            </w:r>
          </w:p>
          <w:p w14:paraId="7E35BD0F"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družba v nasprotju z določbami 248. člena zagotovi predujem ali posojilo za pridobitev delnic;</w:t>
            </w:r>
          </w:p>
          <w:p w14:paraId="6EA2E14E"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pridobi lastne delnice v zastavo v nasprotju z določbami 252. člena tega zakona;</w:t>
            </w:r>
          </w:p>
          <w:p w14:paraId="79AA6D16"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delničarjem zaračuna stroške v nasprotju s sedmim odstavkom 296. člena tega zakona;</w:t>
            </w:r>
          </w:p>
          <w:p w14:paraId="1A27D9A8"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poveča osnovni kapital z vložki v nasprotju z določbami 333. in 334. člena tega zakona;</w:t>
            </w:r>
          </w:p>
          <w:p w14:paraId="05D5D4D5"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ravna v nasprotju s 352. členom tega zakona;</w:t>
            </w:r>
          </w:p>
          <w:p w14:paraId="775297D6"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izvede pogojno povečanje osnovnega kapitala v nasprotju z določbami 343. člena tega zakona;</w:t>
            </w:r>
          </w:p>
          <w:p w14:paraId="3697F03E"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izda delnice ali začasnice pred vpisom sklepa o pogojnem povečanju osnovnega kapitala v register (342., 348. in 370. člen tega zakona);</w:t>
            </w:r>
          </w:p>
          <w:p w14:paraId="7DE84BF8"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zmanjša osnovni kapital v nasprotju z določbami 372. člena tega zakona;</w:t>
            </w:r>
          </w:p>
          <w:p w14:paraId="53B753F1"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združi delnice v nasprotju s 376. členom tega zakona;</w:t>
            </w:r>
          </w:p>
          <w:p w14:paraId="3B1C1F4A"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se zmanjša osnovni kapital pod najnižji znesek iz 171. člena tega zakona v nasprotju z določbo 378. člena tega zakona;</w:t>
            </w:r>
          </w:p>
          <w:p w14:paraId="40E93273"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prijava in izvedba skupščine nista v skladu s 386. členom tega zakona;</w:t>
            </w:r>
          </w:p>
          <w:p w14:paraId="4D413414"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izplača komplementarju dividendo oziroma odobri posojilo v nasprotju s prvim in drugim odstavkom 470. člena tega zakona;</w:t>
            </w:r>
          </w:p>
          <w:p w14:paraId="5977B5FC"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izplača družbenikom premoženje, ki je potrebno za ohranjanje osnovnega kapitala (495. člen tega zakona);</w:t>
            </w:r>
          </w:p>
          <w:p w14:paraId="608D72C4" w14:textId="77777777" w:rsidR="000C08CA" w:rsidRPr="00D94FB4" w:rsidRDefault="000C08CA" w:rsidP="00FE328D">
            <w:pPr>
              <w:pStyle w:val="Neotevilenodstavek"/>
              <w:numPr>
                <w:ilvl w:val="0"/>
                <w:numId w:val="65"/>
              </w:numPr>
              <w:spacing w:before="0" w:after="0" w:line="240" w:lineRule="auto"/>
              <w:rPr>
                <w:vanish/>
                <w:color w:val="000000" w:themeColor="text1"/>
                <w:sz w:val="20"/>
                <w:szCs w:val="20"/>
              </w:rPr>
            </w:pPr>
            <w:r w:rsidRPr="00D94FB4">
              <w:rPr>
                <w:vanish/>
                <w:color w:val="000000" w:themeColor="text1"/>
                <w:sz w:val="20"/>
                <w:szCs w:val="20"/>
              </w:rPr>
              <w:t>pridobi lastne poslovne deleže v nasprotju z določbami 500. člena tega zakona.</w:t>
            </w:r>
          </w:p>
          <w:p w14:paraId="2D78AA76" w14:textId="77777777" w:rsidR="000C08CA" w:rsidRPr="00D94FB4" w:rsidRDefault="000C08CA" w:rsidP="00FE328D">
            <w:pPr>
              <w:pStyle w:val="Neotevilenodstavek"/>
              <w:spacing w:before="0" w:after="0" w:line="240" w:lineRule="auto"/>
              <w:rPr>
                <w:vanish/>
                <w:color w:val="000000" w:themeColor="text1"/>
                <w:sz w:val="20"/>
                <w:szCs w:val="20"/>
              </w:rPr>
            </w:pPr>
          </w:p>
          <w:p w14:paraId="093041DE"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 globo od 500 do 4.000 eurov se kaznuje tudi odgovorna oseba družbe, ki stori prekršek iz prejšnjega odstavka.</w:t>
            </w:r>
          </w:p>
          <w:p w14:paraId="1B5BA2B0" w14:textId="77777777" w:rsidR="000C08CA" w:rsidRPr="00D94FB4" w:rsidRDefault="000C08CA" w:rsidP="00FE328D">
            <w:pPr>
              <w:pStyle w:val="Neotevilenodstavek"/>
              <w:spacing w:before="0" w:after="0" w:line="240" w:lineRule="auto"/>
              <w:rPr>
                <w:vanish/>
                <w:color w:val="000000" w:themeColor="text1"/>
                <w:sz w:val="20"/>
                <w:szCs w:val="20"/>
              </w:rPr>
            </w:pPr>
          </w:p>
          <w:p w14:paraId="257D06E4"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686. člen</w:t>
            </w:r>
          </w:p>
          <w:p w14:paraId="487E2135"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(drugi prekrški družbe)</w:t>
            </w:r>
          </w:p>
          <w:p w14:paraId="29CCD9ED" w14:textId="77777777" w:rsidR="000C08CA" w:rsidRPr="00D94FB4" w:rsidRDefault="000C08CA" w:rsidP="00FE328D">
            <w:pPr>
              <w:pStyle w:val="Neotevilenodstavek"/>
              <w:spacing w:before="0" w:after="0" w:line="240" w:lineRule="auto"/>
              <w:rPr>
                <w:vanish/>
                <w:color w:val="000000" w:themeColor="text1"/>
                <w:sz w:val="20"/>
                <w:szCs w:val="20"/>
              </w:rPr>
            </w:pPr>
          </w:p>
          <w:p w14:paraId="32D1339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Z globo od 6.000 do 30.000 eurov se za prekršek kaznuje velika družba, z globo od 4.000 do 20.000 eurov srednja družba, z globo od 1.000 do 10.000 eurov majhna družba, z globo od 500 do 5.000 eurov pa mikro družba, če:</w:t>
            </w:r>
          </w:p>
          <w:p w14:paraId="1EB5D1B3"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krši prvi in četrti odstavek 11. člena tega zakona;</w:t>
            </w:r>
          </w:p>
          <w:p w14:paraId="403A745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ima v firmi dodatne sestavine, ki družbo podrobneje označujejo, v nasprotju s 13. členom tega zakona;</w:t>
            </w:r>
          </w:p>
          <w:p w14:paraId="1D8D8C1D"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uporablja besedo Slovenija v nasprotju s 15. členom tega zakona;</w:t>
            </w:r>
          </w:p>
          <w:p w14:paraId="5A4506F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pri svojem poslovanju ne uporablja firme v obliki, kot je vpisana v register (19. člen);</w:t>
            </w:r>
          </w:p>
          <w:p w14:paraId="2528B75A"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na dopisih, ki jih pošilja družba, ni podatkov iz prvega odstavka 45. člena tega zakona;</w:t>
            </w:r>
          </w:p>
          <w:p w14:paraId="260EC313"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letnega poročila ali konsolidiranega letnega poročila ne sestavi v rokih iz 54. člena tega zakona;</w:t>
            </w:r>
          </w:p>
          <w:p w14:paraId="1F5E7F67"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letnega poročila ali konsolidiranega letnega poročila skupaj z revizorjevim poročilom ali popravljenega letnega poročila ali konsolidiranega letnega poročila oziroma spremembe revizorjevega poročila ne predloži AJPES na način in v rokih, ki jih določa prvi odstavek 58. člena tega zakona;</w:t>
            </w:r>
          </w:p>
          <w:p w14:paraId="074A618C"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letno poročilo ne vsebuje sestavin iz 60. člena tega zakona;</w:t>
            </w:r>
          </w:p>
          <w:p w14:paraId="4B8CE42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letno poročilo ni podpisano v skladu s 60.a členom tega zakona;</w:t>
            </w:r>
          </w:p>
          <w:p w14:paraId="7719205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poslovno poročilo ne vsebuje sestavin iz 70. člena tega zakona;</w:t>
            </w:r>
          </w:p>
          <w:p w14:paraId="19FA1BE5"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na poslovnih listinah poleg firme dvojne družbe nista označena ime in priimek poslovodij ali članov poslovodstva komplementarja v dvojni družbi (prvi odstavek 156. člena);</w:t>
            </w:r>
          </w:p>
          <w:p w14:paraId="2B0CF0E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pri vodenju poslov dvojne družbe pri podpisovanju fizične osebe ni dodana tudi firma komplementarja (drugi odstavek 156. člena);</w:t>
            </w:r>
          </w:p>
          <w:p w14:paraId="2A82265C"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ima v sestavi osnovnega kapitala več kot polovico delnic brez glasovalne pravice (drugi odstavek 178. člena);</w:t>
            </w:r>
          </w:p>
          <w:p w14:paraId="5E064E7E"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delničarju po ponovnem pozivu ne odvzame neplačanih delnic (drugi odstavek 224. člena);</w:t>
            </w:r>
          </w:p>
          <w:p w14:paraId="32FE2505"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vpisuje lastne delnice (prvi odstavek 229. člena);</w:t>
            </w:r>
          </w:p>
          <w:p w14:paraId="5ADF0436"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prevzame lastne delnice v nasprotju z drugim odstavkom 229. člena tega zakona;</w:t>
            </w:r>
          </w:p>
          <w:p w14:paraId="38B16BD3"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izplača vmesno dividendo v nasprotju z 232. členom tega zakona;</w:t>
            </w:r>
          </w:p>
          <w:p w14:paraId="09826030"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posreduje informacij za uresničevanje pravic delničarjev iz 1. in 2. točke prvega odstavka 235.c člena tega zakona v skladu z drugim do četrtim odstavkom 235.c člena tega zakona;</w:t>
            </w:r>
          </w:p>
          <w:p w14:paraId="69B0BF71"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hrani osebne podatke o delničarjih družbe, ki jih je zbrala za namen iz prvega odstavka 235.d člena tega zakona, dlje od 12 mesecev po tem, ko se je seznanila, da oseba ni več delničar družbe, razen v primerih iz drugega odstavka 235.d člena tega zakona (drugi odstavek 235.d člena);</w:t>
            </w:r>
          </w:p>
          <w:p w14:paraId="3CAD401F"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informacij za uresničevanje pravic delničarjev ne zagotavlja brezplačno (šesti odstavek 235.e člena);</w:t>
            </w:r>
          </w:p>
          <w:p w14:paraId="5D81B895"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ima organ vodenja ali nadzora sestavljen v nasprotju z 254. in 255. členom tega zakona;</w:t>
            </w:r>
          </w:p>
          <w:p w14:paraId="5493055E"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odobri posojila v nasprotju z 261. členom tega zakona;</w:t>
            </w:r>
          </w:p>
          <w:p w14:paraId="2741CDCD"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prijavi v register podatkov iz 277. člena in prvega odstavka 278. člena tega zakona;</w:t>
            </w:r>
          </w:p>
          <w:p w14:paraId="22810578"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objavi posla s povezanimi strankami v skladu z 281.d členom tega zakona;</w:t>
            </w:r>
          </w:p>
          <w:p w14:paraId="4ABB97D2"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potrdila ne zagotovi brez odlašanja (četrti odstavek 297. člena);</w:t>
            </w:r>
          </w:p>
          <w:p w14:paraId="19BC3B38"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v prilogi k računovodskim izkazom ne razkrije politike prejemkov članov organa vodenja ali nadzora (peti odstavek 294. člena);</w:t>
            </w:r>
          </w:p>
          <w:p w14:paraId="65388458"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objavi politike prejemkov v skladu s petim odstavkom 294.a člena tega zakona;</w:t>
            </w:r>
          </w:p>
          <w:p w14:paraId="443A1C3B"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zagotovi brezplačnega dostopa do poročila o prejemkih in ga ne objavi v skladu z osmim odstavkom 294.b člena tega zakona;</w:t>
            </w:r>
          </w:p>
          <w:p w14:paraId="0459CB5E"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objavi dodatnih točk dnevnega reda iz tretjega odstavka 298. člena tega zakona;</w:t>
            </w:r>
          </w:p>
          <w:p w14:paraId="03DB9704"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pošlje overjenega prepisa zapisnika in prilog v 24 urah po seji skupščine (peti odstavek 304. člena);</w:t>
            </w:r>
          </w:p>
          <w:p w14:paraId="1A3D1AF8"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potrdila ne zagotovi brez odlašanja (sedmi odstavek 304. člena);</w:t>
            </w:r>
          </w:p>
          <w:p w14:paraId="35405D82"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ne objavi listin ali ne omogoči njihovega brezplačnega prepisa (drugi odstavek 188. člena, drugi odstavek 297.a člena, drugi in tretji odstavek 437. člena, tretji odstavek 447. člena, drugi odstavek 535.č, četrti odstavek 555.a, šesti odstavek 586. člena in 629. člen);</w:t>
            </w:r>
          </w:p>
          <w:p w14:paraId="01500DA9"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poveča osnovni kapital v nasprotju z določbami 358. člena tega zakona;</w:t>
            </w:r>
          </w:p>
          <w:p w14:paraId="7728C02B"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družbeniku v nasprotju s 512. členom tega zakona ne da informaciji oziroma mu ne dovoli vpogleda;</w:t>
            </w:r>
          </w:p>
          <w:p w14:paraId="71611F2A" w14:textId="77777777" w:rsidR="000C08CA" w:rsidRPr="00D94FB4" w:rsidRDefault="000C08CA" w:rsidP="00FE328D">
            <w:pPr>
              <w:pStyle w:val="Neotevilenodstavek"/>
              <w:numPr>
                <w:ilvl w:val="0"/>
                <w:numId w:val="66"/>
              </w:numPr>
              <w:spacing w:before="0" w:after="0" w:line="240" w:lineRule="auto"/>
              <w:rPr>
                <w:vanish/>
                <w:color w:val="000000" w:themeColor="text1"/>
                <w:sz w:val="20"/>
                <w:szCs w:val="20"/>
              </w:rPr>
            </w:pPr>
            <w:r w:rsidRPr="00D94FB4">
              <w:rPr>
                <w:vanish/>
                <w:color w:val="000000" w:themeColor="text1"/>
                <w:sz w:val="20"/>
                <w:szCs w:val="20"/>
              </w:rPr>
              <w:t>opusti dolžnost obveščanja in objave v skladu s 532. členom tega zakona.</w:t>
            </w:r>
          </w:p>
          <w:p w14:paraId="35F58911" w14:textId="77777777" w:rsidR="000C08CA" w:rsidRPr="00D94FB4" w:rsidRDefault="000C08CA" w:rsidP="00FE328D">
            <w:pPr>
              <w:pStyle w:val="Neotevilenodstavek"/>
              <w:spacing w:before="0" w:after="0" w:line="240" w:lineRule="auto"/>
              <w:rPr>
                <w:vanish/>
                <w:color w:val="000000" w:themeColor="text1"/>
                <w:sz w:val="20"/>
                <w:szCs w:val="20"/>
              </w:rPr>
            </w:pPr>
          </w:p>
          <w:p w14:paraId="27981FE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 globo od 300 do 2.500 eurov se kaznuje tudi odgovorna oseba družbe, ki stori prekršek iz prejšnjega odstavka.</w:t>
            </w:r>
          </w:p>
          <w:p w14:paraId="120D9D45" w14:textId="77777777" w:rsidR="000C08CA" w:rsidRPr="00D94FB4" w:rsidRDefault="000C08CA" w:rsidP="00FE328D">
            <w:pPr>
              <w:pStyle w:val="Neotevilenodstavek"/>
              <w:spacing w:before="0" w:after="0" w:line="240" w:lineRule="auto"/>
              <w:rPr>
                <w:vanish/>
                <w:color w:val="000000" w:themeColor="text1"/>
                <w:sz w:val="20"/>
                <w:szCs w:val="20"/>
              </w:rPr>
            </w:pPr>
          </w:p>
          <w:p w14:paraId="2F570F33"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686.a člen</w:t>
            </w:r>
          </w:p>
          <w:p w14:paraId="39EED4AB"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(drugi prekrški družbe in odgovornih oseb)</w:t>
            </w:r>
          </w:p>
          <w:p w14:paraId="1A61865B" w14:textId="77777777" w:rsidR="000C08CA" w:rsidRPr="00D94FB4" w:rsidRDefault="000C08CA" w:rsidP="00FE328D">
            <w:pPr>
              <w:pStyle w:val="Neotevilenodstavek"/>
              <w:spacing w:before="0" w:after="0" w:line="240" w:lineRule="auto"/>
              <w:rPr>
                <w:vanish/>
                <w:color w:val="000000" w:themeColor="text1"/>
                <w:sz w:val="20"/>
                <w:szCs w:val="20"/>
              </w:rPr>
            </w:pPr>
          </w:p>
          <w:p w14:paraId="2A6C098E"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Z globo od 2.000 do 10.000 eurov se za prekršek kaznuje velika družba, z globo od 1.000 do 5.000 eurov srednja družba, z globo od 700 do 3.000 eurov majhna družba, z globo od 300 do 1.000 eurov pa mikro družba:</w:t>
            </w:r>
          </w:p>
          <w:p w14:paraId="0DB764C8" w14:textId="77777777" w:rsidR="000C08CA" w:rsidRPr="00D94FB4" w:rsidRDefault="000C08CA" w:rsidP="00FE328D">
            <w:pPr>
              <w:pStyle w:val="Neotevilenodstavek"/>
              <w:numPr>
                <w:ilvl w:val="0"/>
                <w:numId w:val="67"/>
              </w:numPr>
              <w:spacing w:before="0" w:after="0" w:line="240" w:lineRule="auto"/>
              <w:rPr>
                <w:vanish/>
                <w:color w:val="000000" w:themeColor="text1"/>
                <w:sz w:val="20"/>
                <w:szCs w:val="20"/>
              </w:rPr>
            </w:pPr>
            <w:r w:rsidRPr="00D94FB4">
              <w:rPr>
                <w:vanish/>
                <w:color w:val="000000" w:themeColor="text1"/>
                <w:sz w:val="20"/>
                <w:szCs w:val="20"/>
              </w:rPr>
              <w:t>če letnega poročila ne predloži AJPES zaradi javne objave na način in v rokih, ki jih določa drugi odstavek 58. člena tega zakona</w:t>
            </w:r>
          </w:p>
          <w:p w14:paraId="4FA1F81D" w14:textId="77777777" w:rsidR="000C08CA" w:rsidRPr="00D94FB4" w:rsidRDefault="000C08CA" w:rsidP="00FE328D">
            <w:pPr>
              <w:pStyle w:val="Neotevilenodstavek"/>
              <w:numPr>
                <w:ilvl w:val="0"/>
                <w:numId w:val="67"/>
              </w:numPr>
              <w:spacing w:before="0" w:after="0" w:line="240" w:lineRule="auto"/>
              <w:rPr>
                <w:vanish/>
                <w:color w:val="000000" w:themeColor="text1"/>
                <w:sz w:val="20"/>
                <w:szCs w:val="20"/>
              </w:rPr>
            </w:pPr>
            <w:r w:rsidRPr="00D94FB4">
              <w:rPr>
                <w:vanish/>
                <w:color w:val="000000" w:themeColor="text1"/>
                <w:sz w:val="20"/>
                <w:szCs w:val="20"/>
              </w:rPr>
              <w:t>če ne predloži AJPES podatkov iz letnih poročil o svojem premoženjskem in finančnem poslovanju ter poslovnem izidu v treh mesecih po koncu koledarskega leta (prvi odstavek 59. člena).</w:t>
            </w:r>
          </w:p>
          <w:p w14:paraId="13B857DD" w14:textId="77777777" w:rsidR="000C08CA" w:rsidRPr="00D94FB4" w:rsidRDefault="000C08CA" w:rsidP="00FE328D">
            <w:pPr>
              <w:pStyle w:val="Neotevilenodstavek"/>
              <w:spacing w:before="0" w:after="0" w:line="240" w:lineRule="auto"/>
              <w:rPr>
                <w:vanish/>
                <w:color w:val="000000" w:themeColor="text1"/>
                <w:sz w:val="20"/>
                <w:szCs w:val="20"/>
              </w:rPr>
            </w:pPr>
          </w:p>
          <w:p w14:paraId="220F7F45"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 globo od 300 do 4.000 eurov se kaznuje tudi odgovorna oseba družbe, ki stori prekršek iz prejšnjega odstavka.</w:t>
            </w:r>
          </w:p>
          <w:p w14:paraId="47924691" w14:textId="77777777" w:rsidR="000C08CA" w:rsidRPr="00D94FB4" w:rsidRDefault="000C08CA" w:rsidP="00FE328D">
            <w:pPr>
              <w:pStyle w:val="Neotevilenodstavek"/>
              <w:spacing w:before="0" w:after="0" w:line="240" w:lineRule="auto"/>
              <w:rPr>
                <w:vanish/>
                <w:color w:val="000000" w:themeColor="text1"/>
                <w:sz w:val="20"/>
                <w:szCs w:val="20"/>
              </w:rPr>
            </w:pPr>
          </w:p>
          <w:p w14:paraId="51AA13F9"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687. člen</w:t>
            </w:r>
          </w:p>
          <w:p w14:paraId="04CD157F"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(prekrški tujega podjetja, ki je ustanovilo podružnico)</w:t>
            </w:r>
          </w:p>
          <w:p w14:paraId="4ABE5B0A" w14:textId="77777777" w:rsidR="000C08CA" w:rsidRPr="00D94FB4" w:rsidRDefault="000C08CA" w:rsidP="00FE328D">
            <w:pPr>
              <w:pStyle w:val="Neotevilenodstavek"/>
              <w:spacing w:before="0" w:after="0" w:line="240" w:lineRule="auto"/>
              <w:rPr>
                <w:vanish/>
                <w:color w:val="000000" w:themeColor="text1"/>
                <w:sz w:val="20"/>
                <w:szCs w:val="20"/>
              </w:rPr>
            </w:pPr>
          </w:p>
          <w:p w14:paraId="03B7676D"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Z globo od 15.000 do 45.000 eurov se za prekršek kaznuje tuje podjetje, ki ustreza merilom za velike družbe, z globo od 10.000 do 30.000 eurov tuje podjetje, ki ustreza merilom za srednje družbe, z globo od 5.000 do 15.000 eurov tuje podjetje, ki ustreza merilom za majhne družbe, z globo od 2.000 do 6.000 eurov pa tuje podjetje, ki ustreza merilom za mikro družbe ki je ustanovilo podružnico, če ob vpisu v register ne prijavi vseh podatkov, ki se po tem zakonu vpisujejo v register (677. člen in 681. člen).</w:t>
            </w:r>
          </w:p>
          <w:p w14:paraId="2E077D71" w14:textId="77777777" w:rsidR="000C08CA" w:rsidRPr="00D94FB4" w:rsidRDefault="000C08CA" w:rsidP="00FE328D">
            <w:pPr>
              <w:pStyle w:val="Neotevilenodstavek"/>
              <w:spacing w:before="0" w:after="0" w:line="240" w:lineRule="auto"/>
              <w:rPr>
                <w:vanish/>
                <w:color w:val="000000" w:themeColor="text1"/>
                <w:sz w:val="20"/>
                <w:szCs w:val="20"/>
              </w:rPr>
            </w:pPr>
          </w:p>
          <w:p w14:paraId="70641E68"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 globo od 300 do 4.000 eurov se kaznuje tudi odgovorna oseba tujega podjetja, ki stori prekršek iz prejšnjega odstavka.</w:t>
            </w:r>
          </w:p>
          <w:p w14:paraId="4BEF6B20" w14:textId="77777777" w:rsidR="000C08CA" w:rsidRPr="00D94FB4" w:rsidRDefault="000C08CA" w:rsidP="00FE328D">
            <w:pPr>
              <w:pStyle w:val="Neotevilenodstavek"/>
              <w:spacing w:before="0" w:after="0" w:line="240" w:lineRule="auto"/>
              <w:rPr>
                <w:vanish/>
                <w:color w:val="000000" w:themeColor="text1"/>
                <w:sz w:val="20"/>
                <w:szCs w:val="20"/>
              </w:rPr>
            </w:pPr>
          </w:p>
          <w:p w14:paraId="3AED8178"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(3) Z globo od 6.000 do 30.000 eurov se za prekršek kaznuje tuje podjetje, ki ustreza merilom za velike družbe, z globo od 4.000 do 20.000 eurov tuje podjetje, ki ustreza merilom za srednje družbe, z globo od 2.000 do 10.000 eurov tuje podjetje, ki ustreza merilom za majhne družbe, z globo od 1.000 do 5.000 eurov pa tuje podjetje, ki ustreza merilom za mikro družbe ki je ustanovilo podružnico, če podružnica:</w:t>
            </w:r>
          </w:p>
          <w:p w14:paraId="448CA013" w14:textId="77777777" w:rsidR="000C08CA" w:rsidRPr="00D94FB4" w:rsidRDefault="000C08CA" w:rsidP="00FE328D">
            <w:pPr>
              <w:pStyle w:val="Neotevilenodstavek"/>
              <w:numPr>
                <w:ilvl w:val="0"/>
                <w:numId w:val="68"/>
              </w:numPr>
              <w:spacing w:before="0" w:after="0" w:line="240" w:lineRule="auto"/>
              <w:rPr>
                <w:vanish/>
                <w:color w:val="000000" w:themeColor="text1"/>
                <w:sz w:val="20"/>
                <w:szCs w:val="20"/>
              </w:rPr>
            </w:pPr>
            <w:r w:rsidRPr="00D94FB4">
              <w:rPr>
                <w:vanish/>
                <w:color w:val="000000" w:themeColor="text1"/>
                <w:sz w:val="20"/>
                <w:szCs w:val="20"/>
              </w:rPr>
              <w:t>pri svojem poslovanju ne uporablja firme in drugih podatkov iz 679. člena tega zakona;</w:t>
            </w:r>
          </w:p>
          <w:p w14:paraId="61E5DDAE" w14:textId="77777777" w:rsidR="000C08CA" w:rsidRPr="00D94FB4" w:rsidRDefault="000C08CA" w:rsidP="00FE328D">
            <w:pPr>
              <w:pStyle w:val="Neotevilenodstavek"/>
              <w:numPr>
                <w:ilvl w:val="0"/>
                <w:numId w:val="68"/>
              </w:numPr>
              <w:spacing w:before="0" w:after="0" w:line="240" w:lineRule="auto"/>
              <w:rPr>
                <w:vanish/>
                <w:color w:val="000000" w:themeColor="text1"/>
                <w:sz w:val="20"/>
                <w:szCs w:val="20"/>
              </w:rPr>
            </w:pPr>
            <w:r w:rsidRPr="00D94FB4">
              <w:rPr>
                <w:vanish/>
                <w:color w:val="000000" w:themeColor="text1"/>
                <w:sz w:val="20"/>
                <w:szCs w:val="20"/>
              </w:rPr>
              <w:t>ne predloži AJPES podatkov iz letnih poročil o svojem premoženjskem in finančnem poslovanju ter poslovnem izidu v treh mesecih po koncu koledarskega leta (drugi odstavek 680. člena v zvezi s prvim odstavkom 59. člena);</w:t>
            </w:r>
          </w:p>
          <w:p w14:paraId="4A7641D0" w14:textId="77777777" w:rsidR="000C08CA" w:rsidRPr="00D94FB4" w:rsidRDefault="000C08CA" w:rsidP="00FE328D">
            <w:pPr>
              <w:pStyle w:val="Neotevilenodstavek"/>
              <w:numPr>
                <w:ilvl w:val="0"/>
                <w:numId w:val="68"/>
              </w:numPr>
              <w:spacing w:before="0" w:after="0" w:line="240" w:lineRule="auto"/>
              <w:rPr>
                <w:vanish/>
                <w:color w:val="000000" w:themeColor="text1"/>
                <w:sz w:val="20"/>
                <w:szCs w:val="20"/>
              </w:rPr>
            </w:pPr>
            <w:r w:rsidRPr="00D94FB4">
              <w:rPr>
                <w:vanish/>
                <w:color w:val="000000" w:themeColor="text1"/>
                <w:sz w:val="20"/>
                <w:szCs w:val="20"/>
              </w:rPr>
              <w:t>ne predloži AJPES letnega poročila zaradi javne objave v osmih mesecih po koncu poslovnega leta (tretji in četrti odstavek 680. člena v zvezi z 58. členom).</w:t>
            </w:r>
          </w:p>
          <w:p w14:paraId="35C7AE17" w14:textId="77777777" w:rsidR="000C08CA" w:rsidRPr="00D94FB4" w:rsidRDefault="000C08CA" w:rsidP="00FE328D">
            <w:pPr>
              <w:pStyle w:val="Neotevilenodstavek"/>
              <w:spacing w:before="0" w:after="0" w:line="240" w:lineRule="auto"/>
              <w:rPr>
                <w:vanish/>
                <w:color w:val="000000" w:themeColor="text1"/>
                <w:sz w:val="20"/>
                <w:szCs w:val="20"/>
              </w:rPr>
            </w:pPr>
          </w:p>
          <w:p w14:paraId="486E86EA"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(4) Z globo od 300 do 4.000 eurov se kaznuje tudi odgovorna oseba tujega podjetja, ki stori prekršek iz prejšnjega odstavka.</w:t>
            </w:r>
          </w:p>
          <w:p w14:paraId="533AA1B0" w14:textId="77777777" w:rsidR="000C08CA" w:rsidRPr="00D94FB4" w:rsidRDefault="000C08CA" w:rsidP="00FE328D">
            <w:pPr>
              <w:pStyle w:val="Neotevilenodstavek"/>
              <w:spacing w:before="0" w:after="0" w:line="240" w:lineRule="auto"/>
              <w:rPr>
                <w:vanish/>
                <w:color w:val="000000" w:themeColor="text1"/>
                <w:sz w:val="20"/>
                <w:szCs w:val="20"/>
              </w:rPr>
            </w:pPr>
          </w:p>
          <w:p w14:paraId="0B59BF3F"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688. člen</w:t>
            </w:r>
          </w:p>
          <w:p w14:paraId="0D0A935B" w14:textId="77777777" w:rsidR="000C08CA" w:rsidRPr="00D94FB4" w:rsidRDefault="000C08CA" w:rsidP="00FE328D">
            <w:pPr>
              <w:pStyle w:val="Neotevilenodstavek"/>
              <w:spacing w:before="0" w:after="0" w:line="240" w:lineRule="auto"/>
              <w:jc w:val="center"/>
              <w:rPr>
                <w:b/>
                <w:bCs/>
                <w:vanish/>
                <w:color w:val="000000" w:themeColor="text1"/>
                <w:sz w:val="20"/>
                <w:szCs w:val="20"/>
              </w:rPr>
            </w:pPr>
            <w:r w:rsidRPr="00D94FB4">
              <w:rPr>
                <w:b/>
                <w:bCs/>
                <w:vanish/>
                <w:color w:val="000000" w:themeColor="text1"/>
                <w:sz w:val="20"/>
                <w:szCs w:val="20"/>
              </w:rPr>
              <w:t>(prekrški podjetnika)</w:t>
            </w:r>
          </w:p>
          <w:p w14:paraId="69C3B7C3" w14:textId="77777777" w:rsidR="000C08CA" w:rsidRPr="00D94FB4" w:rsidRDefault="000C08CA" w:rsidP="00FE328D">
            <w:pPr>
              <w:pStyle w:val="Neotevilenodstavek"/>
              <w:spacing w:before="0" w:after="0" w:line="240" w:lineRule="auto"/>
              <w:rPr>
                <w:vanish/>
                <w:color w:val="000000" w:themeColor="text1"/>
                <w:sz w:val="20"/>
                <w:szCs w:val="20"/>
              </w:rPr>
            </w:pPr>
          </w:p>
          <w:p w14:paraId="146DAC6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(1) Z globo od 2.000 do 5.000 eurov se za prekršek kaznuje podjetnik, ki ustreza merilom za velike družbe, z globo od 1.300 do 3.500 eurov podjetnik, ki ustreza merilom za srednje družbe, z globo od 600 do 2.000 eurov podjetnik, ki ustreza merilom za majhne družbe, z globo od 200 do 800 eurov pa podjetnik, ki ustreza merilom za mikro družbe:</w:t>
            </w:r>
          </w:p>
          <w:p w14:paraId="4E7BA8DC"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ima v firmi dodatne sestavine, ki podjetnika podrobneje označujejo, v nasprotju s 13. členom tega zakona;</w:t>
            </w:r>
          </w:p>
          <w:p w14:paraId="7909D7A9"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v primeru iz drugega odstavka 58. člena tega zakona ne predloži AJPES letnega poročila zaradi javne objave v treh mesecih po koncu poslovnega leta ali ga ne predloži v elektronski obliki, razen podjetnikov, ki so po določbah o obdavčitvi dohodkov iz dejavnosti zakona, ki ureja dohodnino, obdavčeni na podlagi ugotovljenega dobička z upoštevanjem normiranih odhodkov;</w:t>
            </w:r>
          </w:p>
          <w:p w14:paraId="09A36323"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v primeru iz prvega odstavka 59. člena tega zakona ne predloži AJPES podatkov iz letnih poročil o svojem premoženjskem in finančnem poslovanju ter poslovnem izidu v treh mesecih po koncu koledarskega leta, razen podjetnikov, ki so po določbah o obdavčitvi dohodkov iz dejavnosti zakona, ki ureja dohodnino, obdavčeni na podlagi ugotovljenega dobička z upoštevanjem normiranih odhodkov;</w:t>
            </w:r>
          </w:p>
          <w:p w14:paraId="5C1EE930"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uporablja oznako v nasprotju s prvim in drugim odstavkom 72. člena tega zakona;</w:t>
            </w:r>
          </w:p>
          <w:p w14:paraId="28E4CE79"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na sporočilih, ki jih pošlje posameznemu naslovniku, ali sporočilih, ki jih pošilja v okviru obstoječih poslovnih stikov, ne navede podatkov v skladu s petim ali šestim odstavkom 72. člena;</w:t>
            </w:r>
          </w:p>
          <w:p w14:paraId="6CD1D158"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ne prijavi za vpis v Poslovni register Slovenije sprememb podatkov ali prenehanja poslovanja v skladu s prvim odstavkom 75. člena tega zakona;</w:t>
            </w:r>
          </w:p>
          <w:p w14:paraId="4859118F"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v prijavi za vpis v Poslovni register Slovenije navede napačne podatke (drugi odstavek 74. člena);</w:t>
            </w:r>
          </w:p>
          <w:p w14:paraId="1C0366B4" w14:textId="77777777" w:rsidR="000C08CA" w:rsidRPr="00D94FB4" w:rsidRDefault="000C08CA" w:rsidP="00FE328D">
            <w:pPr>
              <w:pStyle w:val="Neotevilenodstavek"/>
              <w:numPr>
                <w:ilvl w:val="0"/>
                <w:numId w:val="69"/>
              </w:numPr>
              <w:spacing w:before="0" w:after="0" w:line="240" w:lineRule="auto"/>
              <w:rPr>
                <w:vanish/>
                <w:color w:val="000000" w:themeColor="text1"/>
                <w:sz w:val="20"/>
                <w:szCs w:val="20"/>
              </w:rPr>
            </w:pPr>
            <w:r w:rsidRPr="00D94FB4">
              <w:rPr>
                <w:vanish/>
                <w:color w:val="000000" w:themeColor="text1"/>
                <w:sz w:val="20"/>
                <w:szCs w:val="20"/>
              </w:rPr>
              <w:t>če kot poslovni naslov v skladu z osmo alinejo drugega odstavka 74. člena tega zakona v poslovni register navede naslov, na katerem je objekt, katerega lastnik je druga oseba, ki mu ni dala dovoljenja za poslovanje na tem naslovu.</w:t>
            </w:r>
          </w:p>
          <w:p w14:paraId="4987D35E" w14:textId="77777777" w:rsidR="000C08CA" w:rsidRPr="00D94FB4" w:rsidRDefault="000C08CA" w:rsidP="00FE328D">
            <w:pPr>
              <w:pStyle w:val="Neotevilenodstavek"/>
              <w:spacing w:before="0" w:after="0" w:line="240" w:lineRule="auto"/>
              <w:rPr>
                <w:vanish/>
                <w:color w:val="000000" w:themeColor="text1"/>
                <w:sz w:val="20"/>
                <w:szCs w:val="20"/>
              </w:rPr>
            </w:pPr>
          </w:p>
          <w:p w14:paraId="7AC49E07" w14:textId="77777777" w:rsidR="000C08CA" w:rsidRPr="00D94FB4" w:rsidRDefault="000C08CA" w:rsidP="00FE328D">
            <w:pPr>
              <w:pStyle w:val="Neotevilenodstavek"/>
              <w:spacing w:before="0" w:after="0" w:line="240" w:lineRule="auto"/>
              <w:rPr>
                <w:vanish/>
                <w:color w:val="000000" w:themeColor="text1"/>
                <w:sz w:val="20"/>
                <w:szCs w:val="20"/>
              </w:rPr>
            </w:pPr>
            <w:r w:rsidRPr="00D94FB4">
              <w:rPr>
                <w:vanish/>
                <w:color w:val="000000" w:themeColor="text1"/>
                <w:sz w:val="20"/>
                <w:szCs w:val="20"/>
              </w:rPr>
              <w:t>(2) Z globo od 600 do 1200 eurov se kaznuje za prekršek tudi odgovorna oseba podjetnika, ki stori prekršek iz prejšnjega odstavka.</w:t>
            </w:r>
          </w:p>
          <w:p w14:paraId="63EF6D6C" w14:textId="77777777" w:rsidR="000C08CA" w:rsidRPr="00D94FB4" w:rsidRDefault="000C08CA" w:rsidP="00FE328D">
            <w:pPr>
              <w:pStyle w:val="Neotevilenodstavek"/>
              <w:spacing w:before="0" w:after="0" w:line="260" w:lineRule="exact"/>
              <w:rPr>
                <w:vanish/>
                <w:color w:val="000000" w:themeColor="text1"/>
                <w:sz w:val="20"/>
                <w:szCs w:val="20"/>
              </w:rPr>
            </w:pPr>
          </w:p>
          <w:p w14:paraId="7345C43D" w14:textId="77777777" w:rsidR="000C08CA" w:rsidRPr="00D94FB4" w:rsidRDefault="000C08CA" w:rsidP="00FE328D">
            <w:pPr>
              <w:pStyle w:val="Neotevilenodstavek"/>
              <w:jc w:val="center"/>
              <w:rPr>
                <w:b/>
                <w:bCs/>
                <w:vanish/>
                <w:color w:val="000000" w:themeColor="text1"/>
                <w:sz w:val="20"/>
                <w:szCs w:val="20"/>
              </w:rPr>
            </w:pPr>
            <w:r w:rsidRPr="00D94FB4">
              <w:rPr>
                <w:b/>
                <w:bCs/>
                <w:vanish/>
                <w:color w:val="000000" w:themeColor="text1"/>
                <w:sz w:val="20"/>
                <w:szCs w:val="20"/>
              </w:rPr>
              <w:t>689.c člen</w:t>
            </w:r>
          </w:p>
          <w:p w14:paraId="5686499A" w14:textId="77777777" w:rsidR="000C08CA" w:rsidRPr="00D94FB4" w:rsidRDefault="000C08CA" w:rsidP="00FE328D">
            <w:pPr>
              <w:pStyle w:val="Neotevilenodstavek"/>
              <w:jc w:val="center"/>
              <w:rPr>
                <w:b/>
                <w:bCs/>
                <w:vanish/>
                <w:color w:val="000000" w:themeColor="text1"/>
                <w:sz w:val="20"/>
                <w:szCs w:val="20"/>
              </w:rPr>
            </w:pPr>
            <w:r w:rsidRPr="00D94FB4">
              <w:rPr>
                <w:b/>
                <w:bCs/>
                <w:vanish/>
                <w:color w:val="000000" w:themeColor="text1"/>
                <w:sz w:val="20"/>
                <w:szCs w:val="20"/>
              </w:rPr>
              <w:t>(prekrški nadzornega sveta)</w:t>
            </w:r>
          </w:p>
          <w:p w14:paraId="78C27315" w14:textId="77777777" w:rsidR="000C08CA" w:rsidRPr="00D94FB4" w:rsidRDefault="000C08CA" w:rsidP="00FE328D">
            <w:pPr>
              <w:pStyle w:val="Neotevilenodstavek"/>
              <w:rPr>
                <w:vanish/>
                <w:color w:val="000000" w:themeColor="text1"/>
                <w:sz w:val="20"/>
                <w:szCs w:val="20"/>
              </w:rPr>
            </w:pPr>
          </w:p>
          <w:p w14:paraId="56C5DA2C" w14:textId="77777777" w:rsidR="000C08CA" w:rsidRPr="00D94FB4" w:rsidRDefault="000C08CA" w:rsidP="00FE328D">
            <w:pPr>
              <w:pStyle w:val="Neotevilenodstavek"/>
              <w:rPr>
                <w:vanish/>
                <w:color w:val="000000" w:themeColor="text1"/>
                <w:sz w:val="20"/>
                <w:szCs w:val="20"/>
              </w:rPr>
            </w:pPr>
            <w:r w:rsidRPr="00D94FB4">
              <w:rPr>
                <w:vanish/>
                <w:color w:val="000000" w:themeColor="text1"/>
                <w:sz w:val="20"/>
                <w:szCs w:val="20"/>
              </w:rPr>
              <w:t>(1) Z globo od 1.000 do 5.000 eurov se kaznuje za prekršek predsednik nadzornega sveta, če:</w:t>
            </w:r>
          </w:p>
          <w:p w14:paraId="7F4FB966" w14:textId="77777777" w:rsidR="000C08CA" w:rsidRPr="00D94FB4" w:rsidRDefault="000C08CA" w:rsidP="00FE328D">
            <w:pPr>
              <w:pStyle w:val="Neotevilenodstavek"/>
              <w:numPr>
                <w:ilvl w:val="0"/>
                <w:numId w:val="97"/>
              </w:numPr>
              <w:rPr>
                <w:vanish/>
                <w:color w:val="000000" w:themeColor="text1"/>
                <w:sz w:val="20"/>
                <w:szCs w:val="20"/>
              </w:rPr>
            </w:pPr>
            <w:r w:rsidRPr="00D94FB4">
              <w:rPr>
                <w:vanish/>
                <w:color w:val="000000" w:themeColor="text1"/>
                <w:sz w:val="20"/>
                <w:szCs w:val="20"/>
              </w:rPr>
              <w:t>nadzorni svet ni sklican v skladu s prvim odstavkom 257. člena tega zakona;</w:t>
            </w:r>
          </w:p>
          <w:p w14:paraId="30888214" w14:textId="77777777" w:rsidR="000C08CA" w:rsidRPr="00D94FB4" w:rsidRDefault="000C08CA" w:rsidP="00FE328D">
            <w:pPr>
              <w:pStyle w:val="Neotevilenodstavek"/>
              <w:numPr>
                <w:ilvl w:val="0"/>
                <w:numId w:val="97"/>
              </w:numPr>
              <w:rPr>
                <w:vanish/>
                <w:color w:val="000000" w:themeColor="text1"/>
                <w:sz w:val="20"/>
                <w:szCs w:val="20"/>
              </w:rPr>
            </w:pPr>
            <w:r w:rsidRPr="00D94FB4">
              <w:rPr>
                <w:vanish/>
                <w:color w:val="000000" w:themeColor="text1"/>
                <w:sz w:val="20"/>
                <w:szCs w:val="20"/>
              </w:rPr>
              <w:t>nadzorni svet sprejme sklep v nasprotju z določbo tretjega odstavka 257. člena tega zakona;</w:t>
            </w:r>
          </w:p>
          <w:p w14:paraId="7FF31533" w14:textId="77777777" w:rsidR="000C08CA" w:rsidRPr="00D94FB4" w:rsidRDefault="000C08CA" w:rsidP="00FE328D">
            <w:pPr>
              <w:pStyle w:val="Neotevilenodstavek"/>
              <w:numPr>
                <w:ilvl w:val="0"/>
                <w:numId w:val="97"/>
              </w:numPr>
              <w:rPr>
                <w:vanish/>
                <w:color w:val="000000" w:themeColor="text1"/>
                <w:sz w:val="20"/>
                <w:szCs w:val="20"/>
              </w:rPr>
            </w:pPr>
            <w:r w:rsidRPr="00D94FB4">
              <w:rPr>
                <w:vanish/>
                <w:color w:val="000000" w:themeColor="text1"/>
                <w:sz w:val="20"/>
                <w:szCs w:val="20"/>
              </w:rPr>
              <w:t>ne skliče seje v skladu s prvim odstavkom 260. člena tega zakona;</w:t>
            </w:r>
          </w:p>
          <w:p w14:paraId="2B8140DC" w14:textId="77777777" w:rsidR="000C08CA" w:rsidRPr="00D94FB4" w:rsidRDefault="000C08CA" w:rsidP="00FE328D">
            <w:pPr>
              <w:pStyle w:val="Neotevilenodstavek"/>
              <w:numPr>
                <w:ilvl w:val="0"/>
                <w:numId w:val="97"/>
              </w:numPr>
              <w:rPr>
                <w:vanish/>
                <w:color w:val="000000" w:themeColor="text1"/>
                <w:sz w:val="20"/>
                <w:szCs w:val="20"/>
              </w:rPr>
            </w:pPr>
            <w:r w:rsidRPr="00D94FB4">
              <w:rPr>
                <w:vanish/>
                <w:color w:val="000000" w:themeColor="text1"/>
                <w:sz w:val="20"/>
                <w:szCs w:val="20"/>
              </w:rPr>
              <w:t>se na sejah nadzornega sveta ne piše zapisnika (drugi odstavek 278. člen);</w:t>
            </w:r>
          </w:p>
          <w:p w14:paraId="18A2112A" w14:textId="77777777" w:rsidR="000C08CA" w:rsidRPr="00D94FB4" w:rsidRDefault="000C08CA" w:rsidP="00FE328D">
            <w:pPr>
              <w:pStyle w:val="Neotevilenodstavek"/>
              <w:numPr>
                <w:ilvl w:val="0"/>
                <w:numId w:val="97"/>
              </w:numPr>
              <w:rPr>
                <w:vanish/>
                <w:color w:val="000000" w:themeColor="text1"/>
                <w:sz w:val="20"/>
                <w:szCs w:val="20"/>
              </w:rPr>
            </w:pPr>
            <w:r w:rsidRPr="00D94FB4">
              <w:rPr>
                <w:vanish/>
                <w:color w:val="000000" w:themeColor="text1"/>
                <w:sz w:val="20"/>
                <w:szCs w:val="20"/>
              </w:rPr>
              <w:t>nadzorni svet ne pripravi poročila o prejemkih v skladu s prvim do četrtim odstavkom 294.b člena tega zakona.</w:t>
            </w:r>
          </w:p>
          <w:p w14:paraId="1C79388C" w14:textId="77777777" w:rsidR="000C08CA" w:rsidRPr="00D94FB4" w:rsidRDefault="000C08CA" w:rsidP="00FE328D">
            <w:pPr>
              <w:pStyle w:val="Neotevilenodstavek"/>
              <w:rPr>
                <w:vanish/>
                <w:color w:val="000000" w:themeColor="text1"/>
                <w:sz w:val="20"/>
                <w:szCs w:val="20"/>
              </w:rPr>
            </w:pPr>
          </w:p>
          <w:p w14:paraId="717B26DA" w14:textId="77777777" w:rsidR="000C08CA" w:rsidRPr="00D94FB4" w:rsidRDefault="000C08CA" w:rsidP="00FE328D">
            <w:pPr>
              <w:pStyle w:val="Neotevilenodstavek"/>
              <w:rPr>
                <w:vanish/>
                <w:color w:val="000000" w:themeColor="text1"/>
                <w:sz w:val="20"/>
                <w:szCs w:val="20"/>
              </w:rPr>
            </w:pPr>
            <w:r w:rsidRPr="00D94FB4">
              <w:rPr>
                <w:vanish/>
                <w:color w:val="000000" w:themeColor="text1"/>
                <w:sz w:val="20"/>
                <w:szCs w:val="20"/>
              </w:rPr>
              <w:t>(2) Z globo od 1.000 do 5.000 eurov se kaznuje za prekršek član nadzornega sveta, ki je glasoval za sklep:</w:t>
            </w:r>
          </w:p>
          <w:p w14:paraId="1C8E6ACA" w14:textId="77777777" w:rsidR="000C08CA" w:rsidRPr="00D94FB4" w:rsidRDefault="000C08CA" w:rsidP="00FE328D">
            <w:pPr>
              <w:pStyle w:val="Neotevilenodstavek"/>
              <w:numPr>
                <w:ilvl w:val="0"/>
                <w:numId w:val="98"/>
              </w:numPr>
              <w:rPr>
                <w:vanish/>
                <w:color w:val="000000" w:themeColor="text1"/>
                <w:sz w:val="20"/>
                <w:szCs w:val="20"/>
              </w:rPr>
            </w:pPr>
            <w:r w:rsidRPr="00D94FB4">
              <w:rPr>
                <w:vanish/>
                <w:color w:val="000000" w:themeColor="text1"/>
                <w:sz w:val="20"/>
                <w:szCs w:val="20"/>
              </w:rPr>
              <w:t>s katerim je bi imenovan član oziroma predsednik uprave v nasprotju z drugim odstavkom 255. člena tega zakona;</w:t>
            </w:r>
          </w:p>
          <w:p w14:paraId="1EA388F3" w14:textId="77777777" w:rsidR="000C08CA" w:rsidRPr="00D94FB4" w:rsidRDefault="000C08CA" w:rsidP="00FE328D">
            <w:pPr>
              <w:pStyle w:val="Neotevilenodstavek"/>
              <w:numPr>
                <w:ilvl w:val="0"/>
                <w:numId w:val="98"/>
              </w:numPr>
              <w:rPr>
                <w:vanish/>
                <w:color w:val="000000" w:themeColor="text1"/>
                <w:sz w:val="20"/>
                <w:szCs w:val="20"/>
              </w:rPr>
            </w:pPr>
            <w:r w:rsidRPr="00D94FB4">
              <w:rPr>
                <w:vanish/>
                <w:color w:val="000000" w:themeColor="text1"/>
                <w:sz w:val="20"/>
                <w:szCs w:val="20"/>
              </w:rPr>
              <w:t>ki ni v skladu z določbami 261. člena tega zakona;</w:t>
            </w:r>
          </w:p>
          <w:p w14:paraId="02C98349" w14:textId="77777777" w:rsidR="000C08CA" w:rsidRPr="00D94FB4" w:rsidRDefault="000C08CA" w:rsidP="00FE328D">
            <w:pPr>
              <w:pStyle w:val="Neotevilenodstavek"/>
              <w:numPr>
                <w:ilvl w:val="0"/>
                <w:numId w:val="98"/>
              </w:numPr>
              <w:rPr>
                <w:vanish/>
                <w:color w:val="000000" w:themeColor="text1"/>
                <w:sz w:val="20"/>
                <w:szCs w:val="20"/>
              </w:rPr>
            </w:pPr>
            <w:r w:rsidRPr="00D94FB4">
              <w:rPr>
                <w:vanish/>
                <w:color w:val="000000" w:themeColor="text1"/>
                <w:sz w:val="20"/>
                <w:szCs w:val="20"/>
              </w:rPr>
              <w:t>na podlagi katerega so prejemki članov uprave določeni v nasprotju z določbami 270. člena tega zakona;</w:t>
            </w:r>
          </w:p>
          <w:p w14:paraId="07BE330E" w14:textId="77777777" w:rsidR="000C08CA" w:rsidRPr="00D94FB4" w:rsidRDefault="000C08CA" w:rsidP="00FE328D">
            <w:pPr>
              <w:pStyle w:val="Neotevilenodstavek"/>
              <w:numPr>
                <w:ilvl w:val="0"/>
                <w:numId w:val="98"/>
              </w:numPr>
              <w:rPr>
                <w:vanish/>
                <w:color w:val="000000" w:themeColor="text1"/>
                <w:sz w:val="20"/>
                <w:szCs w:val="20"/>
              </w:rPr>
            </w:pPr>
            <w:r w:rsidRPr="00D94FB4">
              <w:rPr>
                <w:vanish/>
                <w:color w:val="000000" w:themeColor="text1"/>
                <w:sz w:val="20"/>
                <w:szCs w:val="20"/>
              </w:rPr>
              <w:t>s katerim se imenuje nadomestnega člana v nasprotju z drugim odstavkom 273. člena tega zakona;</w:t>
            </w:r>
          </w:p>
          <w:p w14:paraId="26B96805" w14:textId="77777777" w:rsidR="000C08CA" w:rsidRPr="00D94FB4" w:rsidRDefault="000C08CA" w:rsidP="00FE328D">
            <w:pPr>
              <w:pStyle w:val="Neotevilenodstavek"/>
              <w:numPr>
                <w:ilvl w:val="0"/>
                <w:numId w:val="98"/>
              </w:numPr>
              <w:rPr>
                <w:vanish/>
                <w:color w:val="000000" w:themeColor="text1"/>
                <w:sz w:val="20"/>
                <w:szCs w:val="20"/>
              </w:rPr>
            </w:pPr>
            <w:r w:rsidRPr="00D94FB4">
              <w:rPr>
                <w:vanish/>
                <w:color w:val="000000" w:themeColor="text1"/>
                <w:sz w:val="20"/>
                <w:szCs w:val="20"/>
              </w:rPr>
              <w:t>na podlagi katerega je revizijska komisija imenovana v nasprotju z določbo prvega odstavka 280. člena tega zakona.</w:t>
            </w:r>
          </w:p>
          <w:p w14:paraId="31D860AC" w14:textId="77777777" w:rsidR="000C08CA" w:rsidRPr="00D94FB4" w:rsidRDefault="000C08CA" w:rsidP="00FE328D">
            <w:pPr>
              <w:pStyle w:val="Neotevilenodstavek"/>
              <w:rPr>
                <w:vanish/>
                <w:color w:val="000000" w:themeColor="text1"/>
                <w:sz w:val="20"/>
                <w:szCs w:val="20"/>
              </w:rPr>
            </w:pPr>
          </w:p>
          <w:p w14:paraId="55018169" w14:textId="77777777" w:rsidR="000C08CA" w:rsidRPr="00D94FB4" w:rsidRDefault="000C08CA" w:rsidP="00FE328D">
            <w:pPr>
              <w:pStyle w:val="Neotevilenodstavek"/>
              <w:rPr>
                <w:vanish/>
                <w:color w:val="000000" w:themeColor="text1"/>
                <w:sz w:val="20"/>
                <w:szCs w:val="20"/>
              </w:rPr>
            </w:pPr>
            <w:r w:rsidRPr="00D94FB4">
              <w:rPr>
                <w:vanish/>
                <w:color w:val="000000" w:themeColor="text1"/>
                <w:sz w:val="20"/>
                <w:szCs w:val="20"/>
              </w:rPr>
              <w:t>(3) Z globo od 1.000 do 5.000 eurov se kaznuje za prekršek član nadzornega sveta, če nadzorni svet:</w:t>
            </w:r>
          </w:p>
          <w:p w14:paraId="35CE6FF3" w14:textId="77777777" w:rsidR="000C08CA" w:rsidRPr="00D94FB4" w:rsidRDefault="000C08CA" w:rsidP="00FE328D">
            <w:pPr>
              <w:pStyle w:val="Neotevilenodstavek"/>
              <w:numPr>
                <w:ilvl w:val="0"/>
                <w:numId w:val="99"/>
              </w:numPr>
              <w:rPr>
                <w:vanish/>
                <w:color w:val="000000" w:themeColor="text1"/>
                <w:sz w:val="20"/>
                <w:szCs w:val="20"/>
              </w:rPr>
            </w:pPr>
            <w:r w:rsidRPr="00D94FB4">
              <w:rPr>
                <w:vanish/>
                <w:color w:val="000000" w:themeColor="text1"/>
                <w:sz w:val="20"/>
                <w:szCs w:val="20"/>
              </w:rPr>
              <w:t>nima poslovnika o svojem delu v skladu s prvim odstavkom 258. člena tega zakona;</w:t>
            </w:r>
          </w:p>
          <w:p w14:paraId="4BA9947E" w14:textId="77777777" w:rsidR="000C08CA" w:rsidRPr="00D94FB4" w:rsidRDefault="000C08CA" w:rsidP="00FE328D">
            <w:pPr>
              <w:pStyle w:val="Neotevilenodstavek"/>
              <w:numPr>
                <w:ilvl w:val="0"/>
                <w:numId w:val="99"/>
              </w:numPr>
              <w:rPr>
                <w:vanish/>
                <w:color w:val="000000" w:themeColor="text1"/>
                <w:sz w:val="20"/>
                <w:szCs w:val="20"/>
              </w:rPr>
            </w:pPr>
            <w:r w:rsidRPr="00D94FB4">
              <w:rPr>
                <w:vanish/>
                <w:color w:val="000000" w:themeColor="text1"/>
                <w:sz w:val="20"/>
                <w:szCs w:val="20"/>
              </w:rPr>
              <w:t>ne imenuje članov uprave in predsednika (prvi odstavek 268. člena);</w:t>
            </w:r>
          </w:p>
          <w:p w14:paraId="43B29019" w14:textId="77777777" w:rsidR="000C08CA" w:rsidRPr="00D94FB4" w:rsidRDefault="000C08CA" w:rsidP="00FE328D">
            <w:pPr>
              <w:pStyle w:val="Neotevilenodstavek"/>
              <w:numPr>
                <w:ilvl w:val="0"/>
                <w:numId w:val="99"/>
              </w:numPr>
              <w:rPr>
                <w:vanish/>
                <w:color w:val="000000" w:themeColor="text1"/>
                <w:sz w:val="20"/>
                <w:szCs w:val="20"/>
              </w:rPr>
            </w:pPr>
            <w:r w:rsidRPr="00D94FB4">
              <w:rPr>
                <w:vanish/>
                <w:color w:val="000000" w:themeColor="text1"/>
                <w:sz w:val="20"/>
                <w:szCs w:val="20"/>
              </w:rPr>
              <w:t>v družbi, s katere vrednostnimi papirji se trguje na organiziranem trgu, ne oblikuje revizijske komisije (prvi odstavek 279. člena);</w:t>
            </w:r>
          </w:p>
          <w:p w14:paraId="344EDF42" w14:textId="77777777" w:rsidR="000C08CA" w:rsidRPr="00D94FB4" w:rsidRDefault="000C08CA" w:rsidP="00FE328D">
            <w:pPr>
              <w:pStyle w:val="Neotevilenodstavek"/>
              <w:numPr>
                <w:ilvl w:val="0"/>
                <w:numId w:val="99"/>
              </w:numPr>
              <w:rPr>
                <w:vanish/>
                <w:color w:val="000000" w:themeColor="text1"/>
                <w:sz w:val="20"/>
                <w:szCs w:val="20"/>
              </w:rPr>
            </w:pPr>
            <w:r w:rsidRPr="00D94FB4">
              <w:rPr>
                <w:vanish/>
                <w:color w:val="000000" w:themeColor="text1"/>
                <w:sz w:val="20"/>
                <w:szCs w:val="20"/>
              </w:rPr>
              <w:t>ne pripravi poročila o prejemkih v skladu s prvim do četrtim odstavkom 294.b člena tega zakona;</w:t>
            </w:r>
          </w:p>
          <w:p w14:paraId="50D7A817" w14:textId="77777777" w:rsidR="000C08CA" w:rsidRPr="00D94FB4" w:rsidRDefault="000C08CA" w:rsidP="00FE328D">
            <w:pPr>
              <w:pStyle w:val="Neotevilenodstavek"/>
              <w:numPr>
                <w:ilvl w:val="0"/>
                <w:numId w:val="99"/>
              </w:numPr>
              <w:spacing w:before="0" w:after="0" w:line="260" w:lineRule="exact"/>
              <w:rPr>
                <w:vanish/>
                <w:color w:val="000000" w:themeColor="text1"/>
                <w:sz w:val="20"/>
                <w:szCs w:val="20"/>
              </w:rPr>
            </w:pPr>
            <w:r w:rsidRPr="00D94FB4">
              <w:rPr>
                <w:vanish/>
                <w:color w:val="000000" w:themeColor="text1"/>
                <w:sz w:val="20"/>
                <w:szCs w:val="20"/>
              </w:rPr>
              <w:t>ne imenuje poslovodstva (četrti odstavek 515. člen).</w:t>
            </w:r>
          </w:p>
          <w:p w14:paraId="7C584E46" w14:textId="77777777" w:rsidR="000C08CA" w:rsidRPr="00D94FB4" w:rsidRDefault="000C08CA" w:rsidP="00FE328D">
            <w:pPr>
              <w:pStyle w:val="Neotevilenodstavek"/>
              <w:spacing w:before="0" w:after="0" w:line="260" w:lineRule="exact"/>
              <w:rPr>
                <w:vanish/>
                <w:color w:val="000000" w:themeColor="text1"/>
                <w:sz w:val="20"/>
                <w:szCs w:val="20"/>
              </w:rPr>
            </w:pPr>
          </w:p>
          <w:p w14:paraId="62BFBE0D" w14:textId="77777777" w:rsidR="000C08CA" w:rsidRPr="00D94FB4" w:rsidRDefault="000C08CA" w:rsidP="00FE328D">
            <w:pPr>
              <w:shd w:val="clear" w:color="auto" w:fill="FFFFFF"/>
              <w:spacing w:line="240" w:lineRule="auto"/>
              <w:jc w:val="center"/>
              <w:rPr>
                <w:rFonts w:cs="Arial"/>
                <w:b/>
                <w:bCs/>
                <w:vanish/>
                <w:color w:val="292B2C"/>
                <w:szCs w:val="20"/>
                <w:lang w:eastAsia="sl-SI"/>
              </w:rPr>
            </w:pPr>
            <w:r w:rsidRPr="00D94FB4">
              <w:rPr>
                <w:rFonts w:cs="Arial"/>
                <w:b/>
                <w:bCs/>
                <w:vanish/>
                <w:color w:val="292B2C"/>
                <w:szCs w:val="20"/>
                <w:lang w:eastAsia="sl-SI"/>
              </w:rPr>
              <w:t>689.č člen</w:t>
            </w:r>
          </w:p>
          <w:p w14:paraId="70EAE4D7" w14:textId="77777777" w:rsidR="000C08CA" w:rsidRPr="00D94FB4" w:rsidRDefault="000C08CA" w:rsidP="00FE328D">
            <w:pPr>
              <w:shd w:val="clear" w:color="auto" w:fill="FFFFFF"/>
              <w:spacing w:line="240" w:lineRule="auto"/>
              <w:jc w:val="center"/>
              <w:rPr>
                <w:rFonts w:cs="Arial"/>
                <w:b/>
                <w:bCs/>
                <w:vanish/>
                <w:color w:val="292B2C"/>
                <w:szCs w:val="20"/>
                <w:lang w:eastAsia="sl-SI"/>
              </w:rPr>
            </w:pPr>
            <w:r w:rsidRPr="00D94FB4">
              <w:rPr>
                <w:rFonts w:cs="Arial"/>
                <w:b/>
                <w:bCs/>
                <w:vanish/>
                <w:color w:val="292B2C"/>
                <w:szCs w:val="20"/>
                <w:lang w:eastAsia="sl-SI"/>
              </w:rPr>
              <w:t>(prekrški upravnega odbora in izvršnega direktorja)</w:t>
            </w:r>
          </w:p>
          <w:p w14:paraId="7E5A106D" w14:textId="77777777" w:rsidR="000C08CA" w:rsidRPr="00D94FB4" w:rsidRDefault="000C08CA" w:rsidP="00FE328D">
            <w:pPr>
              <w:shd w:val="clear" w:color="auto" w:fill="FFFFFF"/>
              <w:spacing w:line="240" w:lineRule="auto"/>
              <w:jc w:val="center"/>
              <w:rPr>
                <w:rFonts w:cs="Arial"/>
                <w:b/>
                <w:bCs/>
                <w:vanish/>
                <w:color w:val="292B2C"/>
                <w:szCs w:val="20"/>
                <w:lang w:eastAsia="sl-SI"/>
              </w:rPr>
            </w:pPr>
          </w:p>
          <w:p w14:paraId="60351D68" w14:textId="77777777" w:rsidR="000C08CA" w:rsidRPr="00D94FB4" w:rsidRDefault="000C08CA" w:rsidP="00FE328D">
            <w:pPr>
              <w:shd w:val="clear" w:color="auto" w:fill="FFFFFF"/>
              <w:spacing w:line="240" w:lineRule="auto"/>
              <w:jc w:val="both"/>
              <w:rPr>
                <w:rFonts w:cs="Arial"/>
                <w:vanish/>
                <w:color w:val="292B2C"/>
                <w:szCs w:val="20"/>
                <w:lang w:eastAsia="sl-SI"/>
              </w:rPr>
            </w:pPr>
            <w:r w:rsidRPr="00D94FB4">
              <w:rPr>
                <w:rFonts w:cs="Arial"/>
                <w:vanish/>
                <w:color w:val="292B2C"/>
                <w:szCs w:val="20"/>
                <w:lang w:eastAsia="sl-SI"/>
              </w:rPr>
              <w:t>(1) Z globo od 1.000 do 5.000 eurov se kaznuje za prekršek predsednik upravnega odbora, če:</w:t>
            </w:r>
          </w:p>
          <w:p w14:paraId="70B609B4"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1.      upravni odbor ni sklican v skladu s prvim odstavkom 257. člena tega zakona;</w:t>
            </w:r>
          </w:p>
          <w:p w14:paraId="129F1FF3"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2.      ne skliče seje v skladu s prvim odstavkom 260. člena tega zakona;</w:t>
            </w:r>
          </w:p>
          <w:p w14:paraId="7D9973EE"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3.      se na sejah upravnega odbora ne piše zapisnika (prvi odstavek 289. člena v povezavi z drugim odstavkom 278. člena);</w:t>
            </w:r>
          </w:p>
          <w:p w14:paraId="03017CAF"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4.      upravni odbor ne pripravi poročila o prejemkih v skladu s prvim do četrtim odstavkom 294.b člena tega zakona.</w:t>
            </w:r>
          </w:p>
          <w:p w14:paraId="6B18E591" w14:textId="77777777" w:rsidR="000C08CA" w:rsidRPr="00D94FB4" w:rsidRDefault="000C08CA" w:rsidP="00FE328D">
            <w:pPr>
              <w:shd w:val="clear" w:color="auto" w:fill="FFFFFF"/>
              <w:spacing w:line="240" w:lineRule="auto"/>
              <w:jc w:val="both"/>
              <w:rPr>
                <w:rFonts w:cs="Arial"/>
                <w:vanish/>
                <w:color w:val="292B2C"/>
                <w:szCs w:val="20"/>
                <w:lang w:eastAsia="sl-SI"/>
              </w:rPr>
            </w:pPr>
          </w:p>
          <w:p w14:paraId="352BDB06" w14:textId="77777777" w:rsidR="000C08CA" w:rsidRPr="00D94FB4" w:rsidRDefault="000C08CA" w:rsidP="00FE328D">
            <w:pPr>
              <w:shd w:val="clear" w:color="auto" w:fill="FFFFFF"/>
              <w:spacing w:line="240" w:lineRule="auto"/>
              <w:jc w:val="both"/>
              <w:rPr>
                <w:rFonts w:cs="Arial"/>
                <w:vanish/>
                <w:color w:val="292B2C"/>
                <w:szCs w:val="20"/>
                <w:lang w:eastAsia="sl-SI"/>
              </w:rPr>
            </w:pPr>
            <w:r w:rsidRPr="00D94FB4">
              <w:rPr>
                <w:rFonts w:cs="Arial"/>
                <w:vanish/>
                <w:color w:val="292B2C"/>
                <w:szCs w:val="20"/>
                <w:lang w:eastAsia="sl-SI"/>
              </w:rPr>
              <w:t>(2) Z globo od 1.000 do 5.000 eurov se kaznuje za prekršek član upravnega odbora, ki je glasoval za sklep, na podlagi katerega:</w:t>
            </w:r>
          </w:p>
          <w:p w14:paraId="6E7E3C95"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1.      je bila za izvršnega direktorja imenovana oseba v nasprotju s tretjim odstavkom 290. člena tega zakona;</w:t>
            </w:r>
          </w:p>
          <w:p w14:paraId="7BE7244D"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2.      so prejemki izvršnih direktorjev določeni v nasprotju z določbami 270. člena tega zakona;</w:t>
            </w:r>
          </w:p>
          <w:p w14:paraId="6D6887B2"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3.      je revizijska komisija imenovana v nasprotju z določbo četrtega odstavka 289. člena tega zakona.</w:t>
            </w:r>
          </w:p>
          <w:p w14:paraId="5E2A9CE4" w14:textId="77777777" w:rsidR="000C08CA" w:rsidRPr="00D94FB4" w:rsidRDefault="000C08CA" w:rsidP="00FE328D">
            <w:pPr>
              <w:shd w:val="clear" w:color="auto" w:fill="FFFFFF"/>
              <w:spacing w:line="240" w:lineRule="auto"/>
              <w:jc w:val="both"/>
              <w:rPr>
                <w:rFonts w:cs="Arial"/>
                <w:vanish/>
                <w:color w:val="292B2C"/>
                <w:szCs w:val="20"/>
                <w:lang w:eastAsia="sl-SI"/>
              </w:rPr>
            </w:pPr>
          </w:p>
          <w:p w14:paraId="23D1BFF4" w14:textId="77777777" w:rsidR="000C08CA" w:rsidRPr="00D94FB4" w:rsidRDefault="000C08CA" w:rsidP="00FE328D">
            <w:pPr>
              <w:shd w:val="clear" w:color="auto" w:fill="FFFFFF"/>
              <w:spacing w:line="240" w:lineRule="auto"/>
              <w:jc w:val="both"/>
              <w:rPr>
                <w:rFonts w:cs="Arial"/>
                <w:vanish/>
                <w:color w:val="292B2C"/>
                <w:szCs w:val="20"/>
                <w:lang w:eastAsia="sl-SI"/>
              </w:rPr>
            </w:pPr>
            <w:r w:rsidRPr="00D94FB4">
              <w:rPr>
                <w:rFonts w:cs="Arial"/>
                <w:vanish/>
                <w:color w:val="292B2C"/>
                <w:szCs w:val="20"/>
                <w:lang w:eastAsia="sl-SI"/>
              </w:rPr>
              <w:t>(3) Z globo od 1.000 do 5.000 eurov se kaznuje za prekršek član upravnega odbora, če:</w:t>
            </w:r>
          </w:p>
          <w:p w14:paraId="40BDC769"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1.      upravni odbor nima poslovnika o svojem delu v skladu s prvim odstavkom 258. člena tega zakona;</w:t>
            </w:r>
          </w:p>
          <w:p w14:paraId="4B97E3D5"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2.      upravni odbor v družbi, s katere vrednostnimi papirji se trguje na organiziranem trgu, ne oblikuje revizijske komisije (tretji odstavek 279. člena);</w:t>
            </w:r>
          </w:p>
          <w:p w14:paraId="1D0C304F"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3.      upravni odbor ne imenuje vsaj enega izvršnega direktorja v skladu z določbami prvega odstavka 291. člena tega zakona;</w:t>
            </w:r>
          </w:p>
          <w:p w14:paraId="77A5F693" w14:textId="77777777" w:rsidR="000C08CA" w:rsidRPr="00D94FB4" w:rsidRDefault="000C08CA" w:rsidP="00FE328D">
            <w:pPr>
              <w:shd w:val="clear" w:color="auto" w:fill="FFFFFF"/>
              <w:spacing w:line="240" w:lineRule="auto"/>
              <w:ind w:left="850" w:hanging="425"/>
              <w:jc w:val="both"/>
              <w:rPr>
                <w:rFonts w:cs="Arial"/>
                <w:vanish/>
                <w:color w:val="292B2C"/>
                <w:szCs w:val="20"/>
                <w:lang w:eastAsia="sl-SI"/>
              </w:rPr>
            </w:pPr>
            <w:r w:rsidRPr="00D94FB4">
              <w:rPr>
                <w:rFonts w:cs="Arial"/>
                <w:vanish/>
                <w:color w:val="292B2C"/>
                <w:szCs w:val="20"/>
                <w:lang w:eastAsia="sl-SI"/>
              </w:rPr>
              <w:t>4.      upravni odbor ne pripravi poročila o prejemkih skladno s prvim do četrtim odstavkom 294.b člena tega zakona.</w:t>
            </w:r>
          </w:p>
          <w:p w14:paraId="34F1683A" w14:textId="77777777" w:rsidR="000C08CA" w:rsidRPr="00D94FB4" w:rsidRDefault="000C08CA" w:rsidP="00FE328D">
            <w:pPr>
              <w:shd w:val="clear" w:color="auto" w:fill="FFFFFF"/>
              <w:spacing w:line="240" w:lineRule="auto"/>
              <w:jc w:val="both"/>
              <w:rPr>
                <w:rFonts w:cs="Arial"/>
                <w:vanish/>
                <w:color w:val="292B2C"/>
                <w:szCs w:val="20"/>
                <w:lang w:eastAsia="sl-SI"/>
              </w:rPr>
            </w:pPr>
          </w:p>
          <w:p w14:paraId="2C38589B" w14:textId="77777777" w:rsidR="000C08CA" w:rsidRPr="00D94FB4" w:rsidRDefault="000C08CA" w:rsidP="00FE328D">
            <w:pPr>
              <w:shd w:val="clear" w:color="auto" w:fill="FFFFFF"/>
              <w:spacing w:line="240" w:lineRule="auto"/>
              <w:jc w:val="both"/>
              <w:rPr>
                <w:rFonts w:cs="Arial"/>
                <w:vanish/>
                <w:color w:val="292B2C"/>
                <w:szCs w:val="20"/>
                <w:lang w:eastAsia="sl-SI"/>
              </w:rPr>
            </w:pPr>
            <w:r w:rsidRPr="00D94FB4">
              <w:rPr>
                <w:rFonts w:cs="Arial"/>
                <w:vanish/>
                <w:color w:val="292B2C"/>
                <w:szCs w:val="20"/>
                <w:lang w:eastAsia="sl-SI"/>
              </w:rPr>
              <w:t>(4) Z globo od 1.000 do 5.000 eurov se kaznuje za prekršek izvršni direktor, če ne pripravi poročila o prejemkih v skladu s prvim do četrtim odstavkom 294.b člena tega zakona.</w:t>
            </w:r>
          </w:p>
          <w:p w14:paraId="08ABFC7E" w14:textId="77777777" w:rsidR="000C08CA" w:rsidRPr="00D94FB4" w:rsidRDefault="000C08CA" w:rsidP="00FE328D">
            <w:pPr>
              <w:pStyle w:val="Neotevilenodstavek"/>
              <w:spacing w:before="0" w:after="0" w:line="260" w:lineRule="exact"/>
              <w:rPr>
                <w:vanish/>
                <w:color w:val="000000" w:themeColor="text1"/>
                <w:sz w:val="20"/>
                <w:szCs w:val="20"/>
              </w:rPr>
            </w:pPr>
          </w:p>
          <w:p w14:paraId="49021A81" w14:textId="77777777" w:rsidR="000C08CA" w:rsidRPr="00D94FB4" w:rsidRDefault="000C08CA" w:rsidP="00FE328D">
            <w:pPr>
              <w:pStyle w:val="Neotevilenodstavek"/>
              <w:spacing w:before="0" w:after="0" w:line="260" w:lineRule="exact"/>
              <w:rPr>
                <w:vanish/>
                <w:color w:val="000000" w:themeColor="text1"/>
                <w:sz w:val="20"/>
                <w:szCs w:val="20"/>
              </w:rPr>
            </w:pPr>
          </w:p>
        </w:tc>
      </w:tr>
    </w:tbl>
    <w:p w14:paraId="050BADF8" w14:textId="77777777" w:rsidR="00610947" w:rsidRPr="00605612" w:rsidRDefault="00610947" w:rsidP="00610947">
      <w:pPr>
        <w:pStyle w:val="Poglavje"/>
        <w:spacing w:before="0" w:after="0" w:line="260" w:lineRule="exact"/>
        <w:jc w:val="left"/>
        <w:rPr>
          <w:color w:val="000000" w:themeColor="text1"/>
          <w:sz w:val="20"/>
          <w:szCs w:val="20"/>
        </w:rPr>
        <w:sectPr w:rsidR="00610947" w:rsidRPr="00605612" w:rsidSect="005F456B">
          <w:pgSz w:w="11906" w:h="16838"/>
          <w:pgMar w:top="719" w:right="1417" w:bottom="1417" w:left="1417" w:header="708" w:footer="708" w:gutter="0"/>
          <w:cols w:space="708"/>
          <w:docGrid w:linePitch="360"/>
        </w:sectPr>
      </w:pPr>
    </w:p>
    <w:tbl>
      <w:tblPr>
        <w:tblW w:w="0" w:type="auto"/>
        <w:tblLook w:val="04A0" w:firstRow="1" w:lastRow="0" w:firstColumn="1" w:lastColumn="0" w:noHBand="0" w:noVBand="1"/>
      </w:tblPr>
      <w:tblGrid>
        <w:gridCol w:w="9072"/>
      </w:tblGrid>
      <w:tr w:rsidR="00610947" w:rsidRPr="00605612" w14:paraId="09E95C9D" w14:textId="77777777">
        <w:tc>
          <w:tcPr>
            <w:tcW w:w="9072" w:type="dxa"/>
          </w:tcPr>
          <w:p w14:paraId="2C1DAFAD" w14:textId="77777777" w:rsidR="00610947" w:rsidRPr="00605612" w:rsidRDefault="00610947">
            <w:pPr>
              <w:pStyle w:val="Poglavje"/>
              <w:spacing w:before="0" w:after="0" w:line="260" w:lineRule="exact"/>
              <w:jc w:val="both"/>
              <w:rPr>
                <w:color w:val="000000" w:themeColor="text1"/>
                <w:sz w:val="20"/>
                <w:szCs w:val="20"/>
              </w:rPr>
            </w:pPr>
            <w:r w:rsidRPr="00605612">
              <w:rPr>
                <w:color w:val="000000" w:themeColor="text1"/>
                <w:sz w:val="20"/>
                <w:szCs w:val="20"/>
              </w:rPr>
              <w:lastRenderedPageBreak/>
              <w:t>V. PREDLOG, DA SE PREDLOG ZAKONA OBRAVNAVA PO NUJNEM OZIROMA SKRAJŠANEM POSTOPKU</w:t>
            </w:r>
          </w:p>
        </w:tc>
      </w:tr>
      <w:tr w:rsidR="00610947" w:rsidRPr="00605612" w14:paraId="0C4D09CD" w14:textId="77777777">
        <w:tc>
          <w:tcPr>
            <w:tcW w:w="9072" w:type="dxa"/>
          </w:tcPr>
          <w:p w14:paraId="5892A191" w14:textId="77777777" w:rsidR="00610947" w:rsidRPr="00605612" w:rsidRDefault="00610947">
            <w:pPr>
              <w:pStyle w:val="Neotevilenodstavek"/>
              <w:spacing w:before="0" w:after="0" w:line="260" w:lineRule="exact"/>
              <w:rPr>
                <w:color w:val="000000" w:themeColor="text1"/>
                <w:sz w:val="20"/>
                <w:szCs w:val="20"/>
              </w:rPr>
            </w:pPr>
            <w:r w:rsidRPr="00605612">
              <w:rPr>
                <w:color w:val="000000" w:themeColor="text1"/>
                <w:sz w:val="20"/>
                <w:szCs w:val="20"/>
              </w:rPr>
              <w:t>/</w:t>
            </w:r>
          </w:p>
        </w:tc>
      </w:tr>
      <w:tr w:rsidR="00610947" w:rsidRPr="00605612" w14:paraId="15756E4C" w14:textId="77777777">
        <w:tc>
          <w:tcPr>
            <w:tcW w:w="9072" w:type="dxa"/>
          </w:tcPr>
          <w:p w14:paraId="027DB3F3" w14:textId="77777777" w:rsidR="00610947" w:rsidRPr="00605612" w:rsidRDefault="00610947">
            <w:pPr>
              <w:pStyle w:val="Poglavje"/>
              <w:spacing w:before="0" w:after="0" w:line="260" w:lineRule="exact"/>
              <w:jc w:val="left"/>
              <w:rPr>
                <w:color w:val="000000" w:themeColor="text1"/>
                <w:sz w:val="20"/>
                <w:szCs w:val="20"/>
              </w:rPr>
            </w:pPr>
          </w:p>
          <w:p w14:paraId="2B6D26C7" w14:textId="77777777" w:rsidR="00610947" w:rsidRPr="00605612" w:rsidRDefault="00610947">
            <w:pPr>
              <w:pStyle w:val="Poglavje"/>
              <w:spacing w:before="0" w:after="0" w:line="260" w:lineRule="exact"/>
              <w:jc w:val="left"/>
              <w:rPr>
                <w:color w:val="000000" w:themeColor="text1"/>
                <w:sz w:val="20"/>
                <w:szCs w:val="20"/>
              </w:rPr>
            </w:pPr>
            <w:r w:rsidRPr="00605612">
              <w:rPr>
                <w:color w:val="000000" w:themeColor="text1"/>
                <w:sz w:val="20"/>
                <w:szCs w:val="20"/>
              </w:rPr>
              <w:t>VI. PRILOGE</w:t>
            </w:r>
          </w:p>
        </w:tc>
      </w:tr>
      <w:tr w:rsidR="00610947" w:rsidRPr="00605612" w14:paraId="28A14CEF" w14:textId="77777777">
        <w:tc>
          <w:tcPr>
            <w:tcW w:w="9072" w:type="dxa"/>
          </w:tcPr>
          <w:p w14:paraId="55152775"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osnutki podzakonskih predpisov, katerih izdajo določa predlog zakona</w:t>
            </w:r>
          </w:p>
          <w:p w14:paraId="2797A925"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analize, študije</w:t>
            </w:r>
          </w:p>
          <w:p w14:paraId="0040AAAA"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vprašalniki</w:t>
            </w:r>
          </w:p>
          <w:p w14:paraId="4BDFF467"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ankete</w:t>
            </w:r>
          </w:p>
          <w:p w14:paraId="69AFF98B"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pobude in predlogi, ki so neposredno vplivali na odločitev za predlog zakona</w:t>
            </w:r>
          </w:p>
          <w:p w14:paraId="1F0547D4" w14:textId="77777777" w:rsidR="00610947" w:rsidRPr="00605612" w:rsidRDefault="00610947">
            <w:pPr>
              <w:pStyle w:val="Alineazaodstavkom"/>
              <w:numPr>
                <w:ilvl w:val="0"/>
                <w:numId w:val="2"/>
              </w:numPr>
              <w:spacing w:line="260" w:lineRule="exact"/>
              <w:ind w:left="709" w:hanging="284"/>
              <w:rPr>
                <w:color w:val="000000" w:themeColor="text1"/>
                <w:sz w:val="20"/>
                <w:szCs w:val="20"/>
              </w:rPr>
            </w:pPr>
            <w:r w:rsidRPr="00605612">
              <w:rPr>
                <w:color w:val="000000" w:themeColor="text1"/>
                <w:sz w:val="20"/>
                <w:szCs w:val="20"/>
              </w:rPr>
              <w:t>drugo</w:t>
            </w:r>
          </w:p>
        </w:tc>
      </w:tr>
    </w:tbl>
    <w:p w14:paraId="4F113A26" w14:textId="77777777" w:rsidR="00FC19A0" w:rsidRPr="00605612" w:rsidRDefault="00610947" w:rsidP="00FC19A0">
      <w:pPr>
        <w:spacing w:line="240" w:lineRule="auto"/>
        <w:jc w:val="center"/>
        <w:rPr>
          <w:rFonts w:cs="Arial"/>
          <w:b/>
          <w:bCs/>
          <w:szCs w:val="20"/>
        </w:rPr>
      </w:pPr>
      <w:r>
        <w:rPr>
          <w:rFonts w:cs="Arial"/>
          <w:b/>
          <w:color w:val="000000" w:themeColor="text1"/>
        </w:rPr>
        <w:br w:type="page"/>
      </w:r>
    </w:p>
    <w:tbl>
      <w:tblPr>
        <w:tblW w:w="0" w:type="auto"/>
        <w:jc w:val="center"/>
        <w:tblLook w:val="04A0" w:firstRow="1" w:lastRow="0" w:firstColumn="1" w:lastColumn="0" w:noHBand="0" w:noVBand="1"/>
      </w:tblPr>
      <w:tblGrid>
        <w:gridCol w:w="9072"/>
      </w:tblGrid>
      <w:tr w:rsidR="000C08CA" w:rsidRPr="00605612" w14:paraId="7E6F57AA" w14:textId="77777777" w:rsidTr="00FE328D">
        <w:trPr>
          <w:jc w:val="center"/>
        </w:trPr>
        <w:tc>
          <w:tcPr>
            <w:tcW w:w="9072" w:type="dxa"/>
          </w:tcPr>
          <w:p w14:paraId="62F0AF06" w14:textId="77777777" w:rsidR="000C08CA" w:rsidRPr="00605612" w:rsidRDefault="000C08CA" w:rsidP="00FE328D">
            <w:pPr>
              <w:spacing w:line="240" w:lineRule="auto"/>
              <w:jc w:val="center"/>
              <w:rPr>
                <w:rFonts w:cs="Arial"/>
                <w:b/>
                <w:bCs/>
                <w:szCs w:val="20"/>
              </w:rPr>
            </w:pPr>
            <w:r w:rsidRPr="00605612">
              <w:rPr>
                <w:rFonts w:cs="Arial"/>
                <w:b/>
                <w:bCs/>
                <w:szCs w:val="20"/>
              </w:rPr>
              <w:lastRenderedPageBreak/>
              <w:t xml:space="preserve">PREDLOG </w:t>
            </w:r>
          </w:p>
          <w:p w14:paraId="4677769C" w14:textId="77777777" w:rsidR="000C08CA" w:rsidRPr="00605612" w:rsidRDefault="000C08CA" w:rsidP="00FE328D">
            <w:pPr>
              <w:spacing w:line="240" w:lineRule="auto"/>
              <w:jc w:val="center"/>
              <w:rPr>
                <w:rFonts w:cs="Arial"/>
                <w:b/>
                <w:bCs/>
                <w:szCs w:val="20"/>
              </w:rPr>
            </w:pPr>
            <w:r w:rsidRPr="00605612">
              <w:rPr>
                <w:rFonts w:cs="Arial"/>
                <w:b/>
                <w:bCs/>
                <w:szCs w:val="20"/>
              </w:rPr>
              <w:t xml:space="preserve">PRAVILNIKA O SPREMEMBAH IN DOPOLNITVAH </w:t>
            </w:r>
          </w:p>
          <w:p w14:paraId="700E1B0E" w14:textId="77777777" w:rsidR="000C08CA" w:rsidRPr="00605612" w:rsidRDefault="000C08CA" w:rsidP="00FE328D">
            <w:pPr>
              <w:spacing w:line="240" w:lineRule="auto"/>
              <w:jc w:val="center"/>
              <w:rPr>
                <w:rFonts w:cs="Arial"/>
                <w:b/>
                <w:bCs/>
                <w:szCs w:val="20"/>
              </w:rPr>
            </w:pPr>
            <w:r w:rsidRPr="00605612">
              <w:rPr>
                <w:rFonts w:cs="Arial"/>
                <w:b/>
                <w:bCs/>
                <w:szCs w:val="20"/>
              </w:rPr>
              <w:t>PRAVILNIKA O NAČINU PREDLOŽITVE LETNIH POROČIL IN NJIHOVE OBJAVE</w:t>
            </w:r>
          </w:p>
          <w:p w14:paraId="6830E6DD" w14:textId="77777777" w:rsidR="000C08CA" w:rsidRPr="00605612" w:rsidRDefault="000C08CA" w:rsidP="00FE328D">
            <w:pPr>
              <w:spacing w:line="240" w:lineRule="auto"/>
              <w:rPr>
                <w:rFonts w:cs="Arial"/>
                <w:szCs w:val="20"/>
              </w:rPr>
            </w:pPr>
          </w:p>
          <w:p w14:paraId="37159303" w14:textId="77777777" w:rsidR="000C08CA" w:rsidRPr="00605612" w:rsidRDefault="000C08CA" w:rsidP="00FE328D">
            <w:pPr>
              <w:pStyle w:val="ListParagraph"/>
              <w:numPr>
                <w:ilvl w:val="0"/>
                <w:numId w:val="70"/>
              </w:numPr>
              <w:spacing w:after="0" w:line="240" w:lineRule="auto"/>
              <w:jc w:val="center"/>
              <w:rPr>
                <w:rFonts w:ascii="Arial" w:hAnsi="Arial" w:cs="Arial"/>
                <w:sz w:val="20"/>
                <w:szCs w:val="20"/>
              </w:rPr>
            </w:pPr>
            <w:r w:rsidRPr="00605612">
              <w:rPr>
                <w:rFonts w:ascii="Arial" w:hAnsi="Arial" w:cs="Arial"/>
                <w:sz w:val="20"/>
                <w:szCs w:val="20"/>
              </w:rPr>
              <w:t>člen</w:t>
            </w:r>
          </w:p>
          <w:p w14:paraId="51B5B50D" w14:textId="77777777" w:rsidR="000C08CA" w:rsidRPr="00605612" w:rsidRDefault="000C08CA" w:rsidP="00FE328D">
            <w:pPr>
              <w:spacing w:line="240" w:lineRule="auto"/>
              <w:rPr>
                <w:rFonts w:cs="Arial"/>
                <w:szCs w:val="20"/>
              </w:rPr>
            </w:pPr>
          </w:p>
          <w:p w14:paraId="42EFA131" w14:textId="77777777" w:rsidR="000C08CA" w:rsidRPr="00605612" w:rsidRDefault="000C08CA" w:rsidP="00FE328D">
            <w:pPr>
              <w:spacing w:line="240" w:lineRule="auto"/>
              <w:jc w:val="both"/>
              <w:rPr>
                <w:rFonts w:cs="Arial"/>
                <w:szCs w:val="20"/>
              </w:rPr>
            </w:pPr>
            <w:r w:rsidRPr="00605612">
              <w:rPr>
                <w:rFonts w:cs="Arial"/>
                <w:szCs w:val="20"/>
              </w:rPr>
              <w:t>V Pravilniku o načinu predložitve letnih poročil in njihove javne objave (Uradni list RS, št. 47/08) se v 3. členu v prvem odstavku besedilo »Uradni list RS, št. 42/06, 60/06 – popr., 26/07 – ZSDU-B, 33/07 – ZSReg-B, 67/07 – ZTFI, 100/07 – popr. in 10/08« nadomesti z besedilom »Uradni list RS, št. 65/09 – uradno prečiščeno besedilo, 33/11, 91/11, 32/12, 57/12, 44/13 – odl. US, 82/13, 55/15, 15/17, 22/19 – ZPosS, 158/20 – ZIntPK-C, 18/21, 18/23 – ZDU-1O in 75/23«.</w:t>
            </w:r>
          </w:p>
          <w:p w14:paraId="7E07BD19" w14:textId="77777777" w:rsidR="000C08CA" w:rsidRPr="00605612" w:rsidRDefault="000C08CA" w:rsidP="00FE328D">
            <w:pPr>
              <w:spacing w:line="240" w:lineRule="auto"/>
              <w:jc w:val="both"/>
              <w:rPr>
                <w:rFonts w:cs="Arial"/>
                <w:szCs w:val="20"/>
              </w:rPr>
            </w:pPr>
          </w:p>
          <w:p w14:paraId="09EE624B" w14:textId="77777777" w:rsidR="000C08CA" w:rsidRPr="00605612" w:rsidRDefault="000C08CA" w:rsidP="00FE328D">
            <w:pPr>
              <w:spacing w:line="240" w:lineRule="auto"/>
              <w:jc w:val="both"/>
              <w:rPr>
                <w:rFonts w:cs="Arial"/>
                <w:szCs w:val="20"/>
              </w:rPr>
            </w:pPr>
            <w:r w:rsidRPr="00605612">
              <w:rPr>
                <w:rFonts w:cs="Arial"/>
                <w:szCs w:val="20"/>
              </w:rPr>
              <w:t xml:space="preserve">V 3. odstavku se za piko doda nov stavek, ki se glasi: »Ne glede na prejšnji stavek, družbe, ki morajo pripraviti poročilo o trajnostnosti ali konsolidirano poročilo o trajnostnosti v skladu z ZGD-1, predložijo AJPES letna poročila za javno objavo v obliki, določeni v 2. odstavku 58. člena ZGD-1, družbe, ki morajo pripraviti poročilo o davčnih informacijah v zvezi z dohodki v skladu z ZGD-1 </w:t>
            </w:r>
            <w:r>
              <w:rPr>
                <w:rFonts w:cs="Arial"/>
                <w:szCs w:val="20"/>
              </w:rPr>
              <w:t>ga</w:t>
            </w:r>
            <w:r w:rsidRPr="00605612">
              <w:rPr>
                <w:rFonts w:cs="Arial"/>
                <w:szCs w:val="20"/>
              </w:rPr>
              <w:t xml:space="preserve"> predložijo AJPES v pripravljalni obliki iz 70.g člena ZGD-1.«.</w:t>
            </w:r>
          </w:p>
          <w:p w14:paraId="193D949D" w14:textId="77777777" w:rsidR="000C08CA" w:rsidRPr="00605612" w:rsidRDefault="000C08CA" w:rsidP="00FE328D">
            <w:pPr>
              <w:spacing w:line="240" w:lineRule="auto"/>
              <w:jc w:val="both"/>
              <w:rPr>
                <w:rFonts w:cs="Arial"/>
                <w:szCs w:val="20"/>
              </w:rPr>
            </w:pPr>
          </w:p>
          <w:p w14:paraId="6A7B1BCE" w14:textId="77777777" w:rsidR="000C08CA" w:rsidRPr="00605612" w:rsidRDefault="000C08CA" w:rsidP="00FE328D">
            <w:pPr>
              <w:pStyle w:val="ListParagraph"/>
              <w:numPr>
                <w:ilvl w:val="0"/>
                <w:numId w:val="70"/>
              </w:numPr>
              <w:spacing w:after="0" w:line="240" w:lineRule="auto"/>
              <w:jc w:val="center"/>
              <w:rPr>
                <w:rFonts w:ascii="Arial" w:hAnsi="Arial" w:cs="Arial"/>
                <w:sz w:val="20"/>
                <w:szCs w:val="20"/>
              </w:rPr>
            </w:pPr>
            <w:r w:rsidRPr="00605612">
              <w:rPr>
                <w:rFonts w:ascii="Arial" w:hAnsi="Arial" w:cs="Arial"/>
                <w:sz w:val="20"/>
                <w:szCs w:val="20"/>
              </w:rPr>
              <w:t>člen</w:t>
            </w:r>
          </w:p>
          <w:p w14:paraId="0FE6A6B3" w14:textId="77777777" w:rsidR="000C08CA" w:rsidRPr="00605612" w:rsidRDefault="000C08CA" w:rsidP="00FE328D">
            <w:pPr>
              <w:spacing w:line="240" w:lineRule="auto"/>
              <w:jc w:val="both"/>
              <w:rPr>
                <w:rFonts w:cs="Arial"/>
                <w:szCs w:val="20"/>
              </w:rPr>
            </w:pPr>
          </w:p>
          <w:p w14:paraId="1E95D3FB" w14:textId="77777777" w:rsidR="000C08CA" w:rsidRPr="00605612" w:rsidRDefault="000C08CA" w:rsidP="00FE328D">
            <w:pPr>
              <w:spacing w:line="240" w:lineRule="auto"/>
              <w:jc w:val="both"/>
              <w:rPr>
                <w:rFonts w:cs="Arial"/>
                <w:szCs w:val="20"/>
              </w:rPr>
            </w:pPr>
            <w:r w:rsidRPr="00605612">
              <w:rPr>
                <w:rFonts w:cs="Arial"/>
                <w:szCs w:val="20"/>
              </w:rPr>
              <w:t>Ta pravilnik začne veljati petnajsti dan po objavi v Uradnem listu Republike Slovenije.</w:t>
            </w:r>
          </w:p>
          <w:p w14:paraId="74F20B70" w14:textId="77777777" w:rsidR="000C08CA" w:rsidRPr="00605612" w:rsidRDefault="000C08CA" w:rsidP="00FE328D">
            <w:pPr>
              <w:spacing w:line="240" w:lineRule="auto"/>
              <w:jc w:val="both"/>
              <w:rPr>
                <w:rFonts w:cs="Arial"/>
                <w:szCs w:val="20"/>
              </w:rPr>
            </w:pPr>
          </w:p>
          <w:p w14:paraId="04ADBDEE" w14:textId="77777777" w:rsidR="000C08CA" w:rsidRPr="00605612" w:rsidRDefault="000C08CA" w:rsidP="00FE328D">
            <w:pPr>
              <w:spacing w:line="240" w:lineRule="auto"/>
              <w:rPr>
                <w:rFonts w:cs="Arial"/>
                <w:b/>
                <w:bCs/>
                <w:szCs w:val="20"/>
              </w:rPr>
            </w:pPr>
          </w:p>
          <w:p w14:paraId="185BF8DA" w14:textId="77777777" w:rsidR="000C08CA" w:rsidRPr="00605612" w:rsidRDefault="000C08CA" w:rsidP="00FE328D">
            <w:pPr>
              <w:spacing w:line="240" w:lineRule="auto"/>
              <w:jc w:val="center"/>
              <w:rPr>
                <w:rFonts w:cs="Arial"/>
                <w:b/>
                <w:bCs/>
                <w:szCs w:val="20"/>
              </w:rPr>
            </w:pPr>
            <w:r w:rsidRPr="00605612">
              <w:rPr>
                <w:rFonts w:cs="Arial"/>
                <w:b/>
                <w:bCs/>
                <w:szCs w:val="20"/>
              </w:rPr>
              <w:t>OBRAZLOŽITEV</w:t>
            </w:r>
          </w:p>
          <w:p w14:paraId="1B668F2D" w14:textId="77777777" w:rsidR="000C08CA" w:rsidRPr="00605612" w:rsidRDefault="000C08CA" w:rsidP="00FE328D">
            <w:pPr>
              <w:spacing w:line="240" w:lineRule="auto"/>
              <w:jc w:val="both"/>
              <w:rPr>
                <w:rFonts w:cs="Arial"/>
                <w:szCs w:val="20"/>
              </w:rPr>
            </w:pPr>
          </w:p>
          <w:p w14:paraId="488F6BDE" w14:textId="77777777" w:rsidR="000C08CA" w:rsidRPr="00605612" w:rsidRDefault="000C08CA" w:rsidP="00FE328D">
            <w:pPr>
              <w:spacing w:line="240" w:lineRule="auto"/>
              <w:jc w:val="both"/>
              <w:rPr>
                <w:rFonts w:cs="Arial"/>
                <w:szCs w:val="20"/>
              </w:rPr>
            </w:pPr>
            <w:r w:rsidRPr="00605612">
              <w:rPr>
                <w:rFonts w:cs="Arial"/>
                <w:szCs w:val="20"/>
              </w:rPr>
              <w:t>Na podlagi trinajstega odstavka 58. člena Zakona o gospodarskih družbah (Uradni list RS, št. 65/09 – uradno prečiščeno besedilo, 33/11, 91/11, 32/12, 57/12, 44/13 – odl. US, 82/13, 55/15, 15/17, 22/19 – ZPosS, 158/20 – ZIntPK-C, 18/21, 18/23 – ZDU-1O in 75/23; v nadaljnjem besedilu: ZGD-1) in v zvezi z 71. členom Zakona o plačilnem prometu (Uradni list RS, št. 110/06 – uradno prečiščeno besedilo, 114/06 – ZUE, 131/06 – ZBan-1, 102/07, 126/07 – ZFPPIPP, 58/09 – ZPlaSS, 34/10 – ZPlaSS-A in 59/10 – ZOPSPU) po predhodnem mnenju Agencije Republike Slovenije za javnopravne evidence in storitve, minister, pristojen za gospodarstvo in minister, pristojen za pravosodje predpišeta podrobnejša pravila o načinu predložitve poročil in načinu javne objave ter o zasnovi spletnih strani.</w:t>
            </w:r>
          </w:p>
          <w:p w14:paraId="4129F82B" w14:textId="77777777" w:rsidR="000C08CA" w:rsidRPr="00605612" w:rsidRDefault="000C08CA" w:rsidP="00FE328D">
            <w:pPr>
              <w:spacing w:line="240" w:lineRule="auto"/>
              <w:jc w:val="both"/>
              <w:rPr>
                <w:rFonts w:cs="Arial"/>
                <w:szCs w:val="20"/>
              </w:rPr>
            </w:pPr>
          </w:p>
          <w:p w14:paraId="02225F45" w14:textId="77777777" w:rsidR="000C08CA" w:rsidRPr="00605612" w:rsidRDefault="000C08CA" w:rsidP="00FE328D">
            <w:pPr>
              <w:spacing w:line="240" w:lineRule="auto"/>
              <w:jc w:val="both"/>
              <w:rPr>
                <w:rFonts w:cs="Arial"/>
                <w:szCs w:val="20"/>
              </w:rPr>
            </w:pPr>
            <w:r w:rsidRPr="00605612">
              <w:rPr>
                <w:rFonts w:cs="Arial"/>
                <w:szCs w:val="20"/>
              </w:rPr>
              <w:t xml:space="preserve">Nov drugi odstavek 58. člena ZGD-1 dopolnjuje prvi odstavek, saj določa, da mora družba, za katero velja 70.c ali 70.č člen tega zakona, izpolniti obveznost predložitve letnega poročila oziroma konsolidiranega letnega poročila AJPES v enotni elektronski obliki, ki jo določa 3. člen Delegirane uredbe Komisije 2019/815/EU, ter svoje poročilo o trajnostnosti, vključno z informacijami, ki jih je treba razkriti v skladu z 8. členom Uredbe 2020/852/EU, opremiti z oznakami v skladu z elektronsko obliko poročanja, določeno v navedeni delegirani uredbi. Navedena ureditev je podobna ureditvi iz četrtega odstavka 134. člena Zakona o trgu finančnih instrumentov (v </w:t>
            </w:r>
            <w:r w:rsidRPr="007767DF">
              <w:rPr>
                <w:rFonts w:cs="Arial"/>
                <w:szCs w:val="20"/>
              </w:rPr>
              <w:t>nadaljnjem besedilu</w:t>
            </w:r>
            <w:r w:rsidRPr="00605612">
              <w:rPr>
                <w:rFonts w:cs="Arial"/>
                <w:szCs w:val="20"/>
              </w:rPr>
              <w:t>: ZTFI-1) glede objave letnih poročil za javne družbe. Kot je pojasnjeno zgoraj, 29.d člen Direktive 2013/34/EU sicer določa enotno elektronsko obliko za družbe, ki so zavezane trajnostno poročati, vendar zgolj za poslovno poročilo oziroma konsolidirano poslovno poročilo. Letno poročilo pa je s svojimi sestavnimi deli, kot ga opredeljuje ZGD-1 v 60. členu, enovit dokument, iz katerega je mogoče izločiti in drugje objaviti le tiste dele, ki jih ZGD-1 posebej navaja (npr. izjavo o upravljanju družbe). Če bi se družbe zavezalo k spoštovanju delegirane uredbe in uporabi XHTML formata le za poslovno poročilo, obstaja bojazen, da bi družbe to razumele kot objavo posameznih sestavnih delov letnega poročila v različnih elektronskih formatih, kar pa ne bi več zagotavljalo celovitosti letnega poročila. Zato se po zgledu četrtega odstavka 134. člena ZTFI-1 družbe zaveže k pripravi celotnega letnega poročila v enotni elektronski obliki (kar v praksi pomeni zgolj uporabo istega elektronskega formata za celotno letno poročilo, pri čemer se bo označevalo le tiste dele letnega poročila, ki jih bo zahtevala delegirana uredba).</w:t>
            </w:r>
          </w:p>
          <w:p w14:paraId="7BAD7EC7" w14:textId="77777777" w:rsidR="000C08CA" w:rsidRPr="00605612" w:rsidRDefault="000C08CA" w:rsidP="00FE328D">
            <w:pPr>
              <w:spacing w:line="240" w:lineRule="auto"/>
              <w:jc w:val="both"/>
              <w:rPr>
                <w:rFonts w:cs="Arial"/>
                <w:szCs w:val="20"/>
              </w:rPr>
            </w:pPr>
          </w:p>
          <w:p w14:paraId="49E598A6" w14:textId="77777777" w:rsidR="000C08CA" w:rsidRPr="00605612" w:rsidRDefault="000C08CA" w:rsidP="00FE328D">
            <w:pPr>
              <w:spacing w:line="240" w:lineRule="auto"/>
              <w:jc w:val="both"/>
              <w:rPr>
                <w:rFonts w:cs="Arial"/>
                <w:b/>
                <w:color w:val="000000" w:themeColor="text1"/>
                <w:szCs w:val="20"/>
              </w:rPr>
            </w:pPr>
            <w:r w:rsidRPr="00605612">
              <w:rPr>
                <w:rFonts w:cs="Arial"/>
                <w:szCs w:val="20"/>
              </w:rPr>
              <w:t xml:space="preserve">Nov 70.g člen ZGD-1 določa, da v primerih, če družba razkrije podatke na podlagi prvega odstavka 70.f člena ali pa podatke razkrije na podlagi navodil za poročanje iz oddelka III, dela B in C, Priloge III k Direktivi Sveta 2011/16/EU, mora poročilo pripraviti z uporabo skupne predloge in elektronskih oblik poročanja, ki so strojno berljive. Takšno skupno predlogo bo Evropska komisija sprejela z izvedbeno uredbo, z njo pa bo določila zahteve glede poročanja </w:t>
            </w:r>
            <w:r>
              <w:rPr>
                <w:rFonts w:cs="Arial"/>
                <w:color w:val="000000" w:themeColor="text1"/>
                <w:szCs w:val="20"/>
              </w:rPr>
              <w:t xml:space="preserve">o davčnih informacijah </w:t>
            </w:r>
            <w:r w:rsidRPr="00605612">
              <w:rPr>
                <w:rFonts w:cs="Arial"/>
                <w:szCs w:val="20"/>
              </w:rPr>
              <w:t xml:space="preserve">v zvezi z dohodki, skupno predlogo in elektronske oblike poročanja. Z uredbo, ki je unifikacijski predpis in se v </w:t>
            </w:r>
            <w:r w:rsidRPr="00605612">
              <w:rPr>
                <w:rFonts w:cs="Arial"/>
                <w:szCs w:val="20"/>
              </w:rPr>
              <w:lastRenderedPageBreak/>
              <w:t xml:space="preserve">državah članicah uporablja neposredno, se bo dosegla najvišja stopnja poenotenja poročanja </w:t>
            </w:r>
            <w:r>
              <w:rPr>
                <w:rFonts w:cs="Arial"/>
                <w:color w:val="000000" w:themeColor="text1"/>
                <w:szCs w:val="20"/>
              </w:rPr>
              <w:t xml:space="preserve">o davčnih informacijah </w:t>
            </w:r>
            <w:r w:rsidRPr="00605612">
              <w:rPr>
                <w:rFonts w:cs="Arial"/>
                <w:szCs w:val="20"/>
              </w:rPr>
              <w:t>v zvezi z dohodki, saj je ključno, da so podatki med seboj primerljivi.</w:t>
            </w:r>
          </w:p>
          <w:p w14:paraId="081DE88E" w14:textId="77777777" w:rsidR="000C08CA" w:rsidRPr="00605612" w:rsidRDefault="000C08CA" w:rsidP="00FE328D">
            <w:pPr>
              <w:pStyle w:val="Alineazaodstavkom"/>
              <w:numPr>
                <w:ilvl w:val="0"/>
                <w:numId w:val="0"/>
              </w:numPr>
              <w:spacing w:line="260" w:lineRule="exact"/>
              <w:rPr>
                <w:color w:val="000000" w:themeColor="text1"/>
                <w:sz w:val="20"/>
                <w:szCs w:val="20"/>
              </w:rPr>
            </w:pPr>
          </w:p>
        </w:tc>
      </w:tr>
    </w:tbl>
    <w:p w14:paraId="10830AEC" w14:textId="77777777" w:rsidR="000C08CA" w:rsidRPr="00605612" w:rsidRDefault="000C08CA" w:rsidP="000C08CA">
      <w:pPr>
        <w:spacing w:line="240" w:lineRule="auto"/>
        <w:jc w:val="both"/>
        <w:rPr>
          <w:rFonts w:cs="Arial"/>
          <w:b/>
          <w:color w:val="000000" w:themeColor="text1"/>
          <w:szCs w:val="20"/>
        </w:rPr>
      </w:pPr>
    </w:p>
    <w:p w14:paraId="3DCB9E28" w14:textId="77777777" w:rsidR="00FC19A0" w:rsidRPr="00605612" w:rsidRDefault="00FC19A0" w:rsidP="005F2C4E">
      <w:pPr>
        <w:spacing w:line="240" w:lineRule="auto"/>
        <w:jc w:val="both"/>
        <w:rPr>
          <w:rFonts w:cs="Arial"/>
          <w:b/>
          <w:color w:val="000000" w:themeColor="text1"/>
          <w:szCs w:val="20"/>
        </w:rPr>
      </w:pPr>
    </w:p>
    <w:sectPr w:rsidR="00FC19A0" w:rsidRPr="00605612" w:rsidSect="009D0BB2">
      <w:headerReference w:type="first" r:id="rId38"/>
      <w:pgSz w:w="11910" w:h="16840"/>
      <w:pgMar w:top="1040" w:right="1000" w:bottom="28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45EC" w14:textId="77777777" w:rsidR="00034417" w:rsidRDefault="00034417">
      <w:r>
        <w:separator/>
      </w:r>
    </w:p>
  </w:endnote>
  <w:endnote w:type="continuationSeparator" w:id="0">
    <w:p w14:paraId="343380BF" w14:textId="77777777" w:rsidR="00034417" w:rsidRDefault="00034417">
      <w:r>
        <w:continuationSeparator/>
      </w:r>
    </w:p>
  </w:endnote>
  <w:endnote w:type="continuationNotice" w:id="1">
    <w:p w14:paraId="212BED57" w14:textId="77777777" w:rsidR="00034417" w:rsidRDefault="00034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8106"/>
      <w:docPartObj>
        <w:docPartGallery w:val="Page Numbers (Bottom of Page)"/>
        <w:docPartUnique/>
      </w:docPartObj>
    </w:sdtPr>
    <w:sdtEndPr/>
    <w:sdtContent>
      <w:p w14:paraId="63CE6625" w14:textId="77777777" w:rsidR="00C218F9" w:rsidRDefault="00B72420">
        <w:pPr>
          <w:pStyle w:val="Footer"/>
          <w:jc w:val="right"/>
        </w:pPr>
        <w:r>
          <w:fldChar w:fldCharType="begin"/>
        </w:r>
        <w:r>
          <w:instrText>PAGE   \* MERGEFORMAT</w:instrText>
        </w:r>
        <w:r>
          <w:fldChar w:fldCharType="separate"/>
        </w:r>
        <w:r w:rsidR="00C218F9">
          <w:rPr>
            <w:noProof/>
          </w:rPr>
          <w:t>20</w:t>
        </w:r>
        <w:r>
          <w:rPr>
            <w:noProof/>
          </w:rPr>
          <w:fldChar w:fldCharType="end"/>
        </w:r>
      </w:p>
    </w:sdtContent>
  </w:sdt>
  <w:p w14:paraId="00318112" w14:textId="77777777" w:rsidR="00C218F9" w:rsidRDefault="00C2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FEC" w14:textId="77777777" w:rsidR="00C218F9" w:rsidRDefault="00B72420">
    <w:pPr>
      <w:pStyle w:val="Footer"/>
      <w:jc w:val="right"/>
    </w:pPr>
    <w:r>
      <w:fldChar w:fldCharType="begin"/>
    </w:r>
    <w:r>
      <w:instrText>PAGE   \* MERGEFORMAT</w:instrText>
    </w:r>
    <w:r>
      <w:fldChar w:fldCharType="separate"/>
    </w:r>
    <w:r w:rsidR="00C218F9">
      <w:rPr>
        <w:noProof/>
      </w:rPr>
      <w:t>1</w:t>
    </w:r>
    <w:r>
      <w:rPr>
        <w:noProof/>
      </w:rPr>
      <w:fldChar w:fldCharType="end"/>
    </w:r>
  </w:p>
  <w:p w14:paraId="3EE2AACC" w14:textId="77777777" w:rsidR="00C218F9" w:rsidRDefault="00C2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13877"/>
      <w:docPartObj>
        <w:docPartGallery w:val="Page Numbers (Bottom of Page)"/>
        <w:docPartUnique/>
      </w:docPartObj>
    </w:sdtPr>
    <w:sdtEndPr/>
    <w:sdtContent>
      <w:p w14:paraId="6B2E1000" w14:textId="77777777" w:rsidR="00C218F9" w:rsidRDefault="00B72420">
        <w:pPr>
          <w:pStyle w:val="Footer"/>
          <w:jc w:val="right"/>
        </w:pPr>
        <w:r>
          <w:fldChar w:fldCharType="begin"/>
        </w:r>
        <w:r>
          <w:instrText>PAGE   \* MERGEFORMAT</w:instrText>
        </w:r>
        <w:r>
          <w:fldChar w:fldCharType="separate"/>
        </w:r>
        <w:r w:rsidR="001B04C3">
          <w:rPr>
            <w:noProof/>
          </w:rPr>
          <w:t>112</w:t>
        </w:r>
        <w:r>
          <w:rPr>
            <w:noProof/>
          </w:rPr>
          <w:fldChar w:fldCharType="end"/>
        </w:r>
      </w:p>
    </w:sdtContent>
  </w:sdt>
  <w:p w14:paraId="6128D03D" w14:textId="77777777" w:rsidR="00C218F9" w:rsidRDefault="00C218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0F1E" w14:textId="77777777" w:rsidR="00C218F9" w:rsidRDefault="00B72420">
    <w:pPr>
      <w:pStyle w:val="Footer"/>
      <w:jc w:val="right"/>
    </w:pPr>
    <w:r>
      <w:fldChar w:fldCharType="begin"/>
    </w:r>
    <w:r>
      <w:instrText>PAGE   \* MERGEFORMAT</w:instrText>
    </w:r>
    <w:r>
      <w:fldChar w:fldCharType="separate"/>
    </w:r>
    <w:r w:rsidR="00C218F9">
      <w:rPr>
        <w:noProof/>
      </w:rPr>
      <w:t>1</w:t>
    </w:r>
    <w:r>
      <w:rPr>
        <w:noProof/>
      </w:rPr>
      <w:fldChar w:fldCharType="end"/>
    </w:r>
  </w:p>
  <w:p w14:paraId="7C90D999" w14:textId="77777777" w:rsidR="00C218F9" w:rsidRDefault="00C2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BA79" w14:textId="77777777" w:rsidR="00034417" w:rsidRDefault="00034417">
      <w:r>
        <w:separator/>
      </w:r>
    </w:p>
  </w:footnote>
  <w:footnote w:type="continuationSeparator" w:id="0">
    <w:p w14:paraId="58EC47B7" w14:textId="77777777" w:rsidR="00034417" w:rsidRDefault="00034417">
      <w:r>
        <w:continuationSeparator/>
      </w:r>
    </w:p>
  </w:footnote>
  <w:footnote w:type="continuationNotice" w:id="1">
    <w:p w14:paraId="31CD5D44" w14:textId="77777777" w:rsidR="00034417" w:rsidRDefault="00034417">
      <w:pPr>
        <w:spacing w:line="240" w:lineRule="auto"/>
      </w:pPr>
    </w:p>
  </w:footnote>
  <w:footnote w:id="2">
    <w:p w14:paraId="0DA2FA4B"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u w:val="single"/>
        </w:rPr>
        <w:t>Uredba (EU) 2019/2088 Evropskega parlamenta in Sveta z dne 27. novembra 2019 o razkritjih, povezanih s trajnostnostjo, v sektorju finančnih storitev</w:t>
      </w:r>
      <w:r w:rsidRPr="00197BC1">
        <w:rPr>
          <w:rFonts w:ascii="Arial" w:hAnsi="Arial" w:cs="Arial"/>
          <w:sz w:val="15"/>
          <w:szCs w:val="15"/>
        </w:rPr>
        <w:t xml:space="preserve"> ureja, kako morajo udeleženci na finančnem trgu in finančni svetovalci končnim vlagateljem in lastnikom sredstev razkriti informacije o trajnostnosti (v nadaljnjem besedilu: Uredba 2019/2088/EU).</w:t>
      </w:r>
    </w:p>
    <w:p w14:paraId="4068D6A7" w14:textId="77777777" w:rsidR="000C08CA" w:rsidRPr="00197BC1" w:rsidRDefault="000C08CA" w:rsidP="000C08CA">
      <w:pPr>
        <w:pStyle w:val="FootnoteText"/>
        <w:jc w:val="both"/>
        <w:rPr>
          <w:rFonts w:ascii="Arial" w:hAnsi="Arial" w:cs="Arial"/>
          <w:sz w:val="15"/>
          <w:szCs w:val="15"/>
        </w:rPr>
      </w:pPr>
      <w:r w:rsidRPr="00197BC1">
        <w:rPr>
          <w:rFonts w:ascii="Arial" w:hAnsi="Arial" w:cs="Arial"/>
          <w:sz w:val="15"/>
          <w:szCs w:val="15"/>
          <w:u w:val="single"/>
        </w:rPr>
        <w:t>Uredba (EU) 2020/852 Evropskega parlamenta in Sveta z dne 18. junija 2020 o vzpostavitvi okvira za spodbujanje trajnostnih naložb ter spremembi Uredbe (EU) 2019/2088</w:t>
      </w:r>
      <w:r w:rsidRPr="00197BC1">
        <w:rPr>
          <w:rFonts w:ascii="Arial" w:hAnsi="Arial" w:cs="Arial"/>
          <w:sz w:val="15"/>
          <w:szCs w:val="15"/>
        </w:rPr>
        <w:t xml:space="preserve"> vzpostavlja klasifikacijski sistem za okoljsko trajnostne gospodarske dejavnosti z namenom povečanja trajnostnih naložb in boja proti lažnemu zelenemu oglaševanju finančnih produktov, za katere se neupravičeno trdi, da so trajnostni (</w:t>
      </w:r>
      <w:r w:rsidRPr="00197BC1">
        <w:rPr>
          <w:rFonts w:ascii="Arial" w:hAnsi="Arial" w:cs="Arial"/>
          <w:bCs/>
          <w:sz w:val="15"/>
          <w:szCs w:val="15"/>
        </w:rPr>
        <w:t>v nadaljnjem besedilu: Uredba 2020/852/EU</w:t>
      </w:r>
      <w:r w:rsidRPr="00197BC1">
        <w:rPr>
          <w:rFonts w:ascii="Arial" w:hAnsi="Arial" w:cs="Arial"/>
          <w:sz w:val="15"/>
          <w:szCs w:val="15"/>
        </w:rPr>
        <w:t>).</w:t>
      </w:r>
    </w:p>
    <w:p w14:paraId="10FFA27B" w14:textId="77777777" w:rsidR="000C08CA" w:rsidRPr="00197BC1" w:rsidRDefault="000C08CA" w:rsidP="000C08CA">
      <w:pPr>
        <w:pStyle w:val="FootnoteText"/>
        <w:jc w:val="both"/>
        <w:rPr>
          <w:rFonts w:ascii="Arial" w:hAnsi="Arial" w:cs="Arial"/>
          <w:sz w:val="15"/>
          <w:szCs w:val="15"/>
        </w:rPr>
      </w:pPr>
      <w:r w:rsidRPr="00197BC1">
        <w:rPr>
          <w:rFonts w:ascii="Arial" w:hAnsi="Arial" w:cs="Arial"/>
          <w:sz w:val="15"/>
          <w:szCs w:val="15"/>
          <w:u w:val="single"/>
        </w:rPr>
        <w:t>Uredba (EU) 2019/2089 Evropskega parlamenta in Sveta z dne 27. novembra 2019 o spremembi Uredbe (EU) 2016/1011 glede referenčnih vrednosti EU za podnebni prehod, referenčnih vrednosti EU, usklajenih s Pariškim sporazumom, in s trajnostnostjo povezanih razkritij za referenčne vrednosti</w:t>
      </w:r>
      <w:r w:rsidRPr="00197BC1">
        <w:rPr>
          <w:rFonts w:ascii="Arial" w:hAnsi="Arial" w:cs="Arial"/>
          <w:sz w:val="15"/>
          <w:szCs w:val="15"/>
        </w:rPr>
        <w:t xml:space="preserve">, ki jo dopolnjujejo delegirane uredbe Komisije, uvaja okoljske, socialne in upravljavske zahteve glede razkritja za upravljavce referenčnih vrednosti ter minimalne standarde za oblikovanje referenčnih vrednosti EU za podnebni prehod in referenčnih vrednosti EU, usklajenih s Pariškim sporazumom. </w:t>
      </w:r>
    </w:p>
    <w:p w14:paraId="3A090C0B" w14:textId="77777777" w:rsidR="000C08CA" w:rsidRPr="00197BC1" w:rsidRDefault="000C08CA" w:rsidP="000C08CA">
      <w:pPr>
        <w:pStyle w:val="FootnoteText"/>
        <w:jc w:val="both"/>
        <w:rPr>
          <w:rFonts w:ascii="Arial" w:hAnsi="Arial" w:cs="Arial"/>
          <w:sz w:val="15"/>
          <w:szCs w:val="15"/>
        </w:rPr>
      </w:pPr>
      <w:r w:rsidRPr="00197BC1">
        <w:rPr>
          <w:rFonts w:ascii="Arial" w:hAnsi="Arial" w:cs="Arial"/>
          <w:sz w:val="15"/>
          <w:szCs w:val="15"/>
          <w:u w:val="single"/>
        </w:rPr>
        <w:t>Uredba (EU) št. 575/2013 Evropskega parlamenta in Sveta z dne 26. junija 2013 o bonitetnih zahtevah za kreditne institucije in o spremembi Uredbe (EU) št. 648/2012</w:t>
      </w:r>
      <w:r w:rsidRPr="00197BC1">
        <w:rPr>
          <w:rFonts w:ascii="Arial" w:hAnsi="Arial" w:cs="Arial"/>
          <w:sz w:val="15"/>
          <w:szCs w:val="15"/>
        </w:rPr>
        <w:t xml:space="preserve"> od velikih institucij, ki so izdale vrednostne papirje, sprejete v trgovanje na reguliranem trgu, zahteva, da od 28. junija 2022 razkrivajo informacije o okoljskih, socialnih in upravljavskih tveganjih. </w:t>
      </w:r>
    </w:p>
    <w:p w14:paraId="081FE727" w14:textId="77777777" w:rsidR="000C08CA" w:rsidRPr="00197BC1" w:rsidRDefault="000C08CA" w:rsidP="000C08CA">
      <w:pPr>
        <w:pStyle w:val="FootnoteText"/>
        <w:jc w:val="both"/>
        <w:rPr>
          <w:rFonts w:ascii="Arial" w:hAnsi="Arial" w:cs="Arial"/>
          <w:sz w:val="15"/>
          <w:szCs w:val="15"/>
        </w:rPr>
      </w:pPr>
      <w:r w:rsidRPr="00197BC1">
        <w:rPr>
          <w:rFonts w:ascii="Arial" w:hAnsi="Arial" w:cs="Arial"/>
          <w:sz w:val="15"/>
          <w:szCs w:val="15"/>
        </w:rPr>
        <w:t xml:space="preserve">Bonitetni okvir za investicijska podjetja, vzpostavljen z </w:t>
      </w:r>
      <w:r w:rsidRPr="00197BC1">
        <w:rPr>
          <w:rFonts w:ascii="Arial" w:hAnsi="Arial" w:cs="Arial"/>
          <w:sz w:val="15"/>
          <w:szCs w:val="15"/>
          <w:u w:val="single"/>
        </w:rPr>
        <w:t>Uredbo (EU) 2019/2033 Evropskega parlamenta in Sveta z dne 27. novembra 2019 o bonitetnih zahtevah za investicijska podjetja ter o spremembi uredb (EU) št. 1093/2010, (EU) št. 575/2013, (EU) št. 600/2014 in (EU) št. 806/2014 in Direktivo (EU) 2019/2034 Evropskega parlamenta in Sveta z dne 27. novembra 2019 o bonitetnem nadzoru investicijskih podjetij ter o spremembi direktiv 2002/87/ES, 2009/65/ES, 2011/61/EU, 2013/36/EU, 2014/59/EU in 2014/65/EU</w:t>
      </w:r>
      <w:r w:rsidRPr="00197BC1">
        <w:rPr>
          <w:rFonts w:ascii="Arial" w:hAnsi="Arial" w:cs="Arial"/>
          <w:sz w:val="15"/>
          <w:szCs w:val="15"/>
        </w:rPr>
        <w:t>, vsebuje določbe o uvedbi okoljskega, socialnega in upravljavskega vidika tveganj v proces nadzorniškega pregledovanja in ovrednotenja (SREP) s strani pristojnih organov ter vsebuje zahteve glede razkritja okoljskih, socialnih in upravljavskih tveganj za investicijska podjetja, te zahteve se uporabljajo od 26. decembra 2022. Komisija je 6. julija 2021 na podlagi akcijskega načrta za financiranje trajnostne rasti sprejela tudi predlog uredbe Evropskega parlamenta in Sveta o evropskih zelenih obveznicah.</w:t>
      </w:r>
    </w:p>
  </w:footnote>
  <w:footnote w:id="3">
    <w:p w14:paraId="4AF37EE3"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Direktiva 2004/109/ES Evropskega parlamenta in Sveta z dne 15. decembra 2004 o uskladitvi zahtev v zvezi s preglednostjo informacij o izdajateljih, katerih vrednostni papirji so sprejeti v trgovanje na reguliranem trgu, in o spremembah Direktive 2001/34/ES.</w:t>
      </w:r>
    </w:p>
  </w:footnote>
  <w:footnote w:id="4">
    <w:p w14:paraId="7A579B62"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Direktiva 2006/43/ES Evropskega parlamenta in Sveta z dne 17. maja 2006 o obveznih revizijah za letne in konsolidirane računovodske izkaze, spremembi direktiv Sveta 78/660/EGS in 83/349/EGS ter razveljavitvi Direktive Sveta 84/253/EGS.</w:t>
      </w:r>
    </w:p>
  </w:footnote>
  <w:footnote w:id="5">
    <w:p w14:paraId="0DF10567"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Uredba (EU) št. 537/2014 Evropskega parlamenta in Sveta z dne 16. aprila 2014 o posebnih zahtevah v zvezi z obvezno revizijo subjektov javnega interesa in razveljavitvi Sklepa Komisije 2005/909/ES.</w:t>
      </w:r>
    </w:p>
  </w:footnote>
  <w:footnote w:id="6">
    <w:p w14:paraId="7268EB33"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hyperlink r:id="rId1" w:history="1">
        <w:r w:rsidRPr="00197BC1">
          <w:rPr>
            <w:rStyle w:val="Hyperlink"/>
            <w:rFonts w:ascii="Arial" w:hAnsi="Arial" w:cs="Arial"/>
            <w:color w:val="auto"/>
            <w:sz w:val="15"/>
            <w:szCs w:val="15"/>
          </w:rPr>
          <w:t>https://eur-lex.europa.eu/legal-content/SL/TXT/?uri=CELEX%3A12012P%2FTXT</w:t>
        </w:r>
      </w:hyperlink>
      <w:r w:rsidRPr="00197BC1">
        <w:rPr>
          <w:rFonts w:ascii="Arial" w:hAnsi="Arial" w:cs="Arial"/>
          <w:sz w:val="15"/>
          <w:szCs w:val="15"/>
        </w:rPr>
        <w:t xml:space="preserve"> </w:t>
      </w:r>
    </w:p>
  </w:footnote>
  <w:footnote w:id="7">
    <w:p w14:paraId="3E13F8DE"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shd w:val="clear" w:color="auto" w:fill="FFFFFF"/>
        </w:rPr>
        <w:t>Priporočilo Sveta 84/635/EGS z dne 13. decembra 1984 o spodbujanju pozitivnih ukrepov za ženske (</w:t>
      </w:r>
      <w:hyperlink r:id="rId2" w:history="1">
        <w:r w:rsidRPr="00197BC1">
          <w:rPr>
            <w:rStyle w:val="Hyperlink"/>
            <w:rFonts w:ascii="Arial" w:hAnsi="Arial" w:cs="Arial"/>
            <w:color w:val="auto"/>
            <w:sz w:val="15"/>
            <w:szCs w:val="15"/>
            <w:u w:val="none"/>
            <w:shd w:val="clear" w:color="auto" w:fill="FFFFFF"/>
          </w:rPr>
          <w:t>UL L št. 331 z dne 19. 12. 1984, str. 34</w:t>
        </w:r>
      </w:hyperlink>
      <w:r w:rsidRPr="00197BC1">
        <w:rPr>
          <w:rFonts w:ascii="Arial" w:hAnsi="Arial" w:cs="Arial"/>
          <w:sz w:val="15"/>
          <w:szCs w:val="15"/>
          <w:shd w:val="clear" w:color="auto" w:fill="FFFFFF"/>
        </w:rPr>
        <w:t>).</w:t>
      </w:r>
    </w:p>
  </w:footnote>
  <w:footnote w:id="8">
    <w:p w14:paraId="1F3F2183"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shd w:val="clear" w:color="auto" w:fill="FFFFFF"/>
        </w:rPr>
        <w:t>Priporočilo Sveta 96/694/ES z dne 2. decembra 1996 o uravnoteženem sodelovanju žensk in moških pri procesu odločanja (</w:t>
      </w:r>
      <w:hyperlink r:id="rId3" w:history="1">
        <w:r w:rsidRPr="00197BC1">
          <w:rPr>
            <w:rStyle w:val="Hyperlink"/>
            <w:rFonts w:ascii="Arial" w:hAnsi="Arial" w:cs="Arial"/>
            <w:color w:val="auto"/>
            <w:sz w:val="15"/>
            <w:szCs w:val="15"/>
            <w:u w:val="none"/>
            <w:shd w:val="clear" w:color="auto" w:fill="FFFFFF"/>
          </w:rPr>
          <w:t>UL L št. 319 z dne 10. 12. 1996, str. 11</w:t>
        </w:r>
      </w:hyperlink>
      <w:r w:rsidRPr="00197BC1">
        <w:rPr>
          <w:rFonts w:ascii="Arial" w:hAnsi="Arial" w:cs="Arial"/>
          <w:sz w:val="15"/>
          <w:szCs w:val="15"/>
          <w:shd w:val="clear" w:color="auto" w:fill="FFFFFF"/>
        </w:rPr>
        <w:t>).</w:t>
      </w:r>
    </w:p>
  </w:footnote>
  <w:footnote w:id="9">
    <w:p w14:paraId="53F54F4B"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Glej npr. resolucijo z dne 6. julija 2011 o ženskah in vodenju podjetij (2010/2115(INI)) ter resolucijo z dne 13. marca 2012 o enakosti žensk in moških v Evropski uniji – 2011 (2011/2244(INI)).</w:t>
      </w:r>
    </w:p>
  </w:footnote>
  <w:footnote w:id="10">
    <w:p w14:paraId="04EFCCA3"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shd w:val="clear" w:color="auto" w:fill="FFFFFF"/>
        </w:rPr>
        <w:t>Okrepljena zaveza za enakost med ženskami in moškimi – Listina žensk z dne 5. 3. 2010, Evropa 2020: strategija za pametno, trajnostno in vključujočo rast z dne 3. 3. 2010, Strategija za enakost žensk in moških 2010–2015 z dne 21. 9. 2010, Unija enakosti: strategija za enakost spolov za obdobje 2020–2025 z dne 5. 3. 2020 itd.</w:t>
      </w:r>
    </w:p>
  </w:footnote>
  <w:footnote w:id="11">
    <w:p w14:paraId="7E8A3B43"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hyperlink r:id="rId4" w:history="1">
        <w:r w:rsidRPr="00197BC1">
          <w:rPr>
            <w:rStyle w:val="Hyperlink"/>
            <w:rFonts w:ascii="Arial" w:hAnsi="Arial" w:cs="Arial"/>
            <w:color w:val="auto"/>
            <w:sz w:val="15"/>
            <w:szCs w:val="15"/>
          </w:rPr>
          <w:t>https://eige.europa.eu/publications-resources/publications/gender-balance-business-and-finance-december-2022</w:t>
        </w:r>
      </w:hyperlink>
      <w:r w:rsidRPr="00197BC1">
        <w:rPr>
          <w:rFonts w:ascii="Arial" w:hAnsi="Arial" w:cs="Arial"/>
          <w:sz w:val="15"/>
          <w:szCs w:val="15"/>
        </w:rPr>
        <w:t xml:space="preserve"> </w:t>
      </w:r>
    </w:p>
  </w:footnote>
  <w:footnote w:id="12">
    <w:p w14:paraId="1810866F"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Zavezujoče ukrepe so sprejele Italija, Francija, Avstrija, Nemčija, Nizozemska, Belgija, Grčija, Portugalska. Pobude in priporočila so sprejeli Španija, Slovenija, Danska, Irska, Finska, Luksemburg, Švedska, Poljska. Nobenih ukrepov niso sprejeli Slovaška, Litva, Češka, Romunija, Latvija, Malta, Bolgarija, Madžarska, Estonija, Ciper in Hrvaška.</w:t>
      </w:r>
    </w:p>
  </w:footnote>
  <w:footnote w:id="13">
    <w:p w14:paraId="4D020500"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hyperlink r:id="rId5" w:history="1">
        <w:r w:rsidRPr="00197BC1">
          <w:rPr>
            <w:rStyle w:val="Hyperlink"/>
            <w:rFonts w:ascii="Arial" w:hAnsi="Arial" w:cs="Arial"/>
            <w:color w:val="auto"/>
            <w:sz w:val="15"/>
            <w:szCs w:val="15"/>
          </w:rPr>
          <w:t>https://eige.europa.eu/publications-resources/publications/gender-balance-business-and-finance-december-2022</w:t>
        </w:r>
      </w:hyperlink>
    </w:p>
  </w:footnote>
  <w:footnote w:id="14">
    <w:p w14:paraId="61869F13" w14:textId="77777777" w:rsidR="000C08CA" w:rsidRPr="00197BC1" w:rsidRDefault="000C08CA" w:rsidP="000C08CA">
      <w:pPr>
        <w:pStyle w:val="Bodytext10"/>
        <w:spacing w:line="240" w:lineRule="auto"/>
        <w:jc w:val="both"/>
        <w:rPr>
          <w:sz w:val="15"/>
          <w:szCs w:val="15"/>
        </w:rPr>
      </w:pPr>
      <w:r w:rsidRPr="00197BC1">
        <w:rPr>
          <w:rStyle w:val="FootnoteReference"/>
          <w:sz w:val="15"/>
          <w:szCs w:val="15"/>
        </w:rPr>
        <w:footnoteRef/>
      </w:r>
      <w:r w:rsidRPr="00197BC1">
        <w:rPr>
          <w:sz w:val="15"/>
          <w:szCs w:val="15"/>
        </w:rPr>
        <w:t xml:space="preserve"> </w:t>
      </w:r>
      <w:r w:rsidRPr="00197BC1">
        <w:rPr>
          <w:rStyle w:val="Bodytext1"/>
          <w:sz w:val="15"/>
          <w:szCs w:val="15"/>
        </w:rPr>
        <w:t>Evropski inštitut za enakost spolov (EIGE) dvakrat letno spremlja stanje v največjih družbah, ki kotirajo na borzi, v državah članicah EU ter vsako leto za centralne banke in finančne institucije EU.</w:t>
      </w:r>
      <w:r w:rsidRPr="00197BC1">
        <w:rPr>
          <w:rStyle w:val="Heading31"/>
          <w:color w:val="auto"/>
          <w:sz w:val="15"/>
          <w:szCs w:val="15"/>
        </w:rPr>
        <w:t xml:space="preserve"> </w:t>
      </w:r>
    </w:p>
  </w:footnote>
  <w:footnote w:id="15">
    <w:p w14:paraId="04918016" w14:textId="77777777" w:rsidR="000C08CA" w:rsidRPr="00197BC1" w:rsidRDefault="000C08CA" w:rsidP="000C08CA">
      <w:pPr>
        <w:spacing w:line="240" w:lineRule="auto"/>
        <w:jc w:val="both"/>
        <w:rPr>
          <w:rStyle w:val="Bodytext1"/>
          <w:sz w:val="15"/>
          <w:szCs w:val="15"/>
        </w:rPr>
      </w:pPr>
      <w:r w:rsidRPr="00197BC1">
        <w:rPr>
          <w:rFonts w:cs="Arial"/>
          <w:sz w:val="15"/>
          <w:szCs w:val="15"/>
          <w:vertAlign w:val="superscript"/>
        </w:rPr>
        <w:footnoteRef/>
      </w:r>
      <w:r w:rsidRPr="00197BC1">
        <w:rPr>
          <w:rFonts w:cs="Arial"/>
          <w:sz w:val="15"/>
          <w:szCs w:val="15"/>
        </w:rPr>
        <w:t xml:space="preserve"> </w:t>
      </w:r>
      <w:hyperlink r:id="rId6" w:history="1">
        <w:r w:rsidRPr="00197BC1">
          <w:rPr>
            <w:rStyle w:val="Hyperlink"/>
            <w:rFonts w:eastAsia="Arial" w:cs="Arial"/>
            <w:color w:val="auto"/>
            <w:sz w:val="15"/>
            <w:szCs w:val="15"/>
          </w:rPr>
          <w:t>https://eige.europa.eu/gender-statistics/dgs/indicator/wmidm_bus_bus__wmid_comp_compb</w:t>
        </w:r>
      </w:hyperlink>
      <w:r w:rsidRPr="00197BC1">
        <w:rPr>
          <w:rStyle w:val="Bodytext1"/>
          <w:sz w:val="15"/>
          <w:szCs w:val="15"/>
        </w:rPr>
        <w:t xml:space="preserve"> </w:t>
      </w:r>
    </w:p>
  </w:footnote>
  <w:footnote w:id="16">
    <w:p w14:paraId="5CEB79D9"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https://www.dlib.si/stream/URN:NBN:SI:DOC-P24WNKXW/8e68b2ef-d2c8-430e-9f70-bf8a2a97df66/PDF</w:t>
      </w:r>
    </w:p>
  </w:footnote>
  <w:footnote w:id="17">
    <w:p w14:paraId="50AE59F7"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shd w:val="clear" w:color="auto" w:fill="FFFFFF"/>
        </w:rPr>
        <w:t>Direktiva 2006/54/ES Evropskega parlamenta in Sveta z dne 5. julija 2006 o uresničevanju načela enakih možnosti ter enakega obravnavanja moških in žensk pri zaposlovanju in poklicnem delu (</w:t>
      </w:r>
      <w:hyperlink r:id="rId7" w:history="1">
        <w:r w:rsidRPr="00197BC1">
          <w:rPr>
            <w:rStyle w:val="Hyperlink"/>
            <w:rFonts w:ascii="Arial" w:hAnsi="Arial" w:cs="Arial"/>
            <w:color w:val="auto"/>
            <w:sz w:val="15"/>
            <w:szCs w:val="15"/>
            <w:shd w:val="clear" w:color="auto" w:fill="FFFFFF"/>
          </w:rPr>
          <w:t>UL L št. 204 z dne 26. 7. 2006, str. 23</w:t>
        </w:r>
      </w:hyperlink>
      <w:r w:rsidRPr="00197BC1">
        <w:rPr>
          <w:rFonts w:ascii="Arial" w:hAnsi="Arial" w:cs="Arial"/>
          <w:sz w:val="15"/>
          <w:szCs w:val="15"/>
          <w:shd w:val="clear" w:color="auto" w:fill="FFFFFF"/>
        </w:rPr>
        <w:t>).</w:t>
      </w:r>
    </w:p>
  </w:footnote>
  <w:footnote w:id="18">
    <w:p w14:paraId="4BBE344B"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https://www.dlib.si/stream/URN:NBN:SI:DOC-P24WNKXW/8e68b2ef-d2c8-430e-9f70-bf8a2a97df66/PDF</w:t>
      </w:r>
    </w:p>
  </w:footnote>
  <w:footnote w:id="19">
    <w:p w14:paraId="5AE8F9BC"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https://www.zdruzenje-manager.si/assets/Baza-znanja/Temeljni-dokumenti-ZM/Zaveza-za-uspesno-prihodnost.pdf</w:t>
      </w:r>
    </w:p>
  </w:footnote>
  <w:footnote w:id="20">
    <w:p w14:paraId="36C18EFE"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8" w:history="1">
        <w:r w:rsidRPr="00197BC1">
          <w:rPr>
            <w:rStyle w:val="Hyperlink"/>
            <w:rFonts w:cs="Arial"/>
            <w:color w:val="auto"/>
            <w:sz w:val="15"/>
            <w:szCs w:val="15"/>
          </w:rPr>
          <w:t>https://www.zdruzenje-ns.si/knjiznica/1838</w:t>
        </w:r>
      </w:hyperlink>
      <w:r w:rsidRPr="00197BC1">
        <w:rPr>
          <w:rFonts w:cs="Arial"/>
          <w:sz w:val="15"/>
          <w:szCs w:val="15"/>
        </w:rPr>
        <w:t xml:space="preserve"> </w:t>
      </w:r>
    </w:p>
  </w:footnote>
  <w:footnote w:id="21">
    <w:p w14:paraId="3A977D1E"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9" w:history="1">
        <w:r w:rsidRPr="00197BC1">
          <w:rPr>
            <w:rStyle w:val="Hyperlink"/>
            <w:rFonts w:cs="Arial"/>
            <w:color w:val="auto"/>
            <w:sz w:val="15"/>
            <w:szCs w:val="15"/>
          </w:rPr>
          <w:t>https://www.gzs.si/skupne_naloge/pravni_portal/vsebina/Kodeks</w:t>
        </w:r>
      </w:hyperlink>
      <w:r w:rsidRPr="00197BC1">
        <w:rPr>
          <w:rFonts w:cs="Arial"/>
          <w:sz w:val="15"/>
          <w:szCs w:val="15"/>
        </w:rPr>
        <w:t xml:space="preserve"> </w:t>
      </w:r>
    </w:p>
  </w:footnote>
  <w:footnote w:id="22">
    <w:p w14:paraId="60A7AF61" w14:textId="77777777" w:rsidR="000C08CA" w:rsidRPr="00197BC1" w:rsidRDefault="000C08CA" w:rsidP="000C08CA">
      <w:pPr>
        <w:spacing w:line="240" w:lineRule="auto"/>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10" w:history="1">
        <w:r w:rsidRPr="00197BC1">
          <w:rPr>
            <w:rStyle w:val="Hyperlink"/>
            <w:rFonts w:cs="Arial"/>
            <w:color w:val="auto"/>
            <w:sz w:val="15"/>
            <w:szCs w:val="15"/>
          </w:rPr>
          <w:t>https://www.sdh.si/Data/Documents/pravni-akti/Kodeks%20upravljanja%20dru%C5%BEb%20s%20kapitalsko%20nalo%C5%BEbo%20dr%C5%BEave_junij_2022.pdf</w:t>
        </w:r>
      </w:hyperlink>
      <w:r w:rsidRPr="00197BC1">
        <w:rPr>
          <w:rFonts w:cs="Arial"/>
          <w:sz w:val="15"/>
          <w:szCs w:val="15"/>
        </w:rPr>
        <w:t xml:space="preserve"> </w:t>
      </w:r>
    </w:p>
  </w:footnote>
  <w:footnote w:id="23">
    <w:p w14:paraId="1C000105"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11" w:history="1">
        <w:r w:rsidRPr="00197BC1">
          <w:rPr>
            <w:rStyle w:val="Hyperlink"/>
            <w:rFonts w:cs="Arial"/>
            <w:color w:val="auto"/>
            <w:sz w:val="15"/>
            <w:szCs w:val="15"/>
          </w:rPr>
          <w:t>https://www.zdruzenje-ns.si/knjiznica/1945</w:t>
        </w:r>
      </w:hyperlink>
      <w:r w:rsidRPr="00197BC1">
        <w:rPr>
          <w:rFonts w:cs="Arial"/>
          <w:sz w:val="15"/>
          <w:szCs w:val="15"/>
        </w:rPr>
        <w:t xml:space="preserve"> </w:t>
      </w:r>
    </w:p>
  </w:footnote>
  <w:footnote w:id="24">
    <w:p w14:paraId="4733DC0E"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12" w:history="1">
        <w:r w:rsidRPr="00197BC1">
          <w:rPr>
            <w:rStyle w:val="Hyperlink"/>
            <w:rFonts w:cs="Arial"/>
            <w:color w:val="auto"/>
            <w:sz w:val="15"/>
            <w:szCs w:val="15"/>
          </w:rPr>
          <w:t>https://www.zdruzenje-ns.si/knjiznica/1781</w:t>
        </w:r>
      </w:hyperlink>
      <w:r w:rsidRPr="00197BC1">
        <w:rPr>
          <w:rFonts w:cs="Arial"/>
          <w:sz w:val="15"/>
          <w:szCs w:val="15"/>
        </w:rPr>
        <w:t xml:space="preserve"> </w:t>
      </w:r>
    </w:p>
  </w:footnote>
  <w:footnote w:id="25">
    <w:p w14:paraId="2B8DEA9E" w14:textId="77777777" w:rsidR="000C08CA" w:rsidRPr="00197BC1" w:rsidRDefault="000C08CA" w:rsidP="000C08CA">
      <w:pPr>
        <w:spacing w:line="240" w:lineRule="auto"/>
        <w:jc w:val="both"/>
        <w:rPr>
          <w:rFonts w:cs="Arial"/>
          <w:sz w:val="15"/>
          <w:szCs w:val="15"/>
        </w:rPr>
      </w:pPr>
      <w:r w:rsidRPr="00197BC1">
        <w:rPr>
          <w:rFonts w:cs="Arial"/>
          <w:sz w:val="15"/>
          <w:szCs w:val="15"/>
          <w:vertAlign w:val="superscript"/>
        </w:rPr>
        <w:footnoteRef/>
      </w:r>
      <w:r w:rsidRPr="00197BC1">
        <w:rPr>
          <w:rFonts w:cs="Arial"/>
          <w:sz w:val="15"/>
          <w:szCs w:val="15"/>
        </w:rPr>
        <w:t xml:space="preserve"> </w:t>
      </w:r>
      <w:hyperlink r:id="rId13" w:history="1">
        <w:r w:rsidRPr="00197BC1">
          <w:rPr>
            <w:rStyle w:val="Hyperlink"/>
            <w:rFonts w:cs="Arial"/>
            <w:color w:val="auto"/>
            <w:sz w:val="15"/>
            <w:szCs w:val="15"/>
          </w:rPr>
          <w:t>https://www.zdruzenje-ns.si/aktualno/novice/porocilo-o-napredku-za-doseganje-ciljne-spolne-raznolikosti-iz-pobude-40-33-2026-2023-05-10</w:t>
        </w:r>
      </w:hyperlink>
      <w:r w:rsidRPr="00197BC1">
        <w:rPr>
          <w:rFonts w:cs="Arial"/>
          <w:sz w:val="15"/>
          <w:szCs w:val="15"/>
        </w:rPr>
        <w:t xml:space="preserve"> </w:t>
      </w:r>
    </w:p>
  </w:footnote>
  <w:footnote w:id="26">
    <w:p w14:paraId="7E6E6797"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EIGE, </w:t>
      </w:r>
      <w:hyperlink r:id="rId14" w:history="1">
        <w:r w:rsidRPr="00197BC1">
          <w:rPr>
            <w:rStyle w:val="Hyperlink"/>
            <w:rFonts w:ascii="Arial" w:hAnsi="Arial" w:cs="Arial"/>
            <w:color w:val="auto"/>
            <w:sz w:val="15"/>
            <w:szCs w:val="15"/>
          </w:rPr>
          <w:t>https://eige.europa.eu/gender-statistics/dgs</w:t>
        </w:r>
      </w:hyperlink>
      <w:r w:rsidRPr="00197BC1">
        <w:rPr>
          <w:rFonts w:ascii="Arial" w:hAnsi="Arial" w:cs="Arial"/>
          <w:sz w:val="15"/>
          <w:szCs w:val="15"/>
        </w:rPr>
        <w:t>, 6. 9. 2023.</w:t>
      </w:r>
    </w:p>
  </w:footnote>
  <w:footnote w:id="27">
    <w:p w14:paraId="6C8914E6" w14:textId="77777777" w:rsidR="000C08CA" w:rsidRPr="00197BC1" w:rsidRDefault="000C08CA" w:rsidP="000C08CA">
      <w:pPr>
        <w:pStyle w:val="FootnoteText"/>
      </w:pPr>
      <w:r w:rsidRPr="00197BC1">
        <w:rPr>
          <w:rStyle w:val="FootnoteReference"/>
          <w:sz w:val="15"/>
          <w:szCs w:val="15"/>
        </w:rPr>
        <w:footnoteRef/>
      </w:r>
      <w:r w:rsidRPr="00197BC1">
        <w:t xml:space="preserve"> </w:t>
      </w:r>
      <w:r w:rsidRPr="00197BC1">
        <w:rPr>
          <w:rFonts w:ascii="Arial" w:hAnsi="Arial" w:cs="Arial"/>
          <w:sz w:val="15"/>
          <w:szCs w:val="15"/>
        </w:rPr>
        <w:t>Odar, M. (2013). Nova računovodska direktiva. Revija IKS, 11(13), 49‒55.</w:t>
      </w:r>
    </w:p>
  </w:footnote>
  <w:footnote w:id="28">
    <w:p w14:paraId="61F39DEF" w14:textId="77777777" w:rsidR="000C08CA" w:rsidRPr="00197BC1" w:rsidRDefault="000C08CA" w:rsidP="000C08CA">
      <w:pPr>
        <w:pStyle w:val="FootnoteText"/>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Avstrija, Belgija, Ciper, Estonija, Finska, Francija, Grčija, Hrvaška, Irska, Italija, Latvija, Litva, Luksemburg, Malta, Nemčija, Nizozemska, Portugalska, Slovaška, Slovenija in Španija.</w:t>
      </w:r>
    </w:p>
  </w:footnote>
  <w:footnote w:id="29">
    <w:p w14:paraId="59FEC6B2" w14:textId="77777777" w:rsidR="000C08CA" w:rsidRPr="00197BC1" w:rsidRDefault="000C08CA" w:rsidP="000C08CA">
      <w:pPr>
        <w:pStyle w:val="FootnoteText"/>
      </w:pPr>
      <w:r w:rsidRPr="00197BC1">
        <w:rPr>
          <w:rStyle w:val="FootnoteReference"/>
        </w:rPr>
        <w:footnoteRef/>
      </w:r>
      <w:r w:rsidRPr="00197BC1">
        <w:t xml:space="preserve"> </w:t>
      </w:r>
      <w:r w:rsidRPr="00197BC1">
        <w:rPr>
          <w:rFonts w:ascii="Arial" w:hAnsi="Arial" w:cs="Arial"/>
          <w:sz w:val="15"/>
          <w:szCs w:val="15"/>
        </w:rPr>
        <w:t>Igličar, A., Hočevar, M., in Zaman Groff, M. (2013). Uvod v računovodstvo. Ljubljana: Ekonomska fakulteta v Ljubljani, str. 27 in 28.</w:t>
      </w:r>
    </w:p>
  </w:footnote>
  <w:footnote w:id="30">
    <w:p w14:paraId="1E197195"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hyperlink r:id="rId15" w:history="1">
        <w:r w:rsidRPr="00197BC1">
          <w:rPr>
            <w:rStyle w:val="Hyperlink"/>
            <w:rFonts w:ascii="Arial" w:hAnsi="Arial" w:cs="Arial"/>
            <w:color w:val="auto"/>
            <w:sz w:val="15"/>
            <w:szCs w:val="15"/>
          </w:rPr>
          <w:t>https://www.a-tvp.si/drugi-seznami/seznam-javnih-druzb</w:t>
        </w:r>
      </w:hyperlink>
      <w:r w:rsidRPr="00197BC1">
        <w:rPr>
          <w:rFonts w:ascii="Arial" w:hAnsi="Arial" w:cs="Arial"/>
          <w:sz w:val="15"/>
          <w:szCs w:val="15"/>
        </w:rPr>
        <w:t xml:space="preserve"> </w:t>
      </w:r>
    </w:p>
  </w:footnote>
  <w:footnote w:id="31">
    <w:p w14:paraId="51272F94"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hAnsi="Arial" w:cs="Arial"/>
          <w:sz w:val="15"/>
          <w:szCs w:val="15"/>
          <w:shd w:val="clear" w:color="auto" w:fill="FFFFFF"/>
        </w:rPr>
        <w:t>Zakon o prekrških (Uradni list RS, št. </w:t>
      </w:r>
      <w:hyperlink r:id="rId16" w:tgtFrame="_blank" w:tooltip="Zakon o prekrških (uradno prečiščeno besedilo)" w:history="1">
        <w:r w:rsidRPr="00197BC1">
          <w:rPr>
            <w:rStyle w:val="Hyperlink"/>
            <w:rFonts w:ascii="Arial" w:hAnsi="Arial" w:cs="Arial"/>
            <w:color w:val="auto"/>
            <w:sz w:val="15"/>
            <w:szCs w:val="15"/>
            <w:shd w:val="clear" w:color="auto" w:fill="FFFFFF"/>
          </w:rPr>
          <w:t>29/11</w:t>
        </w:r>
      </w:hyperlink>
      <w:r w:rsidRPr="00197BC1">
        <w:rPr>
          <w:rFonts w:ascii="Arial" w:hAnsi="Arial" w:cs="Arial"/>
          <w:sz w:val="15"/>
          <w:szCs w:val="15"/>
          <w:shd w:val="clear" w:color="auto" w:fill="FFFFFF"/>
        </w:rPr>
        <w:t> – uradno prečiščeno besedilo, </w:t>
      </w:r>
      <w:hyperlink r:id="rId17" w:tgtFrame="_blank" w:tooltip="Zakon o spremembah in dopolnitvah Zakona o prekrških" w:history="1">
        <w:r w:rsidRPr="00197BC1">
          <w:rPr>
            <w:rStyle w:val="Hyperlink"/>
            <w:rFonts w:ascii="Arial" w:hAnsi="Arial" w:cs="Arial"/>
            <w:color w:val="auto"/>
            <w:sz w:val="15"/>
            <w:szCs w:val="15"/>
            <w:shd w:val="clear" w:color="auto" w:fill="FFFFFF"/>
          </w:rPr>
          <w:t>21/13</w:t>
        </w:r>
      </w:hyperlink>
      <w:r w:rsidRPr="00197BC1">
        <w:rPr>
          <w:rFonts w:ascii="Arial" w:hAnsi="Arial" w:cs="Arial"/>
          <w:sz w:val="15"/>
          <w:szCs w:val="15"/>
          <w:shd w:val="clear" w:color="auto" w:fill="FFFFFF"/>
        </w:rPr>
        <w:t>, </w:t>
      </w:r>
      <w:hyperlink r:id="rId18" w:tgtFrame="_blank" w:tooltip="Zakon o spremembah in dopolnitvah Zakona o prekrških" w:history="1">
        <w:r w:rsidRPr="00197BC1">
          <w:rPr>
            <w:rStyle w:val="Hyperlink"/>
            <w:rFonts w:ascii="Arial" w:hAnsi="Arial" w:cs="Arial"/>
            <w:color w:val="auto"/>
            <w:sz w:val="15"/>
            <w:szCs w:val="15"/>
            <w:shd w:val="clear" w:color="auto" w:fill="FFFFFF"/>
          </w:rPr>
          <w:t>111/13</w:t>
        </w:r>
      </w:hyperlink>
      <w:r w:rsidRPr="00197BC1">
        <w:rPr>
          <w:rFonts w:ascii="Arial" w:hAnsi="Arial" w:cs="Arial"/>
          <w:sz w:val="15"/>
          <w:szCs w:val="15"/>
          <w:shd w:val="clear" w:color="auto" w:fill="FFFFFF"/>
        </w:rPr>
        <w:t>, </w:t>
      </w:r>
      <w:hyperlink r:id="rId19" w:tgtFrame="_blank" w:tooltip="Odločba o ugotovitvi, da je prvi stavek prvega odstavka 193. člena Zakona o prekrških v neskladju z Ustavo" w:history="1">
        <w:r w:rsidRPr="00197BC1">
          <w:rPr>
            <w:rStyle w:val="Hyperlink"/>
            <w:rFonts w:ascii="Arial" w:hAnsi="Arial" w:cs="Arial"/>
            <w:color w:val="auto"/>
            <w:sz w:val="15"/>
            <w:szCs w:val="15"/>
            <w:shd w:val="clear" w:color="auto" w:fill="FFFFFF"/>
          </w:rPr>
          <w:t>74/14</w:t>
        </w:r>
      </w:hyperlink>
      <w:r w:rsidRPr="00197BC1">
        <w:rPr>
          <w:rFonts w:ascii="Arial" w:hAnsi="Arial" w:cs="Arial"/>
          <w:sz w:val="15"/>
          <w:szCs w:val="15"/>
          <w:shd w:val="clear" w:color="auto" w:fill="FFFFFF"/>
        </w:rPr>
        <w:t> – odl. US, </w:t>
      </w:r>
      <w:hyperlink r:id="rId20" w:tgtFrame="_blank" w:tooltip="Odločba o razveljavitvi prvega, drugega, tretjega in četrtega odstavka 19. člena, sedmega odstavka 19. člena, kolikor se nanaša na izvršitev uklonilnega zapora, ter 202.b člena Zakona o prekrških" w:history="1">
        <w:r w:rsidRPr="00197BC1">
          <w:rPr>
            <w:rStyle w:val="Hyperlink"/>
            <w:rFonts w:ascii="Arial" w:hAnsi="Arial" w:cs="Arial"/>
            <w:color w:val="auto"/>
            <w:sz w:val="15"/>
            <w:szCs w:val="15"/>
            <w:shd w:val="clear" w:color="auto" w:fill="FFFFFF"/>
          </w:rPr>
          <w:t>92/14</w:t>
        </w:r>
      </w:hyperlink>
      <w:r w:rsidRPr="00197BC1">
        <w:rPr>
          <w:rFonts w:ascii="Arial" w:hAnsi="Arial" w:cs="Arial"/>
          <w:sz w:val="15"/>
          <w:szCs w:val="15"/>
          <w:shd w:val="clear" w:color="auto" w:fill="FFFFFF"/>
        </w:rPr>
        <w:t> – odl. US, </w:t>
      </w:r>
      <w:hyperlink r:id="rId21" w:tgtFrame="_blank" w:tooltip="Zakon o spremembah in dopolnitvah Zakona o prekrških" w:history="1">
        <w:r w:rsidRPr="00197BC1">
          <w:rPr>
            <w:rStyle w:val="Hyperlink"/>
            <w:rFonts w:ascii="Arial" w:hAnsi="Arial" w:cs="Arial"/>
            <w:color w:val="auto"/>
            <w:sz w:val="15"/>
            <w:szCs w:val="15"/>
            <w:shd w:val="clear" w:color="auto" w:fill="FFFFFF"/>
          </w:rPr>
          <w:t>32/16</w:t>
        </w:r>
      </w:hyperlink>
      <w:r w:rsidRPr="00197BC1">
        <w:rPr>
          <w:rFonts w:ascii="Arial" w:hAnsi="Arial" w:cs="Arial"/>
          <w:sz w:val="15"/>
          <w:szCs w:val="15"/>
          <w:shd w:val="clear" w:color="auto" w:fill="FFFFFF"/>
        </w:rPr>
        <w:t>, </w:t>
      </w:r>
      <w:hyperlink r:id="rId22" w:tgtFrame="_blank" w:tooltip="Odločba o razveljavitvi tretjega odstavka 61. člena Zakona o prekrških" w:history="1">
        <w:r w:rsidRPr="00197BC1">
          <w:rPr>
            <w:rStyle w:val="Hyperlink"/>
            <w:rFonts w:ascii="Arial" w:hAnsi="Arial" w:cs="Arial"/>
            <w:color w:val="auto"/>
            <w:sz w:val="15"/>
            <w:szCs w:val="15"/>
            <w:shd w:val="clear" w:color="auto" w:fill="FFFFFF"/>
          </w:rPr>
          <w:t>15/17</w:t>
        </w:r>
      </w:hyperlink>
      <w:r w:rsidRPr="00197BC1">
        <w:rPr>
          <w:rFonts w:ascii="Arial" w:hAnsi="Arial" w:cs="Arial"/>
          <w:sz w:val="15"/>
          <w:szCs w:val="15"/>
          <w:shd w:val="clear" w:color="auto" w:fill="FFFFFF"/>
        </w:rPr>
        <w:t> – odl. US, </w:t>
      </w:r>
      <w:hyperlink r:id="rId23" w:tgtFrame="_blank" w:tooltip="Odločba o ugotovitvi protiustavnosti Zakona o prekrških" w:history="1">
        <w:r w:rsidRPr="00197BC1">
          <w:rPr>
            <w:rStyle w:val="Hyperlink"/>
            <w:rFonts w:ascii="Arial" w:hAnsi="Arial" w:cs="Arial"/>
            <w:color w:val="auto"/>
            <w:sz w:val="15"/>
            <w:szCs w:val="15"/>
            <w:shd w:val="clear" w:color="auto" w:fill="FFFFFF"/>
          </w:rPr>
          <w:t>73/19</w:t>
        </w:r>
      </w:hyperlink>
      <w:r w:rsidRPr="00197BC1">
        <w:rPr>
          <w:rFonts w:ascii="Arial" w:hAnsi="Arial" w:cs="Arial"/>
          <w:sz w:val="15"/>
          <w:szCs w:val="15"/>
          <w:shd w:val="clear" w:color="auto" w:fill="FFFFFF"/>
        </w:rPr>
        <w:t> – odl. US, </w:t>
      </w:r>
      <w:hyperlink r:id="rId24" w:tgtFrame="_blank" w:tooltip="Zakon o interventnih ukrepih za omilitev posledic drugega vala epidemije COVID-19" w:history="1">
        <w:r w:rsidRPr="00197BC1">
          <w:rPr>
            <w:rStyle w:val="Hyperlink"/>
            <w:rFonts w:ascii="Arial" w:hAnsi="Arial" w:cs="Arial"/>
            <w:color w:val="auto"/>
            <w:sz w:val="15"/>
            <w:szCs w:val="15"/>
            <w:shd w:val="clear" w:color="auto" w:fill="FFFFFF"/>
          </w:rPr>
          <w:t>175/20</w:t>
        </w:r>
      </w:hyperlink>
      <w:r w:rsidRPr="00197BC1">
        <w:rPr>
          <w:rFonts w:ascii="Arial" w:hAnsi="Arial" w:cs="Arial"/>
          <w:sz w:val="15"/>
          <w:szCs w:val="15"/>
          <w:shd w:val="clear" w:color="auto" w:fill="FFFFFF"/>
        </w:rPr>
        <w:t> – ZIUOPDVE in </w:t>
      </w:r>
      <w:hyperlink r:id="rId25" w:tgtFrame="_blank" w:tooltip="Odločba o ugotovitvi, da je drugi odstavek 66. člena Zakona o prekrških v neskladju z ustavo in sklep o zavrženju ustavne pritožbe" w:history="1">
        <w:r w:rsidRPr="00197BC1">
          <w:rPr>
            <w:rStyle w:val="Hyperlink"/>
            <w:rFonts w:ascii="Arial" w:hAnsi="Arial" w:cs="Arial"/>
            <w:color w:val="auto"/>
            <w:sz w:val="15"/>
            <w:szCs w:val="15"/>
            <w:shd w:val="clear" w:color="auto" w:fill="FFFFFF"/>
          </w:rPr>
          <w:t>5/21</w:t>
        </w:r>
      </w:hyperlink>
      <w:r w:rsidRPr="00197BC1">
        <w:rPr>
          <w:rFonts w:ascii="Arial" w:hAnsi="Arial" w:cs="Arial"/>
          <w:sz w:val="15"/>
          <w:szCs w:val="15"/>
          <w:shd w:val="clear" w:color="auto" w:fill="FFFFFF"/>
        </w:rPr>
        <w:t> – odl. US).</w:t>
      </w:r>
    </w:p>
  </w:footnote>
  <w:footnote w:id="32">
    <w:p w14:paraId="6759216C"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w:t>
      </w:r>
      <w:r w:rsidRPr="00197BC1">
        <w:rPr>
          <w:rFonts w:ascii="Arial" w:eastAsia="Calibri" w:hAnsi="Arial" w:cs="Arial"/>
          <w:sz w:val="15"/>
          <w:szCs w:val="15"/>
        </w:rPr>
        <w:t>Soodločanje v Nemčiji je koncept, ki vključuje pravico delavcev do sodelovanja pri upravljanju podjetij, v katerih delajo. To ureja nemški zakon o soodločanju iz leta 1976 (Mitbestimmungsgesetz 1976). Zakon zahteva, da je v podjetjih z več kot 2.000 zaposlenimi polovica nadzornega sveta (direktorjev) predstavnikov delavcev, ki imajo malo manj kot polovico glasov. Za podjetja s 500 do 2.000 zaposlenimi mora biti izvoljena tretjina nadzornega sveta predstavnikov delavcev. To velja za javna in zasebna podjetja.</w:t>
      </w:r>
    </w:p>
  </w:footnote>
  <w:footnote w:id="33">
    <w:p w14:paraId="61641236" w14:textId="77777777" w:rsidR="000C08CA" w:rsidRPr="00197BC1" w:rsidRDefault="000C08CA" w:rsidP="000C08CA">
      <w:pPr>
        <w:spacing w:line="240" w:lineRule="auto"/>
        <w:jc w:val="both"/>
        <w:rPr>
          <w:rStyle w:val="Hyperlink"/>
          <w:rFonts w:eastAsia="Arial" w:cs="Arial"/>
          <w:color w:val="auto"/>
          <w:sz w:val="15"/>
          <w:szCs w:val="15"/>
        </w:rPr>
      </w:pPr>
      <w:r w:rsidRPr="00197BC1">
        <w:rPr>
          <w:rFonts w:cs="Arial"/>
          <w:sz w:val="15"/>
          <w:szCs w:val="15"/>
        </w:rPr>
        <w:footnoteRef/>
      </w:r>
      <w:r w:rsidRPr="00197BC1">
        <w:rPr>
          <w:rFonts w:cs="Arial"/>
          <w:sz w:val="15"/>
          <w:szCs w:val="15"/>
        </w:rPr>
        <w:t xml:space="preserve"> </w:t>
      </w:r>
      <w:hyperlink r:id="rId26" w:history="1">
        <w:r w:rsidRPr="00197BC1">
          <w:rPr>
            <w:rStyle w:val="Hyperlink"/>
            <w:rFonts w:eastAsia="Arial" w:cs="Arial"/>
            <w:color w:val="auto"/>
            <w:sz w:val="15"/>
            <w:szCs w:val="15"/>
          </w:rPr>
          <w:t>https://insights.issgovernance.com/posts/france-pushes-forward-on-gender-diversity-within-french-corporate-management-bodies-via-the-rixain-act/</w:t>
        </w:r>
      </w:hyperlink>
    </w:p>
    <w:p w14:paraId="571B839F" w14:textId="77777777" w:rsidR="000C08CA" w:rsidRPr="00197BC1" w:rsidRDefault="000C08CA" w:rsidP="000C08CA">
      <w:pPr>
        <w:spacing w:line="240" w:lineRule="auto"/>
        <w:jc w:val="both"/>
        <w:rPr>
          <w:rFonts w:cs="Arial"/>
          <w:sz w:val="15"/>
          <w:szCs w:val="15"/>
        </w:rPr>
      </w:pPr>
    </w:p>
  </w:footnote>
  <w:footnote w:id="34">
    <w:p w14:paraId="55955B14" w14:textId="77777777" w:rsidR="000C08CA" w:rsidRPr="00197BC1" w:rsidRDefault="000C08CA" w:rsidP="000C08CA">
      <w:pPr>
        <w:spacing w:line="240" w:lineRule="auto"/>
        <w:jc w:val="both"/>
        <w:rPr>
          <w:rFonts w:eastAsia="Arial" w:cs="Arial"/>
          <w:sz w:val="15"/>
          <w:szCs w:val="15"/>
          <w:u w:val="single"/>
        </w:rPr>
      </w:pPr>
      <w:r w:rsidRPr="00197BC1">
        <w:rPr>
          <w:rFonts w:cs="Arial"/>
          <w:sz w:val="15"/>
          <w:szCs w:val="15"/>
          <w:vertAlign w:val="superscript"/>
        </w:rPr>
        <w:footnoteRef/>
      </w:r>
      <w:r w:rsidRPr="00197BC1">
        <w:rPr>
          <w:rFonts w:eastAsia="Arial" w:cs="Arial"/>
          <w:sz w:val="15"/>
          <w:szCs w:val="15"/>
        </w:rPr>
        <w:t xml:space="preserve"> </w:t>
      </w:r>
      <w:hyperlink r:id="rId27" w:history="1">
        <w:r w:rsidRPr="00197BC1">
          <w:rPr>
            <w:rStyle w:val="Hyperlink"/>
            <w:rFonts w:eastAsia="Arial" w:cs="Arial"/>
            <w:color w:val="auto"/>
            <w:sz w:val="15"/>
            <w:szCs w:val="15"/>
          </w:rPr>
          <w:t>https://www.bundeskanzleramt.gv.at/en/agenda/women-and-equality/gender_equality_in_the_labour_market/women-in-leadership-positions.html</w:t>
        </w:r>
      </w:hyperlink>
    </w:p>
  </w:footnote>
  <w:footnote w:id="35">
    <w:p w14:paraId="5DD3F2D1" w14:textId="77777777" w:rsidR="000C08CA" w:rsidRPr="00197BC1" w:rsidRDefault="000C08CA" w:rsidP="000C08CA">
      <w:pPr>
        <w:spacing w:line="240" w:lineRule="auto"/>
        <w:jc w:val="both"/>
        <w:rPr>
          <w:rStyle w:val="Hyperlink"/>
          <w:rFonts w:eastAsia="Arial" w:cs="Arial"/>
          <w:color w:val="auto"/>
          <w:sz w:val="15"/>
          <w:szCs w:val="15"/>
        </w:rPr>
      </w:pPr>
      <w:r w:rsidRPr="00197BC1">
        <w:rPr>
          <w:rFonts w:cs="Arial"/>
          <w:sz w:val="15"/>
          <w:szCs w:val="15"/>
          <w:vertAlign w:val="superscript"/>
        </w:rPr>
        <w:footnoteRef/>
      </w:r>
      <w:r w:rsidRPr="00197BC1">
        <w:rPr>
          <w:rFonts w:cs="Arial"/>
          <w:sz w:val="15"/>
          <w:szCs w:val="15"/>
        </w:rPr>
        <w:t xml:space="preserve"> </w:t>
      </w:r>
      <w:hyperlink r:id="rId28" w:history="1">
        <w:r w:rsidRPr="00197BC1">
          <w:rPr>
            <w:rStyle w:val="Hyperlink"/>
            <w:rFonts w:eastAsia="Arial" w:cs="Arial"/>
            <w:color w:val="auto"/>
            <w:sz w:val="15"/>
            <w:szCs w:val="15"/>
          </w:rPr>
          <w:t>https://www.dentons.com/en/insights/alerts/2021/december/9/new-dutch-law-mandates-greater-gender-balance-on-management-and-supervisory-boards</w:t>
        </w:r>
      </w:hyperlink>
    </w:p>
    <w:p w14:paraId="271732FD" w14:textId="77777777" w:rsidR="000C08CA" w:rsidRPr="00197BC1" w:rsidRDefault="000C08CA" w:rsidP="000C08CA">
      <w:pPr>
        <w:spacing w:line="240" w:lineRule="auto"/>
        <w:jc w:val="both"/>
        <w:rPr>
          <w:rFonts w:cs="Arial"/>
          <w:sz w:val="15"/>
          <w:szCs w:val="15"/>
        </w:rPr>
      </w:pPr>
    </w:p>
  </w:footnote>
  <w:footnote w:id="36">
    <w:p w14:paraId="400BDF70" w14:textId="77777777" w:rsidR="000C08CA" w:rsidRPr="00197BC1" w:rsidRDefault="000C08CA" w:rsidP="000C08CA">
      <w:pPr>
        <w:spacing w:line="240" w:lineRule="auto"/>
        <w:jc w:val="both"/>
        <w:rPr>
          <w:rStyle w:val="Hyperlink"/>
          <w:rFonts w:eastAsia="Arial" w:cs="Arial"/>
          <w:color w:val="auto"/>
          <w:sz w:val="15"/>
          <w:szCs w:val="15"/>
        </w:rPr>
      </w:pPr>
      <w:r w:rsidRPr="00197BC1">
        <w:rPr>
          <w:rFonts w:cs="Arial"/>
          <w:sz w:val="15"/>
          <w:szCs w:val="15"/>
        </w:rPr>
        <w:footnoteRef/>
      </w:r>
      <w:r w:rsidRPr="00197BC1">
        <w:rPr>
          <w:rFonts w:cs="Arial"/>
          <w:sz w:val="15"/>
          <w:szCs w:val="15"/>
        </w:rPr>
        <w:t xml:space="preserve"> </w:t>
      </w:r>
      <w:hyperlink r:id="rId29" w:history="1">
        <w:r w:rsidRPr="00197BC1">
          <w:rPr>
            <w:rStyle w:val="Hyperlink"/>
            <w:rFonts w:eastAsia="Arial" w:cs="Arial"/>
            <w:color w:val="auto"/>
            <w:sz w:val="15"/>
            <w:szCs w:val="15"/>
          </w:rPr>
          <w:t>https://www.lexology.com/library/detail.aspx?g=67a644f5-6bba-4033-a24d-62774df63e30</w:t>
        </w:r>
      </w:hyperlink>
    </w:p>
    <w:p w14:paraId="2287A920" w14:textId="77777777" w:rsidR="000C08CA" w:rsidRPr="00197BC1" w:rsidRDefault="000C08CA" w:rsidP="000C08CA">
      <w:pPr>
        <w:spacing w:line="240" w:lineRule="auto"/>
        <w:jc w:val="both"/>
        <w:rPr>
          <w:rFonts w:cs="Arial"/>
          <w:sz w:val="15"/>
          <w:szCs w:val="15"/>
        </w:rPr>
      </w:pPr>
    </w:p>
  </w:footnote>
  <w:footnote w:id="37">
    <w:p w14:paraId="496FF782"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Pri majhnih družbah je v skladu s 55. členom ZGD-1 upoštevana spodnja omejitev, za katere trenutno velja, da čisti prihodki od prodaje ne presegajo 8.000.000 EUR in vrednost aktive ne presega</w:t>
      </w:r>
      <w:r w:rsidRPr="00197BC1" w:rsidDel="00B87883">
        <w:rPr>
          <w:rFonts w:ascii="Arial" w:hAnsi="Arial" w:cs="Arial"/>
          <w:sz w:val="15"/>
          <w:szCs w:val="15"/>
        </w:rPr>
        <w:t xml:space="preserve"> </w:t>
      </w:r>
      <w:r w:rsidRPr="00197BC1">
        <w:rPr>
          <w:rFonts w:ascii="Arial" w:hAnsi="Arial" w:cs="Arial"/>
          <w:sz w:val="15"/>
          <w:szCs w:val="15"/>
        </w:rPr>
        <w:t xml:space="preserve">4.000.000 EUR. Po prilagoditvi meril pa čisti prihodki ne bodo presegali 10,000.000 EUR in vrednost aktive ne bo presegala 5,000.000 EUR. </w:t>
      </w:r>
    </w:p>
  </w:footnote>
  <w:footnote w:id="38">
    <w:p w14:paraId="6777099F" w14:textId="77777777" w:rsidR="000C08CA" w:rsidRPr="00197BC1" w:rsidRDefault="000C08CA" w:rsidP="000C08CA">
      <w:pPr>
        <w:pStyle w:val="FootnoteText"/>
        <w:jc w:val="both"/>
        <w:rPr>
          <w:rFonts w:ascii="Arial" w:hAnsi="Arial" w:cs="Arial"/>
          <w:sz w:val="15"/>
          <w:szCs w:val="15"/>
        </w:rPr>
      </w:pPr>
      <w:r w:rsidRPr="00197BC1">
        <w:rPr>
          <w:rStyle w:val="FootnoteReference"/>
          <w:rFonts w:ascii="Arial" w:hAnsi="Arial" w:cs="Arial"/>
          <w:sz w:val="15"/>
          <w:szCs w:val="15"/>
        </w:rPr>
        <w:footnoteRef/>
      </w:r>
      <w:r w:rsidRPr="00197BC1">
        <w:rPr>
          <w:rFonts w:ascii="Arial" w:hAnsi="Arial" w:cs="Arial"/>
          <w:sz w:val="15"/>
          <w:szCs w:val="15"/>
        </w:rPr>
        <w:t xml:space="preserve"> Povezava na sklepe Sveta: </w:t>
      </w:r>
      <w:hyperlink r:id="rId30" w:history="1">
        <w:r w:rsidRPr="00197BC1">
          <w:rPr>
            <w:rStyle w:val="Hyperlink"/>
            <w:rFonts w:ascii="Arial" w:hAnsi="Arial" w:cs="Arial"/>
            <w:color w:val="auto"/>
            <w:sz w:val="15"/>
            <w:szCs w:val="15"/>
          </w:rPr>
          <w:t>https://eur-lex.europa.eu/legal-content/SL/TXT/PDF/?uri=CELEX:52020XG0227(01)&amp;from=SL</w:t>
        </w:r>
      </w:hyperlink>
      <w:r w:rsidRPr="00197BC1">
        <w:rPr>
          <w:rStyle w:val="Hyperlink"/>
          <w:rFonts w:ascii="Arial" w:hAnsi="Arial" w:cs="Arial"/>
          <w:color w:val="auto"/>
          <w:sz w:val="15"/>
          <w:szCs w:val="15"/>
        </w:rPr>
        <w:t>.</w:t>
      </w:r>
    </w:p>
  </w:footnote>
  <w:footnote w:id="39">
    <w:p w14:paraId="5CB8F8F8" w14:textId="77777777" w:rsidR="000C08CA" w:rsidRPr="00197BC1" w:rsidRDefault="000C08CA" w:rsidP="000C08CA">
      <w:pPr>
        <w:rPr>
          <w:rFonts w:cs="Arial"/>
          <w:sz w:val="15"/>
          <w:szCs w:val="15"/>
        </w:rPr>
      </w:pPr>
      <w:r w:rsidRPr="00197BC1">
        <w:rPr>
          <w:rStyle w:val="FootnoteReference"/>
          <w:rFonts w:cs="Arial"/>
          <w:sz w:val="15"/>
          <w:szCs w:val="15"/>
        </w:rPr>
        <w:footnoteRef/>
      </w:r>
      <w:r w:rsidRPr="00197BC1">
        <w:rPr>
          <w:rFonts w:cs="Arial"/>
          <w:sz w:val="15"/>
          <w:szCs w:val="15"/>
        </w:rPr>
        <w:t xml:space="preserve"> </w:t>
      </w:r>
      <w:r w:rsidRPr="00197BC1">
        <w:rPr>
          <w:rFonts w:cs="Arial"/>
          <w:sz w:val="15"/>
          <w:szCs w:val="15"/>
          <w:shd w:val="clear" w:color="auto" w:fill="FFFFFF"/>
        </w:rPr>
        <w:t>Slovenski kodeks upravljanja javnih delniških družb, Kodeks upravljanja za nejavne družbe, Kodeks korporativnega upravljanja družb s kapitalsko naložbo države in Kodeks upravljanja za družbe s kapitalsko udeležbo lokalnih skupnosti.</w:t>
      </w:r>
    </w:p>
  </w:footnote>
  <w:footnote w:id="40">
    <w:p w14:paraId="3F3424A0" w14:textId="77777777" w:rsidR="000C08CA" w:rsidRPr="00197BC1" w:rsidRDefault="000C08CA" w:rsidP="000C08CA">
      <w:pPr>
        <w:pStyle w:val="FootnoteText"/>
      </w:pPr>
      <w:r w:rsidRPr="00197BC1">
        <w:rPr>
          <w:rStyle w:val="FootnoteReference"/>
          <w:rFonts w:ascii="Arial" w:hAnsi="Arial" w:cs="Arial"/>
          <w:sz w:val="15"/>
          <w:szCs w:val="15"/>
        </w:rPr>
        <w:footnoteRef/>
      </w:r>
      <w:r w:rsidRPr="00197BC1">
        <w:rPr>
          <w:rFonts w:ascii="Arial" w:hAnsi="Arial" w:cs="Arial"/>
          <w:sz w:val="15"/>
          <w:szCs w:val="15"/>
        </w:rPr>
        <w:t xml:space="preserve"> </w:t>
      </w:r>
      <w:hyperlink r:id="rId31" w:history="1">
        <w:r w:rsidRPr="00197BC1">
          <w:rPr>
            <w:rStyle w:val="Hyperlink"/>
            <w:rFonts w:ascii="Arial" w:hAnsi="Arial" w:cs="Arial"/>
            <w:color w:val="auto"/>
            <w:sz w:val="15"/>
            <w:szCs w:val="15"/>
          </w:rPr>
          <w:t>https://www.zdruzenje-ns.si/knjiznica/1838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D261" w14:textId="77777777" w:rsidR="00C218F9" w:rsidRDefault="00C218F9">
    <w:pPr>
      <w:pStyle w:val="Header"/>
    </w:pPr>
  </w:p>
  <w:p w14:paraId="08BAC475" w14:textId="77777777" w:rsidR="00C218F9" w:rsidRDefault="00C218F9">
    <w:pPr>
      <w:pStyle w:val="Header"/>
    </w:pPr>
  </w:p>
  <w:p w14:paraId="000F81AB" w14:textId="77777777" w:rsidR="00C218F9" w:rsidRDefault="00C2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C218F9" w:rsidRPr="008F3500" w14:paraId="17BECE19" w14:textId="77777777" w:rsidTr="00A6012B">
      <w:trPr>
        <w:trHeight w:hRule="exact" w:val="847"/>
      </w:trPr>
      <w:tc>
        <w:tcPr>
          <w:tcW w:w="649" w:type="dxa"/>
        </w:tcPr>
        <w:p w14:paraId="2C18544A" w14:textId="77777777" w:rsidR="00C218F9" w:rsidRDefault="00C218F9" w:rsidP="00EA0BC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C666FB0" w14:textId="77777777" w:rsidR="00C218F9" w:rsidRPr="006D42D9" w:rsidRDefault="00C218F9" w:rsidP="00EA0BC4">
          <w:pPr>
            <w:rPr>
              <w:rFonts w:ascii="Republika" w:hAnsi="Republika"/>
              <w:sz w:val="60"/>
              <w:szCs w:val="60"/>
            </w:rPr>
          </w:pPr>
        </w:p>
        <w:p w14:paraId="40D78D90" w14:textId="77777777" w:rsidR="00C218F9" w:rsidRPr="006D42D9" w:rsidRDefault="00C218F9" w:rsidP="00EA0BC4">
          <w:pPr>
            <w:rPr>
              <w:rFonts w:ascii="Republika" w:hAnsi="Republika"/>
              <w:sz w:val="60"/>
              <w:szCs w:val="60"/>
            </w:rPr>
          </w:pPr>
        </w:p>
        <w:p w14:paraId="285EAE92" w14:textId="77777777" w:rsidR="00C218F9" w:rsidRPr="006D42D9" w:rsidRDefault="00C218F9" w:rsidP="00EA0BC4">
          <w:pPr>
            <w:rPr>
              <w:rFonts w:ascii="Republika" w:hAnsi="Republika"/>
              <w:sz w:val="60"/>
              <w:szCs w:val="60"/>
            </w:rPr>
          </w:pPr>
        </w:p>
        <w:p w14:paraId="535BE809" w14:textId="77777777" w:rsidR="00C218F9" w:rsidRPr="006D42D9" w:rsidRDefault="00C218F9" w:rsidP="00EA0BC4">
          <w:pPr>
            <w:rPr>
              <w:rFonts w:ascii="Republika" w:hAnsi="Republika"/>
              <w:sz w:val="60"/>
              <w:szCs w:val="60"/>
            </w:rPr>
          </w:pPr>
        </w:p>
        <w:p w14:paraId="07E188AD" w14:textId="77777777" w:rsidR="00C218F9" w:rsidRPr="006D42D9" w:rsidRDefault="00C218F9" w:rsidP="00EA0BC4">
          <w:pPr>
            <w:rPr>
              <w:rFonts w:ascii="Republika" w:hAnsi="Republika"/>
              <w:sz w:val="60"/>
              <w:szCs w:val="60"/>
            </w:rPr>
          </w:pPr>
        </w:p>
        <w:p w14:paraId="7244FB6F" w14:textId="77777777" w:rsidR="00C218F9" w:rsidRPr="006D42D9" w:rsidRDefault="00C218F9" w:rsidP="00EA0BC4">
          <w:pPr>
            <w:rPr>
              <w:rFonts w:ascii="Republika" w:hAnsi="Republika"/>
              <w:sz w:val="60"/>
              <w:szCs w:val="60"/>
            </w:rPr>
          </w:pPr>
        </w:p>
        <w:p w14:paraId="5B6EC011" w14:textId="77777777" w:rsidR="00C218F9" w:rsidRPr="006D42D9" w:rsidRDefault="00C218F9" w:rsidP="00EA0BC4">
          <w:pPr>
            <w:rPr>
              <w:rFonts w:ascii="Republika" w:hAnsi="Republika"/>
              <w:sz w:val="60"/>
              <w:szCs w:val="60"/>
            </w:rPr>
          </w:pPr>
        </w:p>
        <w:p w14:paraId="42CB37FF" w14:textId="77777777" w:rsidR="00C218F9" w:rsidRPr="006D42D9" w:rsidRDefault="00C218F9" w:rsidP="00EA0BC4">
          <w:pPr>
            <w:rPr>
              <w:rFonts w:ascii="Republika" w:hAnsi="Republika"/>
              <w:sz w:val="60"/>
              <w:szCs w:val="60"/>
            </w:rPr>
          </w:pPr>
        </w:p>
        <w:p w14:paraId="09301A17" w14:textId="77777777" w:rsidR="00C218F9" w:rsidRPr="006D42D9" w:rsidRDefault="00C218F9" w:rsidP="00EA0BC4">
          <w:pPr>
            <w:rPr>
              <w:rFonts w:ascii="Republika" w:hAnsi="Republika"/>
              <w:sz w:val="60"/>
              <w:szCs w:val="60"/>
            </w:rPr>
          </w:pPr>
        </w:p>
        <w:p w14:paraId="15659FC7" w14:textId="77777777" w:rsidR="00C218F9" w:rsidRPr="006D42D9" w:rsidRDefault="00C218F9" w:rsidP="00EA0BC4">
          <w:pPr>
            <w:rPr>
              <w:rFonts w:ascii="Republika" w:hAnsi="Republika"/>
              <w:sz w:val="60"/>
              <w:szCs w:val="60"/>
            </w:rPr>
          </w:pPr>
        </w:p>
        <w:p w14:paraId="76AF4A57" w14:textId="77777777" w:rsidR="00C218F9" w:rsidRPr="006D42D9" w:rsidRDefault="00C218F9" w:rsidP="00EA0BC4">
          <w:pPr>
            <w:rPr>
              <w:rFonts w:ascii="Republika" w:hAnsi="Republika"/>
              <w:sz w:val="60"/>
              <w:szCs w:val="60"/>
            </w:rPr>
          </w:pPr>
        </w:p>
        <w:p w14:paraId="3DC3DC86" w14:textId="77777777" w:rsidR="00C218F9" w:rsidRPr="006D42D9" w:rsidRDefault="00C218F9" w:rsidP="00EA0BC4">
          <w:pPr>
            <w:rPr>
              <w:rFonts w:ascii="Republika" w:hAnsi="Republika"/>
              <w:sz w:val="60"/>
              <w:szCs w:val="60"/>
            </w:rPr>
          </w:pPr>
        </w:p>
        <w:p w14:paraId="1DEFD055" w14:textId="77777777" w:rsidR="00C218F9" w:rsidRPr="006D42D9" w:rsidRDefault="00C218F9" w:rsidP="00EA0BC4">
          <w:pPr>
            <w:rPr>
              <w:rFonts w:ascii="Republika" w:hAnsi="Republika"/>
              <w:sz w:val="60"/>
              <w:szCs w:val="60"/>
            </w:rPr>
          </w:pPr>
        </w:p>
        <w:p w14:paraId="14180394" w14:textId="77777777" w:rsidR="00C218F9" w:rsidRPr="006D42D9" w:rsidRDefault="00C218F9" w:rsidP="00EA0BC4">
          <w:pPr>
            <w:rPr>
              <w:rFonts w:ascii="Republika" w:hAnsi="Republika"/>
              <w:sz w:val="60"/>
              <w:szCs w:val="60"/>
            </w:rPr>
          </w:pPr>
        </w:p>
        <w:p w14:paraId="784E0F2B" w14:textId="77777777" w:rsidR="00C218F9" w:rsidRPr="006D42D9" w:rsidRDefault="00C218F9" w:rsidP="00EA0BC4">
          <w:pPr>
            <w:rPr>
              <w:rFonts w:ascii="Republika" w:hAnsi="Republika"/>
              <w:sz w:val="60"/>
              <w:szCs w:val="60"/>
            </w:rPr>
          </w:pPr>
        </w:p>
        <w:p w14:paraId="65A8CC9F" w14:textId="77777777" w:rsidR="00C218F9" w:rsidRPr="006D42D9" w:rsidRDefault="00C218F9" w:rsidP="00EA0BC4">
          <w:pPr>
            <w:rPr>
              <w:rFonts w:ascii="Republika" w:hAnsi="Republika"/>
              <w:sz w:val="60"/>
              <w:szCs w:val="60"/>
            </w:rPr>
          </w:pPr>
        </w:p>
      </w:tc>
    </w:tr>
  </w:tbl>
  <w:tbl>
    <w:tblPr>
      <w:tblStyle w:val="Navadnatabela41"/>
      <w:tblpPr w:leftFromText="142" w:rightFromText="142" w:bottomFromText="6005" w:vertAnchor="page" w:horzAnchor="page" w:tblpX="925" w:tblpY="869"/>
      <w:tblW w:w="0" w:type="auto"/>
      <w:tblLook w:val="04A0" w:firstRow="1" w:lastRow="0" w:firstColumn="1" w:lastColumn="0" w:noHBand="0" w:noVBand="1"/>
    </w:tblPr>
    <w:tblGrid>
      <w:gridCol w:w="567"/>
    </w:tblGrid>
    <w:tr w:rsidR="00C218F9" w:rsidRPr="008F3500" w14:paraId="19DE5A3B" w14:textId="77777777" w:rsidTr="00A6012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0DF562DC" w14:textId="77777777" w:rsidR="00C218F9" w:rsidRPr="006D42D9" w:rsidRDefault="00C218F9" w:rsidP="00EA0BC4">
          <w:pPr>
            <w:rPr>
              <w:rFonts w:ascii="Republika" w:hAnsi="Republika"/>
              <w:sz w:val="60"/>
              <w:szCs w:val="60"/>
            </w:rPr>
          </w:pPr>
        </w:p>
      </w:tc>
    </w:tr>
  </w:tbl>
  <w:p w14:paraId="023847C7" w14:textId="79EC7364" w:rsidR="00C218F9" w:rsidRPr="008F3500" w:rsidRDefault="00404F54" w:rsidP="00EA0BC4">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4" distB="4294967294" distL="114300" distR="114300" simplePos="0" relativeHeight="251658240" behindDoc="1" locked="0" layoutInCell="0" allowOverlap="1" wp14:anchorId="78CEBC03" wp14:editId="7AADD5B5">
              <wp:simplePos x="0" y="0"/>
              <wp:positionH relativeFrom="column">
                <wp:posOffset>-431800</wp:posOffset>
              </wp:positionH>
              <wp:positionV relativeFrom="page">
                <wp:posOffset>3600449</wp:posOffset>
              </wp:positionV>
              <wp:extent cx="2520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827858"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218F9" w:rsidRPr="008F3500">
      <w:rPr>
        <w:rFonts w:ascii="Republika" w:hAnsi="Republika"/>
      </w:rPr>
      <w:t>REPUBLIKA SLOVENIJA</w:t>
    </w:r>
  </w:p>
  <w:p w14:paraId="44265590" w14:textId="77777777" w:rsidR="00C218F9" w:rsidRPr="008A4089" w:rsidRDefault="00C218F9" w:rsidP="00EA0BC4">
    <w:pPr>
      <w:pStyle w:val="Header"/>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0DAD5EF8" w14:textId="77777777" w:rsidR="00C218F9" w:rsidRPr="008F3500" w:rsidRDefault="00C218F9" w:rsidP="00EA0BC4">
    <w:pPr>
      <w:pStyle w:val="Header"/>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4F20F88E" w14:textId="77777777" w:rsidR="00C218F9" w:rsidRDefault="00C218F9" w:rsidP="00EA0BC4">
    <w:pPr>
      <w:pStyle w:val="Header"/>
      <w:tabs>
        <w:tab w:val="clear" w:pos="4320"/>
        <w:tab w:val="clear" w:pos="8640"/>
        <w:tab w:val="left" w:pos="5112"/>
      </w:tabs>
      <w:spacing w:line="240" w:lineRule="exact"/>
      <w:rPr>
        <w:rFonts w:cs="Arial"/>
        <w:sz w:val="16"/>
      </w:rPr>
    </w:pPr>
    <w:r w:rsidRPr="008F3500">
      <w:rPr>
        <w:rFonts w:cs="Arial"/>
        <w:sz w:val="16"/>
      </w:rPr>
      <w:tab/>
      <w:t xml:space="preserve">E: </w:t>
    </w:r>
    <w:hyperlink r:id="rId1" w:history="1">
      <w:r w:rsidRPr="00DA7246">
        <w:rPr>
          <w:rStyle w:val="Hyperlink"/>
          <w:rFonts w:cs="Arial"/>
          <w:sz w:val="16"/>
        </w:rPr>
        <w:t>gp.mgts@gov.si</w:t>
      </w:r>
    </w:hyperlink>
  </w:p>
  <w:p w14:paraId="3EEC3CB9" w14:textId="77777777" w:rsidR="00C218F9" w:rsidRPr="00EA0BC4" w:rsidRDefault="00C218F9" w:rsidP="00EA0BC4">
    <w:pPr>
      <w:pStyle w:val="Header"/>
      <w:tabs>
        <w:tab w:val="clear" w:pos="4320"/>
        <w:tab w:val="clear" w:pos="8640"/>
        <w:tab w:val="left" w:pos="5112"/>
      </w:tabs>
      <w:spacing w:line="240" w:lineRule="exact"/>
      <w:rPr>
        <w:rFonts w:cs="Arial"/>
        <w:sz w:val="16"/>
      </w:rPr>
    </w:pPr>
    <w:r w:rsidRPr="008F3500">
      <w:rPr>
        <w:rFonts w:cs="Arial"/>
        <w:sz w:val="16"/>
      </w:rPr>
      <w:tab/>
    </w:r>
    <w:hyperlink r:id="rId2" w:history="1">
      <w:r w:rsidRPr="00DA7246">
        <w:rPr>
          <w:rStyle w:val="Hyperlink"/>
          <w:rFonts w:cs="Arial"/>
          <w:sz w:val="16"/>
        </w:rPr>
        <w:t>www.mgts.gov.si</w:t>
      </w:r>
    </w:hyperlink>
  </w:p>
  <w:p w14:paraId="07E25695" w14:textId="77777777" w:rsidR="00C218F9" w:rsidRPr="008F3500" w:rsidRDefault="00C218F9" w:rsidP="00C642E8">
    <w:pPr>
      <w:pStyle w:val="Header"/>
      <w:tabs>
        <w:tab w:val="clear" w:pos="4320"/>
        <w:tab w:val="clear" w:pos="8640"/>
        <w:tab w:val="left" w:pos="5112"/>
      </w:tabs>
    </w:pPr>
  </w:p>
  <w:p w14:paraId="11204FA6" w14:textId="77777777" w:rsidR="00C218F9" w:rsidRDefault="00C2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9D7" w14:textId="77777777" w:rsidR="00C218F9" w:rsidRDefault="00C218F9">
    <w:pPr>
      <w:pStyle w:val="Header"/>
    </w:pPr>
  </w:p>
  <w:p w14:paraId="0095D6CB" w14:textId="77777777" w:rsidR="00C218F9" w:rsidRDefault="00C218F9">
    <w:pPr>
      <w:pStyle w:val="Header"/>
    </w:pPr>
  </w:p>
  <w:p w14:paraId="0F5DDCA0" w14:textId="77777777" w:rsidR="00C218F9" w:rsidRDefault="00C218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C218F9" w:rsidRPr="008F3500" w14:paraId="401293F8" w14:textId="77777777" w:rsidTr="00A6012B">
      <w:trPr>
        <w:trHeight w:hRule="exact" w:val="847"/>
      </w:trPr>
      <w:tc>
        <w:tcPr>
          <w:tcW w:w="649" w:type="dxa"/>
        </w:tcPr>
        <w:p w14:paraId="52870E95" w14:textId="77777777" w:rsidR="00C218F9" w:rsidRDefault="00C218F9" w:rsidP="00EA0BC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224749AA" w14:textId="77777777" w:rsidR="00C218F9" w:rsidRPr="006D42D9" w:rsidRDefault="00C218F9" w:rsidP="00EA0BC4">
          <w:pPr>
            <w:rPr>
              <w:rFonts w:ascii="Republika" w:hAnsi="Republika"/>
              <w:sz w:val="60"/>
              <w:szCs w:val="60"/>
            </w:rPr>
          </w:pPr>
        </w:p>
        <w:p w14:paraId="23E1C8F0" w14:textId="77777777" w:rsidR="00C218F9" w:rsidRPr="006D42D9" w:rsidRDefault="00C218F9" w:rsidP="00EA0BC4">
          <w:pPr>
            <w:rPr>
              <w:rFonts w:ascii="Republika" w:hAnsi="Republika"/>
              <w:sz w:val="60"/>
              <w:szCs w:val="60"/>
            </w:rPr>
          </w:pPr>
        </w:p>
        <w:p w14:paraId="27E67249" w14:textId="77777777" w:rsidR="00C218F9" w:rsidRPr="006D42D9" w:rsidRDefault="00C218F9" w:rsidP="00EA0BC4">
          <w:pPr>
            <w:rPr>
              <w:rFonts w:ascii="Republika" w:hAnsi="Republika"/>
              <w:sz w:val="60"/>
              <w:szCs w:val="60"/>
            </w:rPr>
          </w:pPr>
        </w:p>
        <w:p w14:paraId="4EBB1EDB" w14:textId="77777777" w:rsidR="00C218F9" w:rsidRPr="006D42D9" w:rsidRDefault="00C218F9" w:rsidP="00EA0BC4">
          <w:pPr>
            <w:rPr>
              <w:rFonts w:ascii="Republika" w:hAnsi="Republika"/>
              <w:sz w:val="60"/>
              <w:szCs w:val="60"/>
            </w:rPr>
          </w:pPr>
        </w:p>
        <w:p w14:paraId="7B9B8435" w14:textId="77777777" w:rsidR="00C218F9" w:rsidRPr="006D42D9" w:rsidRDefault="00C218F9" w:rsidP="00EA0BC4">
          <w:pPr>
            <w:rPr>
              <w:rFonts w:ascii="Republika" w:hAnsi="Republika"/>
              <w:sz w:val="60"/>
              <w:szCs w:val="60"/>
            </w:rPr>
          </w:pPr>
        </w:p>
        <w:p w14:paraId="182BDE7E" w14:textId="77777777" w:rsidR="00C218F9" w:rsidRPr="006D42D9" w:rsidRDefault="00C218F9" w:rsidP="00EA0BC4">
          <w:pPr>
            <w:rPr>
              <w:rFonts w:ascii="Republika" w:hAnsi="Republika"/>
              <w:sz w:val="60"/>
              <w:szCs w:val="60"/>
            </w:rPr>
          </w:pPr>
        </w:p>
        <w:p w14:paraId="6603375A" w14:textId="77777777" w:rsidR="00C218F9" w:rsidRPr="006D42D9" w:rsidRDefault="00C218F9" w:rsidP="00EA0BC4">
          <w:pPr>
            <w:rPr>
              <w:rFonts w:ascii="Republika" w:hAnsi="Republika"/>
              <w:sz w:val="60"/>
              <w:szCs w:val="60"/>
            </w:rPr>
          </w:pPr>
        </w:p>
        <w:p w14:paraId="246F5EA6" w14:textId="77777777" w:rsidR="00C218F9" w:rsidRPr="006D42D9" w:rsidRDefault="00C218F9" w:rsidP="00EA0BC4">
          <w:pPr>
            <w:rPr>
              <w:rFonts w:ascii="Republika" w:hAnsi="Republika"/>
              <w:sz w:val="60"/>
              <w:szCs w:val="60"/>
            </w:rPr>
          </w:pPr>
        </w:p>
        <w:p w14:paraId="5F8ECFCF" w14:textId="77777777" w:rsidR="00C218F9" w:rsidRPr="006D42D9" w:rsidRDefault="00C218F9" w:rsidP="00EA0BC4">
          <w:pPr>
            <w:rPr>
              <w:rFonts w:ascii="Republika" w:hAnsi="Republika"/>
              <w:sz w:val="60"/>
              <w:szCs w:val="60"/>
            </w:rPr>
          </w:pPr>
        </w:p>
        <w:p w14:paraId="04C7194F" w14:textId="77777777" w:rsidR="00C218F9" w:rsidRPr="006D42D9" w:rsidRDefault="00C218F9" w:rsidP="00EA0BC4">
          <w:pPr>
            <w:rPr>
              <w:rFonts w:ascii="Republika" w:hAnsi="Republika"/>
              <w:sz w:val="60"/>
              <w:szCs w:val="60"/>
            </w:rPr>
          </w:pPr>
        </w:p>
        <w:p w14:paraId="6522AEC2" w14:textId="77777777" w:rsidR="00C218F9" w:rsidRPr="006D42D9" w:rsidRDefault="00C218F9" w:rsidP="00EA0BC4">
          <w:pPr>
            <w:rPr>
              <w:rFonts w:ascii="Republika" w:hAnsi="Republika"/>
              <w:sz w:val="60"/>
              <w:szCs w:val="60"/>
            </w:rPr>
          </w:pPr>
        </w:p>
        <w:p w14:paraId="7E97381E" w14:textId="77777777" w:rsidR="00C218F9" w:rsidRPr="006D42D9" w:rsidRDefault="00C218F9" w:rsidP="00EA0BC4">
          <w:pPr>
            <w:rPr>
              <w:rFonts w:ascii="Republika" w:hAnsi="Republika"/>
              <w:sz w:val="60"/>
              <w:szCs w:val="60"/>
            </w:rPr>
          </w:pPr>
        </w:p>
        <w:p w14:paraId="0A50C978" w14:textId="77777777" w:rsidR="00C218F9" w:rsidRPr="006D42D9" w:rsidRDefault="00C218F9" w:rsidP="00EA0BC4">
          <w:pPr>
            <w:rPr>
              <w:rFonts w:ascii="Republika" w:hAnsi="Republika"/>
              <w:sz w:val="60"/>
              <w:szCs w:val="60"/>
            </w:rPr>
          </w:pPr>
        </w:p>
        <w:p w14:paraId="584DA9BA" w14:textId="77777777" w:rsidR="00C218F9" w:rsidRPr="006D42D9" w:rsidRDefault="00C218F9" w:rsidP="00EA0BC4">
          <w:pPr>
            <w:rPr>
              <w:rFonts w:ascii="Republika" w:hAnsi="Republika"/>
              <w:sz w:val="60"/>
              <w:szCs w:val="60"/>
            </w:rPr>
          </w:pPr>
        </w:p>
        <w:p w14:paraId="36753A0F" w14:textId="77777777" w:rsidR="00C218F9" w:rsidRPr="006D42D9" w:rsidRDefault="00C218F9" w:rsidP="00EA0BC4">
          <w:pPr>
            <w:rPr>
              <w:rFonts w:ascii="Republika" w:hAnsi="Republika"/>
              <w:sz w:val="60"/>
              <w:szCs w:val="60"/>
            </w:rPr>
          </w:pPr>
        </w:p>
        <w:p w14:paraId="4A412418" w14:textId="77777777" w:rsidR="00C218F9" w:rsidRPr="006D42D9" w:rsidRDefault="00C218F9" w:rsidP="00EA0BC4">
          <w:pPr>
            <w:rPr>
              <w:rFonts w:ascii="Republika" w:hAnsi="Republika"/>
              <w:sz w:val="60"/>
              <w:szCs w:val="60"/>
            </w:rPr>
          </w:pPr>
        </w:p>
      </w:tc>
    </w:tr>
  </w:tbl>
  <w:tbl>
    <w:tblPr>
      <w:tblStyle w:val="Navadnatabela41"/>
      <w:tblpPr w:leftFromText="142" w:rightFromText="142" w:bottomFromText="6005" w:vertAnchor="page" w:horzAnchor="page" w:tblpX="925" w:tblpY="869"/>
      <w:tblW w:w="0" w:type="auto"/>
      <w:tblLook w:val="04A0" w:firstRow="1" w:lastRow="0" w:firstColumn="1" w:lastColumn="0" w:noHBand="0" w:noVBand="1"/>
    </w:tblPr>
    <w:tblGrid>
      <w:gridCol w:w="567"/>
    </w:tblGrid>
    <w:tr w:rsidR="00C218F9" w:rsidRPr="008F3500" w14:paraId="1CA4D095" w14:textId="77777777" w:rsidTr="00A6012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3C37679" w14:textId="77777777" w:rsidR="00C218F9" w:rsidRPr="006D42D9" w:rsidRDefault="00C218F9" w:rsidP="00EA0BC4">
          <w:pPr>
            <w:rPr>
              <w:rFonts w:ascii="Republika" w:hAnsi="Republika"/>
              <w:sz w:val="60"/>
              <w:szCs w:val="60"/>
            </w:rPr>
          </w:pPr>
        </w:p>
      </w:tc>
    </w:tr>
  </w:tbl>
  <w:p w14:paraId="79E2A8AF" w14:textId="68E5D135" w:rsidR="00C218F9" w:rsidRPr="008F3500" w:rsidRDefault="00404F54" w:rsidP="00EA0BC4">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4" distB="4294967294" distL="114300" distR="114300" simplePos="0" relativeHeight="251658241" behindDoc="1" locked="0" layoutInCell="0" allowOverlap="1" wp14:anchorId="4E6DE27E" wp14:editId="1DEB59EE">
              <wp:simplePos x="0" y="0"/>
              <wp:positionH relativeFrom="column">
                <wp:posOffset>-431800</wp:posOffset>
              </wp:positionH>
              <wp:positionV relativeFrom="page">
                <wp:posOffset>3600449</wp:posOffset>
              </wp:positionV>
              <wp:extent cx="2520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BF901A" id="Straight Connector 1" o:spid="_x0000_s1026" style="position:absolute;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218F9" w:rsidRPr="008F3500">
      <w:rPr>
        <w:rFonts w:ascii="Republika" w:hAnsi="Republika"/>
      </w:rPr>
      <w:t>REPUBLIKA SLOVENIJA</w:t>
    </w:r>
  </w:p>
  <w:p w14:paraId="076E497F" w14:textId="77777777" w:rsidR="00C218F9" w:rsidRPr="008A4089" w:rsidRDefault="00C218F9" w:rsidP="00EA0BC4">
    <w:pPr>
      <w:pStyle w:val="Header"/>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14:paraId="2D0653CC" w14:textId="77777777" w:rsidR="00C218F9" w:rsidRPr="008F3500" w:rsidRDefault="00C218F9" w:rsidP="00EA0BC4">
    <w:pPr>
      <w:pStyle w:val="Header"/>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14:paraId="66C97799" w14:textId="77777777" w:rsidR="00C218F9" w:rsidRDefault="00C218F9" w:rsidP="00EA0BC4">
    <w:pPr>
      <w:pStyle w:val="Header"/>
      <w:tabs>
        <w:tab w:val="clear" w:pos="4320"/>
        <w:tab w:val="clear" w:pos="8640"/>
        <w:tab w:val="left" w:pos="5112"/>
      </w:tabs>
      <w:spacing w:line="240" w:lineRule="exact"/>
      <w:rPr>
        <w:rFonts w:cs="Arial"/>
        <w:sz w:val="16"/>
      </w:rPr>
    </w:pPr>
    <w:r w:rsidRPr="008F3500">
      <w:rPr>
        <w:rFonts w:cs="Arial"/>
        <w:sz w:val="16"/>
      </w:rPr>
      <w:tab/>
      <w:t xml:space="preserve">E: </w:t>
    </w:r>
    <w:hyperlink r:id="rId1" w:history="1">
      <w:r w:rsidRPr="00DA7246">
        <w:rPr>
          <w:rStyle w:val="Hyperlink"/>
          <w:rFonts w:cs="Arial"/>
          <w:sz w:val="16"/>
        </w:rPr>
        <w:t>gp.mgts@gov.si</w:t>
      </w:r>
    </w:hyperlink>
  </w:p>
  <w:p w14:paraId="59FE1527" w14:textId="77777777" w:rsidR="00C218F9" w:rsidRPr="00EA0BC4" w:rsidRDefault="00C218F9" w:rsidP="00EA0BC4">
    <w:pPr>
      <w:pStyle w:val="Header"/>
      <w:tabs>
        <w:tab w:val="clear" w:pos="4320"/>
        <w:tab w:val="clear" w:pos="8640"/>
        <w:tab w:val="left" w:pos="5112"/>
      </w:tabs>
      <w:spacing w:line="240" w:lineRule="exact"/>
      <w:rPr>
        <w:rFonts w:cs="Arial"/>
        <w:sz w:val="16"/>
      </w:rPr>
    </w:pPr>
    <w:r w:rsidRPr="008F3500">
      <w:rPr>
        <w:rFonts w:cs="Arial"/>
        <w:sz w:val="16"/>
      </w:rPr>
      <w:tab/>
    </w:r>
    <w:hyperlink r:id="rId2" w:history="1">
      <w:r w:rsidRPr="00DA7246">
        <w:rPr>
          <w:rStyle w:val="Hyperlink"/>
          <w:rFonts w:cs="Arial"/>
          <w:sz w:val="16"/>
        </w:rPr>
        <w:t>www.mgts.gov.si</w:t>
      </w:r>
    </w:hyperlink>
  </w:p>
  <w:p w14:paraId="037E5A94" w14:textId="77777777" w:rsidR="00C218F9" w:rsidRPr="008F3500" w:rsidRDefault="00C218F9" w:rsidP="00C642E8">
    <w:pPr>
      <w:pStyle w:val="Header"/>
      <w:tabs>
        <w:tab w:val="clear" w:pos="4320"/>
        <w:tab w:val="clear" w:pos="8640"/>
        <w:tab w:val="left" w:pos="5112"/>
      </w:tabs>
    </w:pPr>
  </w:p>
  <w:p w14:paraId="21659857" w14:textId="77777777" w:rsidR="00C218F9" w:rsidRDefault="00C21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A854" w14:textId="77777777" w:rsidR="00C218F9" w:rsidRPr="008F3500" w:rsidRDefault="00C218F9" w:rsidP="005F456B">
    <w:pPr>
      <w:pStyle w:val="Header"/>
      <w:tabs>
        <w:tab w:val="clear" w:pos="4320"/>
        <w:tab w:val="clear" w:pos="8640"/>
        <w:tab w:val="left" w:pos="5112"/>
      </w:tabs>
      <w:spacing w:line="240" w:lineRule="exact"/>
      <w:rPr>
        <w:rFonts w:cs="Arial"/>
        <w:sz w:val="16"/>
      </w:rPr>
    </w:pPr>
    <w:r w:rsidRPr="008F3500">
      <w:rPr>
        <w:rFonts w:cs="Arial"/>
        <w:sz w:val="16"/>
      </w:rPr>
      <w:tab/>
    </w:r>
  </w:p>
  <w:p w14:paraId="0C9B8997" w14:textId="77777777" w:rsidR="00C218F9" w:rsidRPr="008F3500" w:rsidRDefault="00C218F9" w:rsidP="005F456B">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D32"/>
    <w:multiLevelType w:val="hybridMultilevel"/>
    <w:tmpl w:val="A148D032"/>
    <w:lvl w:ilvl="0" w:tplc="9AFEA1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F080F"/>
    <w:multiLevelType w:val="hybridMultilevel"/>
    <w:tmpl w:val="A558AE50"/>
    <w:lvl w:ilvl="0" w:tplc="D6CAC59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887F00"/>
    <w:multiLevelType w:val="hybridMultilevel"/>
    <w:tmpl w:val="07EE7BCE"/>
    <w:lvl w:ilvl="0" w:tplc="F02ED1E8">
      <w:start w:val="2"/>
      <w:numFmt w:val="lowerLetter"/>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79D4941"/>
    <w:multiLevelType w:val="multilevel"/>
    <w:tmpl w:val="E370CCCE"/>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81E21C6"/>
    <w:multiLevelType w:val="hybridMultilevel"/>
    <w:tmpl w:val="AAE830D2"/>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CC5A7A"/>
    <w:multiLevelType w:val="hybridMultilevel"/>
    <w:tmpl w:val="A9FCB82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AE3890"/>
    <w:multiLevelType w:val="hybridMultilevel"/>
    <w:tmpl w:val="586214A2"/>
    <w:lvl w:ilvl="0" w:tplc="0424000F">
      <w:start w:val="1"/>
      <w:numFmt w:val="decimal"/>
      <w:lvlText w:val="%1."/>
      <w:lvlJc w:val="left"/>
      <w:pPr>
        <w:ind w:left="360" w:hanging="360"/>
      </w:pPr>
    </w:lvl>
    <w:lvl w:ilvl="1" w:tplc="79F8A6C0">
      <w:start w:val="1"/>
      <w:numFmt w:val="lowerRoman"/>
      <w:lvlText w:val="%2."/>
      <w:lvlJc w:val="left"/>
      <w:pPr>
        <w:ind w:left="1440" w:hanging="720"/>
      </w:pPr>
      <w:rPr>
        <w:rFonts w:hint="default"/>
      </w:rPr>
    </w:lvl>
    <w:lvl w:ilvl="2" w:tplc="FC54EC9A">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9B3F81"/>
    <w:multiLevelType w:val="hybridMultilevel"/>
    <w:tmpl w:val="F19686D2"/>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E922E6E"/>
    <w:multiLevelType w:val="hybridMultilevel"/>
    <w:tmpl w:val="227EB8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EBC7920"/>
    <w:multiLevelType w:val="hybridMultilevel"/>
    <w:tmpl w:val="7834F0DE"/>
    <w:lvl w:ilvl="0" w:tplc="E33AA7CE">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5406F2"/>
    <w:multiLevelType w:val="hybridMultilevel"/>
    <w:tmpl w:val="22DE1832"/>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A003AB"/>
    <w:multiLevelType w:val="multilevel"/>
    <w:tmpl w:val="DCC648B2"/>
    <w:lvl w:ilvl="0">
      <w:start w:val="49"/>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11DE1DC8"/>
    <w:multiLevelType w:val="hybridMultilevel"/>
    <w:tmpl w:val="7590B2EC"/>
    <w:lvl w:ilvl="0" w:tplc="FFFFFFFF">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30D1C88"/>
    <w:multiLevelType w:val="hybridMultilevel"/>
    <w:tmpl w:val="7CE858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490593"/>
    <w:multiLevelType w:val="hybridMultilevel"/>
    <w:tmpl w:val="85B04074"/>
    <w:lvl w:ilvl="0" w:tplc="00F88134">
      <w:start w:val="1"/>
      <w:numFmt w:val="lowerLetter"/>
      <w:lvlText w:val="%1)"/>
      <w:lvlJc w:val="left"/>
      <w:pPr>
        <w:ind w:left="720" w:hanging="360"/>
      </w:pPr>
      <w:rPr>
        <w:rFonts w:ascii="Arial" w:hAnsi="Arial" w:cs="Arial" w:hint="default"/>
        <w:strike w:val="0"/>
        <w:sz w:val="20"/>
        <w:szCs w:val="2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DA357C"/>
    <w:multiLevelType w:val="hybridMultilevel"/>
    <w:tmpl w:val="22D231E2"/>
    <w:lvl w:ilvl="0" w:tplc="04240017">
      <w:start w:val="1"/>
      <w:numFmt w:val="lowerLetter"/>
      <w:lvlText w:val="%1)"/>
      <w:lvlJc w:val="left"/>
      <w:pPr>
        <w:ind w:left="720" w:hanging="360"/>
      </w:pPr>
      <w:rPr>
        <w:rFonts w:hint="default"/>
      </w:rPr>
    </w:lvl>
    <w:lvl w:ilvl="1" w:tplc="EA4C273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5CD2132"/>
    <w:multiLevelType w:val="hybridMultilevel"/>
    <w:tmpl w:val="5574C2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5DF44FA"/>
    <w:multiLevelType w:val="hybridMultilevel"/>
    <w:tmpl w:val="71069026"/>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7">
      <w:start w:val="1"/>
      <w:numFmt w:val="lowerLetter"/>
      <w:lvlText w:val="%3)"/>
      <w:lvlJc w:val="left"/>
      <w:pPr>
        <w:ind w:left="1980" w:hanging="36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8970B35"/>
    <w:multiLevelType w:val="multilevel"/>
    <w:tmpl w:val="E370CCCE"/>
    <w:lvl w:ilvl="0">
      <w:start w:val="1"/>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9FF785D"/>
    <w:multiLevelType w:val="hybridMultilevel"/>
    <w:tmpl w:val="B450D9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1" w15:restartNumberingAfterBreak="0">
    <w:nsid w:val="1B5B2E6F"/>
    <w:multiLevelType w:val="hybridMultilevel"/>
    <w:tmpl w:val="0E1EDF08"/>
    <w:lvl w:ilvl="0" w:tplc="8EBC32BC">
      <w:numFmt w:val="bullet"/>
      <w:lvlText w:val="−"/>
      <w:lvlJc w:val="left"/>
      <w:pPr>
        <w:ind w:left="720" w:hanging="360"/>
      </w:pPr>
      <w:rPr>
        <w:rFonts w:ascii="Segoe UI" w:eastAsiaTheme="minorHAnsi" w:hAnsi="Segoe U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4" w15:restartNumberingAfterBreak="0">
    <w:nsid w:val="1DE34679"/>
    <w:multiLevelType w:val="hybridMultilevel"/>
    <w:tmpl w:val="C8829C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F675DA4"/>
    <w:multiLevelType w:val="hybridMultilevel"/>
    <w:tmpl w:val="B9186052"/>
    <w:lvl w:ilvl="0" w:tplc="F6DE2696">
      <w:start w:val="1"/>
      <w:numFmt w:val="lowerLetter"/>
      <w:lvlText w:val="%1)"/>
      <w:lvlJc w:val="left"/>
      <w:pPr>
        <w:ind w:left="360" w:hanging="360"/>
      </w:pPr>
      <w:rPr>
        <w:rFonts w:ascii="Arial" w:hAnsi="Arial" w:hint="default"/>
        <w:b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F86140E"/>
    <w:multiLevelType w:val="hybridMultilevel"/>
    <w:tmpl w:val="396AF412"/>
    <w:lvl w:ilvl="0" w:tplc="0CB029A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0940DF7"/>
    <w:multiLevelType w:val="hybridMultilevel"/>
    <w:tmpl w:val="A7481B94"/>
    <w:lvl w:ilvl="0" w:tplc="58169814">
      <w:start w:val="1"/>
      <w:numFmt w:val="decimal"/>
      <w:lvlText w:val="%1."/>
      <w:lvlJc w:val="left"/>
      <w:pPr>
        <w:ind w:left="360" w:hanging="360"/>
      </w:pPr>
      <w:rPr>
        <w:rFonts w:ascii="Arial" w:hAnsi="Arial" w:cs="Arial" w:hint="default"/>
        <w:color w:val="auto"/>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231E64FF"/>
    <w:multiLevelType w:val="hybridMultilevel"/>
    <w:tmpl w:val="B874D7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39846E7"/>
    <w:multiLevelType w:val="hybridMultilevel"/>
    <w:tmpl w:val="1A5ED936"/>
    <w:lvl w:ilvl="0" w:tplc="84E023B4">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49B7BD1"/>
    <w:multiLevelType w:val="hybridMultilevel"/>
    <w:tmpl w:val="B83412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8D0228"/>
    <w:multiLevelType w:val="hybridMultilevel"/>
    <w:tmpl w:val="A7945EF2"/>
    <w:lvl w:ilvl="0" w:tplc="FFFFFFFF">
      <w:numFmt w:val="bullet"/>
      <w:lvlText w:val="−"/>
      <w:lvlJc w:val="left"/>
      <w:pPr>
        <w:ind w:left="720" w:hanging="360"/>
      </w:pPr>
      <w:rPr>
        <w:rFonts w:ascii="Segoe UI" w:eastAsiaTheme="minorHAnsi" w:hAnsi="Segoe UI" w:hint="default"/>
      </w:rPr>
    </w:lvl>
    <w:lvl w:ilvl="1" w:tplc="08200BC6">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8976EC2"/>
    <w:multiLevelType w:val="hybridMultilevel"/>
    <w:tmpl w:val="C802A5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91367FB"/>
    <w:multiLevelType w:val="hybridMultilevel"/>
    <w:tmpl w:val="86CEFD5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96004B8"/>
    <w:multiLevelType w:val="hybridMultilevel"/>
    <w:tmpl w:val="496AE7B0"/>
    <w:lvl w:ilvl="0" w:tplc="FFFFFFFF">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360" w:hanging="36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A012925"/>
    <w:multiLevelType w:val="hybridMultilevel"/>
    <w:tmpl w:val="398AC518"/>
    <w:lvl w:ilvl="0" w:tplc="E33AA7CE">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6" w15:restartNumberingAfterBreak="0">
    <w:nsid w:val="2C74180C"/>
    <w:multiLevelType w:val="hybridMultilevel"/>
    <w:tmpl w:val="0C7C3D5A"/>
    <w:lvl w:ilvl="0" w:tplc="F71A5A7C">
      <w:start w:val="1"/>
      <w:numFmt w:val="upperLetter"/>
      <w:pStyle w:val="rkovnatokazaodstavkomA"/>
      <w:lvlText w:val="(%1)"/>
      <w:lvlJc w:val="left"/>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D3F77AE"/>
    <w:multiLevelType w:val="hybridMultilevel"/>
    <w:tmpl w:val="53BEF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1A2A3A"/>
    <w:multiLevelType w:val="hybridMultilevel"/>
    <w:tmpl w:val="53F0745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0F43C79"/>
    <w:multiLevelType w:val="hybridMultilevel"/>
    <w:tmpl w:val="D974BA3E"/>
    <w:lvl w:ilvl="0" w:tplc="4D5C1B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2326306"/>
    <w:multiLevelType w:val="hybridMultilevel"/>
    <w:tmpl w:val="43B847E4"/>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32DD0569"/>
    <w:multiLevelType w:val="hybridMultilevel"/>
    <w:tmpl w:val="9940C19A"/>
    <w:lvl w:ilvl="0" w:tplc="8EBC32BC">
      <w:numFmt w:val="bullet"/>
      <w:lvlText w:val="−"/>
      <w:lvlJc w:val="left"/>
      <w:pPr>
        <w:ind w:left="720" w:hanging="360"/>
      </w:pPr>
      <w:rPr>
        <w:rFonts w:ascii="Segoe UI" w:eastAsiaTheme="minorHAnsi" w:hAnsi="Segoe U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3C07AFB"/>
    <w:multiLevelType w:val="hybridMultilevel"/>
    <w:tmpl w:val="C2C6B2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348B6383"/>
    <w:multiLevelType w:val="hybridMultilevel"/>
    <w:tmpl w:val="D76CE5C4"/>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5ED77A6"/>
    <w:multiLevelType w:val="hybridMultilevel"/>
    <w:tmpl w:val="C986CE5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7A205F9"/>
    <w:multiLevelType w:val="hybridMultilevel"/>
    <w:tmpl w:val="9724BCB2"/>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8635FD6"/>
    <w:multiLevelType w:val="hybridMultilevel"/>
    <w:tmpl w:val="7A4AF212"/>
    <w:lvl w:ilvl="0" w:tplc="5D04C1F6">
      <w:start w:val="1"/>
      <w:numFmt w:val="bullet"/>
      <w:pStyle w:val="Oddelek"/>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8" w15:restartNumberingAfterBreak="0">
    <w:nsid w:val="3B027DD5"/>
    <w:multiLevelType w:val="hybridMultilevel"/>
    <w:tmpl w:val="53D2FA40"/>
    <w:lvl w:ilvl="0" w:tplc="230255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E4471C8"/>
    <w:multiLevelType w:val="hybridMultilevel"/>
    <w:tmpl w:val="998AAE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41924ED8"/>
    <w:multiLevelType w:val="hybridMultilevel"/>
    <w:tmpl w:val="07605B2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CA20E4"/>
    <w:multiLevelType w:val="hybridMultilevel"/>
    <w:tmpl w:val="46A82E9A"/>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2142DA9"/>
    <w:multiLevelType w:val="hybridMultilevel"/>
    <w:tmpl w:val="7590B2EC"/>
    <w:lvl w:ilvl="0" w:tplc="ABCE7F72">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3000C8C"/>
    <w:multiLevelType w:val="hybridMultilevel"/>
    <w:tmpl w:val="ECAC07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448B51EA"/>
    <w:multiLevelType w:val="hybridMultilevel"/>
    <w:tmpl w:val="5AC6B020"/>
    <w:lvl w:ilvl="0" w:tplc="6548DE1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5870FB1"/>
    <w:multiLevelType w:val="hybridMultilevel"/>
    <w:tmpl w:val="E1C020CA"/>
    <w:lvl w:ilvl="0" w:tplc="0CB029A6">
      <w:start w:val="1"/>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48687B23"/>
    <w:multiLevelType w:val="hybridMultilevel"/>
    <w:tmpl w:val="6A7C9D62"/>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94A6D16"/>
    <w:multiLevelType w:val="hybridMultilevel"/>
    <w:tmpl w:val="B7109A0A"/>
    <w:lvl w:ilvl="0" w:tplc="D23E3F82">
      <w:start w:val="1"/>
      <w:numFmt w:val="decimal"/>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D5A3CF3"/>
    <w:multiLevelType w:val="hybridMultilevel"/>
    <w:tmpl w:val="D15C3B1C"/>
    <w:lvl w:ilvl="0" w:tplc="042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4DA22406"/>
    <w:multiLevelType w:val="hybridMultilevel"/>
    <w:tmpl w:val="FFFFFFFF"/>
    <w:lvl w:ilvl="0" w:tplc="4E08F70A">
      <w:start w:val="1"/>
      <w:numFmt w:val="lowerLetter"/>
      <w:lvlText w:val="%1)"/>
      <w:lvlJc w:val="left"/>
      <w:pPr>
        <w:ind w:left="360" w:hanging="360"/>
      </w:pPr>
    </w:lvl>
    <w:lvl w:ilvl="1" w:tplc="DEB2EC8C">
      <w:start w:val="1"/>
      <w:numFmt w:val="lowerLetter"/>
      <w:lvlText w:val="%2."/>
      <w:lvlJc w:val="left"/>
      <w:pPr>
        <w:ind w:left="1080" w:hanging="360"/>
      </w:pPr>
    </w:lvl>
    <w:lvl w:ilvl="2" w:tplc="68725A54">
      <w:start w:val="1"/>
      <w:numFmt w:val="lowerRoman"/>
      <w:lvlText w:val="%3."/>
      <w:lvlJc w:val="right"/>
      <w:pPr>
        <w:ind w:left="1800" w:hanging="180"/>
      </w:pPr>
    </w:lvl>
    <w:lvl w:ilvl="3" w:tplc="C696F0DA">
      <w:start w:val="1"/>
      <w:numFmt w:val="decimal"/>
      <w:lvlText w:val="%4."/>
      <w:lvlJc w:val="left"/>
      <w:pPr>
        <w:ind w:left="2520" w:hanging="360"/>
      </w:pPr>
    </w:lvl>
    <w:lvl w:ilvl="4" w:tplc="5F6E897C">
      <w:start w:val="1"/>
      <w:numFmt w:val="lowerLetter"/>
      <w:lvlText w:val="%5."/>
      <w:lvlJc w:val="left"/>
      <w:pPr>
        <w:ind w:left="3240" w:hanging="360"/>
      </w:pPr>
    </w:lvl>
    <w:lvl w:ilvl="5" w:tplc="D5EC3CC8">
      <w:start w:val="1"/>
      <w:numFmt w:val="lowerRoman"/>
      <w:lvlText w:val="%6."/>
      <w:lvlJc w:val="right"/>
      <w:pPr>
        <w:ind w:left="3960" w:hanging="180"/>
      </w:pPr>
    </w:lvl>
    <w:lvl w:ilvl="6" w:tplc="34B2E310">
      <w:start w:val="1"/>
      <w:numFmt w:val="decimal"/>
      <w:lvlText w:val="%7."/>
      <w:lvlJc w:val="left"/>
      <w:pPr>
        <w:ind w:left="4680" w:hanging="360"/>
      </w:pPr>
    </w:lvl>
    <w:lvl w:ilvl="7" w:tplc="726C0B80">
      <w:start w:val="1"/>
      <w:numFmt w:val="lowerLetter"/>
      <w:lvlText w:val="%8."/>
      <w:lvlJc w:val="left"/>
      <w:pPr>
        <w:ind w:left="5400" w:hanging="360"/>
      </w:pPr>
    </w:lvl>
    <w:lvl w:ilvl="8" w:tplc="ADC63246">
      <w:start w:val="1"/>
      <w:numFmt w:val="lowerRoman"/>
      <w:lvlText w:val="%9."/>
      <w:lvlJc w:val="right"/>
      <w:pPr>
        <w:ind w:left="6120" w:hanging="180"/>
      </w:pPr>
    </w:lvl>
  </w:abstractNum>
  <w:abstractNum w:abstractNumId="62" w15:restartNumberingAfterBreak="0">
    <w:nsid w:val="4EAE2167"/>
    <w:multiLevelType w:val="multilevel"/>
    <w:tmpl w:val="9FCE2A62"/>
    <w:lvl w:ilvl="0">
      <w:start w:val="1"/>
      <w:numFmt w:val="decimal"/>
      <w:pStyle w:val="tevilnatoka"/>
      <w:lvlText w:val="%1."/>
      <w:lvlJc w:val="left"/>
      <w:rPr>
        <w:rFonts w:hint="default"/>
        <w:b/>
        <w:bCs w:val="0"/>
        <w:i w:val="0"/>
        <w:iCs w:val="0"/>
        <w:caps w:val="0"/>
        <w:smallCaps w:val="0"/>
        <w:strike w:val="0"/>
        <w:dstrike w:val="0"/>
        <w:noProof w:val="0"/>
        <w:vanish w:val="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4EB94AC0"/>
    <w:multiLevelType w:val="hybridMultilevel"/>
    <w:tmpl w:val="B9186052"/>
    <w:lvl w:ilvl="0" w:tplc="FFFFFFFF">
      <w:start w:val="1"/>
      <w:numFmt w:val="lowerLetter"/>
      <w:lvlText w:val="%1)"/>
      <w:lvlJc w:val="left"/>
      <w:pPr>
        <w:ind w:left="360" w:hanging="360"/>
      </w:pPr>
      <w:rPr>
        <w:rFonts w:ascii="Arial" w:hAnsi="Arial" w:hint="default"/>
        <w:b w:val="0"/>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4F2E4FE9"/>
    <w:multiLevelType w:val="hybridMultilevel"/>
    <w:tmpl w:val="C7F44E3C"/>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5" w15:restartNumberingAfterBreak="0">
    <w:nsid w:val="501878A2"/>
    <w:multiLevelType w:val="hybridMultilevel"/>
    <w:tmpl w:val="2F5E8644"/>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0976E5E"/>
    <w:multiLevelType w:val="hybridMultilevel"/>
    <w:tmpl w:val="46A82E9A"/>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51DE6DFE"/>
    <w:multiLevelType w:val="hybridMultilevel"/>
    <w:tmpl w:val="BA3ABE18"/>
    <w:lvl w:ilvl="0" w:tplc="34EC8F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49929AB"/>
    <w:multiLevelType w:val="hybridMultilevel"/>
    <w:tmpl w:val="3A1CB7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5FD15AD"/>
    <w:multiLevelType w:val="hybridMultilevel"/>
    <w:tmpl w:val="A3462D7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6442732"/>
    <w:multiLevelType w:val="hybridMultilevel"/>
    <w:tmpl w:val="7CF2DB0E"/>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1" w15:restartNumberingAfterBreak="0">
    <w:nsid w:val="57A631F3"/>
    <w:multiLevelType w:val="hybridMultilevel"/>
    <w:tmpl w:val="4FD40CBA"/>
    <w:lvl w:ilvl="0" w:tplc="0424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58673DA0"/>
    <w:multiLevelType w:val="hybridMultilevel"/>
    <w:tmpl w:val="BC86FC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58B7299D"/>
    <w:multiLevelType w:val="hybridMultilevel"/>
    <w:tmpl w:val="4866EC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597534B8"/>
    <w:multiLevelType w:val="hybridMultilevel"/>
    <w:tmpl w:val="828EED78"/>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5982274E"/>
    <w:multiLevelType w:val="hybridMultilevel"/>
    <w:tmpl w:val="0F6055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A6231D9"/>
    <w:multiLevelType w:val="hybridMultilevel"/>
    <w:tmpl w:val="329E6816"/>
    <w:lvl w:ilvl="0" w:tplc="FFFFFFF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A966E8C"/>
    <w:multiLevelType w:val="hybridMultilevel"/>
    <w:tmpl w:val="D87215E0"/>
    <w:lvl w:ilvl="0" w:tplc="FFFFFFFF">
      <w:start w:val="1"/>
      <w:numFmt w:val="bullet"/>
      <w:lvlText w:val="-"/>
      <w:lvlJc w:val="left"/>
      <w:pPr>
        <w:ind w:left="360" w:hanging="360"/>
      </w:pPr>
      <w:rPr>
        <w:rFonts w:ascii="Calibri" w:eastAsiaTheme="minorHAnsi" w:hAnsi="Calibri" w:cs="Calibri" w:hint="default"/>
      </w:rPr>
    </w:lvl>
    <w:lvl w:ilvl="1" w:tplc="8FE26E2A">
      <w:start w:val="1"/>
      <w:numFmt w:val="bullet"/>
      <w:lvlText w:val="-"/>
      <w:lvlJc w:val="left"/>
      <w:pPr>
        <w:ind w:left="1069"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B187BA4"/>
    <w:multiLevelType w:val="hybridMultilevel"/>
    <w:tmpl w:val="D10E9DFC"/>
    <w:lvl w:ilvl="0" w:tplc="04240001">
      <w:start w:val="1"/>
      <w:numFmt w:val="bullet"/>
      <w:lvlText w:val=""/>
      <w:lvlJc w:val="left"/>
      <w:pPr>
        <w:ind w:left="1068" w:hanging="360"/>
      </w:pPr>
      <w:rPr>
        <w:rFonts w:ascii="Symbol" w:hAnsi="Symbol" w:hint="default"/>
        <w:b w:val="0"/>
        <w:bCs w:val="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0" w15:restartNumberingAfterBreak="0">
    <w:nsid w:val="5B2C6F54"/>
    <w:multiLevelType w:val="hybridMultilevel"/>
    <w:tmpl w:val="86E6A7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B9E7968"/>
    <w:multiLevelType w:val="hybridMultilevel"/>
    <w:tmpl w:val="D63C41F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5C5D1DD8"/>
    <w:multiLevelType w:val="hybridMultilevel"/>
    <w:tmpl w:val="2AA439EA"/>
    <w:lvl w:ilvl="0" w:tplc="04240005">
      <w:start w:val="1"/>
      <w:numFmt w:val="bullet"/>
      <w:lvlText w:val=""/>
      <w:lvlJc w:val="left"/>
      <w:pPr>
        <w:ind w:left="1140" w:hanging="360"/>
      </w:pPr>
      <w:rPr>
        <w:rFonts w:ascii="Wingdings" w:hAnsi="Wingding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83" w15:restartNumberingAfterBreak="0">
    <w:nsid w:val="5CE039CE"/>
    <w:multiLevelType w:val="hybridMultilevel"/>
    <w:tmpl w:val="43B847E4"/>
    <w:lvl w:ilvl="0" w:tplc="04240015">
      <w:start w:val="1"/>
      <w:numFmt w:val="upp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5CE33374"/>
    <w:multiLevelType w:val="hybridMultilevel"/>
    <w:tmpl w:val="303CC1D4"/>
    <w:styleLink w:val="Alinejazaodstavkom"/>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5F690CCA"/>
    <w:multiLevelType w:val="hybridMultilevel"/>
    <w:tmpl w:val="95648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056150A"/>
    <w:multiLevelType w:val="hybridMultilevel"/>
    <w:tmpl w:val="5608D79E"/>
    <w:lvl w:ilvl="0" w:tplc="870AFC10">
      <w:start w:val="1"/>
      <w:numFmt w:val="decimal"/>
      <w:suff w:val="space"/>
      <w:lvlText w:val="%1."/>
      <w:lvlJc w:val="left"/>
      <w:pPr>
        <w:ind w:left="720" w:hanging="720"/>
      </w:pPr>
      <w:rPr>
        <w:rFonts w:ascii="Arial" w:hAnsi="Arial" w:hint="default"/>
        <w:b/>
        <w:bCs/>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21D30A2"/>
    <w:multiLevelType w:val="hybridMultilevel"/>
    <w:tmpl w:val="D0C8393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2814DC9"/>
    <w:multiLevelType w:val="hybridMultilevel"/>
    <w:tmpl w:val="32D44B3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68B22A3"/>
    <w:multiLevelType w:val="hybridMultilevel"/>
    <w:tmpl w:val="227EB8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66AB0245"/>
    <w:multiLevelType w:val="hybridMultilevel"/>
    <w:tmpl w:val="731EBFDA"/>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9791463"/>
    <w:multiLevelType w:val="hybridMultilevel"/>
    <w:tmpl w:val="9C864EFC"/>
    <w:lvl w:ilvl="0" w:tplc="8F52D806">
      <w:start w:val="1"/>
      <w:numFmt w:val="upperLetter"/>
      <w:pStyle w:val="rkovnatokazaodstavkomA0"/>
      <w:lvlText w:val="%1)"/>
      <w:lvlJc w:val="left"/>
      <w:rPr>
        <w:rFonts w:cs="Times New Roman" w:hint="default"/>
        <w:b w:val="0"/>
        <w:bCs w:val="0"/>
        <w:i w:val="0"/>
        <w:iCs w:val="0"/>
        <w:caps w:val="0"/>
        <w:smallCaps w:val="0"/>
        <w:strike w:val="0"/>
        <w:dstrike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69C85FC3"/>
    <w:multiLevelType w:val="hybridMultilevel"/>
    <w:tmpl w:val="0DBEA7A4"/>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9E953E4"/>
    <w:multiLevelType w:val="multilevel"/>
    <w:tmpl w:val="313C17CA"/>
    <w:lvl w:ilvl="0">
      <w:start w:val="1"/>
      <w:numFmt w:val="bullet"/>
      <w:lvlText w:val="–"/>
      <w:lvlJc w:val="left"/>
      <w:pPr>
        <w:ind w:left="360" w:hanging="360"/>
      </w:pPr>
      <w:rPr>
        <w:rFonts w:ascii="Arial" w:hAnsi="Aria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6" w15:restartNumberingAfterBreak="0">
    <w:nsid w:val="6A631487"/>
    <w:multiLevelType w:val="hybridMultilevel"/>
    <w:tmpl w:val="6AAA976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AEC31C5"/>
    <w:multiLevelType w:val="hybridMultilevel"/>
    <w:tmpl w:val="C8085F0E"/>
    <w:lvl w:ilvl="0" w:tplc="D270A9D4">
      <w:numFmt w:val="bullet"/>
      <w:lvlText w:val=""/>
      <w:lvlJc w:val="left"/>
      <w:pPr>
        <w:ind w:left="1140" w:hanging="360"/>
      </w:pPr>
      <w:rPr>
        <w:rFonts w:ascii="Symbol" w:hAnsi="Symbol" w:hint="default"/>
        <w:sz w:val="22"/>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99" w15:restartNumberingAfterBreak="0">
    <w:nsid w:val="6BF90471"/>
    <w:multiLevelType w:val="hybridMultilevel"/>
    <w:tmpl w:val="0CF808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6E3B0D5A"/>
    <w:multiLevelType w:val="hybridMultilevel"/>
    <w:tmpl w:val="AC6AC8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15:restartNumberingAfterBreak="0">
    <w:nsid w:val="6E655E78"/>
    <w:multiLevelType w:val="hybridMultilevel"/>
    <w:tmpl w:val="E22A000A"/>
    <w:lvl w:ilvl="0" w:tplc="0424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0216311"/>
    <w:multiLevelType w:val="hybridMultilevel"/>
    <w:tmpl w:val="9014F21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70856E27"/>
    <w:multiLevelType w:val="hybridMultilevel"/>
    <w:tmpl w:val="58C6308A"/>
    <w:lvl w:ilvl="0" w:tplc="8FE26E2A">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72447106"/>
    <w:multiLevelType w:val="hybridMultilevel"/>
    <w:tmpl w:val="9F04EB8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771C32B6"/>
    <w:multiLevelType w:val="hybridMultilevel"/>
    <w:tmpl w:val="50FA02A2"/>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6" w15:restartNumberingAfterBreak="0">
    <w:nsid w:val="77652DBF"/>
    <w:multiLevelType w:val="hybridMultilevel"/>
    <w:tmpl w:val="434AE2BE"/>
    <w:lvl w:ilvl="0" w:tplc="8FE26E2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7" w15:restartNumberingAfterBreak="0">
    <w:nsid w:val="77BC4AB8"/>
    <w:multiLevelType w:val="hybridMultilevel"/>
    <w:tmpl w:val="541E79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789E2397"/>
    <w:multiLevelType w:val="hybridMultilevel"/>
    <w:tmpl w:val="71D21662"/>
    <w:lvl w:ilvl="0" w:tplc="BFF47BEC">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79452649"/>
    <w:multiLevelType w:val="hybridMultilevel"/>
    <w:tmpl w:val="F48EA3D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7A056F86"/>
    <w:multiLevelType w:val="hybridMultilevel"/>
    <w:tmpl w:val="79344C52"/>
    <w:lvl w:ilvl="0" w:tplc="0CB029A6">
      <w:start w:val="1"/>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1" w15:restartNumberingAfterBreak="0">
    <w:nsid w:val="7A237109"/>
    <w:multiLevelType w:val="hybridMultilevel"/>
    <w:tmpl w:val="4FB8DFFE"/>
    <w:lvl w:ilvl="0" w:tplc="8FE26E2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B9D0F3E"/>
    <w:multiLevelType w:val="hybridMultilevel"/>
    <w:tmpl w:val="4B9623A4"/>
    <w:lvl w:ilvl="0" w:tplc="FFFFFFFF">
      <w:numFmt w:val="bullet"/>
      <w:lvlText w:val="−"/>
      <w:lvlJc w:val="left"/>
      <w:pPr>
        <w:ind w:left="720" w:hanging="360"/>
      </w:pPr>
      <w:rPr>
        <w:rFonts w:ascii="Segoe UI" w:eastAsiaTheme="minorHAnsi" w:hAnsi="Segoe UI" w:hint="default"/>
      </w:rPr>
    </w:lvl>
    <w:lvl w:ilvl="1" w:tplc="8EBC32BC">
      <w:numFmt w:val="bullet"/>
      <w:lvlText w:val="−"/>
      <w:lvlJc w:val="left"/>
      <w:pPr>
        <w:ind w:left="1440" w:hanging="360"/>
      </w:pPr>
      <w:rPr>
        <w:rFonts w:ascii="Segoe UI" w:eastAsiaTheme="minorHAnsi" w:hAnsi="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BA41FED"/>
    <w:multiLevelType w:val="hybridMultilevel"/>
    <w:tmpl w:val="B374E4F2"/>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D626EB4"/>
    <w:multiLevelType w:val="hybridMultilevel"/>
    <w:tmpl w:val="69BA5DD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7DB31785"/>
    <w:multiLevelType w:val="hybridMultilevel"/>
    <w:tmpl w:val="D318B9E6"/>
    <w:lvl w:ilvl="0" w:tplc="FFFFFFFF">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7034477">
    <w:abstractNumId w:val="54"/>
  </w:num>
  <w:num w:numId="2" w16cid:durableId="2085837190">
    <w:abstractNumId w:val="46"/>
  </w:num>
  <w:num w:numId="3" w16cid:durableId="1048263254">
    <w:abstractNumId w:val="23"/>
  </w:num>
  <w:num w:numId="4" w16cid:durableId="551695533">
    <w:abstractNumId w:val="15"/>
  </w:num>
  <w:num w:numId="5" w16cid:durableId="1428501074">
    <w:abstractNumId w:val="20"/>
  </w:num>
  <w:num w:numId="6" w16cid:durableId="1062294778">
    <w:abstractNumId w:val="62"/>
  </w:num>
  <w:num w:numId="7" w16cid:durableId="1952591085">
    <w:abstractNumId w:val="95"/>
  </w:num>
  <w:num w:numId="8" w16cid:durableId="467208549">
    <w:abstractNumId w:val="85"/>
  </w:num>
  <w:num w:numId="9" w16cid:durableId="84352907">
    <w:abstractNumId w:val="84"/>
  </w:num>
  <w:num w:numId="10" w16cid:durableId="449399904">
    <w:abstractNumId w:val="29"/>
  </w:num>
  <w:num w:numId="11" w16cid:durableId="1567766872">
    <w:abstractNumId w:val="93"/>
  </w:num>
  <w:num w:numId="12" w16cid:durableId="2132555648">
    <w:abstractNumId w:val="48"/>
  </w:num>
  <w:num w:numId="13" w16cid:durableId="1851095050">
    <w:abstractNumId w:val="36"/>
  </w:num>
  <w:num w:numId="14" w16cid:durableId="1290551357">
    <w:abstractNumId w:val="87"/>
  </w:num>
  <w:num w:numId="15" w16cid:durableId="490752271">
    <w:abstractNumId w:val="78"/>
  </w:num>
  <w:num w:numId="16" w16cid:durableId="1427382545">
    <w:abstractNumId w:val="22"/>
  </w:num>
  <w:num w:numId="17" w16cid:durableId="1227645449">
    <w:abstractNumId w:val="92"/>
  </w:num>
  <w:num w:numId="18" w16cid:durableId="793475533">
    <w:abstractNumId w:val="116"/>
  </w:num>
  <w:num w:numId="19" w16cid:durableId="960576559">
    <w:abstractNumId w:val="53"/>
  </w:num>
  <w:num w:numId="20" w16cid:durableId="1828864589">
    <w:abstractNumId w:val="86"/>
  </w:num>
  <w:num w:numId="21" w16cid:durableId="2099400321">
    <w:abstractNumId w:val="107"/>
  </w:num>
  <w:num w:numId="22" w16cid:durableId="313147591">
    <w:abstractNumId w:val="76"/>
  </w:num>
  <w:num w:numId="23" w16cid:durableId="86122652">
    <w:abstractNumId w:val="108"/>
  </w:num>
  <w:num w:numId="24" w16cid:durableId="2027293371">
    <w:abstractNumId w:val="42"/>
  </w:num>
  <w:num w:numId="25" w16cid:durableId="1238125239">
    <w:abstractNumId w:val="89"/>
  </w:num>
  <w:num w:numId="26" w16cid:durableId="1966958720">
    <w:abstractNumId w:val="57"/>
  </w:num>
  <w:num w:numId="27" w16cid:durableId="1085151382">
    <w:abstractNumId w:val="1"/>
  </w:num>
  <w:num w:numId="28" w16cid:durableId="874461004">
    <w:abstractNumId w:val="90"/>
  </w:num>
  <w:num w:numId="29" w16cid:durableId="1902867894">
    <w:abstractNumId w:val="67"/>
  </w:num>
  <w:num w:numId="30" w16cid:durableId="1241408218">
    <w:abstractNumId w:val="110"/>
  </w:num>
  <w:num w:numId="31" w16cid:durableId="1411386118">
    <w:abstractNumId w:val="26"/>
  </w:num>
  <w:num w:numId="32" w16cid:durableId="1929532728">
    <w:abstractNumId w:val="97"/>
  </w:num>
  <w:num w:numId="33" w16cid:durableId="1258098984">
    <w:abstractNumId w:val="68"/>
  </w:num>
  <w:num w:numId="34" w16cid:durableId="329141370">
    <w:abstractNumId w:val="79"/>
  </w:num>
  <w:num w:numId="35" w16cid:durableId="1214973046">
    <w:abstractNumId w:val="83"/>
  </w:num>
  <w:num w:numId="36" w16cid:durableId="428741427">
    <w:abstractNumId w:val="115"/>
  </w:num>
  <w:num w:numId="37" w16cid:durableId="1810396251">
    <w:abstractNumId w:val="37"/>
  </w:num>
  <w:num w:numId="38" w16cid:durableId="758672634">
    <w:abstractNumId w:val="102"/>
  </w:num>
  <w:num w:numId="39" w16cid:durableId="216816887">
    <w:abstractNumId w:val="103"/>
  </w:num>
  <w:num w:numId="40" w16cid:durableId="174271570">
    <w:abstractNumId w:val="40"/>
  </w:num>
  <w:num w:numId="41" w16cid:durableId="318582195">
    <w:abstractNumId w:val="98"/>
  </w:num>
  <w:num w:numId="42" w16cid:durableId="738477186">
    <w:abstractNumId w:val="50"/>
  </w:num>
  <w:num w:numId="43" w16cid:durableId="1178348878">
    <w:abstractNumId w:val="6"/>
  </w:num>
  <w:num w:numId="44" w16cid:durableId="1220942644">
    <w:abstractNumId w:val="94"/>
  </w:num>
  <w:num w:numId="45" w16cid:durableId="760954450">
    <w:abstractNumId w:val="74"/>
  </w:num>
  <w:num w:numId="46" w16cid:durableId="608389490">
    <w:abstractNumId w:val="2"/>
  </w:num>
  <w:num w:numId="47" w16cid:durableId="121656381">
    <w:abstractNumId w:val="10"/>
  </w:num>
  <w:num w:numId="48" w16cid:durableId="1553535639">
    <w:abstractNumId w:val="65"/>
  </w:num>
  <w:num w:numId="49" w16cid:durableId="6712190">
    <w:abstractNumId w:val="55"/>
  </w:num>
  <w:num w:numId="50" w16cid:durableId="607664003">
    <w:abstractNumId w:val="72"/>
  </w:num>
  <w:num w:numId="51" w16cid:durableId="1999918385">
    <w:abstractNumId w:val="24"/>
  </w:num>
  <w:num w:numId="52" w16cid:durableId="1023047699">
    <w:abstractNumId w:val="43"/>
  </w:num>
  <w:num w:numId="53" w16cid:durableId="1954702819">
    <w:abstractNumId w:val="111"/>
  </w:num>
  <w:num w:numId="54" w16cid:durableId="1567304841">
    <w:abstractNumId w:val="114"/>
  </w:num>
  <w:num w:numId="55" w16cid:durableId="1370716382">
    <w:abstractNumId w:val="44"/>
  </w:num>
  <w:num w:numId="56" w16cid:durableId="984285687">
    <w:abstractNumId w:val="104"/>
  </w:num>
  <w:num w:numId="57" w16cid:durableId="691803760">
    <w:abstractNumId w:val="70"/>
  </w:num>
  <w:num w:numId="58" w16cid:durableId="2027054576">
    <w:abstractNumId w:val="7"/>
  </w:num>
  <w:num w:numId="59" w16cid:durableId="1945578336">
    <w:abstractNumId w:val="4"/>
  </w:num>
  <w:num w:numId="60" w16cid:durableId="1034307890">
    <w:abstractNumId w:val="64"/>
  </w:num>
  <w:num w:numId="61" w16cid:durableId="890726270">
    <w:abstractNumId w:val="91"/>
  </w:num>
  <w:num w:numId="62" w16cid:durableId="2075615252">
    <w:abstractNumId w:val="106"/>
  </w:num>
  <w:num w:numId="63" w16cid:durableId="701521353">
    <w:abstractNumId w:val="51"/>
  </w:num>
  <w:num w:numId="64" w16cid:durableId="546532153">
    <w:abstractNumId w:val="45"/>
  </w:num>
  <w:num w:numId="65" w16cid:durableId="897323087">
    <w:abstractNumId w:val="49"/>
  </w:num>
  <w:num w:numId="66" w16cid:durableId="1109661000">
    <w:abstractNumId w:val="16"/>
  </w:num>
  <w:num w:numId="67" w16cid:durableId="446195376">
    <w:abstractNumId w:val="96"/>
  </w:num>
  <w:num w:numId="68" w16cid:durableId="1358116759">
    <w:abstractNumId w:val="100"/>
  </w:num>
  <w:num w:numId="69" w16cid:durableId="145362180">
    <w:abstractNumId w:val="75"/>
  </w:num>
  <w:num w:numId="70" w16cid:durableId="232618334">
    <w:abstractNumId w:val="59"/>
  </w:num>
  <w:num w:numId="71" w16cid:durableId="1709648138">
    <w:abstractNumId w:val="61"/>
  </w:num>
  <w:num w:numId="72" w16cid:durableId="1096054424">
    <w:abstractNumId w:val="47"/>
  </w:num>
  <w:num w:numId="73" w16cid:durableId="680082143">
    <w:abstractNumId w:val="81"/>
  </w:num>
  <w:num w:numId="74" w16cid:durableId="2016221838">
    <w:abstractNumId w:val="80"/>
  </w:num>
  <w:num w:numId="75" w16cid:durableId="631521038">
    <w:abstractNumId w:val="3"/>
  </w:num>
  <w:num w:numId="76" w16cid:durableId="1318806907">
    <w:abstractNumId w:val="18"/>
  </w:num>
  <w:num w:numId="77" w16cid:durableId="940263537">
    <w:abstractNumId w:val="88"/>
  </w:num>
  <w:num w:numId="78" w16cid:durableId="93476634">
    <w:abstractNumId w:val="69"/>
  </w:num>
  <w:num w:numId="79" w16cid:durableId="1982151831">
    <w:abstractNumId w:val="34"/>
  </w:num>
  <w:num w:numId="80" w16cid:durableId="1970090474">
    <w:abstractNumId w:val="13"/>
  </w:num>
  <w:num w:numId="81" w16cid:durableId="263998371">
    <w:abstractNumId w:val="5"/>
  </w:num>
  <w:num w:numId="82" w16cid:durableId="1457291250">
    <w:abstractNumId w:val="19"/>
  </w:num>
  <w:num w:numId="83" w16cid:durableId="2042852035">
    <w:abstractNumId w:val="9"/>
  </w:num>
  <w:num w:numId="84" w16cid:durableId="502933049">
    <w:abstractNumId w:val="105"/>
  </w:num>
  <w:num w:numId="85" w16cid:durableId="424692784">
    <w:abstractNumId w:val="28"/>
  </w:num>
  <w:num w:numId="86" w16cid:durableId="360127754">
    <w:abstractNumId w:val="82"/>
  </w:num>
  <w:num w:numId="87" w16cid:durableId="1423377385">
    <w:abstractNumId w:val="35"/>
  </w:num>
  <w:num w:numId="88" w16cid:durableId="1432972930">
    <w:abstractNumId w:val="17"/>
  </w:num>
  <w:num w:numId="89" w16cid:durableId="1701473342">
    <w:abstractNumId w:val="32"/>
  </w:num>
  <w:num w:numId="90" w16cid:durableId="1310862375">
    <w:abstractNumId w:val="33"/>
  </w:num>
  <w:num w:numId="91" w16cid:durableId="282883111">
    <w:abstractNumId w:val="8"/>
  </w:num>
  <w:num w:numId="92" w16cid:durableId="1308361822">
    <w:abstractNumId w:val="52"/>
  </w:num>
  <w:num w:numId="93" w16cid:durableId="681585308">
    <w:abstractNumId w:val="25"/>
  </w:num>
  <w:num w:numId="94" w16cid:durableId="186843544">
    <w:abstractNumId w:val="12"/>
  </w:num>
  <w:num w:numId="95" w16cid:durableId="545723130">
    <w:abstractNumId w:val="63"/>
  </w:num>
  <w:num w:numId="96" w16cid:durableId="1086654791">
    <w:abstractNumId w:val="11"/>
  </w:num>
  <w:num w:numId="97" w16cid:durableId="59644816">
    <w:abstractNumId w:val="99"/>
  </w:num>
  <w:num w:numId="98" w16cid:durableId="722414096">
    <w:abstractNumId w:val="109"/>
  </w:num>
  <w:num w:numId="99" w16cid:durableId="1077246137">
    <w:abstractNumId w:val="73"/>
  </w:num>
  <w:num w:numId="100" w16cid:durableId="545916656">
    <w:abstractNumId w:val="60"/>
  </w:num>
  <w:num w:numId="101" w16cid:durableId="1160805428">
    <w:abstractNumId w:val="71"/>
  </w:num>
  <w:num w:numId="102" w16cid:durableId="1107888806">
    <w:abstractNumId w:val="113"/>
  </w:num>
  <w:num w:numId="103" w16cid:durableId="1387027136">
    <w:abstractNumId w:val="14"/>
  </w:num>
  <w:num w:numId="104" w16cid:durableId="159320030">
    <w:abstractNumId w:val="27"/>
  </w:num>
  <w:num w:numId="105" w16cid:durableId="635335016">
    <w:abstractNumId w:val="39"/>
  </w:num>
  <w:num w:numId="106" w16cid:durableId="1941136940">
    <w:abstractNumId w:val="77"/>
  </w:num>
  <w:num w:numId="107" w16cid:durableId="38015978">
    <w:abstractNumId w:val="58"/>
  </w:num>
  <w:num w:numId="108" w16cid:durableId="1014694274">
    <w:abstractNumId w:val="101"/>
  </w:num>
  <w:num w:numId="109" w16cid:durableId="1418870035">
    <w:abstractNumId w:val="30"/>
  </w:num>
  <w:num w:numId="110" w16cid:durableId="2030597739">
    <w:abstractNumId w:val="66"/>
  </w:num>
  <w:num w:numId="111" w16cid:durableId="504520629">
    <w:abstractNumId w:val="41"/>
  </w:num>
  <w:num w:numId="112" w16cid:durableId="1567060520">
    <w:abstractNumId w:val="31"/>
  </w:num>
  <w:num w:numId="113" w16cid:durableId="884485634">
    <w:abstractNumId w:val="21"/>
  </w:num>
  <w:num w:numId="114" w16cid:durableId="774977449">
    <w:abstractNumId w:val="112"/>
  </w:num>
  <w:num w:numId="115" w16cid:durableId="2051689255">
    <w:abstractNumId w:val="0"/>
  </w:num>
  <w:num w:numId="116" w16cid:durableId="1352101486">
    <w:abstractNumId w:val="56"/>
  </w:num>
  <w:num w:numId="117" w16cid:durableId="605961922">
    <w:abstractNumId w:val="3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3D9"/>
    <w:rsid w:val="00000436"/>
    <w:rsid w:val="0000043D"/>
    <w:rsid w:val="00000466"/>
    <w:rsid w:val="00000920"/>
    <w:rsid w:val="00000C1B"/>
    <w:rsid w:val="00000D88"/>
    <w:rsid w:val="00000E8F"/>
    <w:rsid w:val="00000F3C"/>
    <w:rsid w:val="00001082"/>
    <w:rsid w:val="00001102"/>
    <w:rsid w:val="0000119D"/>
    <w:rsid w:val="00001359"/>
    <w:rsid w:val="000015EB"/>
    <w:rsid w:val="00001983"/>
    <w:rsid w:val="00001D57"/>
    <w:rsid w:val="00001EA6"/>
    <w:rsid w:val="00001F40"/>
    <w:rsid w:val="00002436"/>
    <w:rsid w:val="00002576"/>
    <w:rsid w:val="0000292D"/>
    <w:rsid w:val="00002FBC"/>
    <w:rsid w:val="000034AD"/>
    <w:rsid w:val="00003596"/>
    <w:rsid w:val="000036B9"/>
    <w:rsid w:val="000036FD"/>
    <w:rsid w:val="00003701"/>
    <w:rsid w:val="0000371D"/>
    <w:rsid w:val="00003763"/>
    <w:rsid w:val="000037A6"/>
    <w:rsid w:val="00003AF1"/>
    <w:rsid w:val="00003BC3"/>
    <w:rsid w:val="00003FC0"/>
    <w:rsid w:val="00003FE5"/>
    <w:rsid w:val="00004134"/>
    <w:rsid w:val="000042CA"/>
    <w:rsid w:val="00004390"/>
    <w:rsid w:val="000045DE"/>
    <w:rsid w:val="0000479E"/>
    <w:rsid w:val="000047A9"/>
    <w:rsid w:val="00004999"/>
    <w:rsid w:val="00004A6B"/>
    <w:rsid w:val="00004C08"/>
    <w:rsid w:val="00004DA7"/>
    <w:rsid w:val="000052EA"/>
    <w:rsid w:val="00005518"/>
    <w:rsid w:val="000057F3"/>
    <w:rsid w:val="0000595D"/>
    <w:rsid w:val="00005A66"/>
    <w:rsid w:val="00005B98"/>
    <w:rsid w:val="00005C8B"/>
    <w:rsid w:val="00005DED"/>
    <w:rsid w:val="00005FEE"/>
    <w:rsid w:val="000061A3"/>
    <w:rsid w:val="0000655F"/>
    <w:rsid w:val="000065A7"/>
    <w:rsid w:val="000065C2"/>
    <w:rsid w:val="000066F6"/>
    <w:rsid w:val="0000684F"/>
    <w:rsid w:val="0000697A"/>
    <w:rsid w:val="00006ACB"/>
    <w:rsid w:val="00006B14"/>
    <w:rsid w:val="00006D0F"/>
    <w:rsid w:val="00006D73"/>
    <w:rsid w:val="00006DF7"/>
    <w:rsid w:val="00006F43"/>
    <w:rsid w:val="00007166"/>
    <w:rsid w:val="0000723D"/>
    <w:rsid w:val="00007428"/>
    <w:rsid w:val="0000756C"/>
    <w:rsid w:val="00007867"/>
    <w:rsid w:val="00007879"/>
    <w:rsid w:val="0000794F"/>
    <w:rsid w:val="00007A13"/>
    <w:rsid w:val="00007AE6"/>
    <w:rsid w:val="00007AF2"/>
    <w:rsid w:val="00007DDF"/>
    <w:rsid w:val="00007E3C"/>
    <w:rsid w:val="00010294"/>
    <w:rsid w:val="00010316"/>
    <w:rsid w:val="00010495"/>
    <w:rsid w:val="000104D9"/>
    <w:rsid w:val="000109AC"/>
    <w:rsid w:val="00010A08"/>
    <w:rsid w:val="00010B5E"/>
    <w:rsid w:val="000111B5"/>
    <w:rsid w:val="0001123C"/>
    <w:rsid w:val="000112BE"/>
    <w:rsid w:val="00011796"/>
    <w:rsid w:val="0001197B"/>
    <w:rsid w:val="00011BB8"/>
    <w:rsid w:val="00012025"/>
    <w:rsid w:val="0001218A"/>
    <w:rsid w:val="0001219D"/>
    <w:rsid w:val="0001223A"/>
    <w:rsid w:val="000122E0"/>
    <w:rsid w:val="000122F8"/>
    <w:rsid w:val="00012478"/>
    <w:rsid w:val="000124DC"/>
    <w:rsid w:val="000125A0"/>
    <w:rsid w:val="000128E6"/>
    <w:rsid w:val="00013403"/>
    <w:rsid w:val="0001342B"/>
    <w:rsid w:val="0001344F"/>
    <w:rsid w:val="000138A9"/>
    <w:rsid w:val="00013934"/>
    <w:rsid w:val="00013C67"/>
    <w:rsid w:val="00013D64"/>
    <w:rsid w:val="00013E93"/>
    <w:rsid w:val="00013F3F"/>
    <w:rsid w:val="00013FE3"/>
    <w:rsid w:val="0001401D"/>
    <w:rsid w:val="00014074"/>
    <w:rsid w:val="000141F9"/>
    <w:rsid w:val="00014346"/>
    <w:rsid w:val="000147C0"/>
    <w:rsid w:val="000148DE"/>
    <w:rsid w:val="000149DA"/>
    <w:rsid w:val="00014C59"/>
    <w:rsid w:val="00014DA7"/>
    <w:rsid w:val="000151E4"/>
    <w:rsid w:val="00015602"/>
    <w:rsid w:val="000157D8"/>
    <w:rsid w:val="00015ABD"/>
    <w:rsid w:val="00015E95"/>
    <w:rsid w:val="0001608D"/>
    <w:rsid w:val="000160F3"/>
    <w:rsid w:val="000161D0"/>
    <w:rsid w:val="00016621"/>
    <w:rsid w:val="000166E4"/>
    <w:rsid w:val="0001671B"/>
    <w:rsid w:val="00016E11"/>
    <w:rsid w:val="0001719B"/>
    <w:rsid w:val="000171E3"/>
    <w:rsid w:val="00017335"/>
    <w:rsid w:val="0001768D"/>
    <w:rsid w:val="00017807"/>
    <w:rsid w:val="00017C64"/>
    <w:rsid w:val="00017E8E"/>
    <w:rsid w:val="00020719"/>
    <w:rsid w:val="0002073B"/>
    <w:rsid w:val="0002077A"/>
    <w:rsid w:val="00020B1C"/>
    <w:rsid w:val="00020CF2"/>
    <w:rsid w:val="00020D69"/>
    <w:rsid w:val="00020F84"/>
    <w:rsid w:val="00021202"/>
    <w:rsid w:val="00021930"/>
    <w:rsid w:val="00021A34"/>
    <w:rsid w:val="00021A7B"/>
    <w:rsid w:val="00021A8B"/>
    <w:rsid w:val="00021AC7"/>
    <w:rsid w:val="00021B59"/>
    <w:rsid w:val="00021C04"/>
    <w:rsid w:val="00021CBB"/>
    <w:rsid w:val="00021DB4"/>
    <w:rsid w:val="00021F96"/>
    <w:rsid w:val="00022043"/>
    <w:rsid w:val="000220EB"/>
    <w:rsid w:val="00022217"/>
    <w:rsid w:val="00022231"/>
    <w:rsid w:val="00022441"/>
    <w:rsid w:val="00022658"/>
    <w:rsid w:val="000226D7"/>
    <w:rsid w:val="000227DB"/>
    <w:rsid w:val="0002294A"/>
    <w:rsid w:val="00022A28"/>
    <w:rsid w:val="00022BD5"/>
    <w:rsid w:val="00022DA2"/>
    <w:rsid w:val="000235C6"/>
    <w:rsid w:val="00023A88"/>
    <w:rsid w:val="000243D9"/>
    <w:rsid w:val="00024B3B"/>
    <w:rsid w:val="00024C80"/>
    <w:rsid w:val="00024DE5"/>
    <w:rsid w:val="00024EF6"/>
    <w:rsid w:val="00025609"/>
    <w:rsid w:val="00025674"/>
    <w:rsid w:val="00025D7B"/>
    <w:rsid w:val="0002605D"/>
    <w:rsid w:val="00026271"/>
    <w:rsid w:val="000262D3"/>
    <w:rsid w:val="000267BA"/>
    <w:rsid w:val="00026863"/>
    <w:rsid w:val="00026922"/>
    <w:rsid w:val="00026968"/>
    <w:rsid w:val="0002696A"/>
    <w:rsid w:val="00026B2B"/>
    <w:rsid w:val="00026D1F"/>
    <w:rsid w:val="00027102"/>
    <w:rsid w:val="000274D5"/>
    <w:rsid w:val="0002767A"/>
    <w:rsid w:val="000276A7"/>
    <w:rsid w:val="000277D4"/>
    <w:rsid w:val="00027DD1"/>
    <w:rsid w:val="00027EC5"/>
    <w:rsid w:val="00030161"/>
    <w:rsid w:val="000302F7"/>
    <w:rsid w:val="000304F5"/>
    <w:rsid w:val="000305DF"/>
    <w:rsid w:val="000305F0"/>
    <w:rsid w:val="000308BC"/>
    <w:rsid w:val="00030926"/>
    <w:rsid w:val="00030A1F"/>
    <w:rsid w:val="00030C0A"/>
    <w:rsid w:val="00030E99"/>
    <w:rsid w:val="0003101D"/>
    <w:rsid w:val="000310C5"/>
    <w:rsid w:val="00031423"/>
    <w:rsid w:val="000314B1"/>
    <w:rsid w:val="0003166D"/>
    <w:rsid w:val="00031924"/>
    <w:rsid w:val="00031A93"/>
    <w:rsid w:val="00031F3C"/>
    <w:rsid w:val="00032121"/>
    <w:rsid w:val="00032239"/>
    <w:rsid w:val="00032258"/>
    <w:rsid w:val="00032892"/>
    <w:rsid w:val="000328BD"/>
    <w:rsid w:val="000328DF"/>
    <w:rsid w:val="00032D7A"/>
    <w:rsid w:val="00032DAE"/>
    <w:rsid w:val="00032F7C"/>
    <w:rsid w:val="000331E5"/>
    <w:rsid w:val="0003329C"/>
    <w:rsid w:val="000332FF"/>
    <w:rsid w:val="00033911"/>
    <w:rsid w:val="00033A8B"/>
    <w:rsid w:val="00033A90"/>
    <w:rsid w:val="00033ADB"/>
    <w:rsid w:val="00033ADD"/>
    <w:rsid w:val="00033C41"/>
    <w:rsid w:val="00033EEF"/>
    <w:rsid w:val="00034202"/>
    <w:rsid w:val="00034348"/>
    <w:rsid w:val="00034417"/>
    <w:rsid w:val="000346C7"/>
    <w:rsid w:val="000348FC"/>
    <w:rsid w:val="0003490E"/>
    <w:rsid w:val="00034BB1"/>
    <w:rsid w:val="00034D05"/>
    <w:rsid w:val="00035026"/>
    <w:rsid w:val="000350E2"/>
    <w:rsid w:val="00035354"/>
    <w:rsid w:val="0003580F"/>
    <w:rsid w:val="00035B3E"/>
    <w:rsid w:val="00035BD5"/>
    <w:rsid w:val="00035FAD"/>
    <w:rsid w:val="00036242"/>
    <w:rsid w:val="0003642A"/>
    <w:rsid w:val="000364A4"/>
    <w:rsid w:val="000365F7"/>
    <w:rsid w:val="00036784"/>
    <w:rsid w:val="00036A56"/>
    <w:rsid w:val="00036E94"/>
    <w:rsid w:val="000370CF"/>
    <w:rsid w:val="000372B3"/>
    <w:rsid w:val="000372D1"/>
    <w:rsid w:val="000373D9"/>
    <w:rsid w:val="00037490"/>
    <w:rsid w:val="0003751F"/>
    <w:rsid w:val="000377A7"/>
    <w:rsid w:val="000377BB"/>
    <w:rsid w:val="00037884"/>
    <w:rsid w:val="00037973"/>
    <w:rsid w:val="00037BBB"/>
    <w:rsid w:val="00037C52"/>
    <w:rsid w:val="00037D3B"/>
    <w:rsid w:val="00037F8E"/>
    <w:rsid w:val="00040266"/>
    <w:rsid w:val="0004062F"/>
    <w:rsid w:val="0004074A"/>
    <w:rsid w:val="00040768"/>
    <w:rsid w:val="0004086D"/>
    <w:rsid w:val="00040B9A"/>
    <w:rsid w:val="00041133"/>
    <w:rsid w:val="00041388"/>
    <w:rsid w:val="000414D8"/>
    <w:rsid w:val="00041553"/>
    <w:rsid w:val="0004161D"/>
    <w:rsid w:val="0004187D"/>
    <w:rsid w:val="00041B3D"/>
    <w:rsid w:val="00041D75"/>
    <w:rsid w:val="00041EA6"/>
    <w:rsid w:val="00041FB3"/>
    <w:rsid w:val="0004247F"/>
    <w:rsid w:val="0004290C"/>
    <w:rsid w:val="00042A7A"/>
    <w:rsid w:val="00042B24"/>
    <w:rsid w:val="00042D3F"/>
    <w:rsid w:val="00043172"/>
    <w:rsid w:val="000431ED"/>
    <w:rsid w:val="00043407"/>
    <w:rsid w:val="0004345E"/>
    <w:rsid w:val="000435F2"/>
    <w:rsid w:val="0004361C"/>
    <w:rsid w:val="000437DE"/>
    <w:rsid w:val="000438EE"/>
    <w:rsid w:val="00043A06"/>
    <w:rsid w:val="00043A85"/>
    <w:rsid w:val="00043A9D"/>
    <w:rsid w:val="00043AFF"/>
    <w:rsid w:val="00043BED"/>
    <w:rsid w:val="00044044"/>
    <w:rsid w:val="00044201"/>
    <w:rsid w:val="000442A1"/>
    <w:rsid w:val="00044681"/>
    <w:rsid w:val="000446CA"/>
    <w:rsid w:val="000447AD"/>
    <w:rsid w:val="0004490F"/>
    <w:rsid w:val="00044A8C"/>
    <w:rsid w:val="00044ABE"/>
    <w:rsid w:val="00044DA7"/>
    <w:rsid w:val="00044DCE"/>
    <w:rsid w:val="00044DFB"/>
    <w:rsid w:val="00044E59"/>
    <w:rsid w:val="00044F4D"/>
    <w:rsid w:val="00045556"/>
    <w:rsid w:val="0004585B"/>
    <w:rsid w:val="000458CF"/>
    <w:rsid w:val="00045931"/>
    <w:rsid w:val="00045C0E"/>
    <w:rsid w:val="00045C39"/>
    <w:rsid w:val="00046032"/>
    <w:rsid w:val="0004616A"/>
    <w:rsid w:val="000463F7"/>
    <w:rsid w:val="0004656A"/>
    <w:rsid w:val="000465E5"/>
    <w:rsid w:val="00046634"/>
    <w:rsid w:val="00046853"/>
    <w:rsid w:val="000469AF"/>
    <w:rsid w:val="00046A35"/>
    <w:rsid w:val="00046BC3"/>
    <w:rsid w:val="00046BEF"/>
    <w:rsid w:val="00046C4E"/>
    <w:rsid w:val="00046CA9"/>
    <w:rsid w:val="00046EDB"/>
    <w:rsid w:val="00047513"/>
    <w:rsid w:val="00047622"/>
    <w:rsid w:val="00047641"/>
    <w:rsid w:val="0004775D"/>
    <w:rsid w:val="00047858"/>
    <w:rsid w:val="0004788D"/>
    <w:rsid w:val="00047AAD"/>
    <w:rsid w:val="00047B0A"/>
    <w:rsid w:val="00047DC3"/>
    <w:rsid w:val="0005010A"/>
    <w:rsid w:val="0005014E"/>
    <w:rsid w:val="000504B4"/>
    <w:rsid w:val="000505D2"/>
    <w:rsid w:val="00050675"/>
    <w:rsid w:val="00050AD4"/>
    <w:rsid w:val="00050CA4"/>
    <w:rsid w:val="0005110C"/>
    <w:rsid w:val="0005121B"/>
    <w:rsid w:val="0005162F"/>
    <w:rsid w:val="0005169E"/>
    <w:rsid w:val="00051C29"/>
    <w:rsid w:val="00051CB8"/>
    <w:rsid w:val="0005224D"/>
    <w:rsid w:val="00052261"/>
    <w:rsid w:val="000523FB"/>
    <w:rsid w:val="00052566"/>
    <w:rsid w:val="000528D6"/>
    <w:rsid w:val="00052D10"/>
    <w:rsid w:val="00052D2D"/>
    <w:rsid w:val="0005307E"/>
    <w:rsid w:val="000533A4"/>
    <w:rsid w:val="00053757"/>
    <w:rsid w:val="00053866"/>
    <w:rsid w:val="000538E8"/>
    <w:rsid w:val="00053B93"/>
    <w:rsid w:val="00053C0D"/>
    <w:rsid w:val="00053D31"/>
    <w:rsid w:val="00053E4A"/>
    <w:rsid w:val="000540E3"/>
    <w:rsid w:val="0005451F"/>
    <w:rsid w:val="000545CE"/>
    <w:rsid w:val="00054875"/>
    <w:rsid w:val="00054899"/>
    <w:rsid w:val="000549AA"/>
    <w:rsid w:val="00054ACA"/>
    <w:rsid w:val="00054B48"/>
    <w:rsid w:val="00054D2E"/>
    <w:rsid w:val="0005500A"/>
    <w:rsid w:val="00055097"/>
    <w:rsid w:val="000551BC"/>
    <w:rsid w:val="000552A9"/>
    <w:rsid w:val="00055398"/>
    <w:rsid w:val="00055469"/>
    <w:rsid w:val="00055541"/>
    <w:rsid w:val="000555CF"/>
    <w:rsid w:val="000556A0"/>
    <w:rsid w:val="000556C4"/>
    <w:rsid w:val="000557E7"/>
    <w:rsid w:val="00055850"/>
    <w:rsid w:val="0005588D"/>
    <w:rsid w:val="000558E6"/>
    <w:rsid w:val="00055A3B"/>
    <w:rsid w:val="00055ADE"/>
    <w:rsid w:val="00055BCC"/>
    <w:rsid w:val="00055D8F"/>
    <w:rsid w:val="00056031"/>
    <w:rsid w:val="00056721"/>
    <w:rsid w:val="00056791"/>
    <w:rsid w:val="00056A51"/>
    <w:rsid w:val="00056B19"/>
    <w:rsid w:val="00056B3D"/>
    <w:rsid w:val="00056F9B"/>
    <w:rsid w:val="0005712B"/>
    <w:rsid w:val="00057393"/>
    <w:rsid w:val="0005755D"/>
    <w:rsid w:val="00057575"/>
    <w:rsid w:val="00057623"/>
    <w:rsid w:val="000576DE"/>
    <w:rsid w:val="000576E7"/>
    <w:rsid w:val="0005779F"/>
    <w:rsid w:val="00057A0A"/>
    <w:rsid w:val="00057BF9"/>
    <w:rsid w:val="00057E45"/>
    <w:rsid w:val="00057E6A"/>
    <w:rsid w:val="00057E78"/>
    <w:rsid w:val="00057FE4"/>
    <w:rsid w:val="000602B8"/>
    <w:rsid w:val="0006076B"/>
    <w:rsid w:val="00060AA8"/>
    <w:rsid w:val="00060B21"/>
    <w:rsid w:val="000611B3"/>
    <w:rsid w:val="000612BF"/>
    <w:rsid w:val="0006148C"/>
    <w:rsid w:val="00061522"/>
    <w:rsid w:val="000615DA"/>
    <w:rsid w:val="000615FE"/>
    <w:rsid w:val="00061634"/>
    <w:rsid w:val="000619E6"/>
    <w:rsid w:val="00061AE4"/>
    <w:rsid w:val="00061C53"/>
    <w:rsid w:val="00061D9D"/>
    <w:rsid w:val="00061E83"/>
    <w:rsid w:val="00061ED2"/>
    <w:rsid w:val="00062005"/>
    <w:rsid w:val="00062414"/>
    <w:rsid w:val="000629EE"/>
    <w:rsid w:val="00062A8D"/>
    <w:rsid w:val="00062B08"/>
    <w:rsid w:val="00062E31"/>
    <w:rsid w:val="00062FFB"/>
    <w:rsid w:val="000630DA"/>
    <w:rsid w:val="00063BD9"/>
    <w:rsid w:val="00063C18"/>
    <w:rsid w:val="00063E5B"/>
    <w:rsid w:val="0006404D"/>
    <w:rsid w:val="000640E5"/>
    <w:rsid w:val="0006421A"/>
    <w:rsid w:val="0006426C"/>
    <w:rsid w:val="000642FB"/>
    <w:rsid w:val="00064481"/>
    <w:rsid w:val="00064B05"/>
    <w:rsid w:val="00064F36"/>
    <w:rsid w:val="00065007"/>
    <w:rsid w:val="000651AF"/>
    <w:rsid w:val="00065A61"/>
    <w:rsid w:val="00065CE9"/>
    <w:rsid w:val="00065D23"/>
    <w:rsid w:val="00066174"/>
    <w:rsid w:val="00066235"/>
    <w:rsid w:val="0006635A"/>
    <w:rsid w:val="0006682E"/>
    <w:rsid w:val="0006688B"/>
    <w:rsid w:val="00066967"/>
    <w:rsid w:val="00066BB8"/>
    <w:rsid w:val="00066BC4"/>
    <w:rsid w:val="00066C57"/>
    <w:rsid w:val="00066E95"/>
    <w:rsid w:val="00066F47"/>
    <w:rsid w:val="00066F58"/>
    <w:rsid w:val="00067119"/>
    <w:rsid w:val="00067286"/>
    <w:rsid w:val="00067354"/>
    <w:rsid w:val="00067A37"/>
    <w:rsid w:val="00067A63"/>
    <w:rsid w:val="00067BA2"/>
    <w:rsid w:val="00067F51"/>
    <w:rsid w:val="0006F246"/>
    <w:rsid w:val="000700D1"/>
    <w:rsid w:val="000701D1"/>
    <w:rsid w:val="000702D4"/>
    <w:rsid w:val="000704B7"/>
    <w:rsid w:val="000708BC"/>
    <w:rsid w:val="00070AA7"/>
    <w:rsid w:val="00070B33"/>
    <w:rsid w:val="00070D29"/>
    <w:rsid w:val="00070E21"/>
    <w:rsid w:val="00070FDB"/>
    <w:rsid w:val="0007101E"/>
    <w:rsid w:val="00071144"/>
    <w:rsid w:val="000712AD"/>
    <w:rsid w:val="0007131A"/>
    <w:rsid w:val="00071547"/>
    <w:rsid w:val="0007167D"/>
    <w:rsid w:val="000717BB"/>
    <w:rsid w:val="00071C92"/>
    <w:rsid w:val="00071E67"/>
    <w:rsid w:val="00071F44"/>
    <w:rsid w:val="00072252"/>
    <w:rsid w:val="00072B78"/>
    <w:rsid w:val="00072CA9"/>
    <w:rsid w:val="00072D27"/>
    <w:rsid w:val="00072D4D"/>
    <w:rsid w:val="00072D53"/>
    <w:rsid w:val="00072DF0"/>
    <w:rsid w:val="00072FAF"/>
    <w:rsid w:val="000731B5"/>
    <w:rsid w:val="0007323D"/>
    <w:rsid w:val="0007330F"/>
    <w:rsid w:val="000735F2"/>
    <w:rsid w:val="00073745"/>
    <w:rsid w:val="00073912"/>
    <w:rsid w:val="000739E7"/>
    <w:rsid w:val="00073F2C"/>
    <w:rsid w:val="00073F89"/>
    <w:rsid w:val="000742AA"/>
    <w:rsid w:val="0007434C"/>
    <w:rsid w:val="0007453D"/>
    <w:rsid w:val="000746FC"/>
    <w:rsid w:val="000747D3"/>
    <w:rsid w:val="000748AA"/>
    <w:rsid w:val="00074910"/>
    <w:rsid w:val="00074E2B"/>
    <w:rsid w:val="00074E4A"/>
    <w:rsid w:val="00074F17"/>
    <w:rsid w:val="00074F68"/>
    <w:rsid w:val="0007553C"/>
    <w:rsid w:val="0007584E"/>
    <w:rsid w:val="000758F3"/>
    <w:rsid w:val="0007594E"/>
    <w:rsid w:val="00075BCB"/>
    <w:rsid w:val="00075BD1"/>
    <w:rsid w:val="00075C50"/>
    <w:rsid w:val="00075DAB"/>
    <w:rsid w:val="00075E6E"/>
    <w:rsid w:val="00076081"/>
    <w:rsid w:val="000762AD"/>
    <w:rsid w:val="00076670"/>
    <w:rsid w:val="00076851"/>
    <w:rsid w:val="00076995"/>
    <w:rsid w:val="00076CEC"/>
    <w:rsid w:val="00076FB5"/>
    <w:rsid w:val="00077392"/>
    <w:rsid w:val="0007745A"/>
    <w:rsid w:val="00077999"/>
    <w:rsid w:val="00077A46"/>
    <w:rsid w:val="00077B9C"/>
    <w:rsid w:val="00077DE5"/>
    <w:rsid w:val="00080198"/>
    <w:rsid w:val="000801CD"/>
    <w:rsid w:val="000803BC"/>
    <w:rsid w:val="000803CD"/>
    <w:rsid w:val="0008042D"/>
    <w:rsid w:val="00080944"/>
    <w:rsid w:val="00080AF7"/>
    <w:rsid w:val="00080B60"/>
    <w:rsid w:val="00080BE0"/>
    <w:rsid w:val="00081129"/>
    <w:rsid w:val="00081517"/>
    <w:rsid w:val="0008158C"/>
    <w:rsid w:val="000816FA"/>
    <w:rsid w:val="000817F2"/>
    <w:rsid w:val="00081A0C"/>
    <w:rsid w:val="00081A82"/>
    <w:rsid w:val="00081B36"/>
    <w:rsid w:val="00081B54"/>
    <w:rsid w:val="00081F83"/>
    <w:rsid w:val="0008200A"/>
    <w:rsid w:val="0008213C"/>
    <w:rsid w:val="0008218D"/>
    <w:rsid w:val="0008222E"/>
    <w:rsid w:val="00082451"/>
    <w:rsid w:val="000824C2"/>
    <w:rsid w:val="0008262E"/>
    <w:rsid w:val="00082979"/>
    <w:rsid w:val="000829DE"/>
    <w:rsid w:val="00082C5F"/>
    <w:rsid w:val="00082CC7"/>
    <w:rsid w:val="00082DED"/>
    <w:rsid w:val="00082E59"/>
    <w:rsid w:val="000833B1"/>
    <w:rsid w:val="000835A7"/>
    <w:rsid w:val="000836C8"/>
    <w:rsid w:val="00083ADD"/>
    <w:rsid w:val="00083B87"/>
    <w:rsid w:val="00083E57"/>
    <w:rsid w:val="00083FBB"/>
    <w:rsid w:val="000840E2"/>
    <w:rsid w:val="00084235"/>
    <w:rsid w:val="00084405"/>
    <w:rsid w:val="000847CC"/>
    <w:rsid w:val="00084808"/>
    <w:rsid w:val="00084931"/>
    <w:rsid w:val="00084AAE"/>
    <w:rsid w:val="00084C55"/>
    <w:rsid w:val="00084D6A"/>
    <w:rsid w:val="00084FE8"/>
    <w:rsid w:val="0008517F"/>
    <w:rsid w:val="00085200"/>
    <w:rsid w:val="00085767"/>
    <w:rsid w:val="000858D7"/>
    <w:rsid w:val="0008591E"/>
    <w:rsid w:val="00085C80"/>
    <w:rsid w:val="00085CE3"/>
    <w:rsid w:val="00085D8D"/>
    <w:rsid w:val="00085F33"/>
    <w:rsid w:val="00085F6B"/>
    <w:rsid w:val="00085FA8"/>
    <w:rsid w:val="0008610E"/>
    <w:rsid w:val="00086229"/>
    <w:rsid w:val="000863EB"/>
    <w:rsid w:val="00086501"/>
    <w:rsid w:val="000867EE"/>
    <w:rsid w:val="00086A09"/>
    <w:rsid w:val="00086B42"/>
    <w:rsid w:val="00086C3F"/>
    <w:rsid w:val="00086CF8"/>
    <w:rsid w:val="00086DAC"/>
    <w:rsid w:val="00086EB1"/>
    <w:rsid w:val="00087203"/>
    <w:rsid w:val="0008768C"/>
    <w:rsid w:val="00087869"/>
    <w:rsid w:val="0008795A"/>
    <w:rsid w:val="00087C05"/>
    <w:rsid w:val="00087C68"/>
    <w:rsid w:val="00087D65"/>
    <w:rsid w:val="00090075"/>
    <w:rsid w:val="00090144"/>
    <w:rsid w:val="00090429"/>
    <w:rsid w:val="000904E6"/>
    <w:rsid w:val="00090513"/>
    <w:rsid w:val="00090951"/>
    <w:rsid w:val="00090B42"/>
    <w:rsid w:val="0009110C"/>
    <w:rsid w:val="0009138E"/>
    <w:rsid w:val="00091496"/>
    <w:rsid w:val="00091899"/>
    <w:rsid w:val="00091944"/>
    <w:rsid w:val="00091A4D"/>
    <w:rsid w:val="00091B86"/>
    <w:rsid w:val="00092276"/>
    <w:rsid w:val="00092379"/>
    <w:rsid w:val="000925F2"/>
    <w:rsid w:val="00092666"/>
    <w:rsid w:val="000927DE"/>
    <w:rsid w:val="000928C3"/>
    <w:rsid w:val="000928E3"/>
    <w:rsid w:val="00092A0D"/>
    <w:rsid w:val="00092A78"/>
    <w:rsid w:val="00092C24"/>
    <w:rsid w:val="00092DB7"/>
    <w:rsid w:val="00092DD6"/>
    <w:rsid w:val="00092EBA"/>
    <w:rsid w:val="000932A9"/>
    <w:rsid w:val="00093347"/>
    <w:rsid w:val="00093439"/>
    <w:rsid w:val="0009347C"/>
    <w:rsid w:val="000936FA"/>
    <w:rsid w:val="0009379A"/>
    <w:rsid w:val="0009379F"/>
    <w:rsid w:val="000939EA"/>
    <w:rsid w:val="00093A57"/>
    <w:rsid w:val="00093B4E"/>
    <w:rsid w:val="00093BCB"/>
    <w:rsid w:val="00093BD7"/>
    <w:rsid w:val="00093BD8"/>
    <w:rsid w:val="00093D2B"/>
    <w:rsid w:val="00093D7E"/>
    <w:rsid w:val="0009415E"/>
    <w:rsid w:val="000944B0"/>
    <w:rsid w:val="000945EA"/>
    <w:rsid w:val="0009467F"/>
    <w:rsid w:val="000947BF"/>
    <w:rsid w:val="000948C9"/>
    <w:rsid w:val="000949E3"/>
    <w:rsid w:val="00094BDD"/>
    <w:rsid w:val="00094FC0"/>
    <w:rsid w:val="00095217"/>
    <w:rsid w:val="0009529D"/>
    <w:rsid w:val="000954C9"/>
    <w:rsid w:val="0009561B"/>
    <w:rsid w:val="000956FC"/>
    <w:rsid w:val="0009577A"/>
    <w:rsid w:val="000957BE"/>
    <w:rsid w:val="00095CEC"/>
    <w:rsid w:val="00095F04"/>
    <w:rsid w:val="00095F4B"/>
    <w:rsid w:val="00095F84"/>
    <w:rsid w:val="00096305"/>
    <w:rsid w:val="000963D8"/>
    <w:rsid w:val="000965D8"/>
    <w:rsid w:val="0009674E"/>
    <w:rsid w:val="000967D5"/>
    <w:rsid w:val="00096A25"/>
    <w:rsid w:val="00096CAC"/>
    <w:rsid w:val="00096CC3"/>
    <w:rsid w:val="00096EDD"/>
    <w:rsid w:val="00097347"/>
    <w:rsid w:val="00097447"/>
    <w:rsid w:val="0009756C"/>
    <w:rsid w:val="000978FF"/>
    <w:rsid w:val="00097C6F"/>
    <w:rsid w:val="00097E8F"/>
    <w:rsid w:val="000A0225"/>
    <w:rsid w:val="000A02F5"/>
    <w:rsid w:val="000A03FD"/>
    <w:rsid w:val="000A0853"/>
    <w:rsid w:val="000A0863"/>
    <w:rsid w:val="000A095B"/>
    <w:rsid w:val="000A0994"/>
    <w:rsid w:val="000A0C57"/>
    <w:rsid w:val="000A0E43"/>
    <w:rsid w:val="000A10D4"/>
    <w:rsid w:val="000A12C6"/>
    <w:rsid w:val="000A1491"/>
    <w:rsid w:val="000A1638"/>
    <w:rsid w:val="000A17F8"/>
    <w:rsid w:val="000A1803"/>
    <w:rsid w:val="000A1884"/>
    <w:rsid w:val="000A19C0"/>
    <w:rsid w:val="000A1B18"/>
    <w:rsid w:val="000A1C9B"/>
    <w:rsid w:val="000A1CD3"/>
    <w:rsid w:val="000A1D58"/>
    <w:rsid w:val="000A1E49"/>
    <w:rsid w:val="000A29C0"/>
    <w:rsid w:val="000A2A2B"/>
    <w:rsid w:val="000A2B73"/>
    <w:rsid w:val="000A2C98"/>
    <w:rsid w:val="000A2D2A"/>
    <w:rsid w:val="000A2EC7"/>
    <w:rsid w:val="000A2F12"/>
    <w:rsid w:val="000A2F6A"/>
    <w:rsid w:val="000A3020"/>
    <w:rsid w:val="000A32C9"/>
    <w:rsid w:val="000A337C"/>
    <w:rsid w:val="000A38A5"/>
    <w:rsid w:val="000A3A02"/>
    <w:rsid w:val="000A3F5E"/>
    <w:rsid w:val="000A3FFC"/>
    <w:rsid w:val="000A41AB"/>
    <w:rsid w:val="000A43C0"/>
    <w:rsid w:val="000A4414"/>
    <w:rsid w:val="000A4423"/>
    <w:rsid w:val="000A4427"/>
    <w:rsid w:val="000A450F"/>
    <w:rsid w:val="000A45B0"/>
    <w:rsid w:val="000A4622"/>
    <w:rsid w:val="000A4670"/>
    <w:rsid w:val="000A468F"/>
    <w:rsid w:val="000A488C"/>
    <w:rsid w:val="000A4895"/>
    <w:rsid w:val="000A48EC"/>
    <w:rsid w:val="000A492A"/>
    <w:rsid w:val="000A4CA8"/>
    <w:rsid w:val="000A4D4E"/>
    <w:rsid w:val="000A4D55"/>
    <w:rsid w:val="000A4D94"/>
    <w:rsid w:val="000A4FBC"/>
    <w:rsid w:val="000A5379"/>
    <w:rsid w:val="000A544C"/>
    <w:rsid w:val="000A5563"/>
    <w:rsid w:val="000A575B"/>
    <w:rsid w:val="000A57B0"/>
    <w:rsid w:val="000A57DB"/>
    <w:rsid w:val="000A5ED0"/>
    <w:rsid w:val="000A60E3"/>
    <w:rsid w:val="000A611F"/>
    <w:rsid w:val="000A61E9"/>
    <w:rsid w:val="000A634F"/>
    <w:rsid w:val="000A6850"/>
    <w:rsid w:val="000A6C82"/>
    <w:rsid w:val="000A6DB5"/>
    <w:rsid w:val="000A6EB7"/>
    <w:rsid w:val="000A70E1"/>
    <w:rsid w:val="000A7238"/>
    <w:rsid w:val="000A761D"/>
    <w:rsid w:val="000A77EE"/>
    <w:rsid w:val="000A7B1C"/>
    <w:rsid w:val="000A7D5A"/>
    <w:rsid w:val="000B0020"/>
    <w:rsid w:val="000B00A0"/>
    <w:rsid w:val="000B0131"/>
    <w:rsid w:val="000B0701"/>
    <w:rsid w:val="000B078B"/>
    <w:rsid w:val="000B0AAB"/>
    <w:rsid w:val="000B0CA9"/>
    <w:rsid w:val="000B0E1C"/>
    <w:rsid w:val="000B0FC5"/>
    <w:rsid w:val="000B0FEC"/>
    <w:rsid w:val="000B12AE"/>
    <w:rsid w:val="000B133A"/>
    <w:rsid w:val="000B137E"/>
    <w:rsid w:val="000B1395"/>
    <w:rsid w:val="000B1454"/>
    <w:rsid w:val="000B1B1E"/>
    <w:rsid w:val="000B1CDA"/>
    <w:rsid w:val="000B1F40"/>
    <w:rsid w:val="000B20B8"/>
    <w:rsid w:val="000B226D"/>
    <w:rsid w:val="000B23A5"/>
    <w:rsid w:val="000B23C7"/>
    <w:rsid w:val="000B26A0"/>
    <w:rsid w:val="000B26C8"/>
    <w:rsid w:val="000B272B"/>
    <w:rsid w:val="000B27A4"/>
    <w:rsid w:val="000B2917"/>
    <w:rsid w:val="000B2CD0"/>
    <w:rsid w:val="000B2D6B"/>
    <w:rsid w:val="000B3013"/>
    <w:rsid w:val="000B30D4"/>
    <w:rsid w:val="000B3159"/>
    <w:rsid w:val="000B3469"/>
    <w:rsid w:val="000B3624"/>
    <w:rsid w:val="000B37BA"/>
    <w:rsid w:val="000B3A78"/>
    <w:rsid w:val="000B3C4F"/>
    <w:rsid w:val="000B3D65"/>
    <w:rsid w:val="000B3E5D"/>
    <w:rsid w:val="000B3F94"/>
    <w:rsid w:val="000B4050"/>
    <w:rsid w:val="000B42B1"/>
    <w:rsid w:val="000B441F"/>
    <w:rsid w:val="000B44C6"/>
    <w:rsid w:val="000B48E6"/>
    <w:rsid w:val="000B491A"/>
    <w:rsid w:val="000B4E84"/>
    <w:rsid w:val="000B4E92"/>
    <w:rsid w:val="000B5143"/>
    <w:rsid w:val="000B51E7"/>
    <w:rsid w:val="000B527A"/>
    <w:rsid w:val="000B5314"/>
    <w:rsid w:val="000B552A"/>
    <w:rsid w:val="000B5569"/>
    <w:rsid w:val="000B5650"/>
    <w:rsid w:val="000B56CF"/>
    <w:rsid w:val="000B5864"/>
    <w:rsid w:val="000B5A48"/>
    <w:rsid w:val="000B5AB0"/>
    <w:rsid w:val="000B5AF2"/>
    <w:rsid w:val="000B5CC1"/>
    <w:rsid w:val="000B6395"/>
    <w:rsid w:val="000B6960"/>
    <w:rsid w:val="000B6A1B"/>
    <w:rsid w:val="000B6BF8"/>
    <w:rsid w:val="000B6D32"/>
    <w:rsid w:val="000B6DB4"/>
    <w:rsid w:val="000B7120"/>
    <w:rsid w:val="000B7541"/>
    <w:rsid w:val="000B7610"/>
    <w:rsid w:val="000B77B9"/>
    <w:rsid w:val="000B7848"/>
    <w:rsid w:val="000B7AC3"/>
    <w:rsid w:val="000B7D5A"/>
    <w:rsid w:val="000B7FCE"/>
    <w:rsid w:val="000C00C7"/>
    <w:rsid w:val="000C024A"/>
    <w:rsid w:val="000C0715"/>
    <w:rsid w:val="000C0763"/>
    <w:rsid w:val="000C08CA"/>
    <w:rsid w:val="000C098F"/>
    <w:rsid w:val="000C09A7"/>
    <w:rsid w:val="000C0AFE"/>
    <w:rsid w:val="000C0B21"/>
    <w:rsid w:val="000C0CD8"/>
    <w:rsid w:val="000C0EE5"/>
    <w:rsid w:val="000C0F2B"/>
    <w:rsid w:val="000C16B8"/>
    <w:rsid w:val="000C17A7"/>
    <w:rsid w:val="000C17F7"/>
    <w:rsid w:val="000C190A"/>
    <w:rsid w:val="000C1917"/>
    <w:rsid w:val="000C1923"/>
    <w:rsid w:val="000C1C0B"/>
    <w:rsid w:val="000C1CC1"/>
    <w:rsid w:val="000C21BF"/>
    <w:rsid w:val="000C2355"/>
    <w:rsid w:val="000C23B8"/>
    <w:rsid w:val="000C251D"/>
    <w:rsid w:val="000C25BD"/>
    <w:rsid w:val="000C261F"/>
    <w:rsid w:val="000C26DF"/>
    <w:rsid w:val="000C29B7"/>
    <w:rsid w:val="000C2B74"/>
    <w:rsid w:val="000C2C0F"/>
    <w:rsid w:val="000C2C68"/>
    <w:rsid w:val="000C2CE4"/>
    <w:rsid w:val="000C2D24"/>
    <w:rsid w:val="000C2E33"/>
    <w:rsid w:val="000C3240"/>
    <w:rsid w:val="000C3263"/>
    <w:rsid w:val="000C3377"/>
    <w:rsid w:val="000C3386"/>
    <w:rsid w:val="000C33D6"/>
    <w:rsid w:val="000C3B3E"/>
    <w:rsid w:val="000C3BA9"/>
    <w:rsid w:val="000C3BB2"/>
    <w:rsid w:val="000C3C0D"/>
    <w:rsid w:val="000C40DE"/>
    <w:rsid w:val="000C4322"/>
    <w:rsid w:val="000C4430"/>
    <w:rsid w:val="000C49E5"/>
    <w:rsid w:val="000C4A3A"/>
    <w:rsid w:val="000C4DA6"/>
    <w:rsid w:val="000C4ECD"/>
    <w:rsid w:val="000C4F2B"/>
    <w:rsid w:val="000C4FFC"/>
    <w:rsid w:val="000C5001"/>
    <w:rsid w:val="000C50B8"/>
    <w:rsid w:val="000C50F2"/>
    <w:rsid w:val="000C541F"/>
    <w:rsid w:val="000C5447"/>
    <w:rsid w:val="000C56A5"/>
    <w:rsid w:val="000C58EB"/>
    <w:rsid w:val="000C5C4E"/>
    <w:rsid w:val="000C5CFD"/>
    <w:rsid w:val="000C6094"/>
    <w:rsid w:val="000C6140"/>
    <w:rsid w:val="000C630F"/>
    <w:rsid w:val="000C6326"/>
    <w:rsid w:val="000C64ED"/>
    <w:rsid w:val="000C6597"/>
    <w:rsid w:val="000C65A5"/>
    <w:rsid w:val="000C6937"/>
    <w:rsid w:val="000C6B00"/>
    <w:rsid w:val="000C6CC2"/>
    <w:rsid w:val="000C7054"/>
    <w:rsid w:val="000C70DA"/>
    <w:rsid w:val="000C71CE"/>
    <w:rsid w:val="000C7786"/>
    <w:rsid w:val="000C7955"/>
    <w:rsid w:val="000C7963"/>
    <w:rsid w:val="000C7B55"/>
    <w:rsid w:val="000C7BE6"/>
    <w:rsid w:val="000C7BE8"/>
    <w:rsid w:val="000C7DAB"/>
    <w:rsid w:val="000D0091"/>
    <w:rsid w:val="000D010F"/>
    <w:rsid w:val="000D0235"/>
    <w:rsid w:val="000D0271"/>
    <w:rsid w:val="000D076B"/>
    <w:rsid w:val="000D0856"/>
    <w:rsid w:val="000D0C6E"/>
    <w:rsid w:val="000D1075"/>
    <w:rsid w:val="000D109A"/>
    <w:rsid w:val="000D11E9"/>
    <w:rsid w:val="000D1488"/>
    <w:rsid w:val="000D161A"/>
    <w:rsid w:val="000D1643"/>
    <w:rsid w:val="000D1695"/>
    <w:rsid w:val="000D1A54"/>
    <w:rsid w:val="000D1AE0"/>
    <w:rsid w:val="000D1C94"/>
    <w:rsid w:val="000D1FAB"/>
    <w:rsid w:val="000D229C"/>
    <w:rsid w:val="000D235A"/>
    <w:rsid w:val="000D23DA"/>
    <w:rsid w:val="000D264C"/>
    <w:rsid w:val="000D26CA"/>
    <w:rsid w:val="000D275E"/>
    <w:rsid w:val="000D284C"/>
    <w:rsid w:val="000D291E"/>
    <w:rsid w:val="000D2DF7"/>
    <w:rsid w:val="000D2F08"/>
    <w:rsid w:val="000D2F0B"/>
    <w:rsid w:val="000D30F6"/>
    <w:rsid w:val="000D3226"/>
    <w:rsid w:val="000D3430"/>
    <w:rsid w:val="000D3450"/>
    <w:rsid w:val="000D3509"/>
    <w:rsid w:val="000D350A"/>
    <w:rsid w:val="000D36C8"/>
    <w:rsid w:val="000D3A7B"/>
    <w:rsid w:val="000D3CCE"/>
    <w:rsid w:val="000D3D20"/>
    <w:rsid w:val="000D3F16"/>
    <w:rsid w:val="000D4104"/>
    <w:rsid w:val="000D41C5"/>
    <w:rsid w:val="000D42DF"/>
    <w:rsid w:val="000D43ED"/>
    <w:rsid w:val="000D4495"/>
    <w:rsid w:val="000D45AD"/>
    <w:rsid w:val="000D48B8"/>
    <w:rsid w:val="000D4A5A"/>
    <w:rsid w:val="000D4BE5"/>
    <w:rsid w:val="000D4D30"/>
    <w:rsid w:val="000D4ED8"/>
    <w:rsid w:val="000D4F18"/>
    <w:rsid w:val="000D5539"/>
    <w:rsid w:val="000D55B7"/>
    <w:rsid w:val="000D57FF"/>
    <w:rsid w:val="000D5964"/>
    <w:rsid w:val="000D59A5"/>
    <w:rsid w:val="000D59C3"/>
    <w:rsid w:val="000D5F61"/>
    <w:rsid w:val="000D6044"/>
    <w:rsid w:val="000D616A"/>
    <w:rsid w:val="000D621D"/>
    <w:rsid w:val="000D65A9"/>
    <w:rsid w:val="000D65B6"/>
    <w:rsid w:val="000D6969"/>
    <w:rsid w:val="000D6A57"/>
    <w:rsid w:val="000D6B19"/>
    <w:rsid w:val="000D6B38"/>
    <w:rsid w:val="000D70D0"/>
    <w:rsid w:val="000D70DC"/>
    <w:rsid w:val="000D731E"/>
    <w:rsid w:val="000D74BC"/>
    <w:rsid w:val="000D7A3C"/>
    <w:rsid w:val="000D7B9C"/>
    <w:rsid w:val="000D7D2A"/>
    <w:rsid w:val="000D7DBC"/>
    <w:rsid w:val="000D7E2A"/>
    <w:rsid w:val="000E0692"/>
    <w:rsid w:val="000E08C8"/>
    <w:rsid w:val="000E08FD"/>
    <w:rsid w:val="000E095E"/>
    <w:rsid w:val="000E0971"/>
    <w:rsid w:val="000E0A95"/>
    <w:rsid w:val="000E0B59"/>
    <w:rsid w:val="000E0D69"/>
    <w:rsid w:val="000E1356"/>
    <w:rsid w:val="000E1739"/>
    <w:rsid w:val="000E1925"/>
    <w:rsid w:val="000E1A46"/>
    <w:rsid w:val="000E24C6"/>
    <w:rsid w:val="000E2590"/>
    <w:rsid w:val="000E25DE"/>
    <w:rsid w:val="000E2993"/>
    <w:rsid w:val="000E2E47"/>
    <w:rsid w:val="000E2E7C"/>
    <w:rsid w:val="000E32C8"/>
    <w:rsid w:val="000E32F5"/>
    <w:rsid w:val="000E3519"/>
    <w:rsid w:val="000E36F1"/>
    <w:rsid w:val="000E386C"/>
    <w:rsid w:val="000E39AB"/>
    <w:rsid w:val="000E3A9B"/>
    <w:rsid w:val="000E3B45"/>
    <w:rsid w:val="000E3DFE"/>
    <w:rsid w:val="000E3F77"/>
    <w:rsid w:val="000E4277"/>
    <w:rsid w:val="000E4613"/>
    <w:rsid w:val="000E4647"/>
    <w:rsid w:val="000E4943"/>
    <w:rsid w:val="000E4A17"/>
    <w:rsid w:val="000E4AD2"/>
    <w:rsid w:val="000E50B1"/>
    <w:rsid w:val="000E513A"/>
    <w:rsid w:val="000E513E"/>
    <w:rsid w:val="000E53C0"/>
    <w:rsid w:val="000E569D"/>
    <w:rsid w:val="000E594E"/>
    <w:rsid w:val="000E59A6"/>
    <w:rsid w:val="000E5B66"/>
    <w:rsid w:val="000E5B89"/>
    <w:rsid w:val="000E5CB7"/>
    <w:rsid w:val="000E6050"/>
    <w:rsid w:val="000E6250"/>
    <w:rsid w:val="000E6F0E"/>
    <w:rsid w:val="000E71A9"/>
    <w:rsid w:val="000E72B8"/>
    <w:rsid w:val="000E7519"/>
    <w:rsid w:val="000E7533"/>
    <w:rsid w:val="000E7D90"/>
    <w:rsid w:val="000F00FE"/>
    <w:rsid w:val="000F01E8"/>
    <w:rsid w:val="000F0474"/>
    <w:rsid w:val="000F0504"/>
    <w:rsid w:val="000F08E6"/>
    <w:rsid w:val="000F0A71"/>
    <w:rsid w:val="000F0B79"/>
    <w:rsid w:val="000F0CE9"/>
    <w:rsid w:val="000F0FC9"/>
    <w:rsid w:val="000F1093"/>
    <w:rsid w:val="000F1405"/>
    <w:rsid w:val="000F1614"/>
    <w:rsid w:val="000F1CA9"/>
    <w:rsid w:val="000F1D89"/>
    <w:rsid w:val="000F1EEF"/>
    <w:rsid w:val="000F21A3"/>
    <w:rsid w:val="000F27BB"/>
    <w:rsid w:val="000F28D6"/>
    <w:rsid w:val="000F2AC7"/>
    <w:rsid w:val="000F2BCF"/>
    <w:rsid w:val="000F2C13"/>
    <w:rsid w:val="000F2DB4"/>
    <w:rsid w:val="000F3179"/>
    <w:rsid w:val="000F3388"/>
    <w:rsid w:val="000F3454"/>
    <w:rsid w:val="000F3597"/>
    <w:rsid w:val="000F375B"/>
    <w:rsid w:val="000F3882"/>
    <w:rsid w:val="000F3C25"/>
    <w:rsid w:val="000F3EBB"/>
    <w:rsid w:val="000F3FF5"/>
    <w:rsid w:val="000F400B"/>
    <w:rsid w:val="000F41D5"/>
    <w:rsid w:val="000F4902"/>
    <w:rsid w:val="000F5140"/>
    <w:rsid w:val="000F5380"/>
    <w:rsid w:val="000F5410"/>
    <w:rsid w:val="000F5445"/>
    <w:rsid w:val="000F553A"/>
    <w:rsid w:val="000F57E7"/>
    <w:rsid w:val="000F5811"/>
    <w:rsid w:val="000F59A9"/>
    <w:rsid w:val="000F59C1"/>
    <w:rsid w:val="000F59FB"/>
    <w:rsid w:val="000F5A26"/>
    <w:rsid w:val="000F5EAE"/>
    <w:rsid w:val="000F6355"/>
    <w:rsid w:val="000F6430"/>
    <w:rsid w:val="000F64B7"/>
    <w:rsid w:val="000F6B83"/>
    <w:rsid w:val="000F6DC3"/>
    <w:rsid w:val="000F6DE5"/>
    <w:rsid w:val="000F6E52"/>
    <w:rsid w:val="000F6FB5"/>
    <w:rsid w:val="000F715A"/>
    <w:rsid w:val="000F73FA"/>
    <w:rsid w:val="000F7696"/>
    <w:rsid w:val="000F76AE"/>
    <w:rsid w:val="000F78A4"/>
    <w:rsid w:val="000F7C21"/>
    <w:rsid w:val="000F7CC8"/>
    <w:rsid w:val="000F7E53"/>
    <w:rsid w:val="0010046F"/>
    <w:rsid w:val="001005AA"/>
    <w:rsid w:val="00100A42"/>
    <w:rsid w:val="00100BC2"/>
    <w:rsid w:val="00100FAD"/>
    <w:rsid w:val="00101377"/>
    <w:rsid w:val="00101419"/>
    <w:rsid w:val="001014E0"/>
    <w:rsid w:val="00101717"/>
    <w:rsid w:val="001017BD"/>
    <w:rsid w:val="00101C3C"/>
    <w:rsid w:val="00101CB3"/>
    <w:rsid w:val="00101DAE"/>
    <w:rsid w:val="0010234A"/>
    <w:rsid w:val="00102600"/>
    <w:rsid w:val="00102985"/>
    <w:rsid w:val="00102A20"/>
    <w:rsid w:val="00102C40"/>
    <w:rsid w:val="00102EED"/>
    <w:rsid w:val="00103024"/>
    <w:rsid w:val="0010302F"/>
    <w:rsid w:val="0010309F"/>
    <w:rsid w:val="00103567"/>
    <w:rsid w:val="001038C4"/>
    <w:rsid w:val="00103925"/>
    <w:rsid w:val="0010393A"/>
    <w:rsid w:val="00103972"/>
    <w:rsid w:val="00103BD7"/>
    <w:rsid w:val="00103D7B"/>
    <w:rsid w:val="0010415C"/>
    <w:rsid w:val="0010428B"/>
    <w:rsid w:val="0010452A"/>
    <w:rsid w:val="001045BA"/>
    <w:rsid w:val="00104678"/>
    <w:rsid w:val="00104911"/>
    <w:rsid w:val="00104919"/>
    <w:rsid w:val="00104A2A"/>
    <w:rsid w:val="001050AB"/>
    <w:rsid w:val="001058F8"/>
    <w:rsid w:val="00105BBD"/>
    <w:rsid w:val="00105BFB"/>
    <w:rsid w:val="00105CBE"/>
    <w:rsid w:val="00105D04"/>
    <w:rsid w:val="00105D44"/>
    <w:rsid w:val="00105D5B"/>
    <w:rsid w:val="00105EAC"/>
    <w:rsid w:val="0010646F"/>
    <w:rsid w:val="0010648A"/>
    <w:rsid w:val="0010684A"/>
    <w:rsid w:val="0010695D"/>
    <w:rsid w:val="00106B2F"/>
    <w:rsid w:val="0010726B"/>
    <w:rsid w:val="001073A1"/>
    <w:rsid w:val="001075FC"/>
    <w:rsid w:val="00107813"/>
    <w:rsid w:val="001078CF"/>
    <w:rsid w:val="001079A1"/>
    <w:rsid w:val="001079CA"/>
    <w:rsid w:val="00107A79"/>
    <w:rsid w:val="00107B17"/>
    <w:rsid w:val="001100AE"/>
    <w:rsid w:val="001101AB"/>
    <w:rsid w:val="001101F7"/>
    <w:rsid w:val="00110415"/>
    <w:rsid w:val="0011073C"/>
    <w:rsid w:val="001108F5"/>
    <w:rsid w:val="00110A2A"/>
    <w:rsid w:val="00110B55"/>
    <w:rsid w:val="00110B90"/>
    <w:rsid w:val="00110E23"/>
    <w:rsid w:val="00110E95"/>
    <w:rsid w:val="00110F72"/>
    <w:rsid w:val="001110B9"/>
    <w:rsid w:val="0011119B"/>
    <w:rsid w:val="001113FA"/>
    <w:rsid w:val="001113FE"/>
    <w:rsid w:val="0011158F"/>
    <w:rsid w:val="00111805"/>
    <w:rsid w:val="00111A9F"/>
    <w:rsid w:val="00111CB1"/>
    <w:rsid w:val="00111DA0"/>
    <w:rsid w:val="00111E4E"/>
    <w:rsid w:val="00111E76"/>
    <w:rsid w:val="00111F96"/>
    <w:rsid w:val="00111FFA"/>
    <w:rsid w:val="001121C1"/>
    <w:rsid w:val="00112282"/>
    <w:rsid w:val="001123A8"/>
    <w:rsid w:val="00112428"/>
    <w:rsid w:val="00112626"/>
    <w:rsid w:val="001127F5"/>
    <w:rsid w:val="001129CF"/>
    <w:rsid w:val="00112ABB"/>
    <w:rsid w:val="00112C39"/>
    <w:rsid w:val="00112C73"/>
    <w:rsid w:val="00112D27"/>
    <w:rsid w:val="00112E7E"/>
    <w:rsid w:val="00112FB8"/>
    <w:rsid w:val="001131EA"/>
    <w:rsid w:val="001135F5"/>
    <w:rsid w:val="00113BE7"/>
    <w:rsid w:val="00113E41"/>
    <w:rsid w:val="0011419A"/>
    <w:rsid w:val="00114536"/>
    <w:rsid w:val="001145F0"/>
    <w:rsid w:val="00114799"/>
    <w:rsid w:val="001148EE"/>
    <w:rsid w:val="00114F49"/>
    <w:rsid w:val="0011504C"/>
    <w:rsid w:val="0011552B"/>
    <w:rsid w:val="001156A2"/>
    <w:rsid w:val="001157D2"/>
    <w:rsid w:val="0011593F"/>
    <w:rsid w:val="001159A4"/>
    <w:rsid w:val="00115B03"/>
    <w:rsid w:val="00115B9F"/>
    <w:rsid w:val="00115DA8"/>
    <w:rsid w:val="00115DD2"/>
    <w:rsid w:val="00115EB5"/>
    <w:rsid w:val="00116419"/>
    <w:rsid w:val="00116524"/>
    <w:rsid w:val="0011653D"/>
    <w:rsid w:val="00116599"/>
    <w:rsid w:val="00116761"/>
    <w:rsid w:val="001167EF"/>
    <w:rsid w:val="00116805"/>
    <w:rsid w:val="001168D1"/>
    <w:rsid w:val="001169DE"/>
    <w:rsid w:val="001169F8"/>
    <w:rsid w:val="00116A50"/>
    <w:rsid w:val="00116B47"/>
    <w:rsid w:val="00116D39"/>
    <w:rsid w:val="00116D5C"/>
    <w:rsid w:val="00116D67"/>
    <w:rsid w:val="00116E3C"/>
    <w:rsid w:val="0011720D"/>
    <w:rsid w:val="0011775D"/>
    <w:rsid w:val="0011776B"/>
    <w:rsid w:val="001177B4"/>
    <w:rsid w:val="00117847"/>
    <w:rsid w:val="001179B7"/>
    <w:rsid w:val="00117BD3"/>
    <w:rsid w:val="00117E1B"/>
    <w:rsid w:val="00117E61"/>
    <w:rsid w:val="00117E74"/>
    <w:rsid w:val="00117E9B"/>
    <w:rsid w:val="001200AE"/>
    <w:rsid w:val="0012029D"/>
    <w:rsid w:val="001202E1"/>
    <w:rsid w:val="001204C9"/>
    <w:rsid w:val="00120A3C"/>
    <w:rsid w:val="00120B3D"/>
    <w:rsid w:val="00120C14"/>
    <w:rsid w:val="00120C15"/>
    <w:rsid w:val="00120C8C"/>
    <w:rsid w:val="00120C9F"/>
    <w:rsid w:val="00120DBC"/>
    <w:rsid w:val="00120FB8"/>
    <w:rsid w:val="00121016"/>
    <w:rsid w:val="00121285"/>
    <w:rsid w:val="00121587"/>
    <w:rsid w:val="001218EE"/>
    <w:rsid w:val="00121BE8"/>
    <w:rsid w:val="0012201D"/>
    <w:rsid w:val="001221B7"/>
    <w:rsid w:val="0012221F"/>
    <w:rsid w:val="0012254C"/>
    <w:rsid w:val="001226A8"/>
    <w:rsid w:val="001228AD"/>
    <w:rsid w:val="00122B26"/>
    <w:rsid w:val="00122C66"/>
    <w:rsid w:val="00122CB7"/>
    <w:rsid w:val="00123137"/>
    <w:rsid w:val="001234A3"/>
    <w:rsid w:val="0012366B"/>
    <w:rsid w:val="00123A47"/>
    <w:rsid w:val="00123C8F"/>
    <w:rsid w:val="00123D2A"/>
    <w:rsid w:val="00123DFD"/>
    <w:rsid w:val="00123E0A"/>
    <w:rsid w:val="0012402A"/>
    <w:rsid w:val="0012453E"/>
    <w:rsid w:val="001248D9"/>
    <w:rsid w:val="00124B50"/>
    <w:rsid w:val="00124D16"/>
    <w:rsid w:val="00124DC8"/>
    <w:rsid w:val="00125106"/>
    <w:rsid w:val="00125232"/>
    <w:rsid w:val="00125509"/>
    <w:rsid w:val="001256BC"/>
    <w:rsid w:val="00125806"/>
    <w:rsid w:val="001258DF"/>
    <w:rsid w:val="00125BDD"/>
    <w:rsid w:val="00125D57"/>
    <w:rsid w:val="00125DAC"/>
    <w:rsid w:val="00125FD1"/>
    <w:rsid w:val="001260C8"/>
    <w:rsid w:val="0012634D"/>
    <w:rsid w:val="00126648"/>
    <w:rsid w:val="001266AB"/>
    <w:rsid w:val="00126739"/>
    <w:rsid w:val="001268F6"/>
    <w:rsid w:val="00126979"/>
    <w:rsid w:val="001269BA"/>
    <w:rsid w:val="00126AA8"/>
    <w:rsid w:val="00126C3D"/>
    <w:rsid w:val="0012703C"/>
    <w:rsid w:val="00127112"/>
    <w:rsid w:val="0012712D"/>
    <w:rsid w:val="001272A9"/>
    <w:rsid w:val="001274F4"/>
    <w:rsid w:val="0012770B"/>
    <w:rsid w:val="001277FD"/>
    <w:rsid w:val="001279F6"/>
    <w:rsid w:val="00127AD9"/>
    <w:rsid w:val="00127B3B"/>
    <w:rsid w:val="00127C35"/>
    <w:rsid w:val="001300FD"/>
    <w:rsid w:val="00130261"/>
    <w:rsid w:val="0013091F"/>
    <w:rsid w:val="001309A6"/>
    <w:rsid w:val="00130B44"/>
    <w:rsid w:val="00130BAF"/>
    <w:rsid w:val="00130C8F"/>
    <w:rsid w:val="00130DB1"/>
    <w:rsid w:val="00130DC9"/>
    <w:rsid w:val="00131083"/>
    <w:rsid w:val="001311F9"/>
    <w:rsid w:val="0013128D"/>
    <w:rsid w:val="0013132A"/>
    <w:rsid w:val="0013146B"/>
    <w:rsid w:val="0013174B"/>
    <w:rsid w:val="00131983"/>
    <w:rsid w:val="00131EBC"/>
    <w:rsid w:val="00131EF7"/>
    <w:rsid w:val="00132156"/>
    <w:rsid w:val="0013230C"/>
    <w:rsid w:val="0013240F"/>
    <w:rsid w:val="00132813"/>
    <w:rsid w:val="00132821"/>
    <w:rsid w:val="00132966"/>
    <w:rsid w:val="001329FF"/>
    <w:rsid w:val="00132D83"/>
    <w:rsid w:val="00132E18"/>
    <w:rsid w:val="00133336"/>
    <w:rsid w:val="00133369"/>
    <w:rsid w:val="00133447"/>
    <w:rsid w:val="00133467"/>
    <w:rsid w:val="0013348E"/>
    <w:rsid w:val="00133724"/>
    <w:rsid w:val="00133843"/>
    <w:rsid w:val="00133A0F"/>
    <w:rsid w:val="00133A63"/>
    <w:rsid w:val="00133B35"/>
    <w:rsid w:val="00133FAF"/>
    <w:rsid w:val="00134002"/>
    <w:rsid w:val="001341B2"/>
    <w:rsid w:val="0013429B"/>
    <w:rsid w:val="0013431B"/>
    <w:rsid w:val="001343DF"/>
    <w:rsid w:val="001344CA"/>
    <w:rsid w:val="00134532"/>
    <w:rsid w:val="001346A6"/>
    <w:rsid w:val="00134961"/>
    <w:rsid w:val="00134A7A"/>
    <w:rsid w:val="00134C3F"/>
    <w:rsid w:val="0013538B"/>
    <w:rsid w:val="001353D9"/>
    <w:rsid w:val="00135554"/>
    <w:rsid w:val="001357B2"/>
    <w:rsid w:val="001358DE"/>
    <w:rsid w:val="00135B89"/>
    <w:rsid w:val="00135FBC"/>
    <w:rsid w:val="00136242"/>
    <w:rsid w:val="00136363"/>
    <w:rsid w:val="00136692"/>
    <w:rsid w:val="001366A6"/>
    <w:rsid w:val="001368D1"/>
    <w:rsid w:val="00136C3B"/>
    <w:rsid w:val="00136C5A"/>
    <w:rsid w:val="00136E0A"/>
    <w:rsid w:val="0013722E"/>
    <w:rsid w:val="00137499"/>
    <w:rsid w:val="00137782"/>
    <w:rsid w:val="001377C2"/>
    <w:rsid w:val="00137813"/>
    <w:rsid w:val="00137B12"/>
    <w:rsid w:val="00137D81"/>
    <w:rsid w:val="00137E4A"/>
    <w:rsid w:val="001401E9"/>
    <w:rsid w:val="0014025C"/>
    <w:rsid w:val="001402CD"/>
    <w:rsid w:val="0014053A"/>
    <w:rsid w:val="00140738"/>
    <w:rsid w:val="001409F6"/>
    <w:rsid w:val="00140AD7"/>
    <w:rsid w:val="00140C98"/>
    <w:rsid w:val="0014101E"/>
    <w:rsid w:val="001411CB"/>
    <w:rsid w:val="001413C5"/>
    <w:rsid w:val="00141486"/>
    <w:rsid w:val="00141690"/>
    <w:rsid w:val="001416D8"/>
    <w:rsid w:val="00141B43"/>
    <w:rsid w:val="00141F3D"/>
    <w:rsid w:val="00141FE6"/>
    <w:rsid w:val="0014200A"/>
    <w:rsid w:val="00142127"/>
    <w:rsid w:val="001425E6"/>
    <w:rsid w:val="001426C0"/>
    <w:rsid w:val="00142810"/>
    <w:rsid w:val="0014294D"/>
    <w:rsid w:val="00142F42"/>
    <w:rsid w:val="001430DD"/>
    <w:rsid w:val="00143390"/>
    <w:rsid w:val="0014349C"/>
    <w:rsid w:val="00143725"/>
    <w:rsid w:val="001438DC"/>
    <w:rsid w:val="00143B9B"/>
    <w:rsid w:val="00143E26"/>
    <w:rsid w:val="001440BB"/>
    <w:rsid w:val="001441DE"/>
    <w:rsid w:val="001443B1"/>
    <w:rsid w:val="00144491"/>
    <w:rsid w:val="00144517"/>
    <w:rsid w:val="0014490C"/>
    <w:rsid w:val="00144D05"/>
    <w:rsid w:val="00144D1E"/>
    <w:rsid w:val="00144D66"/>
    <w:rsid w:val="00144FEA"/>
    <w:rsid w:val="001451B6"/>
    <w:rsid w:val="00145549"/>
    <w:rsid w:val="00145A89"/>
    <w:rsid w:val="00145ADA"/>
    <w:rsid w:val="00145D11"/>
    <w:rsid w:val="00145D27"/>
    <w:rsid w:val="00145DE9"/>
    <w:rsid w:val="00145EF7"/>
    <w:rsid w:val="00145F7D"/>
    <w:rsid w:val="00146322"/>
    <w:rsid w:val="00146332"/>
    <w:rsid w:val="001464BA"/>
    <w:rsid w:val="00146662"/>
    <w:rsid w:val="00146787"/>
    <w:rsid w:val="001468C4"/>
    <w:rsid w:val="00146E37"/>
    <w:rsid w:val="00146E50"/>
    <w:rsid w:val="00146E99"/>
    <w:rsid w:val="00146ED4"/>
    <w:rsid w:val="00147000"/>
    <w:rsid w:val="00147171"/>
    <w:rsid w:val="0014721C"/>
    <w:rsid w:val="001474C9"/>
    <w:rsid w:val="00147562"/>
    <w:rsid w:val="0014783F"/>
    <w:rsid w:val="001478A9"/>
    <w:rsid w:val="001478DB"/>
    <w:rsid w:val="00147922"/>
    <w:rsid w:val="00147AE5"/>
    <w:rsid w:val="00147CF7"/>
    <w:rsid w:val="00147D88"/>
    <w:rsid w:val="00147EF3"/>
    <w:rsid w:val="00147F03"/>
    <w:rsid w:val="001500C7"/>
    <w:rsid w:val="00150328"/>
    <w:rsid w:val="00150408"/>
    <w:rsid w:val="0015096F"/>
    <w:rsid w:val="00150B5B"/>
    <w:rsid w:val="00150C20"/>
    <w:rsid w:val="00150C4C"/>
    <w:rsid w:val="00150EF9"/>
    <w:rsid w:val="001513F9"/>
    <w:rsid w:val="00151505"/>
    <w:rsid w:val="00151587"/>
    <w:rsid w:val="00151901"/>
    <w:rsid w:val="0015193E"/>
    <w:rsid w:val="001519FB"/>
    <w:rsid w:val="00151A8E"/>
    <w:rsid w:val="00151A9A"/>
    <w:rsid w:val="00151B64"/>
    <w:rsid w:val="00151E25"/>
    <w:rsid w:val="00151F4B"/>
    <w:rsid w:val="00151FFA"/>
    <w:rsid w:val="0015218D"/>
    <w:rsid w:val="00152480"/>
    <w:rsid w:val="00152484"/>
    <w:rsid w:val="0015259E"/>
    <w:rsid w:val="001527B2"/>
    <w:rsid w:val="00152B6D"/>
    <w:rsid w:val="00152C6A"/>
    <w:rsid w:val="00153008"/>
    <w:rsid w:val="001535F0"/>
    <w:rsid w:val="001536D5"/>
    <w:rsid w:val="00153743"/>
    <w:rsid w:val="00153828"/>
    <w:rsid w:val="00153BBE"/>
    <w:rsid w:val="00153D87"/>
    <w:rsid w:val="00153DF8"/>
    <w:rsid w:val="00153E92"/>
    <w:rsid w:val="0015428A"/>
    <w:rsid w:val="00154725"/>
    <w:rsid w:val="00154963"/>
    <w:rsid w:val="00155193"/>
    <w:rsid w:val="0015520E"/>
    <w:rsid w:val="00155262"/>
    <w:rsid w:val="001553D0"/>
    <w:rsid w:val="001554E4"/>
    <w:rsid w:val="00155A63"/>
    <w:rsid w:val="00155B02"/>
    <w:rsid w:val="00156283"/>
    <w:rsid w:val="00156775"/>
    <w:rsid w:val="00156A07"/>
    <w:rsid w:val="00156E7A"/>
    <w:rsid w:val="001571CF"/>
    <w:rsid w:val="0015728B"/>
    <w:rsid w:val="00157511"/>
    <w:rsid w:val="00157681"/>
    <w:rsid w:val="001576C6"/>
    <w:rsid w:val="00157E20"/>
    <w:rsid w:val="00157E8D"/>
    <w:rsid w:val="00157F3C"/>
    <w:rsid w:val="00157FE1"/>
    <w:rsid w:val="0016009C"/>
    <w:rsid w:val="001600BA"/>
    <w:rsid w:val="001601FD"/>
    <w:rsid w:val="0016022B"/>
    <w:rsid w:val="001606DC"/>
    <w:rsid w:val="0016091B"/>
    <w:rsid w:val="00160D54"/>
    <w:rsid w:val="00160DB0"/>
    <w:rsid w:val="00160E94"/>
    <w:rsid w:val="00160F7A"/>
    <w:rsid w:val="0016132E"/>
    <w:rsid w:val="0016142D"/>
    <w:rsid w:val="00161604"/>
    <w:rsid w:val="001617D1"/>
    <w:rsid w:val="00161CA8"/>
    <w:rsid w:val="00162470"/>
    <w:rsid w:val="001625DE"/>
    <w:rsid w:val="00162785"/>
    <w:rsid w:val="001627BB"/>
    <w:rsid w:val="0016296E"/>
    <w:rsid w:val="00162BD9"/>
    <w:rsid w:val="001630F0"/>
    <w:rsid w:val="00163174"/>
    <w:rsid w:val="0016320F"/>
    <w:rsid w:val="00163646"/>
    <w:rsid w:val="00163855"/>
    <w:rsid w:val="00163861"/>
    <w:rsid w:val="001638F0"/>
    <w:rsid w:val="001639DC"/>
    <w:rsid w:val="001639E3"/>
    <w:rsid w:val="00163A35"/>
    <w:rsid w:val="00163A3D"/>
    <w:rsid w:val="00163D26"/>
    <w:rsid w:val="00163EFE"/>
    <w:rsid w:val="00163F75"/>
    <w:rsid w:val="00164148"/>
    <w:rsid w:val="001643E5"/>
    <w:rsid w:val="001645BC"/>
    <w:rsid w:val="00164833"/>
    <w:rsid w:val="00164995"/>
    <w:rsid w:val="00164D63"/>
    <w:rsid w:val="00164FAF"/>
    <w:rsid w:val="00165102"/>
    <w:rsid w:val="001651B5"/>
    <w:rsid w:val="001659BA"/>
    <w:rsid w:val="00165BC5"/>
    <w:rsid w:val="00165D3E"/>
    <w:rsid w:val="00165D9E"/>
    <w:rsid w:val="00165E3C"/>
    <w:rsid w:val="00166008"/>
    <w:rsid w:val="0016637F"/>
    <w:rsid w:val="001665CE"/>
    <w:rsid w:val="001667E6"/>
    <w:rsid w:val="001668CD"/>
    <w:rsid w:val="00166AF3"/>
    <w:rsid w:val="00166B01"/>
    <w:rsid w:val="00166C9A"/>
    <w:rsid w:val="00166EA9"/>
    <w:rsid w:val="00166FA4"/>
    <w:rsid w:val="00167288"/>
    <w:rsid w:val="001672A2"/>
    <w:rsid w:val="00167363"/>
    <w:rsid w:val="001675B4"/>
    <w:rsid w:val="00167888"/>
    <w:rsid w:val="00167984"/>
    <w:rsid w:val="00167DBF"/>
    <w:rsid w:val="00167EBA"/>
    <w:rsid w:val="0017022F"/>
    <w:rsid w:val="00170870"/>
    <w:rsid w:val="00170B01"/>
    <w:rsid w:val="00170BD8"/>
    <w:rsid w:val="00170BFB"/>
    <w:rsid w:val="00170C17"/>
    <w:rsid w:val="00170D91"/>
    <w:rsid w:val="00170F60"/>
    <w:rsid w:val="00171341"/>
    <w:rsid w:val="00171353"/>
    <w:rsid w:val="001715F3"/>
    <w:rsid w:val="0017189C"/>
    <w:rsid w:val="0017197E"/>
    <w:rsid w:val="00171C1C"/>
    <w:rsid w:val="00171E3B"/>
    <w:rsid w:val="0017203D"/>
    <w:rsid w:val="0017282F"/>
    <w:rsid w:val="001728BF"/>
    <w:rsid w:val="00172AA5"/>
    <w:rsid w:val="00172BC0"/>
    <w:rsid w:val="00172EF3"/>
    <w:rsid w:val="001732F4"/>
    <w:rsid w:val="0017352B"/>
    <w:rsid w:val="00173630"/>
    <w:rsid w:val="001736F9"/>
    <w:rsid w:val="0017386D"/>
    <w:rsid w:val="00173886"/>
    <w:rsid w:val="001738D9"/>
    <w:rsid w:val="001739E4"/>
    <w:rsid w:val="00174213"/>
    <w:rsid w:val="001742D6"/>
    <w:rsid w:val="001744AB"/>
    <w:rsid w:val="00174537"/>
    <w:rsid w:val="00174648"/>
    <w:rsid w:val="00174657"/>
    <w:rsid w:val="0017478F"/>
    <w:rsid w:val="00174913"/>
    <w:rsid w:val="00174C8D"/>
    <w:rsid w:val="00174D1B"/>
    <w:rsid w:val="00174E47"/>
    <w:rsid w:val="0017512B"/>
    <w:rsid w:val="001757D3"/>
    <w:rsid w:val="0017588D"/>
    <w:rsid w:val="001759E7"/>
    <w:rsid w:val="00175F4E"/>
    <w:rsid w:val="001760A8"/>
    <w:rsid w:val="00176238"/>
    <w:rsid w:val="0017626C"/>
    <w:rsid w:val="00176428"/>
    <w:rsid w:val="001764FC"/>
    <w:rsid w:val="00176708"/>
    <w:rsid w:val="001768FA"/>
    <w:rsid w:val="00176942"/>
    <w:rsid w:val="00176B5F"/>
    <w:rsid w:val="00176BE0"/>
    <w:rsid w:val="00176C61"/>
    <w:rsid w:val="00176E65"/>
    <w:rsid w:val="00176F3A"/>
    <w:rsid w:val="0017708B"/>
    <w:rsid w:val="001771AE"/>
    <w:rsid w:val="0017724A"/>
    <w:rsid w:val="0017742D"/>
    <w:rsid w:val="0017773B"/>
    <w:rsid w:val="00177799"/>
    <w:rsid w:val="001779E6"/>
    <w:rsid w:val="00177B38"/>
    <w:rsid w:val="00177BAA"/>
    <w:rsid w:val="00177D68"/>
    <w:rsid w:val="00180129"/>
    <w:rsid w:val="00180477"/>
    <w:rsid w:val="001806FC"/>
    <w:rsid w:val="001809DD"/>
    <w:rsid w:val="00180A34"/>
    <w:rsid w:val="00180A87"/>
    <w:rsid w:val="00180A8A"/>
    <w:rsid w:val="00180AB0"/>
    <w:rsid w:val="00180C6C"/>
    <w:rsid w:val="00180D99"/>
    <w:rsid w:val="00181235"/>
    <w:rsid w:val="0018152A"/>
    <w:rsid w:val="0018187A"/>
    <w:rsid w:val="0018189A"/>
    <w:rsid w:val="00181D9A"/>
    <w:rsid w:val="00181EE6"/>
    <w:rsid w:val="00182325"/>
    <w:rsid w:val="00182546"/>
    <w:rsid w:val="001826B4"/>
    <w:rsid w:val="00182C3A"/>
    <w:rsid w:val="00182C8F"/>
    <w:rsid w:val="00182D57"/>
    <w:rsid w:val="00183230"/>
    <w:rsid w:val="00183564"/>
    <w:rsid w:val="0018394D"/>
    <w:rsid w:val="001839D5"/>
    <w:rsid w:val="00183A1D"/>
    <w:rsid w:val="00183B65"/>
    <w:rsid w:val="00183BD9"/>
    <w:rsid w:val="00183C62"/>
    <w:rsid w:val="00183C9B"/>
    <w:rsid w:val="00183D82"/>
    <w:rsid w:val="0018408A"/>
    <w:rsid w:val="001842E6"/>
    <w:rsid w:val="0018455E"/>
    <w:rsid w:val="0018467C"/>
    <w:rsid w:val="00184719"/>
    <w:rsid w:val="00184745"/>
    <w:rsid w:val="00184794"/>
    <w:rsid w:val="00184803"/>
    <w:rsid w:val="0018492F"/>
    <w:rsid w:val="00184F81"/>
    <w:rsid w:val="00184FE5"/>
    <w:rsid w:val="00185469"/>
    <w:rsid w:val="0018551D"/>
    <w:rsid w:val="00185854"/>
    <w:rsid w:val="001859AA"/>
    <w:rsid w:val="00185C7A"/>
    <w:rsid w:val="00185D71"/>
    <w:rsid w:val="00185EAE"/>
    <w:rsid w:val="00185F51"/>
    <w:rsid w:val="00185F62"/>
    <w:rsid w:val="00186061"/>
    <w:rsid w:val="00186130"/>
    <w:rsid w:val="0018616F"/>
    <w:rsid w:val="001862DE"/>
    <w:rsid w:val="001863C2"/>
    <w:rsid w:val="0018640E"/>
    <w:rsid w:val="00186498"/>
    <w:rsid w:val="00186546"/>
    <w:rsid w:val="001866A2"/>
    <w:rsid w:val="00186777"/>
    <w:rsid w:val="001868A2"/>
    <w:rsid w:val="00186943"/>
    <w:rsid w:val="00186A68"/>
    <w:rsid w:val="00186B4B"/>
    <w:rsid w:val="00186DF8"/>
    <w:rsid w:val="001871BE"/>
    <w:rsid w:val="001872E7"/>
    <w:rsid w:val="001874A4"/>
    <w:rsid w:val="0018774E"/>
    <w:rsid w:val="00187789"/>
    <w:rsid w:val="00187C0C"/>
    <w:rsid w:val="001900FB"/>
    <w:rsid w:val="00190242"/>
    <w:rsid w:val="001903C2"/>
    <w:rsid w:val="001904F7"/>
    <w:rsid w:val="00190651"/>
    <w:rsid w:val="0019070A"/>
    <w:rsid w:val="00190A02"/>
    <w:rsid w:val="00190A3F"/>
    <w:rsid w:val="00190CD8"/>
    <w:rsid w:val="00190CE2"/>
    <w:rsid w:val="00190D38"/>
    <w:rsid w:val="00190D69"/>
    <w:rsid w:val="00190EF6"/>
    <w:rsid w:val="00191038"/>
    <w:rsid w:val="001911B2"/>
    <w:rsid w:val="00191381"/>
    <w:rsid w:val="00191500"/>
    <w:rsid w:val="00191504"/>
    <w:rsid w:val="001919EB"/>
    <w:rsid w:val="00191A48"/>
    <w:rsid w:val="00191FF1"/>
    <w:rsid w:val="00192008"/>
    <w:rsid w:val="001927D5"/>
    <w:rsid w:val="0019288A"/>
    <w:rsid w:val="00192C2A"/>
    <w:rsid w:val="00192D88"/>
    <w:rsid w:val="00192DDA"/>
    <w:rsid w:val="00192E7A"/>
    <w:rsid w:val="0019315B"/>
    <w:rsid w:val="0019329E"/>
    <w:rsid w:val="00193488"/>
    <w:rsid w:val="001935C7"/>
    <w:rsid w:val="001938C1"/>
    <w:rsid w:val="0019392C"/>
    <w:rsid w:val="00193B21"/>
    <w:rsid w:val="00193C1A"/>
    <w:rsid w:val="001943CB"/>
    <w:rsid w:val="001944E2"/>
    <w:rsid w:val="00194C71"/>
    <w:rsid w:val="00194FBD"/>
    <w:rsid w:val="00194FF6"/>
    <w:rsid w:val="001953FB"/>
    <w:rsid w:val="0019557D"/>
    <w:rsid w:val="001956B6"/>
    <w:rsid w:val="00195713"/>
    <w:rsid w:val="00195961"/>
    <w:rsid w:val="00195A80"/>
    <w:rsid w:val="00195DB2"/>
    <w:rsid w:val="00195E51"/>
    <w:rsid w:val="00196001"/>
    <w:rsid w:val="0019605F"/>
    <w:rsid w:val="0019610B"/>
    <w:rsid w:val="001962A2"/>
    <w:rsid w:val="00196433"/>
    <w:rsid w:val="00196510"/>
    <w:rsid w:val="00196582"/>
    <w:rsid w:val="0019694A"/>
    <w:rsid w:val="0019694D"/>
    <w:rsid w:val="00196998"/>
    <w:rsid w:val="00196A6B"/>
    <w:rsid w:val="00196B9A"/>
    <w:rsid w:val="00196CC8"/>
    <w:rsid w:val="001971B8"/>
    <w:rsid w:val="001971CF"/>
    <w:rsid w:val="001975D0"/>
    <w:rsid w:val="00197603"/>
    <w:rsid w:val="0019784A"/>
    <w:rsid w:val="001978F5"/>
    <w:rsid w:val="00197A64"/>
    <w:rsid w:val="00197BC1"/>
    <w:rsid w:val="00197BE2"/>
    <w:rsid w:val="001A018D"/>
    <w:rsid w:val="001A0320"/>
    <w:rsid w:val="001A0487"/>
    <w:rsid w:val="001A0767"/>
    <w:rsid w:val="001A082D"/>
    <w:rsid w:val="001A0856"/>
    <w:rsid w:val="001A08AD"/>
    <w:rsid w:val="001A09DF"/>
    <w:rsid w:val="001A0A13"/>
    <w:rsid w:val="001A0B3D"/>
    <w:rsid w:val="001A0C6A"/>
    <w:rsid w:val="001A0C93"/>
    <w:rsid w:val="001A0D0A"/>
    <w:rsid w:val="001A1072"/>
    <w:rsid w:val="001A109E"/>
    <w:rsid w:val="001A121A"/>
    <w:rsid w:val="001A13A3"/>
    <w:rsid w:val="001A1A2A"/>
    <w:rsid w:val="001A1B4A"/>
    <w:rsid w:val="001A1B93"/>
    <w:rsid w:val="001A1B99"/>
    <w:rsid w:val="001A1E4C"/>
    <w:rsid w:val="001A2013"/>
    <w:rsid w:val="001A2618"/>
    <w:rsid w:val="001A2796"/>
    <w:rsid w:val="001A2881"/>
    <w:rsid w:val="001A2922"/>
    <w:rsid w:val="001A2AC5"/>
    <w:rsid w:val="001A2CCB"/>
    <w:rsid w:val="001A2D56"/>
    <w:rsid w:val="001A2F4F"/>
    <w:rsid w:val="001A30CA"/>
    <w:rsid w:val="001A3188"/>
    <w:rsid w:val="001A3350"/>
    <w:rsid w:val="001A3431"/>
    <w:rsid w:val="001A3486"/>
    <w:rsid w:val="001A3601"/>
    <w:rsid w:val="001A3656"/>
    <w:rsid w:val="001A3905"/>
    <w:rsid w:val="001A39BB"/>
    <w:rsid w:val="001A3B9E"/>
    <w:rsid w:val="001A427D"/>
    <w:rsid w:val="001A42BF"/>
    <w:rsid w:val="001A47F8"/>
    <w:rsid w:val="001A48DF"/>
    <w:rsid w:val="001A4A1E"/>
    <w:rsid w:val="001A4A80"/>
    <w:rsid w:val="001A4D03"/>
    <w:rsid w:val="001A4D9E"/>
    <w:rsid w:val="001A4F97"/>
    <w:rsid w:val="001A500D"/>
    <w:rsid w:val="001A512B"/>
    <w:rsid w:val="001A520D"/>
    <w:rsid w:val="001A5232"/>
    <w:rsid w:val="001A53B5"/>
    <w:rsid w:val="001A55A0"/>
    <w:rsid w:val="001A55EF"/>
    <w:rsid w:val="001A5630"/>
    <w:rsid w:val="001A5915"/>
    <w:rsid w:val="001A596F"/>
    <w:rsid w:val="001A5A22"/>
    <w:rsid w:val="001A5C74"/>
    <w:rsid w:val="001A5D32"/>
    <w:rsid w:val="001A5FE9"/>
    <w:rsid w:val="001A64D7"/>
    <w:rsid w:val="001A673B"/>
    <w:rsid w:val="001A69E3"/>
    <w:rsid w:val="001A69FA"/>
    <w:rsid w:val="001A6AE0"/>
    <w:rsid w:val="001A6D02"/>
    <w:rsid w:val="001A6D79"/>
    <w:rsid w:val="001A6DAF"/>
    <w:rsid w:val="001A6F5F"/>
    <w:rsid w:val="001A71B9"/>
    <w:rsid w:val="001A7511"/>
    <w:rsid w:val="001A7787"/>
    <w:rsid w:val="001A7788"/>
    <w:rsid w:val="001A782C"/>
    <w:rsid w:val="001A78D4"/>
    <w:rsid w:val="001B0031"/>
    <w:rsid w:val="001B047C"/>
    <w:rsid w:val="001B04C3"/>
    <w:rsid w:val="001B08D2"/>
    <w:rsid w:val="001B090C"/>
    <w:rsid w:val="001B09A8"/>
    <w:rsid w:val="001B09DF"/>
    <w:rsid w:val="001B0A5E"/>
    <w:rsid w:val="001B0D0D"/>
    <w:rsid w:val="001B0F3C"/>
    <w:rsid w:val="001B1078"/>
    <w:rsid w:val="001B10C2"/>
    <w:rsid w:val="001B10FB"/>
    <w:rsid w:val="001B16A9"/>
    <w:rsid w:val="001B1A5A"/>
    <w:rsid w:val="001B1B28"/>
    <w:rsid w:val="001B1B89"/>
    <w:rsid w:val="001B1D41"/>
    <w:rsid w:val="001B1E6E"/>
    <w:rsid w:val="001B1F02"/>
    <w:rsid w:val="001B1F66"/>
    <w:rsid w:val="001B1F69"/>
    <w:rsid w:val="001B20DD"/>
    <w:rsid w:val="001B2466"/>
    <w:rsid w:val="001B25DB"/>
    <w:rsid w:val="001B2939"/>
    <w:rsid w:val="001B2A05"/>
    <w:rsid w:val="001B2B14"/>
    <w:rsid w:val="001B2B61"/>
    <w:rsid w:val="001B2DFE"/>
    <w:rsid w:val="001B3049"/>
    <w:rsid w:val="001B3314"/>
    <w:rsid w:val="001B33FC"/>
    <w:rsid w:val="001B340C"/>
    <w:rsid w:val="001B38EC"/>
    <w:rsid w:val="001B39D8"/>
    <w:rsid w:val="001B3A60"/>
    <w:rsid w:val="001B3ADF"/>
    <w:rsid w:val="001B3BE8"/>
    <w:rsid w:val="001B40B7"/>
    <w:rsid w:val="001B4192"/>
    <w:rsid w:val="001B41BE"/>
    <w:rsid w:val="001B43A4"/>
    <w:rsid w:val="001B44A8"/>
    <w:rsid w:val="001B48EF"/>
    <w:rsid w:val="001B4927"/>
    <w:rsid w:val="001B498E"/>
    <w:rsid w:val="001B4ED6"/>
    <w:rsid w:val="001B50E8"/>
    <w:rsid w:val="001B5127"/>
    <w:rsid w:val="001B5397"/>
    <w:rsid w:val="001B55F7"/>
    <w:rsid w:val="001B587D"/>
    <w:rsid w:val="001B5951"/>
    <w:rsid w:val="001B5CC7"/>
    <w:rsid w:val="001B5DF8"/>
    <w:rsid w:val="001B5ED1"/>
    <w:rsid w:val="001B64C5"/>
    <w:rsid w:val="001B6B1B"/>
    <w:rsid w:val="001B6D58"/>
    <w:rsid w:val="001B7151"/>
    <w:rsid w:val="001B71E7"/>
    <w:rsid w:val="001B76FA"/>
    <w:rsid w:val="001B78CB"/>
    <w:rsid w:val="001B79DE"/>
    <w:rsid w:val="001B7B02"/>
    <w:rsid w:val="001B7D62"/>
    <w:rsid w:val="001B7F04"/>
    <w:rsid w:val="001C077A"/>
    <w:rsid w:val="001C08C9"/>
    <w:rsid w:val="001C0C45"/>
    <w:rsid w:val="001C0D06"/>
    <w:rsid w:val="001C105D"/>
    <w:rsid w:val="001C182F"/>
    <w:rsid w:val="001C183D"/>
    <w:rsid w:val="001C1F84"/>
    <w:rsid w:val="001C1FA0"/>
    <w:rsid w:val="001C227E"/>
    <w:rsid w:val="001C2335"/>
    <w:rsid w:val="001C256C"/>
    <w:rsid w:val="001C283D"/>
    <w:rsid w:val="001C284B"/>
    <w:rsid w:val="001C2A4E"/>
    <w:rsid w:val="001C2B6F"/>
    <w:rsid w:val="001C2E8A"/>
    <w:rsid w:val="001C2F6D"/>
    <w:rsid w:val="001C3039"/>
    <w:rsid w:val="001C33DE"/>
    <w:rsid w:val="001C36D2"/>
    <w:rsid w:val="001C3849"/>
    <w:rsid w:val="001C3A27"/>
    <w:rsid w:val="001C3A46"/>
    <w:rsid w:val="001C3A95"/>
    <w:rsid w:val="001C3AFC"/>
    <w:rsid w:val="001C3B10"/>
    <w:rsid w:val="001C3D9E"/>
    <w:rsid w:val="001C3E0B"/>
    <w:rsid w:val="001C42FF"/>
    <w:rsid w:val="001C44B1"/>
    <w:rsid w:val="001C49E4"/>
    <w:rsid w:val="001C4D23"/>
    <w:rsid w:val="001C5101"/>
    <w:rsid w:val="001C5164"/>
    <w:rsid w:val="001C53B6"/>
    <w:rsid w:val="001C5524"/>
    <w:rsid w:val="001C5860"/>
    <w:rsid w:val="001C5965"/>
    <w:rsid w:val="001C59F5"/>
    <w:rsid w:val="001C5ED4"/>
    <w:rsid w:val="001C5FED"/>
    <w:rsid w:val="001C60B6"/>
    <w:rsid w:val="001C650F"/>
    <w:rsid w:val="001C6684"/>
    <w:rsid w:val="001C66F7"/>
    <w:rsid w:val="001C6984"/>
    <w:rsid w:val="001C70FA"/>
    <w:rsid w:val="001C71EE"/>
    <w:rsid w:val="001C725C"/>
    <w:rsid w:val="001C7266"/>
    <w:rsid w:val="001C72C7"/>
    <w:rsid w:val="001C7300"/>
    <w:rsid w:val="001C7A94"/>
    <w:rsid w:val="001C7B13"/>
    <w:rsid w:val="001C7B88"/>
    <w:rsid w:val="001C7DDE"/>
    <w:rsid w:val="001C7E11"/>
    <w:rsid w:val="001C7E53"/>
    <w:rsid w:val="001C7E7F"/>
    <w:rsid w:val="001C7F6F"/>
    <w:rsid w:val="001C7FE3"/>
    <w:rsid w:val="001D0004"/>
    <w:rsid w:val="001D0073"/>
    <w:rsid w:val="001D038A"/>
    <w:rsid w:val="001D0537"/>
    <w:rsid w:val="001D05A0"/>
    <w:rsid w:val="001D0B67"/>
    <w:rsid w:val="001D0B8D"/>
    <w:rsid w:val="001D0D29"/>
    <w:rsid w:val="001D0D9F"/>
    <w:rsid w:val="001D1013"/>
    <w:rsid w:val="001D11FF"/>
    <w:rsid w:val="001D1267"/>
    <w:rsid w:val="001D1427"/>
    <w:rsid w:val="001D15E7"/>
    <w:rsid w:val="001D1637"/>
    <w:rsid w:val="001D1823"/>
    <w:rsid w:val="001D1915"/>
    <w:rsid w:val="001D19C0"/>
    <w:rsid w:val="001D19CF"/>
    <w:rsid w:val="001D1A6E"/>
    <w:rsid w:val="001D1EE9"/>
    <w:rsid w:val="001D2071"/>
    <w:rsid w:val="001D2316"/>
    <w:rsid w:val="001D2385"/>
    <w:rsid w:val="001D25CC"/>
    <w:rsid w:val="001D2632"/>
    <w:rsid w:val="001D2727"/>
    <w:rsid w:val="001D2CFE"/>
    <w:rsid w:val="001D2EC8"/>
    <w:rsid w:val="001D2F04"/>
    <w:rsid w:val="001D2F65"/>
    <w:rsid w:val="001D3262"/>
    <w:rsid w:val="001D36AA"/>
    <w:rsid w:val="001D3CC3"/>
    <w:rsid w:val="001D3D83"/>
    <w:rsid w:val="001D3D8E"/>
    <w:rsid w:val="001D3EC6"/>
    <w:rsid w:val="001D3F80"/>
    <w:rsid w:val="001D40CD"/>
    <w:rsid w:val="001D4118"/>
    <w:rsid w:val="001D42BA"/>
    <w:rsid w:val="001D4438"/>
    <w:rsid w:val="001D47F1"/>
    <w:rsid w:val="001D48C9"/>
    <w:rsid w:val="001D4990"/>
    <w:rsid w:val="001D49E3"/>
    <w:rsid w:val="001D49FF"/>
    <w:rsid w:val="001D5785"/>
    <w:rsid w:val="001D586A"/>
    <w:rsid w:val="001D58AD"/>
    <w:rsid w:val="001D5BBE"/>
    <w:rsid w:val="001D5C89"/>
    <w:rsid w:val="001D5E83"/>
    <w:rsid w:val="001D6122"/>
    <w:rsid w:val="001D65F0"/>
    <w:rsid w:val="001D6C6F"/>
    <w:rsid w:val="001D6D39"/>
    <w:rsid w:val="001D72FD"/>
    <w:rsid w:val="001D7582"/>
    <w:rsid w:val="001D75A1"/>
    <w:rsid w:val="001D763A"/>
    <w:rsid w:val="001D76F4"/>
    <w:rsid w:val="001D773A"/>
    <w:rsid w:val="001D774C"/>
    <w:rsid w:val="001D77B1"/>
    <w:rsid w:val="001D77BB"/>
    <w:rsid w:val="001D7C4A"/>
    <w:rsid w:val="001D7D7B"/>
    <w:rsid w:val="001D7E9A"/>
    <w:rsid w:val="001D7EE1"/>
    <w:rsid w:val="001D7F36"/>
    <w:rsid w:val="001E0072"/>
    <w:rsid w:val="001E0165"/>
    <w:rsid w:val="001E031C"/>
    <w:rsid w:val="001E05E0"/>
    <w:rsid w:val="001E0630"/>
    <w:rsid w:val="001E10C1"/>
    <w:rsid w:val="001E11DE"/>
    <w:rsid w:val="001E1525"/>
    <w:rsid w:val="001E1538"/>
    <w:rsid w:val="001E154E"/>
    <w:rsid w:val="001E1674"/>
    <w:rsid w:val="001E18EC"/>
    <w:rsid w:val="001E20E5"/>
    <w:rsid w:val="001E2593"/>
    <w:rsid w:val="001E261A"/>
    <w:rsid w:val="001E2644"/>
    <w:rsid w:val="001E2704"/>
    <w:rsid w:val="001E2D4C"/>
    <w:rsid w:val="001E3029"/>
    <w:rsid w:val="001E30D7"/>
    <w:rsid w:val="001E34C7"/>
    <w:rsid w:val="001E373A"/>
    <w:rsid w:val="001E386E"/>
    <w:rsid w:val="001E3C1B"/>
    <w:rsid w:val="001E3DC9"/>
    <w:rsid w:val="001E3E80"/>
    <w:rsid w:val="001E3F96"/>
    <w:rsid w:val="001E42D9"/>
    <w:rsid w:val="001E48BD"/>
    <w:rsid w:val="001E4DB6"/>
    <w:rsid w:val="001E4E33"/>
    <w:rsid w:val="001E4F58"/>
    <w:rsid w:val="001E4F81"/>
    <w:rsid w:val="001E547A"/>
    <w:rsid w:val="001E5589"/>
    <w:rsid w:val="001E55D3"/>
    <w:rsid w:val="001E563D"/>
    <w:rsid w:val="001E575F"/>
    <w:rsid w:val="001E5B63"/>
    <w:rsid w:val="001E5C69"/>
    <w:rsid w:val="001E5CEB"/>
    <w:rsid w:val="001E6020"/>
    <w:rsid w:val="001E65D0"/>
    <w:rsid w:val="001E65EA"/>
    <w:rsid w:val="001E69A6"/>
    <w:rsid w:val="001E69B2"/>
    <w:rsid w:val="001E6A54"/>
    <w:rsid w:val="001E6F96"/>
    <w:rsid w:val="001E7010"/>
    <w:rsid w:val="001E7197"/>
    <w:rsid w:val="001E71E7"/>
    <w:rsid w:val="001E7271"/>
    <w:rsid w:val="001E75A1"/>
    <w:rsid w:val="001E75CD"/>
    <w:rsid w:val="001E7A74"/>
    <w:rsid w:val="001E7AAD"/>
    <w:rsid w:val="001E7BBC"/>
    <w:rsid w:val="001E7CCD"/>
    <w:rsid w:val="001E7E66"/>
    <w:rsid w:val="001F01A9"/>
    <w:rsid w:val="001F025F"/>
    <w:rsid w:val="001F0456"/>
    <w:rsid w:val="001F0EF7"/>
    <w:rsid w:val="001F113A"/>
    <w:rsid w:val="001F1147"/>
    <w:rsid w:val="001F117D"/>
    <w:rsid w:val="001F11C6"/>
    <w:rsid w:val="001F1493"/>
    <w:rsid w:val="001F172C"/>
    <w:rsid w:val="001F1AAC"/>
    <w:rsid w:val="001F1CF7"/>
    <w:rsid w:val="001F1DDD"/>
    <w:rsid w:val="001F203D"/>
    <w:rsid w:val="001F2069"/>
    <w:rsid w:val="001F3079"/>
    <w:rsid w:val="001F3281"/>
    <w:rsid w:val="001F3296"/>
    <w:rsid w:val="001F3369"/>
    <w:rsid w:val="001F34FD"/>
    <w:rsid w:val="001F3706"/>
    <w:rsid w:val="001F3B2E"/>
    <w:rsid w:val="001F3D5C"/>
    <w:rsid w:val="001F3F47"/>
    <w:rsid w:val="001F3F80"/>
    <w:rsid w:val="001F429D"/>
    <w:rsid w:val="001F43C1"/>
    <w:rsid w:val="001F4651"/>
    <w:rsid w:val="001F4772"/>
    <w:rsid w:val="001F4D6A"/>
    <w:rsid w:val="001F52D4"/>
    <w:rsid w:val="001F5390"/>
    <w:rsid w:val="001F53EA"/>
    <w:rsid w:val="001F54A3"/>
    <w:rsid w:val="001F57A9"/>
    <w:rsid w:val="001F57F9"/>
    <w:rsid w:val="001F5A7C"/>
    <w:rsid w:val="001F5C16"/>
    <w:rsid w:val="001F5C7F"/>
    <w:rsid w:val="001F5DA2"/>
    <w:rsid w:val="001F5EFE"/>
    <w:rsid w:val="001F609E"/>
    <w:rsid w:val="001F6129"/>
    <w:rsid w:val="001F615C"/>
    <w:rsid w:val="001F61DA"/>
    <w:rsid w:val="001F61DF"/>
    <w:rsid w:val="001F6269"/>
    <w:rsid w:val="001F629A"/>
    <w:rsid w:val="001F6369"/>
    <w:rsid w:val="001F64B7"/>
    <w:rsid w:val="001F6596"/>
    <w:rsid w:val="001F670E"/>
    <w:rsid w:val="001F696B"/>
    <w:rsid w:val="001F6AFA"/>
    <w:rsid w:val="001F6E73"/>
    <w:rsid w:val="001F6E75"/>
    <w:rsid w:val="001F6EFF"/>
    <w:rsid w:val="001F725A"/>
    <w:rsid w:val="001F73E5"/>
    <w:rsid w:val="001F779E"/>
    <w:rsid w:val="001F793F"/>
    <w:rsid w:val="001F79C2"/>
    <w:rsid w:val="001F7A87"/>
    <w:rsid w:val="001F7AA2"/>
    <w:rsid w:val="001F7D68"/>
    <w:rsid w:val="001F7DEC"/>
    <w:rsid w:val="0020001B"/>
    <w:rsid w:val="002001B5"/>
    <w:rsid w:val="002001D0"/>
    <w:rsid w:val="0020037B"/>
    <w:rsid w:val="002003BC"/>
    <w:rsid w:val="00200702"/>
    <w:rsid w:val="00200821"/>
    <w:rsid w:val="00200CA9"/>
    <w:rsid w:val="00200FE5"/>
    <w:rsid w:val="0020102B"/>
    <w:rsid w:val="002010BB"/>
    <w:rsid w:val="00201159"/>
    <w:rsid w:val="00201172"/>
    <w:rsid w:val="0020130F"/>
    <w:rsid w:val="00201555"/>
    <w:rsid w:val="002015F8"/>
    <w:rsid w:val="00201A21"/>
    <w:rsid w:val="00201A30"/>
    <w:rsid w:val="00201C3A"/>
    <w:rsid w:val="00201C82"/>
    <w:rsid w:val="00201E03"/>
    <w:rsid w:val="00201E28"/>
    <w:rsid w:val="00201F7A"/>
    <w:rsid w:val="00201FFB"/>
    <w:rsid w:val="002020D8"/>
    <w:rsid w:val="002024EB"/>
    <w:rsid w:val="002025DC"/>
    <w:rsid w:val="00202865"/>
    <w:rsid w:val="00202A77"/>
    <w:rsid w:val="00202B2D"/>
    <w:rsid w:val="00202BDB"/>
    <w:rsid w:val="00202C93"/>
    <w:rsid w:val="00202E74"/>
    <w:rsid w:val="00202EDF"/>
    <w:rsid w:val="00202F21"/>
    <w:rsid w:val="00202F4E"/>
    <w:rsid w:val="00203101"/>
    <w:rsid w:val="00203149"/>
    <w:rsid w:val="00203386"/>
    <w:rsid w:val="002034A8"/>
    <w:rsid w:val="002034CB"/>
    <w:rsid w:val="0020356B"/>
    <w:rsid w:val="002035CF"/>
    <w:rsid w:val="002038FF"/>
    <w:rsid w:val="002039A7"/>
    <w:rsid w:val="00203BD2"/>
    <w:rsid w:val="00203DD7"/>
    <w:rsid w:val="00203E30"/>
    <w:rsid w:val="002040CC"/>
    <w:rsid w:val="002041F8"/>
    <w:rsid w:val="00204230"/>
    <w:rsid w:val="0020428C"/>
    <w:rsid w:val="00204471"/>
    <w:rsid w:val="0020472F"/>
    <w:rsid w:val="0020475D"/>
    <w:rsid w:val="00204BD1"/>
    <w:rsid w:val="00204ED2"/>
    <w:rsid w:val="00204F72"/>
    <w:rsid w:val="002050D1"/>
    <w:rsid w:val="002051FC"/>
    <w:rsid w:val="00205563"/>
    <w:rsid w:val="0020560A"/>
    <w:rsid w:val="0020563C"/>
    <w:rsid w:val="002056E4"/>
    <w:rsid w:val="00205860"/>
    <w:rsid w:val="00205987"/>
    <w:rsid w:val="002059A5"/>
    <w:rsid w:val="00205B01"/>
    <w:rsid w:val="00206060"/>
    <w:rsid w:val="00206075"/>
    <w:rsid w:val="002064A6"/>
    <w:rsid w:val="00206CC8"/>
    <w:rsid w:val="002073A5"/>
    <w:rsid w:val="00207B69"/>
    <w:rsid w:val="00207DE3"/>
    <w:rsid w:val="00210118"/>
    <w:rsid w:val="0021039C"/>
    <w:rsid w:val="0021049F"/>
    <w:rsid w:val="00210770"/>
    <w:rsid w:val="00210946"/>
    <w:rsid w:val="00210BC4"/>
    <w:rsid w:val="00210BC5"/>
    <w:rsid w:val="00210F7A"/>
    <w:rsid w:val="00211318"/>
    <w:rsid w:val="00211571"/>
    <w:rsid w:val="00211663"/>
    <w:rsid w:val="002117F5"/>
    <w:rsid w:val="00211EAA"/>
    <w:rsid w:val="0021204B"/>
    <w:rsid w:val="0021211F"/>
    <w:rsid w:val="0021234C"/>
    <w:rsid w:val="0021262E"/>
    <w:rsid w:val="0021293A"/>
    <w:rsid w:val="00212AD8"/>
    <w:rsid w:val="00212F26"/>
    <w:rsid w:val="002131B9"/>
    <w:rsid w:val="002132AD"/>
    <w:rsid w:val="00213389"/>
    <w:rsid w:val="00213456"/>
    <w:rsid w:val="0021362D"/>
    <w:rsid w:val="0021373C"/>
    <w:rsid w:val="00213BCA"/>
    <w:rsid w:val="00213C5E"/>
    <w:rsid w:val="0021418E"/>
    <w:rsid w:val="002142C4"/>
    <w:rsid w:val="0021459E"/>
    <w:rsid w:val="0021470D"/>
    <w:rsid w:val="00214B05"/>
    <w:rsid w:val="00214B1B"/>
    <w:rsid w:val="00214BAE"/>
    <w:rsid w:val="00214CBC"/>
    <w:rsid w:val="00214DAB"/>
    <w:rsid w:val="00214E00"/>
    <w:rsid w:val="002150E9"/>
    <w:rsid w:val="00215190"/>
    <w:rsid w:val="0021519A"/>
    <w:rsid w:val="002151E4"/>
    <w:rsid w:val="00215B57"/>
    <w:rsid w:val="00215C42"/>
    <w:rsid w:val="00215EC9"/>
    <w:rsid w:val="00215EEC"/>
    <w:rsid w:val="00215FE7"/>
    <w:rsid w:val="00216079"/>
    <w:rsid w:val="002160A9"/>
    <w:rsid w:val="00216410"/>
    <w:rsid w:val="00216AA3"/>
    <w:rsid w:val="00216AF4"/>
    <w:rsid w:val="00216B23"/>
    <w:rsid w:val="00216CD3"/>
    <w:rsid w:val="00216CE4"/>
    <w:rsid w:val="00216F67"/>
    <w:rsid w:val="002170C5"/>
    <w:rsid w:val="002172E5"/>
    <w:rsid w:val="00217856"/>
    <w:rsid w:val="00217AA6"/>
    <w:rsid w:val="00217C41"/>
    <w:rsid w:val="00217E70"/>
    <w:rsid w:val="002201DF"/>
    <w:rsid w:val="002202A7"/>
    <w:rsid w:val="00220337"/>
    <w:rsid w:val="00220410"/>
    <w:rsid w:val="002204B2"/>
    <w:rsid w:val="00220532"/>
    <w:rsid w:val="002205D4"/>
    <w:rsid w:val="002205F5"/>
    <w:rsid w:val="0022071A"/>
    <w:rsid w:val="0022076D"/>
    <w:rsid w:val="002208A1"/>
    <w:rsid w:val="0022108C"/>
    <w:rsid w:val="0022121F"/>
    <w:rsid w:val="00221337"/>
    <w:rsid w:val="00221408"/>
    <w:rsid w:val="0022142D"/>
    <w:rsid w:val="00221686"/>
    <w:rsid w:val="0022181A"/>
    <w:rsid w:val="00221BFB"/>
    <w:rsid w:val="00221C45"/>
    <w:rsid w:val="00221F8E"/>
    <w:rsid w:val="002221AA"/>
    <w:rsid w:val="00222459"/>
    <w:rsid w:val="00222499"/>
    <w:rsid w:val="002224C2"/>
    <w:rsid w:val="002224D0"/>
    <w:rsid w:val="0022269D"/>
    <w:rsid w:val="002227E4"/>
    <w:rsid w:val="00222BEF"/>
    <w:rsid w:val="00222DA4"/>
    <w:rsid w:val="00223109"/>
    <w:rsid w:val="0022311F"/>
    <w:rsid w:val="00223128"/>
    <w:rsid w:val="002231A1"/>
    <w:rsid w:val="00223254"/>
    <w:rsid w:val="002236A3"/>
    <w:rsid w:val="00223870"/>
    <w:rsid w:val="00223890"/>
    <w:rsid w:val="00223937"/>
    <w:rsid w:val="00223C03"/>
    <w:rsid w:val="00223E86"/>
    <w:rsid w:val="00223E8B"/>
    <w:rsid w:val="00223F20"/>
    <w:rsid w:val="00223F7A"/>
    <w:rsid w:val="002240A5"/>
    <w:rsid w:val="002241FF"/>
    <w:rsid w:val="0022442D"/>
    <w:rsid w:val="0022457A"/>
    <w:rsid w:val="00224665"/>
    <w:rsid w:val="00224691"/>
    <w:rsid w:val="002246C5"/>
    <w:rsid w:val="002246DA"/>
    <w:rsid w:val="00224703"/>
    <w:rsid w:val="00224769"/>
    <w:rsid w:val="00224930"/>
    <w:rsid w:val="00224A07"/>
    <w:rsid w:val="00224A49"/>
    <w:rsid w:val="00224D6C"/>
    <w:rsid w:val="00224E7C"/>
    <w:rsid w:val="00224ED6"/>
    <w:rsid w:val="00224FC4"/>
    <w:rsid w:val="00225076"/>
    <w:rsid w:val="0022513A"/>
    <w:rsid w:val="00225370"/>
    <w:rsid w:val="00225C6F"/>
    <w:rsid w:val="00225C81"/>
    <w:rsid w:val="00225E1B"/>
    <w:rsid w:val="00225EEA"/>
    <w:rsid w:val="00225FD9"/>
    <w:rsid w:val="002260EA"/>
    <w:rsid w:val="00226336"/>
    <w:rsid w:val="0022655D"/>
    <w:rsid w:val="002265B6"/>
    <w:rsid w:val="0022673C"/>
    <w:rsid w:val="0022679C"/>
    <w:rsid w:val="002269D6"/>
    <w:rsid w:val="00226E17"/>
    <w:rsid w:val="00226F39"/>
    <w:rsid w:val="00226FEE"/>
    <w:rsid w:val="002270C3"/>
    <w:rsid w:val="002272B3"/>
    <w:rsid w:val="00227524"/>
    <w:rsid w:val="0022756E"/>
    <w:rsid w:val="00227592"/>
    <w:rsid w:val="00227A91"/>
    <w:rsid w:val="00227BF0"/>
    <w:rsid w:val="002306DD"/>
    <w:rsid w:val="00230E28"/>
    <w:rsid w:val="0023113B"/>
    <w:rsid w:val="00231610"/>
    <w:rsid w:val="00231909"/>
    <w:rsid w:val="00231A3C"/>
    <w:rsid w:val="00231B93"/>
    <w:rsid w:val="0023205A"/>
    <w:rsid w:val="002321F4"/>
    <w:rsid w:val="002321FC"/>
    <w:rsid w:val="002322FE"/>
    <w:rsid w:val="002323C3"/>
    <w:rsid w:val="00232402"/>
    <w:rsid w:val="002326B6"/>
    <w:rsid w:val="002326FA"/>
    <w:rsid w:val="00232703"/>
    <w:rsid w:val="002327DF"/>
    <w:rsid w:val="0023285D"/>
    <w:rsid w:val="002328AF"/>
    <w:rsid w:val="00232C04"/>
    <w:rsid w:val="00232C32"/>
    <w:rsid w:val="00232CCF"/>
    <w:rsid w:val="00232D56"/>
    <w:rsid w:val="00232E63"/>
    <w:rsid w:val="0023303A"/>
    <w:rsid w:val="00233126"/>
    <w:rsid w:val="002334CF"/>
    <w:rsid w:val="002335D8"/>
    <w:rsid w:val="0023361D"/>
    <w:rsid w:val="00233719"/>
    <w:rsid w:val="0023379B"/>
    <w:rsid w:val="00233826"/>
    <w:rsid w:val="00233CA1"/>
    <w:rsid w:val="00233E2A"/>
    <w:rsid w:val="00233EF0"/>
    <w:rsid w:val="00234154"/>
    <w:rsid w:val="00234577"/>
    <w:rsid w:val="002345FF"/>
    <w:rsid w:val="00234631"/>
    <w:rsid w:val="002348DB"/>
    <w:rsid w:val="002349E2"/>
    <w:rsid w:val="00234E81"/>
    <w:rsid w:val="00234F57"/>
    <w:rsid w:val="0023509A"/>
    <w:rsid w:val="0023551C"/>
    <w:rsid w:val="002355E4"/>
    <w:rsid w:val="002355EF"/>
    <w:rsid w:val="002356BC"/>
    <w:rsid w:val="00235745"/>
    <w:rsid w:val="0023598A"/>
    <w:rsid w:val="00236188"/>
    <w:rsid w:val="002361E0"/>
    <w:rsid w:val="0023642D"/>
    <w:rsid w:val="002366A6"/>
    <w:rsid w:val="002368D0"/>
    <w:rsid w:val="00236981"/>
    <w:rsid w:val="00236B2D"/>
    <w:rsid w:val="00236CA1"/>
    <w:rsid w:val="002370A1"/>
    <w:rsid w:val="00237550"/>
    <w:rsid w:val="002375E8"/>
    <w:rsid w:val="002377CC"/>
    <w:rsid w:val="002379CD"/>
    <w:rsid w:val="00237F23"/>
    <w:rsid w:val="00240112"/>
    <w:rsid w:val="002403DE"/>
    <w:rsid w:val="00240524"/>
    <w:rsid w:val="0024081C"/>
    <w:rsid w:val="00240C97"/>
    <w:rsid w:val="00240D3E"/>
    <w:rsid w:val="00240E11"/>
    <w:rsid w:val="002410C8"/>
    <w:rsid w:val="002411EB"/>
    <w:rsid w:val="00241249"/>
    <w:rsid w:val="002412A2"/>
    <w:rsid w:val="00241457"/>
    <w:rsid w:val="002415BA"/>
    <w:rsid w:val="002416AD"/>
    <w:rsid w:val="00241966"/>
    <w:rsid w:val="00241B6A"/>
    <w:rsid w:val="00241E6F"/>
    <w:rsid w:val="00241EFF"/>
    <w:rsid w:val="00241F3F"/>
    <w:rsid w:val="0024209A"/>
    <w:rsid w:val="0024226A"/>
    <w:rsid w:val="00242525"/>
    <w:rsid w:val="002429D4"/>
    <w:rsid w:val="00242A3B"/>
    <w:rsid w:val="00242A3E"/>
    <w:rsid w:val="00242D4A"/>
    <w:rsid w:val="00242F5F"/>
    <w:rsid w:val="00242F88"/>
    <w:rsid w:val="002433A7"/>
    <w:rsid w:val="00243581"/>
    <w:rsid w:val="00243708"/>
    <w:rsid w:val="0024407F"/>
    <w:rsid w:val="0024430E"/>
    <w:rsid w:val="002444E0"/>
    <w:rsid w:val="002449FB"/>
    <w:rsid w:val="00244CE9"/>
    <w:rsid w:val="00244FC7"/>
    <w:rsid w:val="0024532A"/>
    <w:rsid w:val="002453F6"/>
    <w:rsid w:val="0024561B"/>
    <w:rsid w:val="00245825"/>
    <w:rsid w:val="002458CA"/>
    <w:rsid w:val="002459C2"/>
    <w:rsid w:val="00245DE9"/>
    <w:rsid w:val="002461DE"/>
    <w:rsid w:val="00246302"/>
    <w:rsid w:val="00246866"/>
    <w:rsid w:val="00246F41"/>
    <w:rsid w:val="00246F9C"/>
    <w:rsid w:val="00246FB7"/>
    <w:rsid w:val="002473BA"/>
    <w:rsid w:val="002473DE"/>
    <w:rsid w:val="002477F6"/>
    <w:rsid w:val="00247948"/>
    <w:rsid w:val="00247B38"/>
    <w:rsid w:val="00247BBF"/>
    <w:rsid w:val="00247CC1"/>
    <w:rsid w:val="00247D48"/>
    <w:rsid w:val="00247E64"/>
    <w:rsid w:val="00250053"/>
    <w:rsid w:val="00250088"/>
    <w:rsid w:val="0025022B"/>
    <w:rsid w:val="002503F8"/>
    <w:rsid w:val="00250612"/>
    <w:rsid w:val="0025089C"/>
    <w:rsid w:val="00250AD6"/>
    <w:rsid w:val="00250C69"/>
    <w:rsid w:val="00250DE4"/>
    <w:rsid w:val="00250DF3"/>
    <w:rsid w:val="00250E2E"/>
    <w:rsid w:val="00250E3E"/>
    <w:rsid w:val="00250E86"/>
    <w:rsid w:val="00251240"/>
    <w:rsid w:val="0025125A"/>
    <w:rsid w:val="0025149A"/>
    <w:rsid w:val="0025163B"/>
    <w:rsid w:val="00251734"/>
    <w:rsid w:val="002517DD"/>
    <w:rsid w:val="00252028"/>
    <w:rsid w:val="0025202F"/>
    <w:rsid w:val="002520C2"/>
    <w:rsid w:val="002521F0"/>
    <w:rsid w:val="0025227C"/>
    <w:rsid w:val="00252390"/>
    <w:rsid w:val="0025247E"/>
    <w:rsid w:val="00252586"/>
    <w:rsid w:val="002525B7"/>
    <w:rsid w:val="002529E9"/>
    <w:rsid w:val="00252D81"/>
    <w:rsid w:val="00252DA9"/>
    <w:rsid w:val="00252F63"/>
    <w:rsid w:val="00252FA8"/>
    <w:rsid w:val="002531A9"/>
    <w:rsid w:val="002531C2"/>
    <w:rsid w:val="002531E3"/>
    <w:rsid w:val="00253243"/>
    <w:rsid w:val="00253263"/>
    <w:rsid w:val="0025333C"/>
    <w:rsid w:val="00253A44"/>
    <w:rsid w:val="00253D32"/>
    <w:rsid w:val="00253D97"/>
    <w:rsid w:val="0025402E"/>
    <w:rsid w:val="00254112"/>
    <w:rsid w:val="002542F0"/>
    <w:rsid w:val="00254371"/>
    <w:rsid w:val="002543E6"/>
    <w:rsid w:val="002548FC"/>
    <w:rsid w:val="00254C2B"/>
    <w:rsid w:val="00254C40"/>
    <w:rsid w:val="00254D24"/>
    <w:rsid w:val="00254EC5"/>
    <w:rsid w:val="00255109"/>
    <w:rsid w:val="0025563D"/>
    <w:rsid w:val="00255B33"/>
    <w:rsid w:val="00255D46"/>
    <w:rsid w:val="00256239"/>
    <w:rsid w:val="00256403"/>
    <w:rsid w:val="0025645F"/>
    <w:rsid w:val="0025647A"/>
    <w:rsid w:val="002564E2"/>
    <w:rsid w:val="00256571"/>
    <w:rsid w:val="00256B9F"/>
    <w:rsid w:val="00256CBB"/>
    <w:rsid w:val="0025716A"/>
    <w:rsid w:val="00257592"/>
    <w:rsid w:val="002577C5"/>
    <w:rsid w:val="002578BC"/>
    <w:rsid w:val="002579B3"/>
    <w:rsid w:val="00257A17"/>
    <w:rsid w:val="00257B8F"/>
    <w:rsid w:val="00257C5E"/>
    <w:rsid w:val="00257D56"/>
    <w:rsid w:val="002601C2"/>
    <w:rsid w:val="002603BD"/>
    <w:rsid w:val="002603D6"/>
    <w:rsid w:val="002605AC"/>
    <w:rsid w:val="002607BE"/>
    <w:rsid w:val="00260824"/>
    <w:rsid w:val="002609FD"/>
    <w:rsid w:val="00260E8C"/>
    <w:rsid w:val="00260FD7"/>
    <w:rsid w:val="00261139"/>
    <w:rsid w:val="00261299"/>
    <w:rsid w:val="002613CB"/>
    <w:rsid w:val="0026155E"/>
    <w:rsid w:val="002617C5"/>
    <w:rsid w:val="00261882"/>
    <w:rsid w:val="002618EC"/>
    <w:rsid w:val="00261921"/>
    <w:rsid w:val="00261A19"/>
    <w:rsid w:val="00261A93"/>
    <w:rsid w:val="00261BA8"/>
    <w:rsid w:val="00261C36"/>
    <w:rsid w:val="00261D97"/>
    <w:rsid w:val="00262021"/>
    <w:rsid w:val="00262107"/>
    <w:rsid w:val="00262208"/>
    <w:rsid w:val="002624EC"/>
    <w:rsid w:val="0026253A"/>
    <w:rsid w:val="002626C4"/>
    <w:rsid w:val="00262B3F"/>
    <w:rsid w:val="00262CEE"/>
    <w:rsid w:val="002631A0"/>
    <w:rsid w:val="0026333B"/>
    <w:rsid w:val="0026371E"/>
    <w:rsid w:val="0026376D"/>
    <w:rsid w:val="00263A0D"/>
    <w:rsid w:val="00263C39"/>
    <w:rsid w:val="00263CD6"/>
    <w:rsid w:val="00263D12"/>
    <w:rsid w:val="00263ED0"/>
    <w:rsid w:val="00263FA6"/>
    <w:rsid w:val="00264187"/>
    <w:rsid w:val="0026458C"/>
    <w:rsid w:val="0026484D"/>
    <w:rsid w:val="0026498B"/>
    <w:rsid w:val="002649DB"/>
    <w:rsid w:val="00264AE7"/>
    <w:rsid w:val="00264CF5"/>
    <w:rsid w:val="00264F55"/>
    <w:rsid w:val="00264F6F"/>
    <w:rsid w:val="00264FBD"/>
    <w:rsid w:val="002651FA"/>
    <w:rsid w:val="00265461"/>
    <w:rsid w:val="00265571"/>
    <w:rsid w:val="0026587C"/>
    <w:rsid w:val="002658E9"/>
    <w:rsid w:val="00266261"/>
    <w:rsid w:val="002662B2"/>
    <w:rsid w:val="00266332"/>
    <w:rsid w:val="00266824"/>
    <w:rsid w:val="002668B9"/>
    <w:rsid w:val="00266C15"/>
    <w:rsid w:val="00266F06"/>
    <w:rsid w:val="00266F50"/>
    <w:rsid w:val="00266F5C"/>
    <w:rsid w:val="00267258"/>
    <w:rsid w:val="00267267"/>
    <w:rsid w:val="0026728E"/>
    <w:rsid w:val="00267298"/>
    <w:rsid w:val="002673FE"/>
    <w:rsid w:val="0026772A"/>
    <w:rsid w:val="0026789D"/>
    <w:rsid w:val="00267D99"/>
    <w:rsid w:val="00267E70"/>
    <w:rsid w:val="00270337"/>
    <w:rsid w:val="00270474"/>
    <w:rsid w:val="002704C0"/>
    <w:rsid w:val="00270822"/>
    <w:rsid w:val="002709E7"/>
    <w:rsid w:val="00270A6A"/>
    <w:rsid w:val="00270B94"/>
    <w:rsid w:val="00270BAB"/>
    <w:rsid w:val="00270C0D"/>
    <w:rsid w:val="00270C8A"/>
    <w:rsid w:val="00270CBB"/>
    <w:rsid w:val="00270DB1"/>
    <w:rsid w:val="00270EA6"/>
    <w:rsid w:val="00270EF8"/>
    <w:rsid w:val="002712EA"/>
    <w:rsid w:val="002714FC"/>
    <w:rsid w:val="00271727"/>
    <w:rsid w:val="002719B9"/>
    <w:rsid w:val="002719DF"/>
    <w:rsid w:val="00271A1E"/>
    <w:rsid w:val="00271AEB"/>
    <w:rsid w:val="00271CE5"/>
    <w:rsid w:val="00271D01"/>
    <w:rsid w:val="00271DE2"/>
    <w:rsid w:val="002720C5"/>
    <w:rsid w:val="002724F4"/>
    <w:rsid w:val="00272531"/>
    <w:rsid w:val="00272597"/>
    <w:rsid w:val="00272AF5"/>
    <w:rsid w:val="00272D06"/>
    <w:rsid w:val="002731A0"/>
    <w:rsid w:val="00273424"/>
    <w:rsid w:val="0027348E"/>
    <w:rsid w:val="00273728"/>
    <w:rsid w:val="00273764"/>
    <w:rsid w:val="00273879"/>
    <w:rsid w:val="0027391D"/>
    <w:rsid w:val="00273A2F"/>
    <w:rsid w:val="0027473E"/>
    <w:rsid w:val="00274811"/>
    <w:rsid w:val="00274851"/>
    <w:rsid w:val="002748C6"/>
    <w:rsid w:val="002748D8"/>
    <w:rsid w:val="002748E4"/>
    <w:rsid w:val="00274B45"/>
    <w:rsid w:val="00274BB5"/>
    <w:rsid w:val="00274BD3"/>
    <w:rsid w:val="00274C98"/>
    <w:rsid w:val="00274E21"/>
    <w:rsid w:val="00274FA6"/>
    <w:rsid w:val="00275088"/>
    <w:rsid w:val="002750B9"/>
    <w:rsid w:val="002750DC"/>
    <w:rsid w:val="00275311"/>
    <w:rsid w:val="00275708"/>
    <w:rsid w:val="002757BA"/>
    <w:rsid w:val="00275DB5"/>
    <w:rsid w:val="00275E3F"/>
    <w:rsid w:val="00275E75"/>
    <w:rsid w:val="00276081"/>
    <w:rsid w:val="0027609D"/>
    <w:rsid w:val="00276299"/>
    <w:rsid w:val="00276311"/>
    <w:rsid w:val="002763A2"/>
    <w:rsid w:val="002767B6"/>
    <w:rsid w:val="00276B3B"/>
    <w:rsid w:val="00276C7C"/>
    <w:rsid w:val="00276F62"/>
    <w:rsid w:val="002770B0"/>
    <w:rsid w:val="002770BC"/>
    <w:rsid w:val="002774DC"/>
    <w:rsid w:val="00277600"/>
    <w:rsid w:val="0027762C"/>
    <w:rsid w:val="0027788B"/>
    <w:rsid w:val="0027790E"/>
    <w:rsid w:val="0027790F"/>
    <w:rsid w:val="00277F64"/>
    <w:rsid w:val="00277F99"/>
    <w:rsid w:val="002801E2"/>
    <w:rsid w:val="00280290"/>
    <w:rsid w:val="0028050F"/>
    <w:rsid w:val="002806B1"/>
    <w:rsid w:val="0028073E"/>
    <w:rsid w:val="002808DC"/>
    <w:rsid w:val="00280A12"/>
    <w:rsid w:val="00280B61"/>
    <w:rsid w:val="00281105"/>
    <w:rsid w:val="002814E1"/>
    <w:rsid w:val="0028175F"/>
    <w:rsid w:val="00281A24"/>
    <w:rsid w:val="00281AA4"/>
    <w:rsid w:val="00281C15"/>
    <w:rsid w:val="00281D86"/>
    <w:rsid w:val="00282020"/>
    <w:rsid w:val="002821A7"/>
    <w:rsid w:val="0028229C"/>
    <w:rsid w:val="00282303"/>
    <w:rsid w:val="00282456"/>
    <w:rsid w:val="002829A3"/>
    <w:rsid w:val="00282D5A"/>
    <w:rsid w:val="00283246"/>
    <w:rsid w:val="00283294"/>
    <w:rsid w:val="002832CA"/>
    <w:rsid w:val="002833BF"/>
    <w:rsid w:val="002835DB"/>
    <w:rsid w:val="00283839"/>
    <w:rsid w:val="00283D3B"/>
    <w:rsid w:val="00283D43"/>
    <w:rsid w:val="00283E26"/>
    <w:rsid w:val="00283EAA"/>
    <w:rsid w:val="002840A5"/>
    <w:rsid w:val="0028451F"/>
    <w:rsid w:val="00284714"/>
    <w:rsid w:val="002847B6"/>
    <w:rsid w:val="00284C6D"/>
    <w:rsid w:val="00284DF1"/>
    <w:rsid w:val="00285168"/>
    <w:rsid w:val="00285567"/>
    <w:rsid w:val="002856AA"/>
    <w:rsid w:val="002856CF"/>
    <w:rsid w:val="00285978"/>
    <w:rsid w:val="0028598B"/>
    <w:rsid w:val="00285BD5"/>
    <w:rsid w:val="00285C50"/>
    <w:rsid w:val="00285D78"/>
    <w:rsid w:val="00285EEA"/>
    <w:rsid w:val="00286267"/>
    <w:rsid w:val="002862EF"/>
    <w:rsid w:val="00286494"/>
    <w:rsid w:val="002866CF"/>
    <w:rsid w:val="00286B03"/>
    <w:rsid w:val="00286B22"/>
    <w:rsid w:val="00286BF6"/>
    <w:rsid w:val="00286E1C"/>
    <w:rsid w:val="00286F8B"/>
    <w:rsid w:val="00287500"/>
    <w:rsid w:val="002875A7"/>
    <w:rsid w:val="00287609"/>
    <w:rsid w:val="002876D8"/>
    <w:rsid w:val="00287A4A"/>
    <w:rsid w:val="00287EA0"/>
    <w:rsid w:val="00287F2B"/>
    <w:rsid w:val="00290096"/>
    <w:rsid w:val="00290097"/>
    <w:rsid w:val="002901EA"/>
    <w:rsid w:val="0029037C"/>
    <w:rsid w:val="002903CD"/>
    <w:rsid w:val="002907B0"/>
    <w:rsid w:val="00290849"/>
    <w:rsid w:val="00290A2D"/>
    <w:rsid w:val="00290AD8"/>
    <w:rsid w:val="00290AE6"/>
    <w:rsid w:val="00291115"/>
    <w:rsid w:val="0029122E"/>
    <w:rsid w:val="00291261"/>
    <w:rsid w:val="0029137B"/>
    <w:rsid w:val="002913D1"/>
    <w:rsid w:val="002914C4"/>
    <w:rsid w:val="0029184B"/>
    <w:rsid w:val="002918B5"/>
    <w:rsid w:val="002919A7"/>
    <w:rsid w:val="00291B30"/>
    <w:rsid w:val="00292187"/>
    <w:rsid w:val="0029230E"/>
    <w:rsid w:val="00292540"/>
    <w:rsid w:val="00292635"/>
    <w:rsid w:val="002927D3"/>
    <w:rsid w:val="00292AEC"/>
    <w:rsid w:val="00292BB1"/>
    <w:rsid w:val="00292E18"/>
    <w:rsid w:val="002933B5"/>
    <w:rsid w:val="0029358E"/>
    <w:rsid w:val="0029366E"/>
    <w:rsid w:val="002936C6"/>
    <w:rsid w:val="00293832"/>
    <w:rsid w:val="0029386B"/>
    <w:rsid w:val="00293974"/>
    <w:rsid w:val="002939C6"/>
    <w:rsid w:val="00293E51"/>
    <w:rsid w:val="00294022"/>
    <w:rsid w:val="00294099"/>
    <w:rsid w:val="00294222"/>
    <w:rsid w:val="002942CB"/>
    <w:rsid w:val="00294375"/>
    <w:rsid w:val="002945EF"/>
    <w:rsid w:val="002946B1"/>
    <w:rsid w:val="00294CCC"/>
    <w:rsid w:val="00295310"/>
    <w:rsid w:val="00295349"/>
    <w:rsid w:val="00295456"/>
    <w:rsid w:val="00295503"/>
    <w:rsid w:val="002955E5"/>
    <w:rsid w:val="0029572D"/>
    <w:rsid w:val="00295AC4"/>
    <w:rsid w:val="00295B82"/>
    <w:rsid w:val="00295CAA"/>
    <w:rsid w:val="002961CD"/>
    <w:rsid w:val="0029648D"/>
    <w:rsid w:val="0029651E"/>
    <w:rsid w:val="00296976"/>
    <w:rsid w:val="00296A89"/>
    <w:rsid w:val="00296AC0"/>
    <w:rsid w:val="00296B99"/>
    <w:rsid w:val="00296F63"/>
    <w:rsid w:val="00297378"/>
    <w:rsid w:val="00297411"/>
    <w:rsid w:val="00297728"/>
    <w:rsid w:val="002978C6"/>
    <w:rsid w:val="002A0260"/>
    <w:rsid w:val="002A03C5"/>
    <w:rsid w:val="002A0AF6"/>
    <w:rsid w:val="002A0BCA"/>
    <w:rsid w:val="002A1229"/>
    <w:rsid w:val="002A184C"/>
    <w:rsid w:val="002A189C"/>
    <w:rsid w:val="002A1E2E"/>
    <w:rsid w:val="002A211E"/>
    <w:rsid w:val="002A21A2"/>
    <w:rsid w:val="002A24FA"/>
    <w:rsid w:val="002A251D"/>
    <w:rsid w:val="002A2537"/>
    <w:rsid w:val="002A272C"/>
    <w:rsid w:val="002A284A"/>
    <w:rsid w:val="002A28DF"/>
    <w:rsid w:val="002A29D2"/>
    <w:rsid w:val="002A2B69"/>
    <w:rsid w:val="002A2D07"/>
    <w:rsid w:val="002A303D"/>
    <w:rsid w:val="002A3360"/>
    <w:rsid w:val="002A3411"/>
    <w:rsid w:val="002A3559"/>
    <w:rsid w:val="002A37F4"/>
    <w:rsid w:val="002A3869"/>
    <w:rsid w:val="002A39CD"/>
    <w:rsid w:val="002A3C35"/>
    <w:rsid w:val="002A3D7B"/>
    <w:rsid w:val="002A3E38"/>
    <w:rsid w:val="002A3E73"/>
    <w:rsid w:val="002A448A"/>
    <w:rsid w:val="002A46B1"/>
    <w:rsid w:val="002A4962"/>
    <w:rsid w:val="002A4B70"/>
    <w:rsid w:val="002A4B72"/>
    <w:rsid w:val="002A4F7A"/>
    <w:rsid w:val="002A5023"/>
    <w:rsid w:val="002A5238"/>
    <w:rsid w:val="002A5391"/>
    <w:rsid w:val="002A5677"/>
    <w:rsid w:val="002A5689"/>
    <w:rsid w:val="002A57CF"/>
    <w:rsid w:val="002A5A45"/>
    <w:rsid w:val="002A5B42"/>
    <w:rsid w:val="002A5B52"/>
    <w:rsid w:val="002A5D8D"/>
    <w:rsid w:val="002A6049"/>
    <w:rsid w:val="002A6061"/>
    <w:rsid w:val="002A629E"/>
    <w:rsid w:val="002A679D"/>
    <w:rsid w:val="002A6A5D"/>
    <w:rsid w:val="002A6C46"/>
    <w:rsid w:val="002A7231"/>
    <w:rsid w:val="002A72B8"/>
    <w:rsid w:val="002A756D"/>
    <w:rsid w:val="002A7A43"/>
    <w:rsid w:val="002A7AAC"/>
    <w:rsid w:val="002A7AC0"/>
    <w:rsid w:val="002A7DF8"/>
    <w:rsid w:val="002A7F0A"/>
    <w:rsid w:val="002A7F31"/>
    <w:rsid w:val="002B0177"/>
    <w:rsid w:val="002B04E8"/>
    <w:rsid w:val="002B0985"/>
    <w:rsid w:val="002B0E42"/>
    <w:rsid w:val="002B0F0F"/>
    <w:rsid w:val="002B0FF9"/>
    <w:rsid w:val="002B103E"/>
    <w:rsid w:val="002B1142"/>
    <w:rsid w:val="002B16A2"/>
    <w:rsid w:val="002B1850"/>
    <w:rsid w:val="002B1A0F"/>
    <w:rsid w:val="002B1CE7"/>
    <w:rsid w:val="002B1CF1"/>
    <w:rsid w:val="002B2061"/>
    <w:rsid w:val="002B2327"/>
    <w:rsid w:val="002B2333"/>
    <w:rsid w:val="002B2390"/>
    <w:rsid w:val="002B24FB"/>
    <w:rsid w:val="002B271B"/>
    <w:rsid w:val="002B2946"/>
    <w:rsid w:val="002B2B09"/>
    <w:rsid w:val="002B2F94"/>
    <w:rsid w:val="002B3069"/>
    <w:rsid w:val="002B3344"/>
    <w:rsid w:val="002B35D9"/>
    <w:rsid w:val="002B3912"/>
    <w:rsid w:val="002B3DDF"/>
    <w:rsid w:val="002B3E82"/>
    <w:rsid w:val="002B4146"/>
    <w:rsid w:val="002B42CC"/>
    <w:rsid w:val="002B4547"/>
    <w:rsid w:val="002B4627"/>
    <w:rsid w:val="002B4986"/>
    <w:rsid w:val="002B49E1"/>
    <w:rsid w:val="002B4F68"/>
    <w:rsid w:val="002B4FA1"/>
    <w:rsid w:val="002B5111"/>
    <w:rsid w:val="002B5255"/>
    <w:rsid w:val="002B52EA"/>
    <w:rsid w:val="002B55EE"/>
    <w:rsid w:val="002B560B"/>
    <w:rsid w:val="002B5805"/>
    <w:rsid w:val="002B5879"/>
    <w:rsid w:val="002B5995"/>
    <w:rsid w:val="002B5C4E"/>
    <w:rsid w:val="002B5D51"/>
    <w:rsid w:val="002B5DC4"/>
    <w:rsid w:val="002B5F80"/>
    <w:rsid w:val="002B61DD"/>
    <w:rsid w:val="002B61F1"/>
    <w:rsid w:val="002B6548"/>
    <w:rsid w:val="002B66E4"/>
    <w:rsid w:val="002B684B"/>
    <w:rsid w:val="002B68FA"/>
    <w:rsid w:val="002B6B09"/>
    <w:rsid w:val="002B6F0E"/>
    <w:rsid w:val="002B6FB5"/>
    <w:rsid w:val="002B7075"/>
    <w:rsid w:val="002B7637"/>
    <w:rsid w:val="002B77F4"/>
    <w:rsid w:val="002B7BF8"/>
    <w:rsid w:val="002B7C22"/>
    <w:rsid w:val="002B7CA7"/>
    <w:rsid w:val="002B7F2A"/>
    <w:rsid w:val="002B7FB6"/>
    <w:rsid w:val="002C01E2"/>
    <w:rsid w:val="002C021C"/>
    <w:rsid w:val="002C0494"/>
    <w:rsid w:val="002C04DB"/>
    <w:rsid w:val="002C062A"/>
    <w:rsid w:val="002C0704"/>
    <w:rsid w:val="002C0747"/>
    <w:rsid w:val="002C081E"/>
    <w:rsid w:val="002C0932"/>
    <w:rsid w:val="002C0B91"/>
    <w:rsid w:val="002C0D1A"/>
    <w:rsid w:val="002C0D97"/>
    <w:rsid w:val="002C1068"/>
    <w:rsid w:val="002C1201"/>
    <w:rsid w:val="002C1501"/>
    <w:rsid w:val="002C1752"/>
    <w:rsid w:val="002C1A72"/>
    <w:rsid w:val="002C1A77"/>
    <w:rsid w:val="002C1B09"/>
    <w:rsid w:val="002C1B3C"/>
    <w:rsid w:val="002C1BA5"/>
    <w:rsid w:val="002C1C25"/>
    <w:rsid w:val="002C1C5B"/>
    <w:rsid w:val="002C1CD2"/>
    <w:rsid w:val="002C1F8C"/>
    <w:rsid w:val="002C1FA5"/>
    <w:rsid w:val="002C2184"/>
    <w:rsid w:val="002C26DB"/>
    <w:rsid w:val="002C29B0"/>
    <w:rsid w:val="002C29C4"/>
    <w:rsid w:val="002C2AA6"/>
    <w:rsid w:val="002C3039"/>
    <w:rsid w:val="002C31CA"/>
    <w:rsid w:val="002C327F"/>
    <w:rsid w:val="002C3349"/>
    <w:rsid w:val="002C3387"/>
    <w:rsid w:val="002C3403"/>
    <w:rsid w:val="002C3552"/>
    <w:rsid w:val="002C3DB6"/>
    <w:rsid w:val="002C3E68"/>
    <w:rsid w:val="002C3FF9"/>
    <w:rsid w:val="002C420D"/>
    <w:rsid w:val="002C46A2"/>
    <w:rsid w:val="002C47C4"/>
    <w:rsid w:val="002C47D3"/>
    <w:rsid w:val="002C47D8"/>
    <w:rsid w:val="002C4855"/>
    <w:rsid w:val="002C4A0D"/>
    <w:rsid w:val="002C4E3F"/>
    <w:rsid w:val="002C4E62"/>
    <w:rsid w:val="002C4F1B"/>
    <w:rsid w:val="002C512E"/>
    <w:rsid w:val="002C5227"/>
    <w:rsid w:val="002C55BD"/>
    <w:rsid w:val="002C573B"/>
    <w:rsid w:val="002C575B"/>
    <w:rsid w:val="002C57DE"/>
    <w:rsid w:val="002C583B"/>
    <w:rsid w:val="002C58CD"/>
    <w:rsid w:val="002C5E36"/>
    <w:rsid w:val="002C6067"/>
    <w:rsid w:val="002C61E0"/>
    <w:rsid w:val="002C6255"/>
    <w:rsid w:val="002C62AD"/>
    <w:rsid w:val="002C63BC"/>
    <w:rsid w:val="002C64DB"/>
    <w:rsid w:val="002C6510"/>
    <w:rsid w:val="002C6808"/>
    <w:rsid w:val="002C6809"/>
    <w:rsid w:val="002C71AD"/>
    <w:rsid w:val="002C71C1"/>
    <w:rsid w:val="002C73A0"/>
    <w:rsid w:val="002C740F"/>
    <w:rsid w:val="002C7432"/>
    <w:rsid w:val="002C74CE"/>
    <w:rsid w:val="002C771F"/>
    <w:rsid w:val="002C78C8"/>
    <w:rsid w:val="002C78F7"/>
    <w:rsid w:val="002C7927"/>
    <w:rsid w:val="002C7973"/>
    <w:rsid w:val="002C79AA"/>
    <w:rsid w:val="002C79DB"/>
    <w:rsid w:val="002D02AF"/>
    <w:rsid w:val="002D04F0"/>
    <w:rsid w:val="002D05A2"/>
    <w:rsid w:val="002D07CB"/>
    <w:rsid w:val="002D0872"/>
    <w:rsid w:val="002D09CA"/>
    <w:rsid w:val="002D0BC2"/>
    <w:rsid w:val="002D0C40"/>
    <w:rsid w:val="002D1393"/>
    <w:rsid w:val="002D1612"/>
    <w:rsid w:val="002D1897"/>
    <w:rsid w:val="002D208C"/>
    <w:rsid w:val="002D224C"/>
    <w:rsid w:val="002D23CD"/>
    <w:rsid w:val="002D23D2"/>
    <w:rsid w:val="002D262D"/>
    <w:rsid w:val="002D2631"/>
    <w:rsid w:val="002D26F2"/>
    <w:rsid w:val="002D2A61"/>
    <w:rsid w:val="002D2CC1"/>
    <w:rsid w:val="002D2D7D"/>
    <w:rsid w:val="002D2EBD"/>
    <w:rsid w:val="002D2F41"/>
    <w:rsid w:val="002D3611"/>
    <w:rsid w:val="002D3639"/>
    <w:rsid w:val="002D3644"/>
    <w:rsid w:val="002D3904"/>
    <w:rsid w:val="002D3C73"/>
    <w:rsid w:val="002D3D73"/>
    <w:rsid w:val="002D3E63"/>
    <w:rsid w:val="002D40A5"/>
    <w:rsid w:val="002D427E"/>
    <w:rsid w:val="002D4375"/>
    <w:rsid w:val="002D43FE"/>
    <w:rsid w:val="002D4444"/>
    <w:rsid w:val="002D4AB4"/>
    <w:rsid w:val="002D4EA1"/>
    <w:rsid w:val="002D5138"/>
    <w:rsid w:val="002D513C"/>
    <w:rsid w:val="002D57E3"/>
    <w:rsid w:val="002D59AF"/>
    <w:rsid w:val="002D5C31"/>
    <w:rsid w:val="002D5C45"/>
    <w:rsid w:val="002D5D22"/>
    <w:rsid w:val="002D5EB8"/>
    <w:rsid w:val="002D628A"/>
    <w:rsid w:val="002D6363"/>
    <w:rsid w:val="002D6406"/>
    <w:rsid w:val="002D6CD9"/>
    <w:rsid w:val="002D6D74"/>
    <w:rsid w:val="002D6E10"/>
    <w:rsid w:val="002D6E2C"/>
    <w:rsid w:val="002D6F8F"/>
    <w:rsid w:val="002D6FE3"/>
    <w:rsid w:val="002D70F9"/>
    <w:rsid w:val="002D7101"/>
    <w:rsid w:val="002D743D"/>
    <w:rsid w:val="002D77F3"/>
    <w:rsid w:val="002E0064"/>
    <w:rsid w:val="002E0221"/>
    <w:rsid w:val="002E02D1"/>
    <w:rsid w:val="002E0394"/>
    <w:rsid w:val="002E05C8"/>
    <w:rsid w:val="002E064A"/>
    <w:rsid w:val="002E09B1"/>
    <w:rsid w:val="002E0CCF"/>
    <w:rsid w:val="002E0E90"/>
    <w:rsid w:val="002E10B5"/>
    <w:rsid w:val="002E1103"/>
    <w:rsid w:val="002E112E"/>
    <w:rsid w:val="002E12CC"/>
    <w:rsid w:val="002E138C"/>
    <w:rsid w:val="002E1763"/>
    <w:rsid w:val="002E1A1C"/>
    <w:rsid w:val="002E1E9C"/>
    <w:rsid w:val="002E21F7"/>
    <w:rsid w:val="002E21F9"/>
    <w:rsid w:val="002E2384"/>
    <w:rsid w:val="002E250B"/>
    <w:rsid w:val="002E25D6"/>
    <w:rsid w:val="002E268C"/>
    <w:rsid w:val="002E279A"/>
    <w:rsid w:val="002E28DA"/>
    <w:rsid w:val="002E2992"/>
    <w:rsid w:val="002E2A0C"/>
    <w:rsid w:val="002E2A0F"/>
    <w:rsid w:val="002E2A8F"/>
    <w:rsid w:val="002E2AF0"/>
    <w:rsid w:val="002E2C1E"/>
    <w:rsid w:val="002E30CA"/>
    <w:rsid w:val="002E33E0"/>
    <w:rsid w:val="002E3442"/>
    <w:rsid w:val="002E35FA"/>
    <w:rsid w:val="002E3854"/>
    <w:rsid w:val="002E3A23"/>
    <w:rsid w:val="002E3A63"/>
    <w:rsid w:val="002E3A66"/>
    <w:rsid w:val="002E4094"/>
    <w:rsid w:val="002E451D"/>
    <w:rsid w:val="002E4680"/>
    <w:rsid w:val="002E4756"/>
    <w:rsid w:val="002E4850"/>
    <w:rsid w:val="002E4BD8"/>
    <w:rsid w:val="002E4F36"/>
    <w:rsid w:val="002E5234"/>
    <w:rsid w:val="002E5311"/>
    <w:rsid w:val="002E5446"/>
    <w:rsid w:val="002E54F2"/>
    <w:rsid w:val="002E5719"/>
    <w:rsid w:val="002E5734"/>
    <w:rsid w:val="002E57F8"/>
    <w:rsid w:val="002E5870"/>
    <w:rsid w:val="002E590C"/>
    <w:rsid w:val="002E595E"/>
    <w:rsid w:val="002E59DD"/>
    <w:rsid w:val="002E59E6"/>
    <w:rsid w:val="002E5A92"/>
    <w:rsid w:val="002E5F6B"/>
    <w:rsid w:val="002E5FF7"/>
    <w:rsid w:val="002E61CD"/>
    <w:rsid w:val="002E6A1F"/>
    <w:rsid w:val="002E6AC0"/>
    <w:rsid w:val="002E6BD4"/>
    <w:rsid w:val="002E6E52"/>
    <w:rsid w:val="002E6E70"/>
    <w:rsid w:val="002E710A"/>
    <w:rsid w:val="002E749D"/>
    <w:rsid w:val="002E7582"/>
    <w:rsid w:val="002E7A9D"/>
    <w:rsid w:val="002E7C0D"/>
    <w:rsid w:val="002E7D61"/>
    <w:rsid w:val="002E7D7B"/>
    <w:rsid w:val="002E7F34"/>
    <w:rsid w:val="002F01B2"/>
    <w:rsid w:val="002F030D"/>
    <w:rsid w:val="002F0324"/>
    <w:rsid w:val="002F0D06"/>
    <w:rsid w:val="002F0D34"/>
    <w:rsid w:val="002F1025"/>
    <w:rsid w:val="002F11EB"/>
    <w:rsid w:val="002F13E2"/>
    <w:rsid w:val="002F1487"/>
    <w:rsid w:val="002F15C6"/>
    <w:rsid w:val="002F1723"/>
    <w:rsid w:val="002F1755"/>
    <w:rsid w:val="002F178D"/>
    <w:rsid w:val="002F211D"/>
    <w:rsid w:val="002F21B5"/>
    <w:rsid w:val="002F2271"/>
    <w:rsid w:val="002F2321"/>
    <w:rsid w:val="002F23C2"/>
    <w:rsid w:val="002F23DA"/>
    <w:rsid w:val="002F2491"/>
    <w:rsid w:val="002F2565"/>
    <w:rsid w:val="002F2794"/>
    <w:rsid w:val="002F2983"/>
    <w:rsid w:val="002F2A9E"/>
    <w:rsid w:val="002F2D70"/>
    <w:rsid w:val="002F3544"/>
    <w:rsid w:val="002F3597"/>
    <w:rsid w:val="002F3706"/>
    <w:rsid w:val="002F3835"/>
    <w:rsid w:val="002F3A9A"/>
    <w:rsid w:val="002F3BB0"/>
    <w:rsid w:val="002F3E2C"/>
    <w:rsid w:val="002F3ED7"/>
    <w:rsid w:val="002F4098"/>
    <w:rsid w:val="002F40DB"/>
    <w:rsid w:val="002F41EF"/>
    <w:rsid w:val="002F43CB"/>
    <w:rsid w:val="002F4425"/>
    <w:rsid w:val="002F46EC"/>
    <w:rsid w:val="002F47A9"/>
    <w:rsid w:val="002F4BF7"/>
    <w:rsid w:val="002F4C51"/>
    <w:rsid w:val="002F538C"/>
    <w:rsid w:val="002F545F"/>
    <w:rsid w:val="002F58DB"/>
    <w:rsid w:val="002F61FF"/>
    <w:rsid w:val="002F626A"/>
    <w:rsid w:val="002F64CA"/>
    <w:rsid w:val="002F6944"/>
    <w:rsid w:val="002F6C67"/>
    <w:rsid w:val="002F6D29"/>
    <w:rsid w:val="002F6DF0"/>
    <w:rsid w:val="002F6EE7"/>
    <w:rsid w:val="002F6F0C"/>
    <w:rsid w:val="002F7253"/>
    <w:rsid w:val="002F73A4"/>
    <w:rsid w:val="002F7429"/>
    <w:rsid w:val="002F7580"/>
    <w:rsid w:val="002F79B0"/>
    <w:rsid w:val="002F7ABC"/>
    <w:rsid w:val="0030003D"/>
    <w:rsid w:val="0030040D"/>
    <w:rsid w:val="00300424"/>
    <w:rsid w:val="00300545"/>
    <w:rsid w:val="0030057A"/>
    <w:rsid w:val="0030093F"/>
    <w:rsid w:val="00300989"/>
    <w:rsid w:val="00300C64"/>
    <w:rsid w:val="00300D90"/>
    <w:rsid w:val="0030116A"/>
    <w:rsid w:val="003012C3"/>
    <w:rsid w:val="0030157B"/>
    <w:rsid w:val="00301734"/>
    <w:rsid w:val="00301981"/>
    <w:rsid w:val="00301B8C"/>
    <w:rsid w:val="00301DAE"/>
    <w:rsid w:val="00301E83"/>
    <w:rsid w:val="00301EC6"/>
    <w:rsid w:val="00301FD0"/>
    <w:rsid w:val="00301FE8"/>
    <w:rsid w:val="00302157"/>
    <w:rsid w:val="00302172"/>
    <w:rsid w:val="00302425"/>
    <w:rsid w:val="00302676"/>
    <w:rsid w:val="003027A1"/>
    <w:rsid w:val="0030283A"/>
    <w:rsid w:val="00302D1D"/>
    <w:rsid w:val="00302D3F"/>
    <w:rsid w:val="00302E60"/>
    <w:rsid w:val="00303309"/>
    <w:rsid w:val="00303627"/>
    <w:rsid w:val="00303866"/>
    <w:rsid w:val="00303D14"/>
    <w:rsid w:val="00304168"/>
    <w:rsid w:val="003045B9"/>
    <w:rsid w:val="003047B2"/>
    <w:rsid w:val="0030486F"/>
    <w:rsid w:val="003049E5"/>
    <w:rsid w:val="00304ACB"/>
    <w:rsid w:val="00304C28"/>
    <w:rsid w:val="0030500D"/>
    <w:rsid w:val="003053F8"/>
    <w:rsid w:val="00305418"/>
    <w:rsid w:val="0030542E"/>
    <w:rsid w:val="00305677"/>
    <w:rsid w:val="00305690"/>
    <w:rsid w:val="00305739"/>
    <w:rsid w:val="003058A4"/>
    <w:rsid w:val="003059DD"/>
    <w:rsid w:val="00305A1F"/>
    <w:rsid w:val="00305A7D"/>
    <w:rsid w:val="00305B34"/>
    <w:rsid w:val="00305BF5"/>
    <w:rsid w:val="00306052"/>
    <w:rsid w:val="00306063"/>
    <w:rsid w:val="0030619E"/>
    <w:rsid w:val="003062AD"/>
    <w:rsid w:val="00306317"/>
    <w:rsid w:val="00306342"/>
    <w:rsid w:val="00306728"/>
    <w:rsid w:val="003068C0"/>
    <w:rsid w:val="0030691E"/>
    <w:rsid w:val="003069F6"/>
    <w:rsid w:val="00306A6C"/>
    <w:rsid w:val="00306E33"/>
    <w:rsid w:val="00306F47"/>
    <w:rsid w:val="00307604"/>
    <w:rsid w:val="00307703"/>
    <w:rsid w:val="00307853"/>
    <w:rsid w:val="003078AF"/>
    <w:rsid w:val="00307932"/>
    <w:rsid w:val="00307944"/>
    <w:rsid w:val="00307AC7"/>
    <w:rsid w:val="00307BB7"/>
    <w:rsid w:val="00307C20"/>
    <w:rsid w:val="00307E1F"/>
    <w:rsid w:val="00310214"/>
    <w:rsid w:val="0031059E"/>
    <w:rsid w:val="00310619"/>
    <w:rsid w:val="003106A1"/>
    <w:rsid w:val="003107D3"/>
    <w:rsid w:val="00310B05"/>
    <w:rsid w:val="00310BB1"/>
    <w:rsid w:val="00310BE7"/>
    <w:rsid w:val="00310C3A"/>
    <w:rsid w:val="00310CB8"/>
    <w:rsid w:val="00310EEE"/>
    <w:rsid w:val="00310F2F"/>
    <w:rsid w:val="0031101F"/>
    <w:rsid w:val="00311444"/>
    <w:rsid w:val="00311C65"/>
    <w:rsid w:val="00311C98"/>
    <w:rsid w:val="00311EBF"/>
    <w:rsid w:val="003121FC"/>
    <w:rsid w:val="003122A1"/>
    <w:rsid w:val="00312562"/>
    <w:rsid w:val="003126AC"/>
    <w:rsid w:val="00312762"/>
    <w:rsid w:val="0031282D"/>
    <w:rsid w:val="00312877"/>
    <w:rsid w:val="00312A26"/>
    <w:rsid w:val="00312EE3"/>
    <w:rsid w:val="003138ED"/>
    <w:rsid w:val="00313AC2"/>
    <w:rsid w:val="00313B30"/>
    <w:rsid w:val="00313DDC"/>
    <w:rsid w:val="003143DA"/>
    <w:rsid w:val="0031482E"/>
    <w:rsid w:val="00314D0A"/>
    <w:rsid w:val="00314D45"/>
    <w:rsid w:val="00315795"/>
    <w:rsid w:val="00315BC3"/>
    <w:rsid w:val="00315EE5"/>
    <w:rsid w:val="00315EE8"/>
    <w:rsid w:val="00315FD9"/>
    <w:rsid w:val="003160C3"/>
    <w:rsid w:val="003160EB"/>
    <w:rsid w:val="00316304"/>
    <w:rsid w:val="003166D1"/>
    <w:rsid w:val="00316E39"/>
    <w:rsid w:val="00317250"/>
    <w:rsid w:val="003172C6"/>
    <w:rsid w:val="00317324"/>
    <w:rsid w:val="0031735D"/>
    <w:rsid w:val="003174DE"/>
    <w:rsid w:val="0031760C"/>
    <w:rsid w:val="00317720"/>
    <w:rsid w:val="0031775B"/>
    <w:rsid w:val="003177D8"/>
    <w:rsid w:val="003177F3"/>
    <w:rsid w:val="00317869"/>
    <w:rsid w:val="00317A67"/>
    <w:rsid w:val="00317A8D"/>
    <w:rsid w:val="00320051"/>
    <w:rsid w:val="0032034A"/>
    <w:rsid w:val="003205BD"/>
    <w:rsid w:val="00320C63"/>
    <w:rsid w:val="00320E13"/>
    <w:rsid w:val="00320FB8"/>
    <w:rsid w:val="0032102F"/>
    <w:rsid w:val="00321064"/>
    <w:rsid w:val="0032108A"/>
    <w:rsid w:val="003210C9"/>
    <w:rsid w:val="00321137"/>
    <w:rsid w:val="00321166"/>
    <w:rsid w:val="003211DF"/>
    <w:rsid w:val="003212E7"/>
    <w:rsid w:val="003212FE"/>
    <w:rsid w:val="00321471"/>
    <w:rsid w:val="0032159F"/>
    <w:rsid w:val="003218E3"/>
    <w:rsid w:val="00321ACF"/>
    <w:rsid w:val="00321BB5"/>
    <w:rsid w:val="00321C2F"/>
    <w:rsid w:val="003228DF"/>
    <w:rsid w:val="003228F4"/>
    <w:rsid w:val="00322AF2"/>
    <w:rsid w:val="00322BD5"/>
    <w:rsid w:val="00322C4A"/>
    <w:rsid w:val="00322E1A"/>
    <w:rsid w:val="00322E35"/>
    <w:rsid w:val="00322EA5"/>
    <w:rsid w:val="003236FF"/>
    <w:rsid w:val="0032385A"/>
    <w:rsid w:val="00323BCE"/>
    <w:rsid w:val="00323C6C"/>
    <w:rsid w:val="00324067"/>
    <w:rsid w:val="003240B3"/>
    <w:rsid w:val="00324139"/>
    <w:rsid w:val="003242F3"/>
    <w:rsid w:val="00324350"/>
    <w:rsid w:val="00324455"/>
    <w:rsid w:val="0032469F"/>
    <w:rsid w:val="003246DE"/>
    <w:rsid w:val="00324B36"/>
    <w:rsid w:val="00324D0B"/>
    <w:rsid w:val="00325119"/>
    <w:rsid w:val="003254A8"/>
    <w:rsid w:val="00325656"/>
    <w:rsid w:val="00325A3B"/>
    <w:rsid w:val="00325B28"/>
    <w:rsid w:val="00325BC7"/>
    <w:rsid w:val="0032614F"/>
    <w:rsid w:val="00326393"/>
    <w:rsid w:val="00326510"/>
    <w:rsid w:val="00326779"/>
    <w:rsid w:val="00326BB7"/>
    <w:rsid w:val="00326F70"/>
    <w:rsid w:val="00326FEB"/>
    <w:rsid w:val="003272A9"/>
    <w:rsid w:val="00327600"/>
    <w:rsid w:val="00327917"/>
    <w:rsid w:val="00327CEE"/>
    <w:rsid w:val="00327E5A"/>
    <w:rsid w:val="00327EF4"/>
    <w:rsid w:val="0033045F"/>
    <w:rsid w:val="00330523"/>
    <w:rsid w:val="003308C7"/>
    <w:rsid w:val="003308EA"/>
    <w:rsid w:val="00330B00"/>
    <w:rsid w:val="00330B5A"/>
    <w:rsid w:val="00330FC1"/>
    <w:rsid w:val="00331004"/>
    <w:rsid w:val="003312BE"/>
    <w:rsid w:val="003314BC"/>
    <w:rsid w:val="003315A1"/>
    <w:rsid w:val="00331612"/>
    <w:rsid w:val="00331B0F"/>
    <w:rsid w:val="00331D4E"/>
    <w:rsid w:val="003320AB"/>
    <w:rsid w:val="0033254D"/>
    <w:rsid w:val="00332572"/>
    <w:rsid w:val="00332707"/>
    <w:rsid w:val="0033273E"/>
    <w:rsid w:val="003329DE"/>
    <w:rsid w:val="003329E5"/>
    <w:rsid w:val="00332B95"/>
    <w:rsid w:val="00332C7E"/>
    <w:rsid w:val="00332CE0"/>
    <w:rsid w:val="00333233"/>
    <w:rsid w:val="003332E7"/>
    <w:rsid w:val="003336DD"/>
    <w:rsid w:val="00333A18"/>
    <w:rsid w:val="00333BE1"/>
    <w:rsid w:val="00333BE7"/>
    <w:rsid w:val="00333CD8"/>
    <w:rsid w:val="00334180"/>
    <w:rsid w:val="00334713"/>
    <w:rsid w:val="003347CB"/>
    <w:rsid w:val="00334A47"/>
    <w:rsid w:val="00334D1D"/>
    <w:rsid w:val="00334E33"/>
    <w:rsid w:val="00335109"/>
    <w:rsid w:val="00335285"/>
    <w:rsid w:val="003352F5"/>
    <w:rsid w:val="003353D4"/>
    <w:rsid w:val="00335647"/>
    <w:rsid w:val="00335677"/>
    <w:rsid w:val="00335969"/>
    <w:rsid w:val="00335AE3"/>
    <w:rsid w:val="00335B48"/>
    <w:rsid w:val="00335C2E"/>
    <w:rsid w:val="0033605D"/>
    <w:rsid w:val="003360BC"/>
    <w:rsid w:val="003361E5"/>
    <w:rsid w:val="0033626D"/>
    <w:rsid w:val="00336346"/>
    <w:rsid w:val="00336349"/>
    <w:rsid w:val="003366BE"/>
    <w:rsid w:val="00336A13"/>
    <w:rsid w:val="00336AEF"/>
    <w:rsid w:val="00336B81"/>
    <w:rsid w:val="00336CC6"/>
    <w:rsid w:val="00336DEF"/>
    <w:rsid w:val="00336E2A"/>
    <w:rsid w:val="00336E84"/>
    <w:rsid w:val="003371C2"/>
    <w:rsid w:val="00337212"/>
    <w:rsid w:val="003375AF"/>
    <w:rsid w:val="003377A6"/>
    <w:rsid w:val="003378A3"/>
    <w:rsid w:val="003378C0"/>
    <w:rsid w:val="00337B73"/>
    <w:rsid w:val="00337D75"/>
    <w:rsid w:val="00337D94"/>
    <w:rsid w:val="00337DF3"/>
    <w:rsid w:val="00337E36"/>
    <w:rsid w:val="00337E76"/>
    <w:rsid w:val="00337F83"/>
    <w:rsid w:val="003407B9"/>
    <w:rsid w:val="00340915"/>
    <w:rsid w:val="003409AB"/>
    <w:rsid w:val="00340CB1"/>
    <w:rsid w:val="00340DA5"/>
    <w:rsid w:val="00340E75"/>
    <w:rsid w:val="003410D5"/>
    <w:rsid w:val="0034131C"/>
    <w:rsid w:val="0034155C"/>
    <w:rsid w:val="0034175D"/>
    <w:rsid w:val="003419AF"/>
    <w:rsid w:val="00341A67"/>
    <w:rsid w:val="00341AFD"/>
    <w:rsid w:val="00341D31"/>
    <w:rsid w:val="00341E3A"/>
    <w:rsid w:val="00342127"/>
    <w:rsid w:val="003422A2"/>
    <w:rsid w:val="003422DB"/>
    <w:rsid w:val="003423FE"/>
    <w:rsid w:val="00342662"/>
    <w:rsid w:val="00342861"/>
    <w:rsid w:val="0034287D"/>
    <w:rsid w:val="00342CE7"/>
    <w:rsid w:val="00342FBD"/>
    <w:rsid w:val="00343115"/>
    <w:rsid w:val="003432BE"/>
    <w:rsid w:val="003433A7"/>
    <w:rsid w:val="00343662"/>
    <w:rsid w:val="003436FE"/>
    <w:rsid w:val="00343722"/>
    <w:rsid w:val="00343DA6"/>
    <w:rsid w:val="00343E30"/>
    <w:rsid w:val="00343E38"/>
    <w:rsid w:val="00343F81"/>
    <w:rsid w:val="003440B2"/>
    <w:rsid w:val="0034420F"/>
    <w:rsid w:val="003442B7"/>
    <w:rsid w:val="0034431B"/>
    <w:rsid w:val="003443DE"/>
    <w:rsid w:val="0034475B"/>
    <w:rsid w:val="00344EAA"/>
    <w:rsid w:val="0034513C"/>
    <w:rsid w:val="003453F4"/>
    <w:rsid w:val="0034569C"/>
    <w:rsid w:val="0034569D"/>
    <w:rsid w:val="00345727"/>
    <w:rsid w:val="0034597A"/>
    <w:rsid w:val="00345B58"/>
    <w:rsid w:val="00345D76"/>
    <w:rsid w:val="00345F3B"/>
    <w:rsid w:val="00345FFD"/>
    <w:rsid w:val="00346084"/>
    <w:rsid w:val="00346373"/>
    <w:rsid w:val="003465D4"/>
    <w:rsid w:val="00346635"/>
    <w:rsid w:val="003467F7"/>
    <w:rsid w:val="00346A53"/>
    <w:rsid w:val="00346B2A"/>
    <w:rsid w:val="00346E02"/>
    <w:rsid w:val="003474A3"/>
    <w:rsid w:val="00347561"/>
    <w:rsid w:val="0034794A"/>
    <w:rsid w:val="00347A38"/>
    <w:rsid w:val="00347CAD"/>
    <w:rsid w:val="00347D2A"/>
    <w:rsid w:val="00347DA7"/>
    <w:rsid w:val="003500BD"/>
    <w:rsid w:val="00350408"/>
    <w:rsid w:val="0035071A"/>
    <w:rsid w:val="003507D8"/>
    <w:rsid w:val="00350998"/>
    <w:rsid w:val="00350C27"/>
    <w:rsid w:val="00350CA3"/>
    <w:rsid w:val="00350CEA"/>
    <w:rsid w:val="00350DE5"/>
    <w:rsid w:val="00351091"/>
    <w:rsid w:val="003516AA"/>
    <w:rsid w:val="003516DC"/>
    <w:rsid w:val="00351792"/>
    <w:rsid w:val="0035197B"/>
    <w:rsid w:val="00351AD2"/>
    <w:rsid w:val="003522E2"/>
    <w:rsid w:val="0035252A"/>
    <w:rsid w:val="003525E8"/>
    <w:rsid w:val="00352756"/>
    <w:rsid w:val="003527B3"/>
    <w:rsid w:val="0035292E"/>
    <w:rsid w:val="003529D1"/>
    <w:rsid w:val="00352AF7"/>
    <w:rsid w:val="00352D00"/>
    <w:rsid w:val="00352FA6"/>
    <w:rsid w:val="00353114"/>
    <w:rsid w:val="003532A4"/>
    <w:rsid w:val="0035350B"/>
    <w:rsid w:val="003535B1"/>
    <w:rsid w:val="00353762"/>
    <w:rsid w:val="003538ED"/>
    <w:rsid w:val="00353959"/>
    <w:rsid w:val="003539E6"/>
    <w:rsid w:val="00353C97"/>
    <w:rsid w:val="00353D92"/>
    <w:rsid w:val="00353E5E"/>
    <w:rsid w:val="00354299"/>
    <w:rsid w:val="003543F2"/>
    <w:rsid w:val="003545B6"/>
    <w:rsid w:val="003547C7"/>
    <w:rsid w:val="00354AA2"/>
    <w:rsid w:val="00354B4B"/>
    <w:rsid w:val="00354EEC"/>
    <w:rsid w:val="00354EF4"/>
    <w:rsid w:val="00354F31"/>
    <w:rsid w:val="003550FA"/>
    <w:rsid w:val="003551DE"/>
    <w:rsid w:val="003552DB"/>
    <w:rsid w:val="003555A8"/>
    <w:rsid w:val="00355692"/>
    <w:rsid w:val="00355716"/>
    <w:rsid w:val="0035573B"/>
    <w:rsid w:val="0035581D"/>
    <w:rsid w:val="00355D42"/>
    <w:rsid w:val="00355D9B"/>
    <w:rsid w:val="00355F85"/>
    <w:rsid w:val="0035613D"/>
    <w:rsid w:val="00356214"/>
    <w:rsid w:val="0035625B"/>
    <w:rsid w:val="003563FC"/>
    <w:rsid w:val="00356873"/>
    <w:rsid w:val="00356906"/>
    <w:rsid w:val="00356986"/>
    <w:rsid w:val="00356B9B"/>
    <w:rsid w:val="00356BA9"/>
    <w:rsid w:val="00356DF0"/>
    <w:rsid w:val="00356DF3"/>
    <w:rsid w:val="00356EE6"/>
    <w:rsid w:val="0035703E"/>
    <w:rsid w:val="00357B08"/>
    <w:rsid w:val="00357B7A"/>
    <w:rsid w:val="00357E40"/>
    <w:rsid w:val="003600F6"/>
    <w:rsid w:val="003602AD"/>
    <w:rsid w:val="00360327"/>
    <w:rsid w:val="0036034A"/>
    <w:rsid w:val="0036049E"/>
    <w:rsid w:val="00360513"/>
    <w:rsid w:val="00360550"/>
    <w:rsid w:val="00360A15"/>
    <w:rsid w:val="00360C53"/>
    <w:rsid w:val="00360C73"/>
    <w:rsid w:val="00360CBC"/>
    <w:rsid w:val="00360DBE"/>
    <w:rsid w:val="00360E5E"/>
    <w:rsid w:val="00360EAD"/>
    <w:rsid w:val="0036107A"/>
    <w:rsid w:val="0036141E"/>
    <w:rsid w:val="003616D9"/>
    <w:rsid w:val="00361852"/>
    <w:rsid w:val="00361891"/>
    <w:rsid w:val="00361A3C"/>
    <w:rsid w:val="00361D72"/>
    <w:rsid w:val="00361E2C"/>
    <w:rsid w:val="00361F2F"/>
    <w:rsid w:val="00361F80"/>
    <w:rsid w:val="00361FEF"/>
    <w:rsid w:val="003623F0"/>
    <w:rsid w:val="0036245B"/>
    <w:rsid w:val="003624FB"/>
    <w:rsid w:val="003626F5"/>
    <w:rsid w:val="00362BD6"/>
    <w:rsid w:val="00362C4C"/>
    <w:rsid w:val="00362E31"/>
    <w:rsid w:val="003630EE"/>
    <w:rsid w:val="003631D0"/>
    <w:rsid w:val="003634BB"/>
    <w:rsid w:val="003634C1"/>
    <w:rsid w:val="003636BF"/>
    <w:rsid w:val="003637F1"/>
    <w:rsid w:val="00363C66"/>
    <w:rsid w:val="00363CC9"/>
    <w:rsid w:val="00364286"/>
    <w:rsid w:val="0036437F"/>
    <w:rsid w:val="003645D7"/>
    <w:rsid w:val="00364895"/>
    <w:rsid w:val="00364A47"/>
    <w:rsid w:val="00364AC3"/>
    <w:rsid w:val="00364B98"/>
    <w:rsid w:val="003651F7"/>
    <w:rsid w:val="0036520F"/>
    <w:rsid w:val="00365238"/>
    <w:rsid w:val="00365299"/>
    <w:rsid w:val="003652AD"/>
    <w:rsid w:val="003652D0"/>
    <w:rsid w:val="00365340"/>
    <w:rsid w:val="00365713"/>
    <w:rsid w:val="0036595E"/>
    <w:rsid w:val="00365D80"/>
    <w:rsid w:val="00365F06"/>
    <w:rsid w:val="00365FE1"/>
    <w:rsid w:val="003664D3"/>
    <w:rsid w:val="00366A57"/>
    <w:rsid w:val="00366AFF"/>
    <w:rsid w:val="00366D85"/>
    <w:rsid w:val="00366FC5"/>
    <w:rsid w:val="0036744D"/>
    <w:rsid w:val="00367AAF"/>
    <w:rsid w:val="00367BFB"/>
    <w:rsid w:val="00367E1B"/>
    <w:rsid w:val="00367F88"/>
    <w:rsid w:val="003703C5"/>
    <w:rsid w:val="0037041B"/>
    <w:rsid w:val="0037044D"/>
    <w:rsid w:val="003705A0"/>
    <w:rsid w:val="00370808"/>
    <w:rsid w:val="00370AAE"/>
    <w:rsid w:val="00370AD2"/>
    <w:rsid w:val="00370D44"/>
    <w:rsid w:val="00370DAB"/>
    <w:rsid w:val="00370FB3"/>
    <w:rsid w:val="00371442"/>
    <w:rsid w:val="00371452"/>
    <w:rsid w:val="003715C8"/>
    <w:rsid w:val="003716A6"/>
    <w:rsid w:val="003717B0"/>
    <w:rsid w:val="003718FC"/>
    <w:rsid w:val="00371985"/>
    <w:rsid w:val="0037198F"/>
    <w:rsid w:val="00371A6E"/>
    <w:rsid w:val="00371AF4"/>
    <w:rsid w:val="00371BE4"/>
    <w:rsid w:val="00371EF9"/>
    <w:rsid w:val="0037202A"/>
    <w:rsid w:val="00372035"/>
    <w:rsid w:val="00372052"/>
    <w:rsid w:val="0037226D"/>
    <w:rsid w:val="00372273"/>
    <w:rsid w:val="0037229F"/>
    <w:rsid w:val="0037248E"/>
    <w:rsid w:val="00372A43"/>
    <w:rsid w:val="00372B3F"/>
    <w:rsid w:val="00372C7C"/>
    <w:rsid w:val="00372DB2"/>
    <w:rsid w:val="003730D2"/>
    <w:rsid w:val="003732B5"/>
    <w:rsid w:val="0037333D"/>
    <w:rsid w:val="00373340"/>
    <w:rsid w:val="00373A5A"/>
    <w:rsid w:val="00373C44"/>
    <w:rsid w:val="00373CDA"/>
    <w:rsid w:val="00373E44"/>
    <w:rsid w:val="0037438A"/>
    <w:rsid w:val="00374398"/>
    <w:rsid w:val="003744B6"/>
    <w:rsid w:val="003745BB"/>
    <w:rsid w:val="00374B0A"/>
    <w:rsid w:val="00374B5A"/>
    <w:rsid w:val="00374BB9"/>
    <w:rsid w:val="00374D2C"/>
    <w:rsid w:val="003755F9"/>
    <w:rsid w:val="0037569A"/>
    <w:rsid w:val="00375944"/>
    <w:rsid w:val="00375D76"/>
    <w:rsid w:val="00375DBE"/>
    <w:rsid w:val="00375DEC"/>
    <w:rsid w:val="00376298"/>
    <w:rsid w:val="0037640D"/>
    <w:rsid w:val="003764FC"/>
    <w:rsid w:val="0037651B"/>
    <w:rsid w:val="00376756"/>
    <w:rsid w:val="0037678C"/>
    <w:rsid w:val="003768BA"/>
    <w:rsid w:val="00376A40"/>
    <w:rsid w:val="00376F08"/>
    <w:rsid w:val="0037703C"/>
    <w:rsid w:val="00377355"/>
    <w:rsid w:val="003776E9"/>
    <w:rsid w:val="00377862"/>
    <w:rsid w:val="003779AD"/>
    <w:rsid w:val="003779FC"/>
    <w:rsid w:val="00377CF6"/>
    <w:rsid w:val="00377F8F"/>
    <w:rsid w:val="003800C4"/>
    <w:rsid w:val="00380209"/>
    <w:rsid w:val="00380422"/>
    <w:rsid w:val="003806C3"/>
    <w:rsid w:val="00380B49"/>
    <w:rsid w:val="00380BEE"/>
    <w:rsid w:val="00380E38"/>
    <w:rsid w:val="00380E9A"/>
    <w:rsid w:val="00380F08"/>
    <w:rsid w:val="00380F97"/>
    <w:rsid w:val="00380FAC"/>
    <w:rsid w:val="003810AE"/>
    <w:rsid w:val="003810CA"/>
    <w:rsid w:val="003814DB"/>
    <w:rsid w:val="003815EA"/>
    <w:rsid w:val="00381836"/>
    <w:rsid w:val="003819A6"/>
    <w:rsid w:val="00381C7D"/>
    <w:rsid w:val="00381EC9"/>
    <w:rsid w:val="00381FAD"/>
    <w:rsid w:val="003822AB"/>
    <w:rsid w:val="003823A2"/>
    <w:rsid w:val="00382460"/>
    <w:rsid w:val="003827F7"/>
    <w:rsid w:val="0038288F"/>
    <w:rsid w:val="00382972"/>
    <w:rsid w:val="00382AB8"/>
    <w:rsid w:val="00382EB7"/>
    <w:rsid w:val="003830C7"/>
    <w:rsid w:val="003833BC"/>
    <w:rsid w:val="003838EC"/>
    <w:rsid w:val="0038397F"/>
    <w:rsid w:val="00383A36"/>
    <w:rsid w:val="00383B7F"/>
    <w:rsid w:val="003842F1"/>
    <w:rsid w:val="003845B4"/>
    <w:rsid w:val="003848B5"/>
    <w:rsid w:val="003848F2"/>
    <w:rsid w:val="003849A6"/>
    <w:rsid w:val="00384C07"/>
    <w:rsid w:val="00384CE2"/>
    <w:rsid w:val="00385175"/>
    <w:rsid w:val="00385683"/>
    <w:rsid w:val="0038573D"/>
    <w:rsid w:val="00385A59"/>
    <w:rsid w:val="00385BD3"/>
    <w:rsid w:val="00385F78"/>
    <w:rsid w:val="00385FB3"/>
    <w:rsid w:val="00386153"/>
    <w:rsid w:val="0038616D"/>
    <w:rsid w:val="003862AA"/>
    <w:rsid w:val="0038630F"/>
    <w:rsid w:val="003866AD"/>
    <w:rsid w:val="00386779"/>
    <w:rsid w:val="00386AC1"/>
    <w:rsid w:val="00386C7A"/>
    <w:rsid w:val="00386F24"/>
    <w:rsid w:val="003870C7"/>
    <w:rsid w:val="00387233"/>
    <w:rsid w:val="003874F7"/>
    <w:rsid w:val="003877CA"/>
    <w:rsid w:val="003879A8"/>
    <w:rsid w:val="00387B00"/>
    <w:rsid w:val="00387B1A"/>
    <w:rsid w:val="00387BBB"/>
    <w:rsid w:val="003909CE"/>
    <w:rsid w:val="00390B14"/>
    <w:rsid w:val="00390EB4"/>
    <w:rsid w:val="00391055"/>
    <w:rsid w:val="00391161"/>
    <w:rsid w:val="003911EE"/>
    <w:rsid w:val="00391322"/>
    <w:rsid w:val="0039155C"/>
    <w:rsid w:val="00391768"/>
    <w:rsid w:val="00391A55"/>
    <w:rsid w:val="00391AA4"/>
    <w:rsid w:val="00391C05"/>
    <w:rsid w:val="00391C99"/>
    <w:rsid w:val="00391DA1"/>
    <w:rsid w:val="00391DBD"/>
    <w:rsid w:val="00391DCB"/>
    <w:rsid w:val="00391E8D"/>
    <w:rsid w:val="003923A1"/>
    <w:rsid w:val="00392447"/>
    <w:rsid w:val="00392878"/>
    <w:rsid w:val="0039293D"/>
    <w:rsid w:val="00392BE8"/>
    <w:rsid w:val="00392C68"/>
    <w:rsid w:val="00392E14"/>
    <w:rsid w:val="00392E67"/>
    <w:rsid w:val="00392FBF"/>
    <w:rsid w:val="0039342F"/>
    <w:rsid w:val="0039355D"/>
    <w:rsid w:val="0039359B"/>
    <w:rsid w:val="003938B1"/>
    <w:rsid w:val="00393952"/>
    <w:rsid w:val="00393CE3"/>
    <w:rsid w:val="00393E3D"/>
    <w:rsid w:val="00393E5B"/>
    <w:rsid w:val="00393EC3"/>
    <w:rsid w:val="00394177"/>
    <w:rsid w:val="00394180"/>
    <w:rsid w:val="00394257"/>
    <w:rsid w:val="003943B6"/>
    <w:rsid w:val="003944F8"/>
    <w:rsid w:val="00394549"/>
    <w:rsid w:val="003947B6"/>
    <w:rsid w:val="003949D8"/>
    <w:rsid w:val="00394A87"/>
    <w:rsid w:val="00394C97"/>
    <w:rsid w:val="0039505C"/>
    <w:rsid w:val="003950A4"/>
    <w:rsid w:val="0039511D"/>
    <w:rsid w:val="003951F7"/>
    <w:rsid w:val="003955AA"/>
    <w:rsid w:val="00395648"/>
    <w:rsid w:val="00395687"/>
    <w:rsid w:val="00395761"/>
    <w:rsid w:val="00395A81"/>
    <w:rsid w:val="00395B90"/>
    <w:rsid w:val="00395CBE"/>
    <w:rsid w:val="00395F9C"/>
    <w:rsid w:val="00395FCA"/>
    <w:rsid w:val="003962D5"/>
    <w:rsid w:val="00396A10"/>
    <w:rsid w:val="00396DBA"/>
    <w:rsid w:val="00396E71"/>
    <w:rsid w:val="00396F91"/>
    <w:rsid w:val="00396FA9"/>
    <w:rsid w:val="0039706D"/>
    <w:rsid w:val="003970C8"/>
    <w:rsid w:val="0039716C"/>
    <w:rsid w:val="00397179"/>
    <w:rsid w:val="00397257"/>
    <w:rsid w:val="0039726E"/>
    <w:rsid w:val="003972DD"/>
    <w:rsid w:val="003973FF"/>
    <w:rsid w:val="003974A8"/>
    <w:rsid w:val="003975A4"/>
    <w:rsid w:val="003976AC"/>
    <w:rsid w:val="003977DE"/>
    <w:rsid w:val="00397BD5"/>
    <w:rsid w:val="003A01A8"/>
    <w:rsid w:val="003A072D"/>
    <w:rsid w:val="003A0B23"/>
    <w:rsid w:val="003A0BFE"/>
    <w:rsid w:val="003A0E18"/>
    <w:rsid w:val="003A14E0"/>
    <w:rsid w:val="003A1511"/>
    <w:rsid w:val="003A1649"/>
    <w:rsid w:val="003A187C"/>
    <w:rsid w:val="003A1B8D"/>
    <w:rsid w:val="003A1DCE"/>
    <w:rsid w:val="003A20DA"/>
    <w:rsid w:val="003A22F8"/>
    <w:rsid w:val="003A2320"/>
    <w:rsid w:val="003A2328"/>
    <w:rsid w:val="003A2A2B"/>
    <w:rsid w:val="003A2AA3"/>
    <w:rsid w:val="003A2B04"/>
    <w:rsid w:val="003A2D29"/>
    <w:rsid w:val="003A2E24"/>
    <w:rsid w:val="003A3343"/>
    <w:rsid w:val="003A334D"/>
    <w:rsid w:val="003A37AF"/>
    <w:rsid w:val="003A385C"/>
    <w:rsid w:val="003A38B6"/>
    <w:rsid w:val="003A3976"/>
    <w:rsid w:val="003A3D97"/>
    <w:rsid w:val="003A3E6E"/>
    <w:rsid w:val="003A42D3"/>
    <w:rsid w:val="003A4349"/>
    <w:rsid w:val="003A43E7"/>
    <w:rsid w:val="003A44BA"/>
    <w:rsid w:val="003A458A"/>
    <w:rsid w:val="003A46AB"/>
    <w:rsid w:val="003A4848"/>
    <w:rsid w:val="003A499B"/>
    <w:rsid w:val="003A4BBA"/>
    <w:rsid w:val="003A52B9"/>
    <w:rsid w:val="003A58CC"/>
    <w:rsid w:val="003A5D04"/>
    <w:rsid w:val="003A5EC4"/>
    <w:rsid w:val="003A5F34"/>
    <w:rsid w:val="003A60DD"/>
    <w:rsid w:val="003A61AB"/>
    <w:rsid w:val="003A645D"/>
    <w:rsid w:val="003A646F"/>
    <w:rsid w:val="003A6508"/>
    <w:rsid w:val="003A658C"/>
    <w:rsid w:val="003A661B"/>
    <w:rsid w:val="003A66CC"/>
    <w:rsid w:val="003A6783"/>
    <w:rsid w:val="003A682F"/>
    <w:rsid w:val="003A6941"/>
    <w:rsid w:val="003A6B61"/>
    <w:rsid w:val="003A6CC3"/>
    <w:rsid w:val="003A7099"/>
    <w:rsid w:val="003A7256"/>
    <w:rsid w:val="003A730B"/>
    <w:rsid w:val="003A73C8"/>
    <w:rsid w:val="003A746B"/>
    <w:rsid w:val="003A751E"/>
    <w:rsid w:val="003A75AF"/>
    <w:rsid w:val="003A777A"/>
    <w:rsid w:val="003A77A0"/>
    <w:rsid w:val="003A78AB"/>
    <w:rsid w:val="003A7950"/>
    <w:rsid w:val="003A7A4D"/>
    <w:rsid w:val="003A7B44"/>
    <w:rsid w:val="003B0079"/>
    <w:rsid w:val="003B0776"/>
    <w:rsid w:val="003B0F4F"/>
    <w:rsid w:val="003B0FAA"/>
    <w:rsid w:val="003B102F"/>
    <w:rsid w:val="003B151D"/>
    <w:rsid w:val="003B167F"/>
    <w:rsid w:val="003B1B47"/>
    <w:rsid w:val="003B1C92"/>
    <w:rsid w:val="003B1FE2"/>
    <w:rsid w:val="003B237A"/>
    <w:rsid w:val="003B247F"/>
    <w:rsid w:val="003B24E4"/>
    <w:rsid w:val="003B2531"/>
    <w:rsid w:val="003B26FB"/>
    <w:rsid w:val="003B28A8"/>
    <w:rsid w:val="003B2981"/>
    <w:rsid w:val="003B2A0D"/>
    <w:rsid w:val="003B2BB6"/>
    <w:rsid w:val="003B2DEE"/>
    <w:rsid w:val="003B2E8F"/>
    <w:rsid w:val="003B2F2D"/>
    <w:rsid w:val="003B308F"/>
    <w:rsid w:val="003B31A5"/>
    <w:rsid w:val="003B33C7"/>
    <w:rsid w:val="003B3746"/>
    <w:rsid w:val="003B375B"/>
    <w:rsid w:val="003B3A1B"/>
    <w:rsid w:val="003B3C8E"/>
    <w:rsid w:val="003B402A"/>
    <w:rsid w:val="003B408F"/>
    <w:rsid w:val="003B41F4"/>
    <w:rsid w:val="003B4406"/>
    <w:rsid w:val="003B4488"/>
    <w:rsid w:val="003B4583"/>
    <w:rsid w:val="003B4860"/>
    <w:rsid w:val="003B4C2E"/>
    <w:rsid w:val="003B4C6B"/>
    <w:rsid w:val="003B4D66"/>
    <w:rsid w:val="003B4DCC"/>
    <w:rsid w:val="003B4EB2"/>
    <w:rsid w:val="003B574D"/>
    <w:rsid w:val="003B58C5"/>
    <w:rsid w:val="003B5920"/>
    <w:rsid w:val="003B5A13"/>
    <w:rsid w:val="003B5B6C"/>
    <w:rsid w:val="003B5D6A"/>
    <w:rsid w:val="003B5DEF"/>
    <w:rsid w:val="003B5E92"/>
    <w:rsid w:val="003B62C2"/>
    <w:rsid w:val="003B6401"/>
    <w:rsid w:val="003B64EF"/>
    <w:rsid w:val="003B653B"/>
    <w:rsid w:val="003B660E"/>
    <w:rsid w:val="003B66F0"/>
    <w:rsid w:val="003B67C6"/>
    <w:rsid w:val="003B6AD8"/>
    <w:rsid w:val="003B6C68"/>
    <w:rsid w:val="003B6D2F"/>
    <w:rsid w:val="003B6D94"/>
    <w:rsid w:val="003B6DD3"/>
    <w:rsid w:val="003B6E1C"/>
    <w:rsid w:val="003B6E22"/>
    <w:rsid w:val="003B6EB6"/>
    <w:rsid w:val="003B6F2E"/>
    <w:rsid w:val="003B7051"/>
    <w:rsid w:val="003B76A6"/>
    <w:rsid w:val="003B7830"/>
    <w:rsid w:val="003B7ADC"/>
    <w:rsid w:val="003B7C16"/>
    <w:rsid w:val="003B7DDD"/>
    <w:rsid w:val="003B7FB2"/>
    <w:rsid w:val="003C0245"/>
    <w:rsid w:val="003C082E"/>
    <w:rsid w:val="003C0870"/>
    <w:rsid w:val="003C0993"/>
    <w:rsid w:val="003C0AAF"/>
    <w:rsid w:val="003C0E25"/>
    <w:rsid w:val="003C0E6E"/>
    <w:rsid w:val="003C1031"/>
    <w:rsid w:val="003C104E"/>
    <w:rsid w:val="003C16DA"/>
    <w:rsid w:val="003C17A0"/>
    <w:rsid w:val="003C185E"/>
    <w:rsid w:val="003C18E6"/>
    <w:rsid w:val="003C1A9B"/>
    <w:rsid w:val="003C2094"/>
    <w:rsid w:val="003C236E"/>
    <w:rsid w:val="003C2389"/>
    <w:rsid w:val="003C2390"/>
    <w:rsid w:val="003C25DB"/>
    <w:rsid w:val="003C2812"/>
    <w:rsid w:val="003C286F"/>
    <w:rsid w:val="003C2DC1"/>
    <w:rsid w:val="003C3039"/>
    <w:rsid w:val="003C33F4"/>
    <w:rsid w:val="003C3677"/>
    <w:rsid w:val="003C36C4"/>
    <w:rsid w:val="003C398D"/>
    <w:rsid w:val="003C3C74"/>
    <w:rsid w:val="003C3D19"/>
    <w:rsid w:val="003C3F22"/>
    <w:rsid w:val="003C41CC"/>
    <w:rsid w:val="003C4229"/>
    <w:rsid w:val="003C4731"/>
    <w:rsid w:val="003C490D"/>
    <w:rsid w:val="003C4E07"/>
    <w:rsid w:val="003C4EB8"/>
    <w:rsid w:val="003C4F45"/>
    <w:rsid w:val="003C5272"/>
    <w:rsid w:val="003C5374"/>
    <w:rsid w:val="003C546E"/>
    <w:rsid w:val="003C55D8"/>
    <w:rsid w:val="003C5629"/>
    <w:rsid w:val="003C5872"/>
    <w:rsid w:val="003C58F5"/>
    <w:rsid w:val="003C5931"/>
    <w:rsid w:val="003C5C0E"/>
    <w:rsid w:val="003C5EE5"/>
    <w:rsid w:val="003C607B"/>
    <w:rsid w:val="003C61CC"/>
    <w:rsid w:val="003C6253"/>
    <w:rsid w:val="003C6277"/>
    <w:rsid w:val="003C62A6"/>
    <w:rsid w:val="003C6AB9"/>
    <w:rsid w:val="003C6BF6"/>
    <w:rsid w:val="003C7094"/>
    <w:rsid w:val="003C718C"/>
    <w:rsid w:val="003C7426"/>
    <w:rsid w:val="003C747D"/>
    <w:rsid w:val="003C7728"/>
    <w:rsid w:val="003C775D"/>
    <w:rsid w:val="003C793D"/>
    <w:rsid w:val="003C79A0"/>
    <w:rsid w:val="003C7BB3"/>
    <w:rsid w:val="003C7DB5"/>
    <w:rsid w:val="003C7EF4"/>
    <w:rsid w:val="003D0051"/>
    <w:rsid w:val="003D0CF3"/>
    <w:rsid w:val="003D0D26"/>
    <w:rsid w:val="003D0DA5"/>
    <w:rsid w:val="003D0E68"/>
    <w:rsid w:val="003D0F88"/>
    <w:rsid w:val="003D0FFC"/>
    <w:rsid w:val="003D114E"/>
    <w:rsid w:val="003D1261"/>
    <w:rsid w:val="003D12A9"/>
    <w:rsid w:val="003D19E4"/>
    <w:rsid w:val="003D2129"/>
    <w:rsid w:val="003D223C"/>
    <w:rsid w:val="003D2449"/>
    <w:rsid w:val="003D26B3"/>
    <w:rsid w:val="003D2712"/>
    <w:rsid w:val="003D2781"/>
    <w:rsid w:val="003D2B3F"/>
    <w:rsid w:val="003D2D0D"/>
    <w:rsid w:val="003D2FD4"/>
    <w:rsid w:val="003D308D"/>
    <w:rsid w:val="003D32DA"/>
    <w:rsid w:val="003D3403"/>
    <w:rsid w:val="003D34BE"/>
    <w:rsid w:val="003D38E5"/>
    <w:rsid w:val="003D3933"/>
    <w:rsid w:val="003D39B8"/>
    <w:rsid w:val="003D3A13"/>
    <w:rsid w:val="003D3F36"/>
    <w:rsid w:val="003D3F9C"/>
    <w:rsid w:val="003D424B"/>
    <w:rsid w:val="003D431C"/>
    <w:rsid w:val="003D43FD"/>
    <w:rsid w:val="003D479C"/>
    <w:rsid w:val="003D47A7"/>
    <w:rsid w:val="003D47DD"/>
    <w:rsid w:val="003D484A"/>
    <w:rsid w:val="003D487D"/>
    <w:rsid w:val="003D4FA6"/>
    <w:rsid w:val="003D4FCF"/>
    <w:rsid w:val="003D52C7"/>
    <w:rsid w:val="003D5423"/>
    <w:rsid w:val="003D55A5"/>
    <w:rsid w:val="003D5758"/>
    <w:rsid w:val="003D5C3A"/>
    <w:rsid w:val="003D5D3B"/>
    <w:rsid w:val="003D5D86"/>
    <w:rsid w:val="003D5EBE"/>
    <w:rsid w:val="003D5FAA"/>
    <w:rsid w:val="003D6002"/>
    <w:rsid w:val="003D65BD"/>
    <w:rsid w:val="003D6766"/>
    <w:rsid w:val="003D6E16"/>
    <w:rsid w:val="003D720E"/>
    <w:rsid w:val="003D7229"/>
    <w:rsid w:val="003D72A2"/>
    <w:rsid w:val="003D779B"/>
    <w:rsid w:val="003D77CD"/>
    <w:rsid w:val="003D7BCE"/>
    <w:rsid w:val="003D7C17"/>
    <w:rsid w:val="003D7C91"/>
    <w:rsid w:val="003D7DB0"/>
    <w:rsid w:val="003D7F02"/>
    <w:rsid w:val="003E0229"/>
    <w:rsid w:val="003E023F"/>
    <w:rsid w:val="003E0251"/>
    <w:rsid w:val="003E03A7"/>
    <w:rsid w:val="003E0936"/>
    <w:rsid w:val="003E0B81"/>
    <w:rsid w:val="003E0C93"/>
    <w:rsid w:val="003E0DD4"/>
    <w:rsid w:val="003E0DE6"/>
    <w:rsid w:val="003E0E45"/>
    <w:rsid w:val="003E102C"/>
    <w:rsid w:val="003E1075"/>
    <w:rsid w:val="003E148E"/>
    <w:rsid w:val="003E1681"/>
    <w:rsid w:val="003E1726"/>
    <w:rsid w:val="003E1C74"/>
    <w:rsid w:val="003E1CF7"/>
    <w:rsid w:val="003E1D61"/>
    <w:rsid w:val="003E2096"/>
    <w:rsid w:val="003E2200"/>
    <w:rsid w:val="003E22AC"/>
    <w:rsid w:val="003E251E"/>
    <w:rsid w:val="003E28DF"/>
    <w:rsid w:val="003E28ED"/>
    <w:rsid w:val="003E29AC"/>
    <w:rsid w:val="003E2BA0"/>
    <w:rsid w:val="003E2D75"/>
    <w:rsid w:val="003E2DD0"/>
    <w:rsid w:val="003E318C"/>
    <w:rsid w:val="003E3193"/>
    <w:rsid w:val="003E34BF"/>
    <w:rsid w:val="003E3541"/>
    <w:rsid w:val="003E3590"/>
    <w:rsid w:val="003E35B4"/>
    <w:rsid w:val="003E360C"/>
    <w:rsid w:val="003E39C6"/>
    <w:rsid w:val="003E3AB3"/>
    <w:rsid w:val="003E3ACA"/>
    <w:rsid w:val="003E3E9A"/>
    <w:rsid w:val="003E4126"/>
    <w:rsid w:val="003E447E"/>
    <w:rsid w:val="003E448C"/>
    <w:rsid w:val="003E451E"/>
    <w:rsid w:val="003E4528"/>
    <w:rsid w:val="003E4578"/>
    <w:rsid w:val="003E4643"/>
    <w:rsid w:val="003E4646"/>
    <w:rsid w:val="003E4725"/>
    <w:rsid w:val="003E475D"/>
    <w:rsid w:val="003E483F"/>
    <w:rsid w:val="003E4B0A"/>
    <w:rsid w:val="003E4E63"/>
    <w:rsid w:val="003E4F61"/>
    <w:rsid w:val="003E4F66"/>
    <w:rsid w:val="003E507E"/>
    <w:rsid w:val="003E53FA"/>
    <w:rsid w:val="003E5585"/>
    <w:rsid w:val="003E55BD"/>
    <w:rsid w:val="003E570E"/>
    <w:rsid w:val="003E5858"/>
    <w:rsid w:val="003E58D5"/>
    <w:rsid w:val="003E596C"/>
    <w:rsid w:val="003E5B61"/>
    <w:rsid w:val="003E5DDB"/>
    <w:rsid w:val="003E5EC8"/>
    <w:rsid w:val="003E6074"/>
    <w:rsid w:val="003E609D"/>
    <w:rsid w:val="003E62D9"/>
    <w:rsid w:val="003E6341"/>
    <w:rsid w:val="003E64C3"/>
    <w:rsid w:val="003E692C"/>
    <w:rsid w:val="003E6956"/>
    <w:rsid w:val="003E69DD"/>
    <w:rsid w:val="003E6B21"/>
    <w:rsid w:val="003E6FB7"/>
    <w:rsid w:val="003E7091"/>
    <w:rsid w:val="003E7205"/>
    <w:rsid w:val="003E73D4"/>
    <w:rsid w:val="003E75C9"/>
    <w:rsid w:val="003E7741"/>
    <w:rsid w:val="003E7A01"/>
    <w:rsid w:val="003E7C11"/>
    <w:rsid w:val="003E7C35"/>
    <w:rsid w:val="003E7E07"/>
    <w:rsid w:val="003F0159"/>
    <w:rsid w:val="003F032B"/>
    <w:rsid w:val="003F0398"/>
    <w:rsid w:val="003F05FF"/>
    <w:rsid w:val="003F09AE"/>
    <w:rsid w:val="003F0AA8"/>
    <w:rsid w:val="003F0C71"/>
    <w:rsid w:val="003F0D28"/>
    <w:rsid w:val="003F0EE7"/>
    <w:rsid w:val="003F0FC1"/>
    <w:rsid w:val="003F100C"/>
    <w:rsid w:val="003F10FE"/>
    <w:rsid w:val="003F1174"/>
    <w:rsid w:val="003F12AE"/>
    <w:rsid w:val="003F15F8"/>
    <w:rsid w:val="003F1736"/>
    <w:rsid w:val="003F17ED"/>
    <w:rsid w:val="003F1950"/>
    <w:rsid w:val="003F19BC"/>
    <w:rsid w:val="003F1A1E"/>
    <w:rsid w:val="003F1B39"/>
    <w:rsid w:val="003F1C08"/>
    <w:rsid w:val="003F1CE5"/>
    <w:rsid w:val="003F1EDB"/>
    <w:rsid w:val="003F20BE"/>
    <w:rsid w:val="003F2104"/>
    <w:rsid w:val="003F226C"/>
    <w:rsid w:val="003F2590"/>
    <w:rsid w:val="003F2684"/>
    <w:rsid w:val="003F285F"/>
    <w:rsid w:val="003F2906"/>
    <w:rsid w:val="003F2922"/>
    <w:rsid w:val="003F2AE9"/>
    <w:rsid w:val="003F2D1A"/>
    <w:rsid w:val="003F2F68"/>
    <w:rsid w:val="003F2FC1"/>
    <w:rsid w:val="003F31E3"/>
    <w:rsid w:val="003F32C6"/>
    <w:rsid w:val="003F32D9"/>
    <w:rsid w:val="003F3611"/>
    <w:rsid w:val="003F38D5"/>
    <w:rsid w:val="003F3A53"/>
    <w:rsid w:val="003F3C32"/>
    <w:rsid w:val="003F3C3F"/>
    <w:rsid w:val="003F3DDB"/>
    <w:rsid w:val="003F3DEC"/>
    <w:rsid w:val="003F3FF9"/>
    <w:rsid w:val="003F4417"/>
    <w:rsid w:val="003F442D"/>
    <w:rsid w:val="003F4942"/>
    <w:rsid w:val="003F49DF"/>
    <w:rsid w:val="003F4D18"/>
    <w:rsid w:val="003F4DA6"/>
    <w:rsid w:val="003F4DE4"/>
    <w:rsid w:val="003F4EC6"/>
    <w:rsid w:val="003F5009"/>
    <w:rsid w:val="003F5290"/>
    <w:rsid w:val="003F564B"/>
    <w:rsid w:val="003F5802"/>
    <w:rsid w:val="003F5839"/>
    <w:rsid w:val="003F586F"/>
    <w:rsid w:val="003F5925"/>
    <w:rsid w:val="003F5BAC"/>
    <w:rsid w:val="003F5CE7"/>
    <w:rsid w:val="003F5DA5"/>
    <w:rsid w:val="003F60D5"/>
    <w:rsid w:val="003F60F5"/>
    <w:rsid w:val="003F6230"/>
    <w:rsid w:val="003F6421"/>
    <w:rsid w:val="003F6447"/>
    <w:rsid w:val="003F6641"/>
    <w:rsid w:val="003F664F"/>
    <w:rsid w:val="003F6755"/>
    <w:rsid w:val="003F6B0D"/>
    <w:rsid w:val="003F6C5C"/>
    <w:rsid w:val="003F71C4"/>
    <w:rsid w:val="003F735F"/>
    <w:rsid w:val="003F7361"/>
    <w:rsid w:val="003F7583"/>
    <w:rsid w:val="003F76F9"/>
    <w:rsid w:val="003F77B5"/>
    <w:rsid w:val="003F780A"/>
    <w:rsid w:val="003F7836"/>
    <w:rsid w:val="003F7848"/>
    <w:rsid w:val="003F78A9"/>
    <w:rsid w:val="003F793B"/>
    <w:rsid w:val="003F7A4F"/>
    <w:rsid w:val="003F7A58"/>
    <w:rsid w:val="003F7A9C"/>
    <w:rsid w:val="003F7C40"/>
    <w:rsid w:val="003F7C64"/>
    <w:rsid w:val="003F7CA4"/>
    <w:rsid w:val="003F7CFC"/>
    <w:rsid w:val="003F7DA2"/>
    <w:rsid w:val="003F7DBC"/>
    <w:rsid w:val="004002A6"/>
    <w:rsid w:val="004002FD"/>
    <w:rsid w:val="00400764"/>
    <w:rsid w:val="004009CB"/>
    <w:rsid w:val="00400E87"/>
    <w:rsid w:val="00401062"/>
    <w:rsid w:val="00401086"/>
    <w:rsid w:val="0040121E"/>
    <w:rsid w:val="00401240"/>
    <w:rsid w:val="004013BF"/>
    <w:rsid w:val="0040148E"/>
    <w:rsid w:val="004015FB"/>
    <w:rsid w:val="004017E4"/>
    <w:rsid w:val="004017F0"/>
    <w:rsid w:val="00401ACF"/>
    <w:rsid w:val="00401B7F"/>
    <w:rsid w:val="00401BCE"/>
    <w:rsid w:val="00401DB2"/>
    <w:rsid w:val="00401E76"/>
    <w:rsid w:val="00402059"/>
    <w:rsid w:val="00402173"/>
    <w:rsid w:val="0040236B"/>
    <w:rsid w:val="00402839"/>
    <w:rsid w:val="004029E0"/>
    <w:rsid w:val="00402BE0"/>
    <w:rsid w:val="00402CE9"/>
    <w:rsid w:val="00402EFF"/>
    <w:rsid w:val="00402F20"/>
    <w:rsid w:val="0040321D"/>
    <w:rsid w:val="0040329A"/>
    <w:rsid w:val="0040379B"/>
    <w:rsid w:val="00403817"/>
    <w:rsid w:val="004038CE"/>
    <w:rsid w:val="004038FB"/>
    <w:rsid w:val="00403E17"/>
    <w:rsid w:val="00403E5B"/>
    <w:rsid w:val="00403EA1"/>
    <w:rsid w:val="0040413E"/>
    <w:rsid w:val="0040456D"/>
    <w:rsid w:val="00404615"/>
    <w:rsid w:val="004047B1"/>
    <w:rsid w:val="00404AB6"/>
    <w:rsid w:val="00404F54"/>
    <w:rsid w:val="00404F9F"/>
    <w:rsid w:val="00405289"/>
    <w:rsid w:val="0040552F"/>
    <w:rsid w:val="004055B9"/>
    <w:rsid w:val="004058D1"/>
    <w:rsid w:val="00405CB8"/>
    <w:rsid w:val="00405D4E"/>
    <w:rsid w:val="00406023"/>
    <w:rsid w:val="0040628F"/>
    <w:rsid w:val="00406515"/>
    <w:rsid w:val="0040667F"/>
    <w:rsid w:val="0040683A"/>
    <w:rsid w:val="00406CDB"/>
    <w:rsid w:val="00406D5D"/>
    <w:rsid w:val="00406F93"/>
    <w:rsid w:val="00406FBA"/>
    <w:rsid w:val="0040716C"/>
    <w:rsid w:val="004073CC"/>
    <w:rsid w:val="004074D8"/>
    <w:rsid w:val="00407590"/>
    <w:rsid w:val="00407950"/>
    <w:rsid w:val="0040795D"/>
    <w:rsid w:val="0040796B"/>
    <w:rsid w:val="00407A25"/>
    <w:rsid w:val="00407A8C"/>
    <w:rsid w:val="00407B49"/>
    <w:rsid w:val="00407C47"/>
    <w:rsid w:val="00407C48"/>
    <w:rsid w:val="00407CD4"/>
    <w:rsid w:val="004100C8"/>
    <w:rsid w:val="004107C2"/>
    <w:rsid w:val="00410C49"/>
    <w:rsid w:val="004113A7"/>
    <w:rsid w:val="00411561"/>
    <w:rsid w:val="004116B0"/>
    <w:rsid w:val="00411932"/>
    <w:rsid w:val="00411D9A"/>
    <w:rsid w:val="00411E14"/>
    <w:rsid w:val="00411E26"/>
    <w:rsid w:val="00412072"/>
    <w:rsid w:val="00412116"/>
    <w:rsid w:val="004121B0"/>
    <w:rsid w:val="0041222F"/>
    <w:rsid w:val="00412549"/>
    <w:rsid w:val="00412699"/>
    <w:rsid w:val="00412770"/>
    <w:rsid w:val="00412923"/>
    <w:rsid w:val="00412E9D"/>
    <w:rsid w:val="00412F21"/>
    <w:rsid w:val="00413026"/>
    <w:rsid w:val="00413195"/>
    <w:rsid w:val="00413622"/>
    <w:rsid w:val="00413742"/>
    <w:rsid w:val="00413A1B"/>
    <w:rsid w:val="00413BD0"/>
    <w:rsid w:val="00413C5A"/>
    <w:rsid w:val="00413FF5"/>
    <w:rsid w:val="00414329"/>
    <w:rsid w:val="004143DD"/>
    <w:rsid w:val="004144EC"/>
    <w:rsid w:val="0041499E"/>
    <w:rsid w:val="00414B09"/>
    <w:rsid w:val="00414B36"/>
    <w:rsid w:val="00414B8E"/>
    <w:rsid w:val="00414DA1"/>
    <w:rsid w:val="00414EC0"/>
    <w:rsid w:val="00414FFC"/>
    <w:rsid w:val="004150E5"/>
    <w:rsid w:val="0041537F"/>
    <w:rsid w:val="004153EC"/>
    <w:rsid w:val="0041557C"/>
    <w:rsid w:val="0041568A"/>
    <w:rsid w:val="00415F35"/>
    <w:rsid w:val="00415FF3"/>
    <w:rsid w:val="00416159"/>
    <w:rsid w:val="00416481"/>
    <w:rsid w:val="004168F7"/>
    <w:rsid w:val="00416A1E"/>
    <w:rsid w:val="00416BD5"/>
    <w:rsid w:val="00416C4A"/>
    <w:rsid w:val="00416F34"/>
    <w:rsid w:val="00417030"/>
    <w:rsid w:val="004170AC"/>
    <w:rsid w:val="004173DB"/>
    <w:rsid w:val="00417403"/>
    <w:rsid w:val="004174FD"/>
    <w:rsid w:val="004179FD"/>
    <w:rsid w:val="00417BC6"/>
    <w:rsid w:val="00417C5D"/>
    <w:rsid w:val="00417CE3"/>
    <w:rsid w:val="00417D9D"/>
    <w:rsid w:val="004200F9"/>
    <w:rsid w:val="004202F9"/>
    <w:rsid w:val="004203A4"/>
    <w:rsid w:val="004205EA"/>
    <w:rsid w:val="0042076E"/>
    <w:rsid w:val="00420A27"/>
    <w:rsid w:val="00420A3B"/>
    <w:rsid w:val="00420A94"/>
    <w:rsid w:val="00420AF1"/>
    <w:rsid w:val="00420E07"/>
    <w:rsid w:val="00420FE5"/>
    <w:rsid w:val="00421165"/>
    <w:rsid w:val="00421497"/>
    <w:rsid w:val="00421847"/>
    <w:rsid w:val="00421848"/>
    <w:rsid w:val="004219DF"/>
    <w:rsid w:val="00421B46"/>
    <w:rsid w:val="00421C1A"/>
    <w:rsid w:val="00421C96"/>
    <w:rsid w:val="00421CAC"/>
    <w:rsid w:val="00421FC2"/>
    <w:rsid w:val="004220DE"/>
    <w:rsid w:val="00422163"/>
    <w:rsid w:val="00422325"/>
    <w:rsid w:val="00422375"/>
    <w:rsid w:val="00422417"/>
    <w:rsid w:val="0042255D"/>
    <w:rsid w:val="004227FA"/>
    <w:rsid w:val="0042284F"/>
    <w:rsid w:val="00422AB7"/>
    <w:rsid w:val="00422CB8"/>
    <w:rsid w:val="00422D41"/>
    <w:rsid w:val="00422E6D"/>
    <w:rsid w:val="00422EAE"/>
    <w:rsid w:val="004231DC"/>
    <w:rsid w:val="00423324"/>
    <w:rsid w:val="004235D6"/>
    <w:rsid w:val="004237B5"/>
    <w:rsid w:val="00423943"/>
    <w:rsid w:val="00423C14"/>
    <w:rsid w:val="00423E04"/>
    <w:rsid w:val="0042404F"/>
    <w:rsid w:val="00424239"/>
    <w:rsid w:val="0042434D"/>
    <w:rsid w:val="00424481"/>
    <w:rsid w:val="0042464D"/>
    <w:rsid w:val="004246F4"/>
    <w:rsid w:val="0042481A"/>
    <w:rsid w:val="004248B2"/>
    <w:rsid w:val="00424A0C"/>
    <w:rsid w:val="00424BB0"/>
    <w:rsid w:val="00424D82"/>
    <w:rsid w:val="00424D96"/>
    <w:rsid w:val="00425123"/>
    <w:rsid w:val="0042516D"/>
    <w:rsid w:val="004251B6"/>
    <w:rsid w:val="004253C2"/>
    <w:rsid w:val="00425554"/>
    <w:rsid w:val="0042559B"/>
    <w:rsid w:val="00425708"/>
    <w:rsid w:val="0042587B"/>
    <w:rsid w:val="004258C0"/>
    <w:rsid w:val="00425B45"/>
    <w:rsid w:val="00425C5C"/>
    <w:rsid w:val="00425E25"/>
    <w:rsid w:val="00425E7A"/>
    <w:rsid w:val="004261FF"/>
    <w:rsid w:val="004262EC"/>
    <w:rsid w:val="004266AD"/>
    <w:rsid w:val="004268AF"/>
    <w:rsid w:val="00426B0E"/>
    <w:rsid w:val="00426CB3"/>
    <w:rsid w:val="00426E4D"/>
    <w:rsid w:val="00426F0F"/>
    <w:rsid w:val="00427223"/>
    <w:rsid w:val="00427395"/>
    <w:rsid w:val="00427402"/>
    <w:rsid w:val="004274E9"/>
    <w:rsid w:val="00427524"/>
    <w:rsid w:val="00427698"/>
    <w:rsid w:val="00427800"/>
    <w:rsid w:val="0042781F"/>
    <w:rsid w:val="00427C04"/>
    <w:rsid w:val="00427D34"/>
    <w:rsid w:val="00427ED0"/>
    <w:rsid w:val="0043003E"/>
    <w:rsid w:val="004302A7"/>
    <w:rsid w:val="0043032A"/>
    <w:rsid w:val="004303A7"/>
    <w:rsid w:val="00430536"/>
    <w:rsid w:val="00430A7B"/>
    <w:rsid w:val="00430AD6"/>
    <w:rsid w:val="00430BE9"/>
    <w:rsid w:val="00430EDC"/>
    <w:rsid w:val="00430F7D"/>
    <w:rsid w:val="004310F6"/>
    <w:rsid w:val="00431856"/>
    <w:rsid w:val="004319B1"/>
    <w:rsid w:val="00431C6A"/>
    <w:rsid w:val="00431D18"/>
    <w:rsid w:val="00431D40"/>
    <w:rsid w:val="00431FC2"/>
    <w:rsid w:val="004322A6"/>
    <w:rsid w:val="00432312"/>
    <w:rsid w:val="0043240B"/>
    <w:rsid w:val="00432426"/>
    <w:rsid w:val="00432524"/>
    <w:rsid w:val="004325A5"/>
    <w:rsid w:val="004327BD"/>
    <w:rsid w:val="00432972"/>
    <w:rsid w:val="004329A6"/>
    <w:rsid w:val="00433093"/>
    <w:rsid w:val="00433266"/>
    <w:rsid w:val="00433690"/>
    <w:rsid w:val="00433702"/>
    <w:rsid w:val="00433887"/>
    <w:rsid w:val="00433E53"/>
    <w:rsid w:val="00433F76"/>
    <w:rsid w:val="004341D3"/>
    <w:rsid w:val="0043470C"/>
    <w:rsid w:val="004347B9"/>
    <w:rsid w:val="00434830"/>
    <w:rsid w:val="00434979"/>
    <w:rsid w:val="00434AE4"/>
    <w:rsid w:val="00434C9B"/>
    <w:rsid w:val="00434D28"/>
    <w:rsid w:val="004350E2"/>
    <w:rsid w:val="00435836"/>
    <w:rsid w:val="004359FB"/>
    <w:rsid w:val="00435D3D"/>
    <w:rsid w:val="00435D6D"/>
    <w:rsid w:val="00436257"/>
    <w:rsid w:val="0043631E"/>
    <w:rsid w:val="004363F4"/>
    <w:rsid w:val="0043664B"/>
    <w:rsid w:val="004368AB"/>
    <w:rsid w:val="00436A6A"/>
    <w:rsid w:val="00436AA9"/>
    <w:rsid w:val="00436CCE"/>
    <w:rsid w:val="00436D26"/>
    <w:rsid w:val="0043705A"/>
    <w:rsid w:val="004372E6"/>
    <w:rsid w:val="00437392"/>
    <w:rsid w:val="0043758E"/>
    <w:rsid w:val="00437651"/>
    <w:rsid w:val="00437765"/>
    <w:rsid w:val="004378F8"/>
    <w:rsid w:val="004379B1"/>
    <w:rsid w:val="00437A3D"/>
    <w:rsid w:val="00437A5B"/>
    <w:rsid w:val="00437C38"/>
    <w:rsid w:val="00437DD6"/>
    <w:rsid w:val="00440101"/>
    <w:rsid w:val="004404C8"/>
    <w:rsid w:val="00440756"/>
    <w:rsid w:val="00440A5B"/>
    <w:rsid w:val="00440DF9"/>
    <w:rsid w:val="00441086"/>
    <w:rsid w:val="00441176"/>
    <w:rsid w:val="004412F9"/>
    <w:rsid w:val="00441506"/>
    <w:rsid w:val="00441565"/>
    <w:rsid w:val="004415C8"/>
    <w:rsid w:val="00441619"/>
    <w:rsid w:val="00441671"/>
    <w:rsid w:val="00441A60"/>
    <w:rsid w:val="00441BDD"/>
    <w:rsid w:val="00441C17"/>
    <w:rsid w:val="00442084"/>
    <w:rsid w:val="00442135"/>
    <w:rsid w:val="00442659"/>
    <w:rsid w:val="00442C68"/>
    <w:rsid w:val="00442E34"/>
    <w:rsid w:val="00442FBC"/>
    <w:rsid w:val="00443101"/>
    <w:rsid w:val="004433C0"/>
    <w:rsid w:val="00443546"/>
    <w:rsid w:val="0044378F"/>
    <w:rsid w:val="0044381A"/>
    <w:rsid w:val="00443A11"/>
    <w:rsid w:val="00443B09"/>
    <w:rsid w:val="00443BAE"/>
    <w:rsid w:val="00443DF2"/>
    <w:rsid w:val="00444395"/>
    <w:rsid w:val="0044455F"/>
    <w:rsid w:val="00444950"/>
    <w:rsid w:val="00444966"/>
    <w:rsid w:val="00444A59"/>
    <w:rsid w:val="00444AA2"/>
    <w:rsid w:val="00444E1A"/>
    <w:rsid w:val="00444F58"/>
    <w:rsid w:val="004450CC"/>
    <w:rsid w:val="004451BA"/>
    <w:rsid w:val="004453E6"/>
    <w:rsid w:val="0044547F"/>
    <w:rsid w:val="004455A9"/>
    <w:rsid w:val="0044573C"/>
    <w:rsid w:val="00445A8D"/>
    <w:rsid w:val="00445CA4"/>
    <w:rsid w:val="00445CBE"/>
    <w:rsid w:val="00445CDA"/>
    <w:rsid w:val="00445CDF"/>
    <w:rsid w:val="00445DF7"/>
    <w:rsid w:val="00445F1F"/>
    <w:rsid w:val="00445FDC"/>
    <w:rsid w:val="0044608E"/>
    <w:rsid w:val="0044675E"/>
    <w:rsid w:val="0044697C"/>
    <w:rsid w:val="004469AB"/>
    <w:rsid w:val="00446C85"/>
    <w:rsid w:val="00446E97"/>
    <w:rsid w:val="0044720F"/>
    <w:rsid w:val="00447410"/>
    <w:rsid w:val="00447720"/>
    <w:rsid w:val="00447CC5"/>
    <w:rsid w:val="004503CC"/>
    <w:rsid w:val="004506F2"/>
    <w:rsid w:val="004506F5"/>
    <w:rsid w:val="00450757"/>
    <w:rsid w:val="0045099B"/>
    <w:rsid w:val="00450A3F"/>
    <w:rsid w:val="00450B09"/>
    <w:rsid w:val="00450C24"/>
    <w:rsid w:val="00450C8E"/>
    <w:rsid w:val="004510A8"/>
    <w:rsid w:val="004510BA"/>
    <w:rsid w:val="004511D3"/>
    <w:rsid w:val="004515A3"/>
    <w:rsid w:val="004515AF"/>
    <w:rsid w:val="0045180E"/>
    <w:rsid w:val="00451959"/>
    <w:rsid w:val="00451A82"/>
    <w:rsid w:val="00451D21"/>
    <w:rsid w:val="0045217C"/>
    <w:rsid w:val="004522D3"/>
    <w:rsid w:val="004525B7"/>
    <w:rsid w:val="00452798"/>
    <w:rsid w:val="004528F5"/>
    <w:rsid w:val="00452A98"/>
    <w:rsid w:val="00452F74"/>
    <w:rsid w:val="0045313D"/>
    <w:rsid w:val="00453274"/>
    <w:rsid w:val="004534CF"/>
    <w:rsid w:val="004537F5"/>
    <w:rsid w:val="004539BE"/>
    <w:rsid w:val="004539E4"/>
    <w:rsid w:val="00453A68"/>
    <w:rsid w:val="00453AAF"/>
    <w:rsid w:val="00453AB8"/>
    <w:rsid w:val="00453B22"/>
    <w:rsid w:val="00453F75"/>
    <w:rsid w:val="004541D6"/>
    <w:rsid w:val="004545E7"/>
    <w:rsid w:val="00454684"/>
    <w:rsid w:val="00454C94"/>
    <w:rsid w:val="00455047"/>
    <w:rsid w:val="004550BF"/>
    <w:rsid w:val="004551B8"/>
    <w:rsid w:val="004551EA"/>
    <w:rsid w:val="004551ED"/>
    <w:rsid w:val="004552B0"/>
    <w:rsid w:val="00455625"/>
    <w:rsid w:val="00455640"/>
    <w:rsid w:val="004557DE"/>
    <w:rsid w:val="004559A0"/>
    <w:rsid w:val="00455AE9"/>
    <w:rsid w:val="00455CAE"/>
    <w:rsid w:val="00455D4F"/>
    <w:rsid w:val="00455DFB"/>
    <w:rsid w:val="00455FA0"/>
    <w:rsid w:val="004562AB"/>
    <w:rsid w:val="004562CD"/>
    <w:rsid w:val="004562E3"/>
    <w:rsid w:val="00456425"/>
    <w:rsid w:val="004565DA"/>
    <w:rsid w:val="00456669"/>
    <w:rsid w:val="00456B18"/>
    <w:rsid w:val="00456E2A"/>
    <w:rsid w:val="00456E45"/>
    <w:rsid w:val="00456E5B"/>
    <w:rsid w:val="00457115"/>
    <w:rsid w:val="004573EE"/>
    <w:rsid w:val="00457682"/>
    <w:rsid w:val="00457A41"/>
    <w:rsid w:val="00460154"/>
    <w:rsid w:val="004602C3"/>
    <w:rsid w:val="0046071A"/>
    <w:rsid w:val="0046088A"/>
    <w:rsid w:val="004609FD"/>
    <w:rsid w:val="00460AF7"/>
    <w:rsid w:val="00460E65"/>
    <w:rsid w:val="00460E92"/>
    <w:rsid w:val="00460EBD"/>
    <w:rsid w:val="004610C8"/>
    <w:rsid w:val="004611EB"/>
    <w:rsid w:val="0046133D"/>
    <w:rsid w:val="00461849"/>
    <w:rsid w:val="00461874"/>
    <w:rsid w:val="00461CC1"/>
    <w:rsid w:val="00461EE7"/>
    <w:rsid w:val="00461F4D"/>
    <w:rsid w:val="00461FA4"/>
    <w:rsid w:val="004623F8"/>
    <w:rsid w:val="004625E1"/>
    <w:rsid w:val="00462793"/>
    <w:rsid w:val="004627AC"/>
    <w:rsid w:val="0046287F"/>
    <w:rsid w:val="00462A3E"/>
    <w:rsid w:val="00462BDB"/>
    <w:rsid w:val="00462C3B"/>
    <w:rsid w:val="00463449"/>
    <w:rsid w:val="00463B92"/>
    <w:rsid w:val="00463B9A"/>
    <w:rsid w:val="00463EB5"/>
    <w:rsid w:val="00463F90"/>
    <w:rsid w:val="00464061"/>
    <w:rsid w:val="004647B6"/>
    <w:rsid w:val="004647F4"/>
    <w:rsid w:val="004649AC"/>
    <w:rsid w:val="00464EA8"/>
    <w:rsid w:val="00465181"/>
    <w:rsid w:val="00465387"/>
    <w:rsid w:val="004655D8"/>
    <w:rsid w:val="004657EE"/>
    <w:rsid w:val="004658BB"/>
    <w:rsid w:val="004659DE"/>
    <w:rsid w:val="00465D38"/>
    <w:rsid w:val="00465DB8"/>
    <w:rsid w:val="00465DE6"/>
    <w:rsid w:val="00465F7D"/>
    <w:rsid w:val="004660B4"/>
    <w:rsid w:val="004662CF"/>
    <w:rsid w:val="004664E6"/>
    <w:rsid w:val="00466796"/>
    <w:rsid w:val="00466B31"/>
    <w:rsid w:val="00466DB5"/>
    <w:rsid w:val="00466E14"/>
    <w:rsid w:val="00466F4A"/>
    <w:rsid w:val="004672C5"/>
    <w:rsid w:val="00467362"/>
    <w:rsid w:val="00467454"/>
    <w:rsid w:val="004677A9"/>
    <w:rsid w:val="00467987"/>
    <w:rsid w:val="00467ADE"/>
    <w:rsid w:val="00467D59"/>
    <w:rsid w:val="00467F25"/>
    <w:rsid w:val="004702E1"/>
    <w:rsid w:val="0047036D"/>
    <w:rsid w:val="00470371"/>
    <w:rsid w:val="004706B8"/>
    <w:rsid w:val="00470BEA"/>
    <w:rsid w:val="00470BFA"/>
    <w:rsid w:val="00470FEB"/>
    <w:rsid w:val="004710B5"/>
    <w:rsid w:val="0047122B"/>
    <w:rsid w:val="0047122C"/>
    <w:rsid w:val="00471371"/>
    <w:rsid w:val="00471409"/>
    <w:rsid w:val="0047173D"/>
    <w:rsid w:val="004719AF"/>
    <w:rsid w:val="004719E1"/>
    <w:rsid w:val="004720BF"/>
    <w:rsid w:val="0047212E"/>
    <w:rsid w:val="0047229B"/>
    <w:rsid w:val="004723FD"/>
    <w:rsid w:val="00472476"/>
    <w:rsid w:val="0047266E"/>
    <w:rsid w:val="00472A34"/>
    <w:rsid w:val="00472B30"/>
    <w:rsid w:val="00472CBD"/>
    <w:rsid w:val="00472CF5"/>
    <w:rsid w:val="00472E4F"/>
    <w:rsid w:val="00472EA1"/>
    <w:rsid w:val="00473402"/>
    <w:rsid w:val="00473961"/>
    <w:rsid w:val="00473A40"/>
    <w:rsid w:val="00473A7A"/>
    <w:rsid w:val="00473C9D"/>
    <w:rsid w:val="00473DFE"/>
    <w:rsid w:val="004740E2"/>
    <w:rsid w:val="004743E3"/>
    <w:rsid w:val="004744C2"/>
    <w:rsid w:val="0047452E"/>
    <w:rsid w:val="004745B6"/>
    <w:rsid w:val="004745D2"/>
    <w:rsid w:val="004745F8"/>
    <w:rsid w:val="00474737"/>
    <w:rsid w:val="004747E7"/>
    <w:rsid w:val="00474817"/>
    <w:rsid w:val="00474830"/>
    <w:rsid w:val="00474ADA"/>
    <w:rsid w:val="00474E17"/>
    <w:rsid w:val="00474FE2"/>
    <w:rsid w:val="00475112"/>
    <w:rsid w:val="00475816"/>
    <w:rsid w:val="00475905"/>
    <w:rsid w:val="004759EE"/>
    <w:rsid w:val="00475CEB"/>
    <w:rsid w:val="00475DA9"/>
    <w:rsid w:val="00475DEA"/>
    <w:rsid w:val="00475E1A"/>
    <w:rsid w:val="00475F65"/>
    <w:rsid w:val="00475FB2"/>
    <w:rsid w:val="0047609D"/>
    <w:rsid w:val="004760FC"/>
    <w:rsid w:val="004761D1"/>
    <w:rsid w:val="00476469"/>
    <w:rsid w:val="00476577"/>
    <w:rsid w:val="004766F7"/>
    <w:rsid w:val="004767D9"/>
    <w:rsid w:val="00476ADE"/>
    <w:rsid w:val="00476CBE"/>
    <w:rsid w:val="004771CE"/>
    <w:rsid w:val="004771E2"/>
    <w:rsid w:val="00477A84"/>
    <w:rsid w:val="00477B45"/>
    <w:rsid w:val="00477C05"/>
    <w:rsid w:val="00477C28"/>
    <w:rsid w:val="00480A23"/>
    <w:rsid w:val="00480BAC"/>
    <w:rsid w:val="00480CC3"/>
    <w:rsid w:val="00480CC8"/>
    <w:rsid w:val="00480F56"/>
    <w:rsid w:val="00481024"/>
    <w:rsid w:val="00481079"/>
    <w:rsid w:val="00481080"/>
    <w:rsid w:val="00481484"/>
    <w:rsid w:val="0048161A"/>
    <w:rsid w:val="004816B9"/>
    <w:rsid w:val="004817F1"/>
    <w:rsid w:val="00481818"/>
    <w:rsid w:val="00481824"/>
    <w:rsid w:val="004818A3"/>
    <w:rsid w:val="004818BA"/>
    <w:rsid w:val="00481B88"/>
    <w:rsid w:val="00481C52"/>
    <w:rsid w:val="00481CAE"/>
    <w:rsid w:val="00481CDC"/>
    <w:rsid w:val="00481CE0"/>
    <w:rsid w:val="00481DED"/>
    <w:rsid w:val="0048211F"/>
    <w:rsid w:val="0048259D"/>
    <w:rsid w:val="00482675"/>
    <w:rsid w:val="0048277B"/>
    <w:rsid w:val="004828A2"/>
    <w:rsid w:val="0048291C"/>
    <w:rsid w:val="00482A0A"/>
    <w:rsid w:val="00482A1A"/>
    <w:rsid w:val="00482C27"/>
    <w:rsid w:val="00482ED9"/>
    <w:rsid w:val="00482FE7"/>
    <w:rsid w:val="004830EB"/>
    <w:rsid w:val="004833F0"/>
    <w:rsid w:val="004834D0"/>
    <w:rsid w:val="004837ED"/>
    <w:rsid w:val="004838E9"/>
    <w:rsid w:val="004839C5"/>
    <w:rsid w:val="004839E9"/>
    <w:rsid w:val="00483A1C"/>
    <w:rsid w:val="00483DDD"/>
    <w:rsid w:val="00483EE7"/>
    <w:rsid w:val="00483F65"/>
    <w:rsid w:val="00484114"/>
    <w:rsid w:val="004848A8"/>
    <w:rsid w:val="00484AC7"/>
    <w:rsid w:val="00484ACE"/>
    <w:rsid w:val="00484B9D"/>
    <w:rsid w:val="00484C6C"/>
    <w:rsid w:val="004850DD"/>
    <w:rsid w:val="00485195"/>
    <w:rsid w:val="0048526C"/>
    <w:rsid w:val="00485651"/>
    <w:rsid w:val="00485816"/>
    <w:rsid w:val="0048608E"/>
    <w:rsid w:val="004866CB"/>
    <w:rsid w:val="004867A4"/>
    <w:rsid w:val="00486889"/>
    <w:rsid w:val="004868E4"/>
    <w:rsid w:val="00486A7F"/>
    <w:rsid w:val="00486A87"/>
    <w:rsid w:val="00486C17"/>
    <w:rsid w:val="00486C4D"/>
    <w:rsid w:val="0048702C"/>
    <w:rsid w:val="0048702E"/>
    <w:rsid w:val="00487541"/>
    <w:rsid w:val="0048767C"/>
    <w:rsid w:val="00487932"/>
    <w:rsid w:val="00487F2B"/>
    <w:rsid w:val="00487FCD"/>
    <w:rsid w:val="00490220"/>
    <w:rsid w:val="00490355"/>
    <w:rsid w:val="004903AE"/>
    <w:rsid w:val="00490695"/>
    <w:rsid w:val="004908C9"/>
    <w:rsid w:val="004908D2"/>
    <w:rsid w:val="00490945"/>
    <w:rsid w:val="00490AB4"/>
    <w:rsid w:val="00490B2A"/>
    <w:rsid w:val="00490B3D"/>
    <w:rsid w:val="00490BE2"/>
    <w:rsid w:val="00490D59"/>
    <w:rsid w:val="00490E16"/>
    <w:rsid w:val="0049103A"/>
    <w:rsid w:val="0049135E"/>
    <w:rsid w:val="00491495"/>
    <w:rsid w:val="004914F4"/>
    <w:rsid w:val="00491903"/>
    <w:rsid w:val="00491A99"/>
    <w:rsid w:val="00491B5D"/>
    <w:rsid w:val="00491C3D"/>
    <w:rsid w:val="00491D93"/>
    <w:rsid w:val="00491DE1"/>
    <w:rsid w:val="00491F6A"/>
    <w:rsid w:val="00492258"/>
    <w:rsid w:val="00492444"/>
    <w:rsid w:val="00492713"/>
    <w:rsid w:val="0049286C"/>
    <w:rsid w:val="00492EA5"/>
    <w:rsid w:val="00493179"/>
    <w:rsid w:val="00493217"/>
    <w:rsid w:val="004933B6"/>
    <w:rsid w:val="00493511"/>
    <w:rsid w:val="004936E5"/>
    <w:rsid w:val="00493F75"/>
    <w:rsid w:val="00494029"/>
    <w:rsid w:val="004940B5"/>
    <w:rsid w:val="00494226"/>
    <w:rsid w:val="00494243"/>
    <w:rsid w:val="004942D4"/>
    <w:rsid w:val="0049454C"/>
    <w:rsid w:val="00494704"/>
    <w:rsid w:val="00494792"/>
    <w:rsid w:val="00494852"/>
    <w:rsid w:val="00494ABB"/>
    <w:rsid w:val="00494B59"/>
    <w:rsid w:val="00494C1C"/>
    <w:rsid w:val="00494D75"/>
    <w:rsid w:val="00494EB3"/>
    <w:rsid w:val="004955F4"/>
    <w:rsid w:val="004957F8"/>
    <w:rsid w:val="0049598C"/>
    <w:rsid w:val="004959D2"/>
    <w:rsid w:val="00495E59"/>
    <w:rsid w:val="00495F21"/>
    <w:rsid w:val="00496159"/>
    <w:rsid w:val="00496174"/>
    <w:rsid w:val="00496362"/>
    <w:rsid w:val="00496481"/>
    <w:rsid w:val="004966F3"/>
    <w:rsid w:val="004968B1"/>
    <w:rsid w:val="00496BD6"/>
    <w:rsid w:val="00496D25"/>
    <w:rsid w:val="00496E33"/>
    <w:rsid w:val="00496FB8"/>
    <w:rsid w:val="00496FC6"/>
    <w:rsid w:val="004972D0"/>
    <w:rsid w:val="004976E0"/>
    <w:rsid w:val="004976F1"/>
    <w:rsid w:val="00497752"/>
    <w:rsid w:val="00497B64"/>
    <w:rsid w:val="00497B8C"/>
    <w:rsid w:val="00497F56"/>
    <w:rsid w:val="00497F6D"/>
    <w:rsid w:val="00497FF5"/>
    <w:rsid w:val="004A0056"/>
    <w:rsid w:val="004A01E0"/>
    <w:rsid w:val="004A0258"/>
    <w:rsid w:val="004A0293"/>
    <w:rsid w:val="004A02BE"/>
    <w:rsid w:val="004A0459"/>
    <w:rsid w:val="004A045C"/>
    <w:rsid w:val="004A07C8"/>
    <w:rsid w:val="004A0912"/>
    <w:rsid w:val="004A099D"/>
    <w:rsid w:val="004A0D57"/>
    <w:rsid w:val="004A0D60"/>
    <w:rsid w:val="004A0D90"/>
    <w:rsid w:val="004A0FD6"/>
    <w:rsid w:val="004A1064"/>
    <w:rsid w:val="004A1574"/>
    <w:rsid w:val="004A166A"/>
    <w:rsid w:val="004A167B"/>
    <w:rsid w:val="004A1719"/>
    <w:rsid w:val="004A1A0B"/>
    <w:rsid w:val="004A1AAA"/>
    <w:rsid w:val="004A1D4A"/>
    <w:rsid w:val="004A1F23"/>
    <w:rsid w:val="004A2153"/>
    <w:rsid w:val="004A239B"/>
    <w:rsid w:val="004A2416"/>
    <w:rsid w:val="004A26F7"/>
    <w:rsid w:val="004A2A50"/>
    <w:rsid w:val="004A2C16"/>
    <w:rsid w:val="004A2DD4"/>
    <w:rsid w:val="004A3057"/>
    <w:rsid w:val="004A3160"/>
    <w:rsid w:val="004A3388"/>
    <w:rsid w:val="004A3445"/>
    <w:rsid w:val="004A3900"/>
    <w:rsid w:val="004A3B54"/>
    <w:rsid w:val="004A3C0D"/>
    <w:rsid w:val="004A4192"/>
    <w:rsid w:val="004A430C"/>
    <w:rsid w:val="004A4434"/>
    <w:rsid w:val="004A46F0"/>
    <w:rsid w:val="004A4719"/>
    <w:rsid w:val="004A4837"/>
    <w:rsid w:val="004A48B5"/>
    <w:rsid w:val="004A497E"/>
    <w:rsid w:val="004A4A87"/>
    <w:rsid w:val="004A4F44"/>
    <w:rsid w:val="004A5196"/>
    <w:rsid w:val="004A54B0"/>
    <w:rsid w:val="004A54FC"/>
    <w:rsid w:val="004A558C"/>
    <w:rsid w:val="004A5C44"/>
    <w:rsid w:val="004A5D91"/>
    <w:rsid w:val="004A5E50"/>
    <w:rsid w:val="004A5F00"/>
    <w:rsid w:val="004A5F28"/>
    <w:rsid w:val="004A631B"/>
    <w:rsid w:val="004A63D9"/>
    <w:rsid w:val="004A64E0"/>
    <w:rsid w:val="004A6811"/>
    <w:rsid w:val="004A6B81"/>
    <w:rsid w:val="004A6CB6"/>
    <w:rsid w:val="004A6F6B"/>
    <w:rsid w:val="004A7085"/>
    <w:rsid w:val="004A7133"/>
    <w:rsid w:val="004A7404"/>
    <w:rsid w:val="004A76C6"/>
    <w:rsid w:val="004A770C"/>
    <w:rsid w:val="004A7790"/>
    <w:rsid w:val="004A780E"/>
    <w:rsid w:val="004A7B07"/>
    <w:rsid w:val="004B018D"/>
    <w:rsid w:val="004B0297"/>
    <w:rsid w:val="004B02D3"/>
    <w:rsid w:val="004B0569"/>
    <w:rsid w:val="004B0682"/>
    <w:rsid w:val="004B082C"/>
    <w:rsid w:val="004B0915"/>
    <w:rsid w:val="004B0C03"/>
    <w:rsid w:val="004B0C82"/>
    <w:rsid w:val="004B12B2"/>
    <w:rsid w:val="004B160B"/>
    <w:rsid w:val="004B16D0"/>
    <w:rsid w:val="004B1C58"/>
    <w:rsid w:val="004B1D59"/>
    <w:rsid w:val="004B221D"/>
    <w:rsid w:val="004B2430"/>
    <w:rsid w:val="004B25E1"/>
    <w:rsid w:val="004B2614"/>
    <w:rsid w:val="004B26B3"/>
    <w:rsid w:val="004B288E"/>
    <w:rsid w:val="004B2C77"/>
    <w:rsid w:val="004B2EA8"/>
    <w:rsid w:val="004B2EC2"/>
    <w:rsid w:val="004B2F71"/>
    <w:rsid w:val="004B3084"/>
    <w:rsid w:val="004B3249"/>
    <w:rsid w:val="004B3483"/>
    <w:rsid w:val="004B34F9"/>
    <w:rsid w:val="004B34FC"/>
    <w:rsid w:val="004B35AF"/>
    <w:rsid w:val="004B3858"/>
    <w:rsid w:val="004B3A9A"/>
    <w:rsid w:val="004B3E3C"/>
    <w:rsid w:val="004B3EF9"/>
    <w:rsid w:val="004B401B"/>
    <w:rsid w:val="004B408A"/>
    <w:rsid w:val="004B410A"/>
    <w:rsid w:val="004B4456"/>
    <w:rsid w:val="004B488E"/>
    <w:rsid w:val="004B48C3"/>
    <w:rsid w:val="004B4927"/>
    <w:rsid w:val="004B4A66"/>
    <w:rsid w:val="004B4C05"/>
    <w:rsid w:val="004B4F13"/>
    <w:rsid w:val="004B521D"/>
    <w:rsid w:val="004B52A2"/>
    <w:rsid w:val="004B52D8"/>
    <w:rsid w:val="004B53F6"/>
    <w:rsid w:val="004B542F"/>
    <w:rsid w:val="004B5455"/>
    <w:rsid w:val="004B570F"/>
    <w:rsid w:val="004B5914"/>
    <w:rsid w:val="004B5918"/>
    <w:rsid w:val="004B59B6"/>
    <w:rsid w:val="004B5B6B"/>
    <w:rsid w:val="004B5E0C"/>
    <w:rsid w:val="004B5F51"/>
    <w:rsid w:val="004B5F72"/>
    <w:rsid w:val="004B6345"/>
    <w:rsid w:val="004B638C"/>
    <w:rsid w:val="004B63A5"/>
    <w:rsid w:val="004B65DF"/>
    <w:rsid w:val="004B7159"/>
    <w:rsid w:val="004B7731"/>
    <w:rsid w:val="004B7908"/>
    <w:rsid w:val="004B7971"/>
    <w:rsid w:val="004B7A90"/>
    <w:rsid w:val="004B7DE9"/>
    <w:rsid w:val="004B7EF0"/>
    <w:rsid w:val="004B7F42"/>
    <w:rsid w:val="004C03AE"/>
    <w:rsid w:val="004C06C9"/>
    <w:rsid w:val="004C07E5"/>
    <w:rsid w:val="004C091C"/>
    <w:rsid w:val="004C0CD5"/>
    <w:rsid w:val="004C1068"/>
    <w:rsid w:val="004C14EC"/>
    <w:rsid w:val="004C1581"/>
    <w:rsid w:val="004C15C6"/>
    <w:rsid w:val="004C1957"/>
    <w:rsid w:val="004C1C9F"/>
    <w:rsid w:val="004C20C7"/>
    <w:rsid w:val="004C2165"/>
    <w:rsid w:val="004C21D1"/>
    <w:rsid w:val="004C21D5"/>
    <w:rsid w:val="004C2531"/>
    <w:rsid w:val="004C2B68"/>
    <w:rsid w:val="004C2C7E"/>
    <w:rsid w:val="004C2D0F"/>
    <w:rsid w:val="004C2DAF"/>
    <w:rsid w:val="004C2DDE"/>
    <w:rsid w:val="004C324D"/>
    <w:rsid w:val="004C32A1"/>
    <w:rsid w:val="004C3408"/>
    <w:rsid w:val="004C3648"/>
    <w:rsid w:val="004C383D"/>
    <w:rsid w:val="004C3879"/>
    <w:rsid w:val="004C3B21"/>
    <w:rsid w:val="004C3C3C"/>
    <w:rsid w:val="004C3D5E"/>
    <w:rsid w:val="004C3F31"/>
    <w:rsid w:val="004C40EB"/>
    <w:rsid w:val="004C41BF"/>
    <w:rsid w:val="004C4208"/>
    <w:rsid w:val="004C47A8"/>
    <w:rsid w:val="004C481C"/>
    <w:rsid w:val="004C4959"/>
    <w:rsid w:val="004C4A08"/>
    <w:rsid w:val="004C4C20"/>
    <w:rsid w:val="004C5558"/>
    <w:rsid w:val="004C5784"/>
    <w:rsid w:val="004C5805"/>
    <w:rsid w:val="004C58FC"/>
    <w:rsid w:val="004C5AC3"/>
    <w:rsid w:val="004C5AC9"/>
    <w:rsid w:val="004C5B56"/>
    <w:rsid w:val="004C604E"/>
    <w:rsid w:val="004C61A1"/>
    <w:rsid w:val="004C61B1"/>
    <w:rsid w:val="004C6221"/>
    <w:rsid w:val="004C63AA"/>
    <w:rsid w:val="004C6487"/>
    <w:rsid w:val="004C64A8"/>
    <w:rsid w:val="004C6613"/>
    <w:rsid w:val="004C68BA"/>
    <w:rsid w:val="004C6C40"/>
    <w:rsid w:val="004C6F38"/>
    <w:rsid w:val="004C72AB"/>
    <w:rsid w:val="004C750B"/>
    <w:rsid w:val="004C754A"/>
    <w:rsid w:val="004C7698"/>
    <w:rsid w:val="004C7852"/>
    <w:rsid w:val="004C7CF0"/>
    <w:rsid w:val="004D0128"/>
    <w:rsid w:val="004D0433"/>
    <w:rsid w:val="004D0455"/>
    <w:rsid w:val="004D0A24"/>
    <w:rsid w:val="004D0AE3"/>
    <w:rsid w:val="004D0C26"/>
    <w:rsid w:val="004D0F1E"/>
    <w:rsid w:val="004D1005"/>
    <w:rsid w:val="004D1223"/>
    <w:rsid w:val="004D1275"/>
    <w:rsid w:val="004D1321"/>
    <w:rsid w:val="004D1AA2"/>
    <w:rsid w:val="004D1C19"/>
    <w:rsid w:val="004D2076"/>
    <w:rsid w:val="004D22F3"/>
    <w:rsid w:val="004D26CC"/>
    <w:rsid w:val="004D3173"/>
    <w:rsid w:val="004D3276"/>
    <w:rsid w:val="004D3284"/>
    <w:rsid w:val="004D32BA"/>
    <w:rsid w:val="004D3441"/>
    <w:rsid w:val="004D352B"/>
    <w:rsid w:val="004D3594"/>
    <w:rsid w:val="004D3828"/>
    <w:rsid w:val="004D38A2"/>
    <w:rsid w:val="004D3921"/>
    <w:rsid w:val="004D3C55"/>
    <w:rsid w:val="004D3D87"/>
    <w:rsid w:val="004D3DA4"/>
    <w:rsid w:val="004D4047"/>
    <w:rsid w:val="004D4086"/>
    <w:rsid w:val="004D432B"/>
    <w:rsid w:val="004D434F"/>
    <w:rsid w:val="004D443F"/>
    <w:rsid w:val="004D450F"/>
    <w:rsid w:val="004D4542"/>
    <w:rsid w:val="004D471B"/>
    <w:rsid w:val="004D4A66"/>
    <w:rsid w:val="004D4A79"/>
    <w:rsid w:val="004D4D05"/>
    <w:rsid w:val="004D4D19"/>
    <w:rsid w:val="004D5104"/>
    <w:rsid w:val="004D51F4"/>
    <w:rsid w:val="004D54D5"/>
    <w:rsid w:val="004D5528"/>
    <w:rsid w:val="004D56C1"/>
    <w:rsid w:val="004D57C0"/>
    <w:rsid w:val="004D5BB8"/>
    <w:rsid w:val="004D5C46"/>
    <w:rsid w:val="004D5C86"/>
    <w:rsid w:val="004D5CAF"/>
    <w:rsid w:val="004D6162"/>
    <w:rsid w:val="004D6390"/>
    <w:rsid w:val="004D6419"/>
    <w:rsid w:val="004D658D"/>
    <w:rsid w:val="004D669A"/>
    <w:rsid w:val="004D698F"/>
    <w:rsid w:val="004D6DCC"/>
    <w:rsid w:val="004D6DF8"/>
    <w:rsid w:val="004D70C1"/>
    <w:rsid w:val="004D710E"/>
    <w:rsid w:val="004D72EF"/>
    <w:rsid w:val="004D734B"/>
    <w:rsid w:val="004D7B5C"/>
    <w:rsid w:val="004D7C0F"/>
    <w:rsid w:val="004D7F53"/>
    <w:rsid w:val="004E0166"/>
    <w:rsid w:val="004E03AE"/>
    <w:rsid w:val="004E04F0"/>
    <w:rsid w:val="004E059C"/>
    <w:rsid w:val="004E0AA8"/>
    <w:rsid w:val="004E0AD8"/>
    <w:rsid w:val="004E0DB7"/>
    <w:rsid w:val="004E0E20"/>
    <w:rsid w:val="004E0E69"/>
    <w:rsid w:val="004E0EFE"/>
    <w:rsid w:val="004E0F89"/>
    <w:rsid w:val="004E10D9"/>
    <w:rsid w:val="004E1213"/>
    <w:rsid w:val="004E14A3"/>
    <w:rsid w:val="004E15C0"/>
    <w:rsid w:val="004E1917"/>
    <w:rsid w:val="004E19C6"/>
    <w:rsid w:val="004E19F8"/>
    <w:rsid w:val="004E1B59"/>
    <w:rsid w:val="004E1C0F"/>
    <w:rsid w:val="004E1C52"/>
    <w:rsid w:val="004E2093"/>
    <w:rsid w:val="004E2183"/>
    <w:rsid w:val="004E22A5"/>
    <w:rsid w:val="004E241B"/>
    <w:rsid w:val="004E2544"/>
    <w:rsid w:val="004E2582"/>
    <w:rsid w:val="004E27AD"/>
    <w:rsid w:val="004E27F5"/>
    <w:rsid w:val="004E27F8"/>
    <w:rsid w:val="004E2915"/>
    <w:rsid w:val="004E297F"/>
    <w:rsid w:val="004E2ABD"/>
    <w:rsid w:val="004E2B89"/>
    <w:rsid w:val="004E2F3B"/>
    <w:rsid w:val="004E2F54"/>
    <w:rsid w:val="004E2FDC"/>
    <w:rsid w:val="004E3094"/>
    <w:rsid w:val="004E3155"/>
    <w:rsid w:val="004E317E"/>
    <w:rsid w:val="004E3652"/>
    <w:rsid w:val="004E39B2"/>
    <w:rsid w:val="004E3B4D"/>
    <w:rsid w:val="004E3CE2"/>
    <w:rsid w:val="004E3FB2"/>
    <w:rsid w:val="004E4258"/>
    <w:rsid w:val="004E4291"/>
    <w:rsid w:val="004E42FB"/>
    <w:rsid w:val="004E430C"/>
    <w:rsid w:val="004E4442"/>
    <w:rsid w:val="004E4528"/>
    <w:rsid w:val="004E46D2"/>
    <w:rsid w:val="004E4B3A"/>
    <w:rsid w:val="004E4B51"/>
    <w:rsid w:val="004E4CDC"/>
    <w:rsid w:val="004E4EAF"/>
    <w:rsid w:val="004E4FE1"/>
    <w:rsid w:val="004E5386"/>
    <w:rsid w:val="004E543F"/>
    <w:rsid w:val="004E55D6"/>
    <w:rsid w:val="004E5B6A"/>
    <w:rsid w:val="004E5B7D"/>
    <w:rsid w:val="004E5BAF"/>
    <w:rsid w:val="004E5D1A"/>
    <w:rsid w:val="004E5EA3"/>
    <w:rsid w:val="004E609F"/>
    <w:rsid w:val="004E6167"/>
    <w:rsid w:val="004E6391"/>
    <w:rsid w:val="004E6403"/>
    <w:rsid w:val="004E6421"/>
    <w:rsid w:val="004E663A"/>
    <w:rsid w:val="004E6649"/>
    <w:rsid w:val="004E6DA4"/>
    <w:rsid w:val="004E709B"/>
    <w:rsid w:val="004E71D7"/>
    <w:rsid w:val="004E744D"/>
    <w:rsid w:val="004E7571"/>
    <w:rsid w:val="004E77D4"/>
    <w:rsid w:val="004F0084"/>
    <w:rsid w:val="004F0359"/>
    <w:rsid w:val="004F036A"/>
    <w:rsid w:val="004F068E"/>
    <w:rsid w:val="004F06F0"/>
    <w:rsid w:val="004F0756"/>
    <w:rsid w:val="004F08AE"/>
    <w:rsid w:val="004F09DA"/>
    <w:rsid w:val="004F0A51"/>
    <w:rsid w:val="004F0AD4"/>
    <w:rsid w:val="004F0C15"/>
    <w:rsid w:val="004F0E4E"/>
    <w:rsid w:val="004F0E72"/>
    <w:rsid w:val="004F0F9D"/>
    <w:rsid w:val="004F10F0"/>
    <w:rsid w:val="004F1460"/>
    <w:rsid w:val="004F18D5"/>
    <w:rsid w:val="004F1A76"/>
    <w:rsid w:val="004F1C67"/>
    <w:rsid w:val="004F1F02"/>
    <w:rsid w:val="004F1F8D"/>
    <w:rsid w:val="004F2553"/>
    <w:rsid w:val="004F2C55"/>
    <w:rsid w:val="004F308C"/>
    <w:rsid w:val="004F31B2"/>
    <w:rsid w:val="004F3372"/>
    <w:rsid w:val="004F3454"/>
    <w:rsid w:val="004F34C5"/>
    <w:rsid w:val="004F367B"/>
    <w:rsid w:val="004F3A42"/>
    <w:rsid w:val="004F3A87"/>
    <w:rsid w:val="004F3B53"/>
    <w:rsid w:val="004F3ED6"/>
    <w:rsid w:val="004F3FBE"/>
    <w:rsid w:val="004F409B"/>
    <w:rsid w:val="004F424F"/>
    <w:rsid w:val="004F428F"/>
    <w:rsid w:val="004F42A0"/>
    <w:rsid w:val="004F435F"/>
    <w:rsid w:val="004F4543"/>
    <w:rsid w:val="004F4592"/>
    <w:rsid w:val="004F45B3"/>
    <w:rsid w:val="004F473D"/>
    <w:rsid w:val="004F47DF"/>
    <w:rsid w:val="004F483A"/>
    <w:rsid w:val="004F491D"/>
    <w:rsid w:val="004F49FF"/>
    <w:rsid w:val="004F4A96"/>
    <w:rsid w:val="004F4C94"/>
    <w:rsid w:val="004F4CBC"/>
    <w:rsid w:val="004F4EE9"/>
    <w:rsid w:val="004F4EFD"/>
    <w:rsid w:val="004F4FC4"/>
    <w:rsid w:val="004F5307"/>
    <w:rsid w:val="004F53E7"/>
    <w:rsid w:val="004F5522"/>
    <w:rsid w:val="004F5AC0"/>
    <w:rsid w:val="004F5AFF"/>
    <w:rsid w:val="004F5C2F"/>
    <w:rsid w:val="004F5CAA"/>
    <w:rsid w:val="004F5D5B"/>
    <w:rsid w:val="004F5D66"/>
    <w:rsid w:val="004F5D7E"/>
    <w:rsid w:val="004F60F5"/>
    <w:rsid w:val="004F6192"/>
    <w:rsid w:val="004F65CF"/>
    <w:rsid w:val="004F6636"/>
    <w:rsid w:val="004F6843"/>
    <w:rsid w:val="004F6B77"/>
    <w:rsid w:val="004F6E20"/>
    <w:rsid w:val="004F71B8"/>
    <w:rsid w:val="004F7642"/>
    <w:rsid w:val="004F79A4"/>
    <w:rsid w:val="004F79DE"/>
    <w:rsid w:val="004F7AEA"/>
    <w:rsid w:val="004F7CC8"/>
    <w:rsid w:val="004F7CE6"/>
    <w:rsid w:val="00500123"/>
    <w:rsid w:val="0050019F"/>
    <w:rsid w:val="0050022D"/>
    <w:rsid w:val="005006F9"/>
    <w:rsid w:val="005008E4"/>
    <w:rsid w:val="005009CC"/>
    <w:rsid w:val="00500E06"/>
    <w:rsid w:val="00500EE1"/>
    <w:rsid w:val="00501036"/>
    <w:rsid w:val="005014EC"/>
    <w:rsid w:val="00501597"/>
    <w:rsid w:val="005016DB"/>
    <w:rsid w:val="005019F5"/>
    <w:rsid w:val="00501AA4"/>
    <w:rsid w:val="00501CB6"/>
    <w:rsid w:val="00501F6D"/>
    <w:rsid w:val="00501F76"/>
    <w:rsid w:val="0050204A"/>
    <w:rsid w:val="00502182"/>
    <w:rsid w:val="00502300"/>
    <w:rsid w:val="005025D0"/>
    <w:rsid w:val="0050291F"/>
    <w:rsid w:val="005029FE"/>
    <w:rsid w:val="00502B54"/>
    <w:rsid w:val="00502BE0"/>
    <w:rsid w:val="00502FCC"/>
    <w:rsid w:val="005034CC"/>
    <w:rsid w:val="00503548"/>
    <w:rsid w:val="0050377E"/>
    <w:rsid w:val="005038BB"/>
    <w:rsid w:val="0050397F"/>
    <w:rsid w:val="00503AFB"/>
    <w:rsid w:val="00503C90"/>
    <w:rsid w:val="00503D2F"/>
    <w:rsid w:val="00503ED4"/>
    <w:rsid w:val="00503F09"/>
    <w:rsid w:val="00504070"/>
    <w:rsid w:val="0050414A"/>
    <w:rsid w:val="00504402"/>
    <w:rsid w:val="00504696"/>
    <w:rsid w:val="005046C9"/>
    <w:rsid w:val="00505188"/>
    <w:rsid w:val="00505983"/>
    <w:rsid w:val="00505C94"/>
    <w:rsid w:val="00505E92"/>
    <w:rsid w:val="005062B0"/>
    <w:rsid w:val="00506675"/>
    <w:rsid w:val="00506676"/>
    <w:rsid w:val="005068A6"/>
    <w:rsid w:val="00506BA2"/>
    <w:rsid w:val="00506E32"/>
    <w:rsid w:val="005070FE"/>
    <w:rsid w:val="00507444"/>
    <w:rsid w:val="00507576"/>
    <w:rsid w:val="005076EC"/>
    <w:rsid w:val="00507AD3"/>
    <w:rsid w:val="00507CF5"/>
    <w:rsid w:val="00507E2D"/>
    <w:rsid w:val="005100E5"/>
    <w:rsid w:val="00510582"/>
    <w:rsid w:val="005106C5"/>
    <w:rsid w:val="005109EA"/>
    <w:rsid w:val="00510C62"/>
    <w:rsid w:val="00510D61"/>
    <w:rsid w:val="00510EDF"/>
    <w:rsid w:val="00510F03"/>
    <w:rsid w:val="00510F8D"/>
    <w:rsid w:val="0051109E"/>
    <w:rsid w:val="00511160"/>
    <w:rsid w:val="005115A5"/>
    <w:rsid w:val="00511834"/>
    <w:rsid w:val="00511954"/>
    <w:rsid w:val="00511AA5"/>
    <w:rsid w:val="00511BEC"/>
    <w:rsid w:val="0051202E"/>
    <w:rsid w:val="0051206D"/>
    <w:rsid w:val="00512326"/>
    <w:rsid w:val="005123C1"/>
    <w:rsid w:val="00512570"/>
    <w:rsid w:val="0051270A"/>
    <w:rsid w:val="0051271B"/>
    <w:rsid w:val="00512786"/>
    <w:rsid w:val="005129EA"/>
    <w:rsid w:val="00512A06"/>
    <w:rsid w:val="00512B6C"/>
    <w:rsid w:val="00512C04"/>
    <w:rsid w:val="00512CB9"/>
    <w:rsid w:val="00512E7B"/>
    <w:rsid w:val="00513325"/>
    <w:rsid w:val="00513785"/>
    <w:rsid w:val="0051399C"/>
    <w:rsid w:val="00513A02"/>
    <w:rsid w:val="00513A4A"/>
    <w:rsid w:val="00513A87"/>
    <w:rsid w:val="00513B44"/>
    <w:rsid w:val="00513D64"/>
    <w:rsid w:val="005140DD"/>
    <w:rsid w:val="0051414C"/>
    <w:rsid w:val="0051430F"/>
    <w:rsid w:val="00514324"/>
    <w:rsid w:val="005149F6"/>
    <w:rsid w:val="00514A0B"/>
    <w:rsid w:val="00514A35"/>
    <w:rsid w:val="00514A95"/>
    <w:rsid w:val="00514E23"/>
    <w:rsid w:val="00514FE5"/>
    <w:rsid w:val="00514FEC"/>
    <w:rsid w:val="005151C3"/>
    <w:rsid w:val="0051532D"/>
    <w:rsid w:val="005154B9"/>
    <w:rsid w:val="005156B2"/>
    <w:rsid w:val="00515842"/>
    <w:rsid w:val="00515A61"/>
    <w:rsid w:val="00515A74"/>
    <w:rsid w:val="00515B12"/>
    <w:rsid w:val="00515C79"/>
    <w:rsid w:val="00515DB1"/>
    <w:rsid w:val="00515E60"/>
    <w:rsid w:val="0051604C"/>
    <w:rsid w:val="0051640F"/>
    <w:rsid w:val="00516AA6"/>
    <w:rsid w:val="00516BCC"/>
    <w:rsid w:val="00516EF5"/>
    <w:rsid w:val="00517165"/>
    <w:rsid w:val="00517451"/>
    <w:rsid w:val="00517495"/>
    <w:rsid w:val="00517541"/>
    <w:rsid w:val="00517A5E"/>
    <w:rsid w:val="00517CEC"/>
    <w:rsid w:val="0052038B"/>
    <w:rsid w:val="0052048B"/>
    <w:rsid w:val="00520492"/>
    <w:rsid w:val="0052077C"/>
    <w:rsid w:val="005207E0"/>
    <w:rsid w:val="0052088B"/>
    <w:rsid w:val="005209FE"/>
    <w:rsid w:val="00520CE6"/>
    <w:rsid w:val="00520E58"/>
    <w:rsid w:val="00520EFB"/>
    <w:rsid w:val="0052111F"/>
    <w:rsid w:val="00521220"/>
    <w:rsid w:val="005214C6"/>
    <w:rsid w:val="00521649"/>
    <w:rsid w:val="0052188F"/>
    <w:rsid w:val="00521B0C"/>
    <w:rsid w:val="00521B44"/>
    <w:rsid w:val="00521E74"/>
    <w:rsid w:val="00521F7B"/>
    <w:rsid w:val="00522148"/>
    <w:rsid w:val="00522294"/>
    <w:rsid w:val="00522300"/>
    <w:rsid w:val="0052250D"/>
    <w:rsid w:val="0052278F"/>
    <w:rsid w:val="005228AD"/>
    <w:rsid w:val="00523631"/>
    <w:rsid w:val="00523710"/>
    <w:rsid w:val="00523828"/>
    <w:rsid w:val="00523860"/>
    <w:rsid w:val="005238B4"/>
    <w:rsid w:val="005239BF"/>
    <w:rsid w:val="00523AF0"/>
    <w:rsid w:val="00523B8D"/>
    <w:rsid w:val="00523BDC"/>
    <w:rsid w:val="00523CB0"/>
    <w:rsid w:val="00523F50"/>
    <w:rsid w:val="00524400"/>
    <w:rsid w:val="0052447E"/>
    <w:rsid w:val="00524548"/>
    <w:rsid w:val="005245A1"/>
    <w:rsid w:val="0052486F"/>
    <w:rsid w:val="00524AF0"/>
    <w:rsid w:val="00524DD0"/>
    <w:rsid w:val="00524E24"/>
    <w:rsid w:val="00524EA7"/>
    <w:rsid w:val="00524F46"/>
    <w:rsid w:val="0052508A"/>
    <w:rsid w:val="00525160"/>
    <w:rsid w:val="005251F6"/>
    <w:rsid w:val="005252AF"/>
    <w:rsid w:val="00525354"/>
    <w:rsid w:val="00525423"/>
    <w:rsid w:val="00525808"/>
    <w:rsid w:val="00525990"/>
    <w:rsid w:val="00525C80"/>
    <w:rsid w:val="00525D0C"/>
    <w:rsid w:val="00525D66"/>
    <w:rsid w:val="00525F3F"/>
    <w:rsid w:val="00526004"/>
    <w:rsid w:val="0052614B"/>
    <w:rsid w:val="005261FA"/>
    <w:rsid w:val="00526237"/>
    <w:rsid w:val="00526246"/>
    <w:rsid w:val="005262DF"/>
    <w:rsid w:val="00526300"/>
    <w:rsid w:val="00526431"/>
    <w:rsid w:val="00526C76"/>
    <w:rsid w:val="00526CB8"/>
    <w:rsid w:val="00526D0A"/>
    <w:rsid w:val="00526D16"/>
    <w:rsid w:val="00526E23"/>
    <w:rsid w:val="00526F19"/>
    <w:rsid w:val="005270D0"/>
    <w:rsid w:val="00527234"/>
    <w:rsid w:val="005272A9"/>
    <w:rsid w:val="0052746D"/>
    <w:rsid w:val="00527629"/>
    <w:rsid w:val="00527825"/>
    <w:rsid w:val="00527A25"/>
    <w:rsid w:val="00527EC6"/>
    <w:rsid w:val="0053008B"/>
    <w:rsid w:val="00530183"/>
    <w:rsid w:val="005302C9"/>
    <w:rsid w:val="00530735"/>
    <w:rsid w:val="0053087B"/>
    <w:rsid w:val="00530A73"/>
    <w:rsid w:val="00530F09"/>
    <w:rsid w:val="00530FFB"/>
    <w:rsid w:val="00531084"/>
    <w:rsid w:val="0053117F"/>
    <w:rsid w:val="0053151C"/>
    <w:rsid w:val="0053158A"/>
    <w:rsid w:val="00531631"/>
    <w:rsid w:val="00531717"/>
    <w:rsid w:val="005317DB"/>
    <w:rsid w:val="00531BDD"/>
    <w:rsid w:val="00531C6F"/>
    <w:rsid w:val="00531D4B"/>
    <w:rsid w:val="00532062"/>
    <w:rsid w:val="005320B1"/>
    <w:rsid w:val="005320DC"/>
    <w:rsid w:val="005321EB"/>
    <w:rsid w:val="00532305"/>
    <w:rsid w:val="005323BF"/>
    <w:rsid w:val="0053249D"/>
    <w:rsid w:val="00532527"/>
    <w:rsid w:val="005325C2"/>
    <w:rsid w:val="00532655"/>
    <w:rsid w:val="0053293A"/>
    <w:rsid w:val="00532C1C"/>
    <w:rsid w:val="00532D5B"/>
    <w:rsid w:val="00532EDF"/>
    <w:rsid w:val="00532F84"/>
    <w:rsid w:val="0053317B"/>
    <w:rsid w:val="005331D0"/>
    <w:rsid w:val="00533204"/>
    <w:rsid w:val="00533428"/>
    <w:rsid w:val="005334A5"/>
    <w:rsid w:val="005336BE"/>
    <w:rsid w:val="005337D3"/>
    <w:rsid w:val="005338B2"/>
    <w:rsid w:val="00533C36"/>
    <w:rsid w:val="00534104"/>
    <w:rsid w:val="005342AE"/>
    <w:rsid w:val="005343A3"/>
    <w:rsid w:val="00534416"/>
    <w:rsid w:val="00534712"/>
    <w:rsid w:val="00534722"/>
    <w:rsid w:val="005348F1"/>
    <w:rsid w:val="005349EE"/>
    <w:rsid w:val="00534B70"/>
    <w:rsid w:val="00534C27"/>
    <w:rsid w:val="00534EB5"/>
    <w:rsid w:val="0053557F"/>
    <w:rsid w:val="005358E0"/>
    <w:rsid w:val="00535E2C"/>
    <w:rsid w:val="00535F54"/>
    <w:rsid w:val="00535FA6"/>
    <w:rsid w:val="00536196"/>
    <w:rsid w:val="00536395"/>
    <w:rsid w:val="005366DC"/>
    <w:rsid w:val="0053679E"/>
    <w:rsid w:val="005367F8"/>
    <w:rsid w:val="00536C4B"/>
    <w:rsid w:val="005372B9"/>
    <w:rsid w:val="005372F8"/>
    <w:rsid w:val="0053757E"/>
    <w:rsid w:val="00537641"/>
    <w:rsid w:val="0053795A"/>
    <w:rsid w:val="00537B82"/>
    <w:rsid w:val="00537CFA"/>
    <w:rsid w:val="00537FA7"/>
    <w:rsid w:val="005401FA"/>
    <w:rsid w:val="0054037F"/>
    <w:rsid w:val="00540474"/>
    <w:rsid w:val="005407D6"/>
    <w:rsid w:val="00540800"/>
    <w:rsid w:val="0054099F"/>
    <w:rsid w:val="00540A32"/>
    <w:rsid w:val="00540AB7"/>
    <w:rsid w:val="005411D8"/>
    <w:rsid w:val="00541208"/>
    <w:rsid w:val="005418DD"/>
    <w:rsid w:val="00541963"/>
    <w:rsid w:val="005419EC"/>
    <w:rsid w:val="00541AA5"/>
    <w:rsid w:val="00541B73"/>
    <w:rsid w:val="00541BDC"/>
    <w:rsid w:val="00541DBF"/>
    <w:rsid w:val="00541F63"/>
    <w:rsid w:val="0054204B"/>
    <w:rsid w:val="005421E2"/>
    <w:rsid w:val="00542B23"/>
    <w:rsid w:val="00542D8E"/>
    <w:rsid w:val="00542F8E"/>
    <w:rsid w:val="0054301E"/>
    <w:rsid w:val="0054320B"/>
    <w:rsid w:val="005432A5"/>
    <w:rsid w:val="00543803"/>
    <w:rsid w:val="00543B8C"/>
    <w:rsid w:val="00543E10"/>
    <w:rsid w:val="00543EEE"/>
    <w:rsid w:val="00544001"/>
    <w:rsid w:val="00544034"/>
    <w:rsid w:val="00544883"/>
    <w:rsid w:val="00544A22"/>
    <w:rsid w:val="00544A35"/>
    <w:rsid w:val="00544D7E"/>
    <w:rsid w:val="005452FF"/>
    <w:rsid w:val="00545755"/>
    <w:rsid w:val="00545F0D"/>
    <w:rsid w:val="00545F17"/>
    <w:rsid w:val="0054607A"/>
    <w:rsid w:val="00546313"/>
    <w:rsid w:val="0054643E"/>
    <w:rsid w:val="0054649F"/>
    <w:rsid w:val="00546508"/>
    <w:rsid w:val="00546529"/>
    <w:rsid w:val="00546536"/>
    <w:rsid w:val="005466D6"/>
    <w:rsid w:val="005466EA"/>
    <w:rsid w:val="005467B7"/>
    <w:rsid w:val="00546904"/>
    <w:rsid w:val="00546C0F"/>
    <w:rsid w:val="00546DBE"/>
    <w:rsid w:val="00546DCF"/>
    <w:rsid w:val="00546EBC"/>
    <w:rsid w:val="00547132"/>
    <w:rsid w:val="0054732C"/>
    <w:rsid w:val="00547BE0"/>
    <w:rsid w:val="00547DBC"/>
    <w:rsid w:val="00547F22"/>
    <w:rsid w:val="00547F2F"/>
    <w:rsid w:val="005500AE"/>
    <w:rsid w:val="0055040F"/>
    <w:rsid w:val="00550548"/>
    <w:rsid w:val="00550579"/>
    <w:rsid w:val="0055087B"/>
    <w:rsid w:val="005509C1"/>
    <w:rsid w:val="00550D8E"/>
    <w:rsid w:val="00551190"/>
    <w:rsid w:val="005511C1"/>
    <w:rsid w:val="0055151C"/>
    <w:rsid w:val="005515F8"/>
    <w:rsid w:val="00551685"/>
    <w:rsid w:val="005519BA"/>
    <w:rsid w:val="00551B91"/>
    <w:rsid w:val="00551CFA"/>
    <w:rsid w:val="00551E14"/>
    <w:rsid w:val="00551E45"/>
    <w:rsid w:val="00551E51"/>
    <w:rsid w:val="00551ECB"/>
    <w:rsid w:val="00551F00"/>
    <w:rsid w:val="0055202B"/>
    <w:rsid w:val="00552096"/>
    <w:rsid w:val="005524F0"/>
    <w:rsid w:val="00552A75"/>
    <w:rsid w:val="00552BFF"/>
    <w:rsid w:val="00552DE8"/>
    <w:rsid w:val="00552F8E"/>
    <w:rsid w:val="005533D9"/>
    <w:rsid w:val="00553468"/>
    <w:rsid w:val="005534F4"/>
    <w:rsid w:val="00553514"/>
    <w:rsid w:val="0055378B"/>
    <w:rsid w:val="00553923"/>
    <w:rsid w:val="00553D45"/>
    <w:rsid w:val="00553D9A"/>
    <w:rsid w:val="00553F73"/>
    <w:rsid w:val="005540B8"/>
    <w:rsid w:val="005541E3"/>
    <w:rsid w:val="00554557"/>
    <w:rsid w:val="00554579"/>
    <w:rsid w:val="0055459E"/>
    <w:rsid w:val="005546D2"/>
    <w:rsid w:val="005547BC"/>
    <w:rsid w:val="00554DBF"/>
    <w:rsid w:val="0055535C"/>
    <w:rsid w:val="005554F4"/>
    <w:rsid w:val="00555940"/>
    <w:rsid w:val="00555A32"/>
    <w:rsid w:val="00555F3A"/>
    <w:rsid w:val="00555F62"/>
    <w:rsid w:val="00556078"/>
    <w:rsid w:val="005562E4"/>
    <w:rsid w:val="005563D6"/>
    <w:rsid w:val="0055652A"/>
    <w:rsid w:val="005565FF"/>
    <w:rsid w:val="00556661"/>
    <w:rsid w:val="00556A18"/>
    <w:rsid w:val="00556BED"/>
    <w:rsid w:val="00556CD5"/>
    <w:rsid w:val="00556ECB"/>
    <w:rsid w:val="00557599"/>
    <w:rsid w:val="005576D0"/>
    <w:rsid w:val="005577E9"/>
    <w:rsid w:val="0055791D"/>
    <w:rsid w:val="00557A44"/>
    <w:rsid w:val="00557D43"/>
    <w:rsid w:val="00557F94"/>
    <w:rsid w:val="00560137"/>
    <w:rsid w:val="005601B5"/>
    <w:rsid w:val="005602D8"/>
    <w:rsid w:val="00560EEC"/>
    <w:rsid w:val="00560FC8"/>
    <w:rsid w:val="005614D5"/>
    <w:rsid w:val="0056154E"/>
    <w:rsid w:val="005615C8"/>
    <w:rsid w:val="005615D9"/>
    <w:rsid w:val="00561691"/>
    <w:rsid w:val="00561713"/>
    <w:rsid w:val="0056171E"/>
    <w:rsid w:val="00561835"/>
    <w:rsid w:val="00561A21"/>
    <w:rsid w:val="00561E67"/>
    <w:rsid w:val="005620DC"/>
    <w:rsid w:val="00562276"/>
    <w:rsid w:val="00562ADC"/>
    <w:rsid w:val="00562BC8"/>
    <w:rsid w:val="00562DC6"/>
    <w:rsid w:val="00562EA4"/>
    <w:rsid w:val="00562F48"/>
    <w:rsid w:val="00563203"/>
    <w:rsid w:val="0056331D"/>
    <w:rsid w:val="00563557"/>
    <w:rsid w:val="0056374D"/>
    <w:rsid w:val="00563787"/>
    <w:rsid w:val="005639E6"/>
    <w:rsid w:val="00563A39"/>
    <w:rsid w:val="00563B1E"/>
    <w:rsid w:val="00563DE9"/>
    <w:rsid w:val="0056400F"/>
    <w:rsid w:val="0056439F"/>
    <w:rsid w:val="00564553"/>
    <w:rsid w:val="005646EC"/>
    <w:rsid w:val="0056486B"/>
    <w:rsid w:val="005648D5"/>
    <w:rsid w:val="00564ADB"/>
    <w:rsid w:val="00564BC0"/>
    <w:rsid w:val="00564F16"/>
    <w:rsid w:val="0056517B"/>
    <w:rsid w:val="00565183"/>
    <w:rsid w:val="00565278"/>
    <w:rsid w:val="00565490"/>
    <w:rsid w:val="00565571"/>
    <w:rsid w:val="005656C1"/>
    <w:rsid w:val="00565A6A"/>
    <w:rsid w:val="00566031"/>
    <w:rsid w:val="005661C4"/>
    <w:rsid w:val="005663C5"/>
    <w:rsid w:val="00566734"/>
    <w:rsid w:val="00566888"/>
    <w:rsid w:val="00566B53"/>
    <w:rsid w:val="00566EAB"/>
    <w:rsid w:val="00567106"/>
    <w:rsid w:val="005671D5"/>
    <w:rsid w:val="00567308"/>
    <w:rsid w:val="0056738B"/>
    <w:rsid w:val="005675B3"/>
    <w:rsid w:val="00567696"/>
    <w:rsid w:val="0056769C"/>
    <w:rsid w:val="005678D8"/>
    <w:rsid w:val="00567B6D"/>
    <w:rsid w:val="00567BB9"/>
    <w:rsid w:val="00567C93"/>
    <w:rsid w:val="00567DA8"/>
    <w:rsid w:val="00567E5D"/>
    <w:rsid w:val="00567FC3"/>
    <w:rsid w:val="005702E1"/>
    <w:rsid w:val="0057066F"/>
    <w:rsid w:val="00570733"/>
    <w:rsid w:val="00570740"/>
    <w:rsid w:val="0057081E"/>
    <w:rsid w:val="00570B16"/>
    <w:rsid w:val="00570B1C"/>
    <w:rsid w:val="00570B93"/>
    <w:rsid w:val="00570C90"/>
    <w:rsid w:val="00570CB5"/>
    <w:rsid w:val="00570CEA"/>
    <w:rsid w:val="00570DDA"/>
    <w:rsid w:val="00570F5B"/>
    <w:rsid w:val="00571374"/>
    <w:rsid w:val="005714E0"/>
    <w:rsid w:val="005716A2"/>
    <w:rsid w:val="0057179D"/>
    <w:rsid w:val="005717F0"/>
    <w:rsid w:val="00571828"/>
    <w:rsid w:val="00571A96"/>
    <w:rsid w:val="00571AB7"/>
    <w:rsid w:val="00571C69"/>
    <w:rsid w:val="00571F2A"/>
    <w:rsid w:val="00571F2F"/>
    <w:rsid w:val="00572473"/>
    <w:rsid w:val="0057265D"/>
    <w:rsid w:val="00572B00"/>
    <w:rsid w:val="0057300D"/>
    <w:rsid w:val="00573151"/>
    <w:rsid w:val="0057332A"/>
    <w:rsid w:val="00573377"/>
    <w:rsid w:val="005734CB"/>
    <w:rsid w:val="005734F6"/>
    <w:rsid w:val="005737D7"/>
    <w:rsid w:val="005739B0"/>
    <w:rsid w:val="005739CF"/>
    <w:rsid w:val="00573D6E"/>
    <w:rsid w:val="00573F04"/>
    <w:rsid w:val="005742E8"/>
    <w:rsid w:val="005745AF"/>
    <w:rsid w:val="00574920"/>
    <w:rsid w:val="00574AED"/>
    <w:rsid w:val="00574B32"/>
    <w:rsid w:val="00574B33"/>
    <w:rsid w:val="00574DA8"/>
    <w:rsid w:val="00575063"/>
    <w:rsid w:val="00575190"/>
    <w:rsid w:val="005751EF"/>
    <w:rsid w:val="00575675"/>
    <w:rsid w:val="005758FC"/>
    <w:rsid w:val="005759AA"/>
    <w:rsid w:val="00575C19"/>
    <w:rsid w:val="00575D3C"/>
    <w:rsid w:val="00576095"/>
    <w:rsid w:val="0057622B"/>
    <w:rsid w:val="00576239"/>
    <w:rsid w:val="005768FD"/>
    <w:rsid w:val="00576A65"/>
    <w:rsid w:val="00576A88"/>
    <w:rsid w:val="00576CC9"/>
    <w:rsid w:val="00576DD0"/>
    <w:rsid w:val="00576FDA"/>
    <w:rsid w:val="00577555"/>
    <w:rsid w:val="005776A3"/>
    <w:rsid w:val="0057783D"/>
    <w:rsid w:val="00577C5E"/>
    <w:rsid w:val="00577CBC"/>
    <w:rsid w:val="00577FBC"/>
    <w:rsid w:val="0058017D"/>
    <w:rsid w:val="0058026F"/>
    <w:rsid w:val="00580389"/>
    <w:rsid w:val="005803D3"/>
    <w:rsid w:val="005804BB"/>
    <w:rsid w:val="005805BD"/>
    <w:rsid w:val="00580889"/>
    <w:rsid w:val="00580FAF"/>
    <w:rsid w:val="005812E9"/>
    <w:rsid w:val="00581402"/>
    <w:rsid w:val="005815E6"/>
    <w:rsid w:val="0058170D"/>
    <w:rsid w:val="0058188E"/>
    <w:rsid w:val="005818A5"/>
    <w:rsid w:val="00581D11"/>
    <w:rsid w:val="00581EBB"/>
    <w:rsid w:val="005821B0"/>
    <w:rsid w:val="005823A0"/>
    <w:rsid w:val="005824AB"/>
    <w:rsid w:val="0058265A"/>
    <w:rsid w:val="00582BD4"/>
    <w:rsid w:val="00582C4E"/>
    <w:rsid w:val="00582D3E"/>
    <w:rsid w:val="00582E32"/>
    <w:rsid w:val="00582EBE"/>
    <w:rsid w:val="005836C7"/>
    <w:rsid w:val="005837A9"/>
    <w:rsid w:val="00583854"/>
    <w:rsid w:val="0058388B"/>
    <w:rsid w:val="00583BC7"/>
    <w:rsid w:val="00583DB7"/>
    <w:rsid w:val="00583F51"/>
    <w:rsid w:val="0058409D"/>
    <w:rsid w:val="00584199"/>
    <w:rsid w:val="005842C1"/>
    <w:rsid w:val="00584354"/>
    <w:rsid w:val="0058462D"/>
    <w:rsid w:val="00584681"/>
    <w:rsid w:val="005848B0"/>
    <w:rsid w:val="00584959"/>
    <w:rsid w:val="00584C59"/>
    <w:rsid w:val="00584D4C"/>
    <w:rsid w:val="00584D7F"/>
    <w:rsid w:val="00584F98"/>
    <w:rsid w:val="00584FF4"/>
    <w:rsid w:val="005851D6"/>
    <w:rsid w:val="0058521F"/>
    <w:rsid w:val="0058567B"/>
    <w:rsid w:val="005858E7"/>
    <w:rsid w:val="00585C5B"/>
    <w:rsid w:val="00585FA4"/>
    <w:rsid w:val="005863A7"/>
    <w:rsid w:val="00586466"/>
    <w:rsid w:val="00586615"/>
    <w:rsid w:val="00586B38"/>
    <w:rsid w:val="00586DF1"/>
    <w:rsid w:val="00586F14"/>
    <w:rsid w:val="005870CF"/>
    <w:rsid w:val="005871DC"/>
    <w:rsid w:val="005875C3"/>
    <w:rsid w:val="00587703"/>
    <w:rsid w:val="00587725"/>
    <w:rsid w:val="00587744"/>
    <w:rsid w:val="0058792C"/>
    <w:rsid w:val="00587A77"/>
    <w:rsid w:val="00587AA7"/>
    <w:rsid w:val="00587F4C"/>
    <w:rsid w:val="0059013B"/>
    <w:rsid w:val="00590449"/>
    <w:rsid w:val="005904EF"/>
    <w:rsid w:val="005905BC"/>
    <w:rsid w:val="00590836"/>
    <w:rsid w:val="0059094C"/>
    <w:rsid w:val="00590A88"/>
    <w:rsid w:val="00590AAB"/>
    <w:rsid w:val="00590B9B"/>
    <w:rsid w:val="00590BA5"/>
    <w:rsid w:val="00590C48"/>
    <w:rsid w:val="00590E29"/>
    <w:rsid w:val="00590FA3"/>
    <w:rsid w:val="0059150A"/>
    <w:rsid w:val="0059176A"/>
    <w:rsid w:val="00591B1A"/>
    <w:rsid w:val="00591BED"/>
    <w:rsid w:val="00591C9E"/>
    <w:rsid w:val="00591D3E"/>
    <w:rsid w:val="00591EE8"/>
    <w:rsid w:val="00591FA7"/>
    <w:rsid w:val="005922D7"/>
    <w:rsid w:val="00592320"/>
    <w:rsid w:val="005923AC"/>
    <w:rsid w:val="00592422"/>
    <w:rsid w:val="00592493"/>
    <w:rsid w:val="005924AC"/>
    <w:rsid w:val="0059264F"/>
    <w:rsid w:val="00592676"/>
    <w:rsid w:val="0059274D"/>
    <w:rsid w:val="0059281F"/>
    <w:rsid w:val="00592AF0"/>
    <w:rsid w:val="00592C1F"/>
    <w:rsid w:val="00592D50"/>
    <w:rsid w:val="00592EAF"/>
    <w:rsid w:val="005931D0"/>
    <w:rsid w:val="00593229"/>
    <w:rsid w:val="005932C2"/>
    <w:rsid w:val="00593317"/>
    <w:rsid w:val="0059338B"/>
    <w:rsid w:val="005935F1"/>
    <w:rsid w:val="0059364C"/>
    <w:rsid w:val="00593758"/>
    <w:rsid w:val="0059379A"/>
    <w:rsid w:val="00593807"/>
    <w:rsid w:val="00593811"/>
    <w:rsid w:val="005938D9"/>
    <w:rsid w:val="00593A0E"/>
    <w:rsid w:val="00594058"/>
    <w:rsid w:val="005941CE"/>
    <w:rsid w:val="00594500"/>
    <w:rsid w:val="00594670"/>
    <w:rsid w:val="005946BA"/>
    <w:rsid w:val="005948D0"/>
    <w:rsid w:val="00594C86"/>
    <w:rsid w:val="00594CA7"/>
    <w:rsid w:val="00594F57"/>
    <w:rsid w:val="00595619"/>
    <w:rsid w:val="005957E7"/>
    <w:rsid w:val="00595944"/>
    <w:rsid w:val="00595982"/>
    <w:rsid w:val="00595C44"/>
    <w:rsid w:val="00595D8C"/>
    <w:rsid w:val="00595E72"/>
    <w:rsid w:val="00595EB5"/>
    <w:rsid w:val="00596084"/>
    <w:rsid w:val="005960A2"/>
    <w:rsid w:val="0059616E"/>
    <w:rsid w:val="005963AA"/>
    <w:rsid w:val="00596770"/>
    <w:rsid w:val="005967CA"/>
    <w:rsid w:val="00596AA0"/>
    <w:rsid w:val="00596FCF"/>
    <w:rsid w:val="0059796D"/>
    <w:rsid w:val="00597976"/>
    <w:rsid w:val="00597D38"/>
    <w:rsid w:val="00597E4E"/>
    <w:rsid w:val="00597E86"/>
    <w:rsid w:val="00597EB6"/>
    <w:rsid w:val="00597F82"/>
    <w:rsid w:val="00597FA9"/>
    <w:rsid w:val="005A0250"/>
    <w:rsid w:val="005A0618"/>
    <w:rsid w:val="005A06A3"/>
    <w:rsid w:val="005A08DA"/>
    <w:rsid w:val="005A0936"/>
    <w:rsid w:val="005A15D9"/>
    <w:rsid w:val="005A1A01"/>
    <w:rsid w:val="005A1B6D"/>
    <w:rsid w:val="005A1C04"/>
    <w:rsid w:val="005A1E47"/>
    <w:rsid w:val="005A2188"/>
    <w:rsid w:val="005A227D"/>
    <w:rsid w:val="005A2353"/>
    <w:rsid w:val="005A2635"/>
    <w:rsid w:val="005A2D80"/>
    <w:rsid w:val="005A2F72"/>
    <w:rsid w:val="005A3412"/>
    <w:rsid w:val="005A3494"/>
    <w:rsid w:val="005A363E"/>
    <w:rsid w:val="005A3740"/>
    <w:rsid w:val="005A3BF0"/>
    <w:rsid w:val="005A3D7B"/>
    <w:rsid w:val="005A3F6C"/>
    <w:rsid w:val="005A4432"/>
    <w:rsid w:val="005A4475"/>
    <w:rsid w:val="005A453C"/>
    <w:rsid w:val="005A463A"/>
    <w:rsid w:val="005A490B"/>
    <w:rsid w:val="005A4AC1"/>
    <w:rsid w:val="005A512F"/>
    <w:rsid w:val="005A519D"/>
    <w:rsid w:val="005A5732"/>
    <w:rsid w:val="005A5A42"/>
    <w:rsid w:val="005A601D"/>
    <w:rsid w:val="005A612C"/>
    <w:rsid w:val="005A64B7"/>
    <w:rsid w:val="005A68F2"/>
    <w:rsid w:val="005A6A24"/>
    <w:rsid w:val="005A6AE2"/>
    <w:rsid w:val="005A6C12"/>
    <w:rsid w:val="005A71EB"/>
    <w:rsid w:val="005A7235"/>
    <w:rsid w:val="005A737E"/>
    <w:rsid w:val="005A7399"/>
    <w:rsid w:val="005A7732"/>
    <w:rsid w:val="005A787B"/>
    <w:rsid w:val="005A7951"/>
    <w:rsid w:val="005A7D3F"/>
    <w:rsid w:val="005A7DA4"/>
    <w:rsid w:val="005A7E44"/>
    <w:rsid w:val="005A7F97"/>
    <w:rsid w:val="005A7FED"/>
    <w:rsid w:val="005B00BD"/>
    <w:rsid w:val="005B0351"/>
    <w:rsid w:val="005B035E"/>
    <w:rsid w:val="005B04B1"/>
    <w:rsid w:val="005B0786"/>
    <w:rsid w:val="005B080B"/>
    <w:rsid w:val="005B0836"/>
    <w:rsid w:val="005B0A7E"/>
    <w:rsid w:val="005B0BF1"/>
    <w:rsid w:val="005B0CA1"/>
    <w:rsid w:val="005B0F0E"/>
    <w:rsid w:val="005B0F4D"/>
    <w:rsid w:val="005B10B7"/>
    <w:rsid w:val="005B1458"/>
    <w:rsid w:val="005B172A"/>
    <w:rsid w:val="005B175A"/>
    <w:rsid w:val="005B1B13"/>
    <w:rsid w:val="005B1C7A"/>
    <w:rsid w:val="005B1D90"/>
    <w:rsid w:val="005B1ECA"/>
    <w:rsid w:val="005B20D6"/>
    <w:rsid w:val="005B215F"/>
    <w:rsid w:val="005B2293"/>
    <w:rsid w:val="005B2839"/>
    <w:rsid w:val="005B2890"/>
    <w:rsid w:val="005B30E2"/>
    <w:rsid w:val="005B31D2"/>
    <w:rsid w:val="005B31E3"/>
    <w:rsid w:val="005B3315"/>
    <w:rsid w:val="005B34D5"/>
    <w:rsid w:val="005B36C4"/>
    <w:rsid w:val="005B36F1"/>
    <w:rsid w:val="005B37AF"/>
    <w:rsid w:val="005B3A14"/>
    <w:rsid w:val="005B3B0C"/>
    <w:rsid w:val="005B3B0D"/>
    <w:rsid w:val="005B3C4C"/>
    <w:rsid w:val="005B3F1E"/>
    <w:rsid w:val="005B3FF1"/>
    <w:rsid w:val="005B40CF"/>
    <w:rsid w:val="005B439C"/>
    <w:rsid w:val="005B440E"/>
    <w:rsid w:val="005B44FF"/>
    <w:rsid w:val="005B464A"/>
    <w:rsid w:val="005B4849"/>
    <w:rsid w:val="005B4902"/>
    <w:rsid w:val="005B49EA"/>
    <w:rsid w:val="005B49EE"/>
    <w:rsid w:val="005B4B90"/>
    <w:rsid w:val="005B4D3F"/>
    <w:rsid w:val="005B5027"/>
    <w:rsid w:val="005B50D7"/>
    <w:rsid w:val="005B5105"/>
    <w:rsid w:val="005B5366"/>
    <w:rsid w:val="005B5428"/>
    <w:rsid w:val="005B5449"/>
    <w:rsid w:val="005B54B4"/>
    <w:rsid w:val="005B55D2"/>
    <w:rsid w:val="005B5B0A"/>
    <w:rsid w:val="005B5B37"/>
    <w:rsid w:val="005B5E08"/>
    <w:rsid w:val="005B5E13"/>
    <w:rsid w:val="005B5E47"/>
    <w:rsid w:val="005B6035"/>
    <w:rsid w:val="005B635E"/>
    <w:rsid w:val="005B63EC"/>
    <w:rsid w:val="005B663B"/>
    <w:rsid w:val="005B67B6"/>
    <w:rsid w:val="005B68FD"/>
    <w:rsid w:val="005B6927"/>
    <w:rsid w:val="005B6DAA"/>
    <w:rsid w:val="005B715C"/>
    <w:rsid w:val="005B719D"/>
    <w:rsid w:val="005B72D4"/>
    <w:rsid w:val="005B73E4"/>
    <w:rsid w:val="005B744F"/>
    <w:rsid w:val="005B7711"/>
    <w:rsid w:val="005B79F3"/>
    <w:rsid w:val="005B7A02"/>
    <w:rsid w:val="005B7B13"/>
    <w:rsid w:val="005B7DA5"/>
    <w:rsid w:val="005B7E2B"/>
    <w:rsid w:val="005C004E"/>
    <w:rsid w:val="005C0065"/>
    <w:rsid w:val="005C041A"/>
    <w:rsid w:val="005C0615"/>
    <w:rsid w:val="005C06DB"/>
    <w:rsid w:val="005C0A1D"/>
    <w:rsid w:val="005C127A"/>
    <w:rsid w:val="005C1799"/>
    <w:rsid w:val="005C18D8"/>
    <w:rsid w:val="005C18EE"/>
    <w:rsid w:val="005C192D"/>
    <w:rsid w:val="005C1A39"/>
    <w:rsid w:val="005C1BE1"/>
    <w:rsid w:val="005C1DC4"/>
    <w:rsid w:val="005C1E5F"/>
    <w:rsid w:val="005C1FB7"/>
    <w:rsid w:val="005C1FFE"/>
    <w:rsid w:val="005C23D2"/>
    <w:rsid w:val="005C26C8"/>
    <w:rsid w:val="005C26FD"/>
    <w:rsid w:val="005C27E6"/>
    <w:rsid w:val="005C2BD2"/>
    <w:rsid w:val="005C2C69"/>
    <w:rsid w:val="005C2F13"/>
    <w:rsid w:val="005C3359"/>
    <w:rsid w:val="005C344F"/>
    <w:rsid w:val="005C3608"/>
    <w:rsid w:val="005C36B4"/>
    <w:rsid w:val="005C384C"/>
    <w:rsid w:val="005C388F"/>
    <w:rsid w:val="005C3941"/>
    <w:rsid w:val="005C4021"/>
    <w:rsid w:val="005C4181"/>
    <w:rsid w:val="005C42F1"/>
    <w:rsid w:val="005C431B"/>
    <w:rsid w:val="005C43DF"/>
    <w:rsid w:val="005C4521"/>
    <w:rsid w:val="005C4735"/>
    <w:rsid w:val="005C49F3"/>
    <w:rsid w:val="005C4D95"/>
    <w:rsid w:val="005C4DB5"/>
    <w:rsid w:val="005C4F5D"/>
    <w:rsid w:val="005C500C"/>
    <w:rsid w:val="005C5511"/>
    <w:rsid w:val="005C5932"/>
    <w:rsid w:val="005C5971"/>
    <w:rsid w:val="005C5C75"/>
    <w:rsid w:val="005C5E94"/>
    <w:rsid w:val="005C5F02"/>
    <w:rsid w:val="005C601D"/>
    <w:rsid w:val="005C6043"/>
    <w:rsid w:val="005C6628"/>
    <w:rsid w:val="005C66AC"/>
    <w:rsid w:val="005C681C"/>
    <w:rsid w:val="005C6CB7"/>
    <w:rsid w:val="005C7614"/>
    <w:rsid w:val="005C7929"/>
    <w:rsid w:val="005C79E2"/>
    <w:rsid w:val="005C7C69"/>
    <w:rsid w:val="005C7CF6"/>
    <w:rsid w:val="005D00E0"/>
    <w:rsid w:val="005D0301"/>
    <w:rsid w:val="005D0351"/>
    <w:rsid w:val="005D0AB8"/>
    <w:rsid w:val="005D0CE0"/>
    <w:rsid w:val="005D0FAF"/>
    <w:rsid w:val="005D14A7"/>
    <w:rsid w:val="005D19F7"/>
    <w:rsid w:val="005D1B44"/>
    <w:rsid w:val="005D1E08"/>
    <w:rsid w:val="005D1F52"/>
    <w:rsid w:val="005D2049"/>
    <w:rsid w:val="005D233A"/>
    <w:rsid w:val="005D24F4"/>
    <w:rsid w:val="005D284C"/>
    <w:rsid w:val="005D2C00"/>
    <w:rsid w:val="005D31C4"/>
    <w:rsid w:val="005D3278"/>
    <w:rsid w:val="005D32FE"/>
    <w:rsid w:val="005D349E"/>
    <w:rsid w:val="005D36F4"/>
    <w:rsid w:val="005D376E"/>
    <w:rsid w:val="005D37F4"/>
    <w:rsid w:val="005D39CA"/>
    <w:rsid w:val="005D3A37"/>
    <w:rsid w:val="005D3C6A"/>
    <w:rsid w:val="005D3EFC"/>
    <w:rsid w:val="005D42A5"/>
    <w:rsid w:val="005D43EE"/>
    <w:rsid w:val="005D4801"/>
    <w:rsid w:val="005D4A0C"/>
    <w:rsid w:val="005D4B00"/>
    <w:rsid w:val="005D4C2B"/>
    <w:rsid w:val="005D5294"/>
    <w:rsid w:val="005D59AC"/>
    <w:rsid w:val="005D59DA"/>
    <w:rsid w:val="005D5A20"/>
    <w:rsid w:val="005D5DCF"/>
    <w:rsid w:val="005D5E1B"/>
    <w:rsid w:val="005D615B"/>
    <w:rsid w:val="005D6285"/>
    <w:rsid w:val="005D63D7"/>
    <w:rsid w:val="005D6497"/>
    <w:rsid w:val="005D668C"/>
    <w:rsid w:val="005D66D3"/>
    <w:rsid w:val="005D66E9"/>
    <w:rsid w:val="005D6B1D"/>
    <w:rsid w:val="005D6EAD"/>
    <w:rsid w:val="005D702A"/>
    <w:rsid w:val="005D7093"/>
    <w:rsid w:val="005D71B5"/>
    <w:rsid w:val="005D71E0"/>
    <w:rsid w:val="005D75E9"/>
    <w:rsid w:val="005D7BA1"/>
    <w:rsid w:val="005E018C"/>
    <w:rsid w:val="005E0337"/>
    <w:rsid w:val="005E0619"/>
    <w:rsid w:val="005E0623"/>
    <w:rsid w:val="005E0708"/>
    <w:rsid w:val="005E0A7C"/>
    <w:rsid w:val="005E0AA6"/>
    <w:rsid w:val="005E0E38"/>
    <w:rsid w:val="005E0E51"/>
    <w:rsid w:val="005E0E73"/>
    <w:rsid w:val="005E110D"/>
    <w:rsid w:val="005E11A2"/>
    <w:rsid w:val="005E1406"/>
    <w:rsid w:val="005E15DE"/>
    <w:rsid w:val="005E1AE8"/>
    <w:rsid w:val="005E1BBA"/>
    <w:rsid w:val="005E1D1E"/>
    <w:rsid w:val="005E1D3C"/>
    <w:rsid w:val="005E1DF7"/>
    <w:rsid w:val="005E1EA9"/>
    <w:rsid w:val="005E1EC3"/>
    <w:rsid w:val="005E2140"/>
    <w:rsid w:val="005E23D1"/>
    <w:rsid w:val="005E240D"/>
    <w:rsid w:val="005E27AF"/>
    <w:rsid w:val="005E2966"/>
    <w:rsid w:val="005E2B45"/>
    <w:rsid w:val="005E2BFB"/>
    <w:rsid w:val="005E3198"/>
    <w:rsid w:val="005E31EC"/>
    <w:rsid w:val="005E33DE"/>
    <w:rsid w:val="005E34BC"/>
    <w:rsid w:val="005E3537"/>
    <w:rsid w:val="005E370D"/>
    <w:rsid w:val="005E3805"/>
    <w:rsid w:val="005E3959"/>
    <w:rsid w:val="005E3B44"/>
    <w:rsid w:val="005E3EA9"/>
    <w:rsid w:val="005E3F98"/>
    <w:rsid w:val="005E4018"/>
    <w:rsid w:val="005E40E6"/>
    <w:rsid w:val="005E41AA"/>
    <w:rsid w:val="005E434D"/>
    <w:rsid w:val="005E4371"/>
    <w:rsid w:val="005E4423"/>
    <w:rsid w:val="005E4951"/>
    <w:rsid w:val="005E4C12"/>
    <w:rsid w:val="005E4CE0"/>
    <w:rsid w:val="005E50F9"/>
    <w:rsid w:val="005E5218"/>
    <w:rsid w:val="005E5499"/>
    <w:rsid w:val="005E56AC"/>
    <w:rsid w:val="005E58BD"/>
    <w:rsid w:val="005E58BF"/>
    <w:rsid w:val="005E5963"/>
    <w:rsid w:val="005E5986"/>
    <w:rsid w:val="005E5A41"/>
    <w:rsid w:val="005E5B66"/>
    <w:rsid w:val="005E5C27"/>
    <w:rsid w:val="005E5D55"/>
    <w:rsid w:val="005E5EFC"/>
    <w:rsid w:val="005E5F6E"/>
    <w:rsid w:val="005E60D8"/>
    <w:rsid w:val="005E6219"/>
    <w:rsid w:val="005E62DC"/>
    <w:rsid w:val="005E68CB"/>
    <w:rsid w:val="005E6CBD"/>
    <w:rsid w:val="005E70A9"/>
    <w:rsid w:val="005E717B"/>
    <w:rsid w:val="005E749F"/>
    <w:rsid w:val="005E7613"/>
    <w:rsid w:val="005E789B"/>
    <w:rsid w:val="005E7A43"/>
    <w:rsid w:val="005E7DDF"/>
    <w:rsid w:val="005E7FF9"/>
    <w:rsid w:val="005F006E"/>
    <w:rsid w:val="005F009D"/>
    <w:rsid w:val="005F00B5"/>
    <w:rsid w:val="005F00F5"/>
    <w:rsid w:val="005F01FB"/>
    <w:rsid w:val="005F029D"/>
    <w:rsid w:val="005F089C"/>
    <w:rsid w:val="005F0B51"/>
    <w:rsid w:val="005F0D35"/>
    <w:rsid w:val="005F0D4C"/>
    <w:rsid w:val="005F0DB4"/>
    <w:rsid w:val="005F1170"/>
    <w:rsid w:val="005F122A"/>
    <w:rsid w:val="005F1290"/>
    <w:rsid w:val="005F14B6"/>
    <w:rsid w:val="005F1564"/>
    <w:rsid w:val="005F177E"/>
    <w:rsid w:val="005F1CC5"/>
    <w:rsid w:val="005F1E04"/>
    <w:rsid w:val="005F1FBE"/>
    <w:rsid w:val="005F2004"/>
    <w:rsid w:val="005F20D7"/>
    <w:rsid w:val="005F229F"/>
    <w:rsid w:val="005F27AB"/>
    <w:rsid w:val="005F2AE4"/>
    <w:rsid w:val="005F2C27"/>
    <w:rsid w:val="005F2C4E"/>
    <w:rsid w:val="005F31B7"/>
    <w:rsid w:val="005F31C6"/>
    <w:rsid w:val="005F31F1"/>
    <w:rsid w:val="005F320F"/>
    <w:rsid w:val="005F3315"/>
    <w:rsid w:val="005F3343"/>
    <w:rsid w:val="005F3374"/>
    <w:rsid w:val="005F3445"/>
    <w:rsid w:val="005F348A"/>
    <w:rsid w:val="005F3670"/>
    <w:rsid w:val="005F3715"/>
    <w:rsid w:val="005F3A8B"/>
    <w:rsid w:val="005F3A96"/>
    <w:rsid w:val="005F3B19"/>
    <w:rsid w:val="005F3CFD"/>
    <w:rsid w:val="005F3D87"/>
    <w:rsid w:val="005F3EFA"/>
    <w:rsid w:val="005F3FDE"/>
    <w:rsid w:val="005F42B9"/>
    <w:rsid w:val="005F44BE"/>
    <w:rsid w:val="005F456B"/>
    <w:rsid w:val="005F467B"/>
    <w:rsid w:val="005F4743"/>
    <w:rsid w:val="005F4A36"/>
    <w:rsid w:val="005F4CA1"/>
    <w:rsid w:val="005F4EB4"/>
    <w:rsid w:val="005F53D5"/>
    <w:rsid w:val="005F54B9"/>
    <w:rsid w:val="005F5582"/>
    <w:rsid w:val="005F55B9"/>
    <w:rsid w:val="005F5655"/>
    <w:rsid w:val="005F577B"/>
    <w:rsid w:val="005F579D"/>
    <w:rsid w:val="005F58C5"/>
    <w:rsid w:val="005F5B09"/>
    <w:rsid w:val="005F5B87"/>
    <w:rsid w:val="005F5F0C"/>
    <w:rsid w:val="005F5F2F"/>
    <w:rsid w:val="005F5F8F"/>
    <w:rsid w:val="005F6537"/>
    <w:rsid w:val="005F65A8"/>
    <w:rsid w:val="005F65BF"/>
    <w:rsid w:val="005F66A3"/>
    <w:rsid w:val="005F6B4F"/>
    <w:rsid w:val="005F6C17"/>
    <w:rsid w:val="005F6C6C"/>
    <w:rsid w:val="005F6E09"/>
    <w:rsid w:val="005F6E8D"/>
    <w:rsid w:val="005F6F3F"/>
    <w:rsid w:val="005F7050"/>
    <w:rsid w:val="005F7272"/>
    <w:rsid w:val="005F7387"/>
    <w:rsid w:val="005F783D"/>
    <w:rsid w:val="005F78E2"/>
    <w:rsid w:val="005F7D3C"/>
    <w:rsid w:val="005F7D8C"/>
    <w:rsid w:val="005F7DF5"/>
    <w:rsid w:val="0060059A"/>
    <w:rsid w:val="00600848"/>
    <w:rsid w:val="006008A3"/>
    <w:rsid w:val="00600978"/>
    <w:rsid w:val="00600A9E"/>
    <w:rsid w:val="00600D91"/>
    <w:rsid w:val="00600DAA"/>
    <w:rsid w:val="00600DBD"/>
    <w:rsid w:val="00600E7F"/>
    <w:rsid w:val="0060102B"/>
    <w:rsid w:val="00601084"/>
    <w:rsid w:val="00601152"/>
    <w:rsid w:val="00601396"/>
    <w:rsid w:val="0060188F"/>
    <w:rsid w:val="0060192A"/>
    <w:rsid w:val="006019A9"/>
    <w:rsid w:val="00601AF2"/>
    <w:rsid w:val="00601BDE"/>
    <w:rsid w:val="00601C79"/>
    <w:rsid w:val="00601EDC"/>
    <w:rsid w:val="006020FF"/>
    <w:rsid w:val="00602283"/>
    <w:rsid w:val="00602907"/>
    <w:rsid w:val="00602BDC"/>
    <w:rsid w:val="00602F1C"/>
    <w:rsid w:val="00602F4F"/>
    <w:rsid w:val="0060316B"/>
    <w:rsid w:val="00603350"/>
    <w:rsid w:val="00603388"/>
    <w:rsid w:val="00603451"/>
    <w:rsid w:val="006034D3"/>
    <w:rsid w:val="006035EE"/>
    <w:rsid w:val="0060393A"/>
    <w:rsid w:val="00603B38"/>
    <w:rsid w:val="00603F2D"/>
    <w:rsid w:val="0060426B"/>
    <w:rsid w:val="006046E5"/>
    <w:rsid w:val="006046FB"/>
    <w:rsid w:val="00604BFE"/>
    <w:rsid w:val="00604CDB"/>
    <w:rsid w:val="00604EDF"/>
    <w:rsid w:val="00604F0B"/>
    <w:rsid w:val="006051D6"/>
    <w:rsid w:val="00605355"/>
    <w:rsid w:val="006054E4"/>
    <w:rsid w:val="0060552F"/>
    <w:rsid w:val="0060557E"/>
    <w:rsid w:val="00605612"/>
    <w:rsid w:val="0060574E"/>
    <w:rsid w:val="00605C92"/>
    <w:rsid w:val="00605C9C"/>
    <w:rsid w:val="00605D2C"/>
    <w:rsid w:val="00606100"/>
    <w:rsid w:val="006061C0"/>
    <w:rsid w:val="00606314"/>
    <w:rsid w:val="00606372"/>
    <w:rsid w:val="00606400"/>
    <w:rsid w:val="0060660D"/>
    <w:rsid w:val="00606B50"/>
    <w:rsid w:val="00606CF0"/>
    <w:rsid w:val="00606DB2"/>
    <w:rsid w:val="006074AF"/>
    <w:rsid w:val="006075C2"/>
    <w:rsid w:val="006076EB"/>
    <w:rsid w:val="006076F1"/>
    <w:rsid w:val="00607708"/>
    <w:rsid w:val="00607967"/>
    <w:rsid w:val="00607A21"/>
    <w:rsid w:val="00607C3F"/>
    <w:rsid w:val="00607CF0"/>
    <w:rsid w:val="00607CF9"/>
    <w:rsid w:val="00607D29"/>
    <w:rsid w:val="00607F08"/>
    <w:rsid w:val="0060EB41"/>
    <w:rsid w:val="00610084"/>
    <w:rsid w:val="00610266"/>
    <w:rsid w:val="0061028E"/>
    <w:rsid w:val="006106CD"/>
    <w:rsid w:val="00610947"/>
    <w:rsid w:val="00610C94"/>
    <w:rsid w:val="00610E33"/>
    <w:rsid w:val="00610EA9"/>
    <w:rsid w:val="00610F28"/>
    <w:rsid w:val="00611222"/>
    <w:rsid w:val="00611348"/>
    <w:rsid w:val="00611751"/>
    <w:rsid w:val="00611931"/>
    <w:rsid w:val="006119D5"/>
    <w:rsid w:val="00611E93"/>
    <w:rsid w:val="00611F30"/>
    <w:rsid w:val="00612006"/>
    <w:rsid w:val="0061209B"/>
    <w:rsid w:val="00612397"/>
    <w:rsid w:val="006124D7"/>
    <w:rsid w:val="00612C9B"/>
    <w:rsid w:val="00612DB4"/>
    <w:rsid w:val="00612FDF"/>
    <w:rsid w:val="00613078"/>
    <w:rsid w:val="00613385"/>
    <w:rsid w:val="006133FD"/>
    <w:rsid w:val="00613664"/>
    <w:rsid w:val="006136CA"/>
    <w:rsid w:val="00613C15"/>
    <w:rsid w:val="00613E7E"/>
    <w:rsid w:val="006145D2"/>
    <w:rsid w:val="006146BF"/>
    <w:rsid w:val="0061492E"/>
    <w:rsid w:val="00614C61"/>
    <w:rsid w:val="00614D24"/>
    <w:rsid w:val="006153FA"/>
    <w:rsid w:val="00615693"/>
    <w:rsid w:val="006156F2"/>
    <w:rsid w:val="006158FC"/>
    <w:rsid w:val="006159BE"/>
    <w:rsid w:val="00615B7D"/>
    <w:rsid w:val="00615B7F"/>
    <w:rsid w:val="00615BA8"/>
    <w:rsid w:val="00615D28"/>
    <w:rsid w:val="00615D5F"/>
    <w:rsid w:val="00615D81"/>
    <w:rsid w:val="00615FD1"/>
    <w:rsid w:val="00616067"/>
    <w:rsid w:val="0061612A"/>
    <w:rsid w:val="00616245"/>
    <w:rsid w:val="0061624A"/>
    <w:rsid w:val="00616374"/>
    <w:rsid w:val="00616845"/>
    <w:rsid w:val="00616868"/>
    <w:rsid w:val="006169DC"/>
    <w:rsid w:val="00616F99"/>
    <w:rsid w:val="00616FD1"/>
    <w:rsid w:val="00617085"/>
    <w:rsid w:val="00617090"/>
    <w:rsid w:val="00617206"/>
    <w:rsid w:val="00617377"/>
    <w:rsid w:val="006173A3"/>
    <w:rsid w:val="006173AA"/>
    <w:rsid w:val="0061741D"/>
    <w:rsid w:val="00617457"/>
    <w:rsid w:val="006178DB"/>
    <w:rsid w:val="0062002E"/>
    <w:rsid w:val="00620198"/>
    <w:rsid w:val="0062089C"/>
    <w:rsid w:val="00620A5D"/>
    <w:rsid w:val="00620CAC"/>
    <w:rsid w:val="00620FA7"/>
    <w:rsid w:val="0062119D"/>
    <w:rsid w:val="006212C6"/>
    <w:rsid w:val="0062143D"/>
    <w:rsid w:val="006217CE"/>
    <w:rsid w:val="00621EEC"/>
    <w:rsid w:val="006222C3"/>
    <w:rsid w:val="006223A7"/>
    <w:rsid w:val="006225EA"/>
    <w:rsid w:val="006225EB"/>
    <w:rsid w:val="00622985"/>
    <w:rsid w:val="006229F1"/>
    <w:rsid w:val="00622A1E"/>
    <w:rsid w:val="00622DC1"/>
    <w:rsid w:val="00622DD5"/>
    <w:rsid w:val="00622EB2"/>
    <w:rsid w:val="00623007"/>
    <w:rsid w:val="006232D7"/>
    <w:rsid w:val="00623346"/>
    <w:rsid w:val="0062334A"/>
    <w:rsid w:val="00623364"/>
    <w:rsid w:val="00623527"/>
    <w:rsid w:val="00623743"/>
    <w:rsid w:val="00623756"/>
    <w:rsid w:val="0062377F"/>
    <w:rsid w:val="0062386D"/>
    <w:rsid w:val="00623CB4"/>
    <w:rsid w:val="00623D01"/>
    <w:rsid w:val="00623D29"/>
    <w:rsid w:val="00623E1D"/>
    <w:rsid w:val="00623F56"/>
    <w:rsid w:val="006241AC"/>
    <w:rsid w:val="006242CA"/>
    <w:rsid w:val="00624411"/>
    <w:rsid w:val="0062446C"/>
    <w:rsid w:val="006245C6"/>
    <w:rsid w:val="00624618"/>
    <w:rsid w:val="00624AF0"/>
    <w:rsid w:val="00624B45"/>
    <w:rsid w:val="00624C5A"/>
    <w:rsid w:val="00624C88"/>
    <w:rsid w:val="00624F6E"/>
    <w:rsid w:val="0062517A"/>
    <w:rsid w:val="0062535E"/>
    <w:rsid w:val="006253A1"/>
    <w:rsid w:val="00625838"/>
    <w:rsid w:val="0062584A"/>
    <w:rsid w:val="00625A7B"/>
    <w:rsid w:val="00625AE6"/>
    <w:rsid w:val="00625C28"/>
    <w:rsid w:val="00625C3D"/>
    <w:rsid w:val="00625E08"/>
    <w:rsid w:val="00625EE7"/>
    <w:rsid w:val="00626065"/>
    <w:rsid w:val="0062607A"/>
    <w:rsid w:val="00626215"/>
    <w:rsid w:val="006263C3"/>
    <w:rsid w:val="006263D9"/>
    <w:rsid w:val="00626634"/>
    <w:rsid w:val="00626733"/>
    <w:rsid w:val="00626777"/>
    <w:rsid w:val="006268D7"/>
    <w:rsid w:val="006269E9"/>
    <w:rsid w:val="00626B70"/>
    <w:rsid w:val="00626CDD"/>
    <w:rsid w:val="00626FCD"/>
    <w:rsid w:val="0062715B"/>
    <w:rsid w:val="006271B2"/>
    <w:rsid w:val="00627899"/>
    <w:rsid w:val="006278FA"/>
    <w:rsid w:val="00627925"/>
    <w:rsid w:val="006279D1"/>
    <w:rsid w:val="00627AD8"/>
    <w:rsid w:val="00627C2F"/>
    <w:rsid w:val="00627DC1"/>
    <w:rsid w:val="00627E27"/>
    <w:rsid w:val="0063006B"/>
    <w:rsid w:val="00630087"/>
    <w:rsid w:val="006300D1"/>
    <w:rsid w:val="00630196"/>
    <w:rsid w:val="00630352"/>
    <w:rsid w:val="00630675"/>
    <w:rsid w:val="0063075C"/>
    <w:rsid w:val="006308AF"/>
    <w:rsid w:val="0063093D"/>
    <w:rsid w:val="006309A9"/>
    <w:rsid w:val="00630AF3"/>
    <w:rsid w:val="00630DA9"/>
    <w:rsid w:val="00630DAC"/>
    <w:rsid w:val="00631162"/>
    <w:rsid w:val="00631361"/>
    <w:rsid w:val="00631421"/>
    <w:rsid w:val="00631721"/>
    <w:rsid w:val="006318C3"/>
    <w:rsid w:val="006319E9"/>
    <w:rsid w:val="00631ABA"/>
    <w:rsid w:val="00631C56"/>
    <w:rsid w:val="00631CD7"/>
    <w:rsid w:val="00631D1D"/>
    <w:rsid w:val="00631E2B"/>
    <w:rsid w:val="00631EBC"/>
    <w:rsid w:val="00631F0A"/>
    <w:rsid w:val="00631F34"/>
    <w:rsid w:val="0063206F"/>
    <w:rsid w:val="00632253"/>
    <w:rsid w:val="006322C7"/>
    <w:rsid w:val="00632370"/>
    <w:rsid w:val="006323B2"/>
    <w:rsid w:val="00632522"/>
    <w:rsid w:val="00632616"/>
    <w:rsid w:val="006326C8"/>
    <w:rsid w:val="006326D1"/>
    <w:rsid w:val="00632713"/>
    <w:rsid w:val="006327DE"/>
    <w:rsid w:val="00632C62"/>
    <w:rsid w:val="00632E2B"/>
    <w:rsid w:val="00632F4C"/>
    <w:rsid w:val="00633022"/>
    <w:rsid w:val="00633191"/>
    <w:rsid w:val="006337E0"/>
    <w:rsid w:val="00633913"/>
    <w:rsid w:val="00633944"/>
    <w:rsid w:val="00633A59"/>
    <w:rsid w:val="00633BE8"/>
    <w:rsid w:val="00633CDC"/>
    <w:rsid w:val="00633EB8"/>
    <w:rsid w:val="00633EEC"/>
    <w:rsid w:val="00633F92"/>
    <w:rsid w:val="00634047"/>
    <w:rsid w:val="006340B0"/>
    <w:rsid w:val="00634181"/>
    <w:rsid w:val="006341C0"/>
    <w:rsid w:val="00634412"/>
    <w:rsid w:val="00634450"/>
    <w:rsid w:val="006347B5"/>
    <w:rsid w:val="0063488C"/>
    <w:rsid w:val="006348FA"/>
    <w:rsid w:val="00634A33"/>
    <w:rsid w:val="00634A4A"/>
    <w:rsid w:val="00634C5D"/>
    <w:rsid w:val="00634E44"/>
    <w:rsid w:val="00634E50"/>
    <w:rsid w:val="00634F12"/>
    <w:rsid w:val="00634F95"/>
    <w:rsid w:val="00635011"/>
    <w:rsid w:val="00635298"/>
    <w:rsid w:val="00635356"/>
    <w:rsid w:val="0063540F"/>
    <w:rsid w:val="00635B89"/>
    <w:rsid w:val="00635C42"/>
    <w:rsid w:val="00636255"/>
    <w:rsid w:val="00636378"/>
    <w:rsid w:val="00636401"/>
    <w:rsid w:val="006365EF"/>
    <w:rsid w:val="00636631"/>
    <w:rsid w:val="00636640"/>
    <w:rsid w:val="00636F54"/>
    <w:rsid w:val="006373F2"/>
    <w:rsid w:val="006374AF"/>
    <w:rsid w:val="0063767F"/>
    <w:rsid w:val="00637C12"/>
    <w:rsid w:val="00637DD4"/>
    <w:rsid w:val="00637ECA"/>
    <w:rsid w:val="0064007D"/>
    <w:rsid w:val="006400CA"/>
    <w:rsid w:val="0064025B"/>
    <w:rsid w:val="0064035A"/>
    <w:rsid w:val="006403CC"/>
    <w:rsid w:val="0064062E"/>
    <w:rsid w:val="00640A43"/>
    <w:rsid w:val="00640B33"/>
    <w:rsid w:val="00641025"/>
    <w:rsid w:val="006412B8"/>
    <w:rsid w:val="006416A3"/>
    <w:rsid w:val="006418A8"/>
    <w:rsid w:val="00641A78"/>
    <w:rsid w:val="00641B14"/>
    <w:rsid w:val="00641BD3"/>
    <w:rsid w:val="00641D22"/>
    <w:rsid w:val="006422ED"/>
    <w:rsid w:val="00642405"/>
    <w:rsid w:val="00642714"/>
    <w:rsid w:val="00642924"/>
    <w:rsid w:val="0064297D"/>
    <w:rsid w:val="00642E64"/>
    <w:rsid w:val="00642F06"/>
    <w:rsid w:val="006432BE"/>
    <w:rsid w:val="00643327"/>
    <w:rsid w:val="00643433"/>
    <w:rsid w:val="006434B5"/>
    <w:rsid w:val="0064357D"/>
    <w:rsid w:val="00643742"/>
    <w:rsid w:val="006437DA"/>
    <w:rsid w:val="00643AAD"/>
    <w:rsid w:val="00643B49"/>
    <w:rsid w:val="00643D4B"/>
    <w:rsid w:val="00643E42"/>
    <w:rsid w:val="00643EAE"/>
    <w:rsid w:val="006447BB"/>
    <w:rsid w:val="0064488D"/>
    <w:rsid w:val="006448E0"/>
    <w:rsid w:val="00644A07"/>
    <w:rsid w:val="00644A0A"/>
    <w:rsid w:val="00644CAD"/>
    <w:rsid w:val="00644D2B"/>
    <w:rsid w:val="00644DE6"/>
    <w:rsid w:val="00644E6B"/>
    <w:rsid w:val="00645039"/>
    <w:rsid w:val="0064522D"/>
    <w:rsid w:val="00645375"/>
    <w:rsid w:val="0064554A"/>
    <w:rsid w:val="006455CE"/>
    <w:rsid w:val="00645684"/>
    <w:rsid w:val="0064585F"/>
    <w:rsid w:val="00645A02"/>
    <w:rsid w:val="00645AA1"/>
    <w:rsid w:val="00646185"/>
    <w:rsid w:val="0064690B"/>
    <w:rsid w:val="00646AED"/>
    <w:rsid w:val="00646C04"/>
    <w:rsid w:val="00646DEF"/>
    <w:rsid w:val="00646E01"/>
    <w:rsid w:val="00647140"/>
    <w:rsid w:val="006471F3"/>
    <w:rsid w:val="0064727D"/>
    <w:rsid w:val="0064727E"/>
    <w:rsid w:val="006472AE"/>
    <w:rsid w:val="0064747D"/>
    <w:rsid w:val="006475FD"/>
    <w:rsid w:val="006477F9"/>
    <w:rsid w:val="006479AA"/>
    <w:rsid w:val="00647EAA"/>
    <w:rsid w:val="00650195"/>
    <w:rsid w:val="00650524"/>
    <w:rsid w:val="006507F4"/>
    <w:rsid w:val="00650A6A"/>
    <w:rsid w:val="00650A8C"/>
    <w:rsid w:val="00650B95"/>
    <w:rsid w:val="00650C00"/>
    <w:rsid w:val="0065133E"/>
    <w:rsid w:val="00651B05"/>
    <w:rsid w:val="00651D89"/>
    <w:rsid w:val="00651F0A"/>
    <w:rsid w:val="006522F4"/>
    <w:rsid w:val="006522F7"/>
    <w:rsid w:val="00652397"/>
    <w:rsid w:val="00652405"/>
    <w:rsid w:val="0065243B"/>
    <w:rsid w:val="00652648"/>
    <w:rsid w:val="00652C88"/>
    <w:rsid w:val="00652E98"/>
    <w:rsid w:val="00652EA4"/>
    <w:rsid w:val="00653095"/>
    <w:rsid w:val="00653295"/>
    <w:rsid w:val="006532B5"/>
    <w:rsid w:val="00653303"/>
    <w:rsid w:val="00653354"/>
    <w:rsid w:val="0065338D"/>
    <w:rsid w:val="00653568"/>
    <w:rsid w:val="0065358C"/>
    <w:rsid w:val="00653937"/>
    <w:rsid w:val="00653A9E"/>
    <w:rsid w:val="00653AAC"/>
    <w:rsid w:val="00653E85"/>
    <w:rsid w:val="006545CC"/>
    <w:rsid w:val="00654C2F"/>
    <w:rsid w:val="00654C6C"/>
    <w:rsid w:val="00654F84"/>
    <w:rsid w:val="0065528E"/>
    <w:rsid w:val="006553BA"/>
    <w:rsid w:val="006555AB"/>
    <w:rsid w:val="00655670"/>
    <w:rsid w:val="0065570E"/>
    <w:rsid w:val="00655777"/>
    <w:rsid w:val="006557B7"/>
    <w:rsid w:val="006557CF"/>
    <w:rsid w:val="006557F7"/>
    <w:rsid w:val="00655841"/>
    <w:rsid w:val="00655AE3"/>
    <w:rsid w:val="00656417"/>
    <w:rsid w:val="00656651"/>
    <w:rsid w:val="00656A4F"/>
    <w:rsid w:val="00656BFD"/>
    <w:rsid w:val="00656E5D"/>
    <w:rsid w:val="00656E71"/>
    <w:rsid w:val="00656F3F"/>
    <w:rsid w:val="00656FD2"/>
    <w:rsid w:val="00657161"/>
    <w:rsid w:val="006573F3"/>
    <w:rsid w:val="00657468"/>
    <w:rsid w:val="00657513"/>
    <w:rsid w:val="00657688"/>
    <w:rsid w:val="00657EBA"/>
    <w:rsid w:val="0066044E"/>
    <w:rsid w:val="006606A0"/>
    <w:rsid w:val="006606C4"/>
    <w:rsid w:val="00660864"/>
    <w:rsid w:val="00660B58"/>
    <w:rsid w:val="00660FE0"/>
    <w:rsid w:val="00661053"/>
    <w:rsid w:val="0066115B"/>
    <w:rsid w:val="00661303"/>
    <w:rsid w:val="006615D5"/>
    <w:rsid w:val="00661614"/>
    <w:rsid w:val="00661794"/>
    <w:rsid w:val="0066195E"/>
    <w:rsid w:val="00661ABD"/>
    <w:rsid w:val="00661B02"/>
    <w:rsid w:val="00661C6A"/>
    <w:rsid w:val="00661FFA"/>
    <w:rsid w:val="0066224B"/>
    <w:rsid w:val="00662350"/>
    <w:rsid w:val="006623D8"/>
    <w:rsid w:val="006624B1"/>
    <w:rsid w:val="006624B9"/>
    <w:rsid w:val="0066256A"/>
    <w:rsid w:val="006629F9"/>
    <w:rsid w:val="00662BF5"/>
    <w:rsid w:val="00662C97"/>
    <w:rsid w:val="00662DE5"/>
    <w:rsid w:val="00663035"/>
    <w:rsid w:val="0066325F"/>
    <w:rsid w:val="0066326E"/>
    <w:rsid w:val="0066333D"/>
    <w:rsid w:val="006633A9"/>
    <w:rsid w:val="0066349A"/>
    <w:rsid w:val="006634E2"/>
    <w:rsid w:val="006635D8"/>
    <w:rsid w:val="00663766"/>
    <w:rsid w:val="00663B15"/>
    <w:rsid w:val="00663D61"/>
    <w:rsid w:val="00663FE1"/>
    <w:rsid w:val="0066412E"/>
    <w:rsid w:val="0066416C"/>
    <w:rsid w:val="00664254"/>
    <w:rsid w:val="0066454F"/>
    <w:rsid w:val="006645E9"/>
    <w:rsid w:val="00664601"/>
    <w:rsid w:val="0066462D"/>
    <w:rsid w:val="00664A40"/>
    <w:rsid w:val="00664BF0"/>
    <w:rsid w:val="00664F78"/>
    <w:rsid w:val="006651CA"/>
    <w:rsid w:val="006653ED"/>
    <w:rsid w:val="006655A4"/>
    <w:rsid w:val="00665624"/>
    <w:rsid w:val="00665728"/>
    <w:rsid w:val="0066584D"/>
    <w:rsid w:val="006658E4"/>
    <w:rsid w:val="00665A2E"/>
    <w:rsid w:val="00665A65"/>
    <w:rsid w:val="00665C41"/>
    <w:rsid w:val="00665F59"/>
    <w:rsid w:val="00666184"/>
    <w:rsid w:val="0066662A"/>
    <w:rsid w:val="00666B9C"/>
    <w:rsid w:val="00666C29"/>
    <w:rsid w:val="00666D31"/>
    <w:rsid w:val="00666EE0"/>
    <w:rsid w:val="006672C7"/>
    <w:rsid w:val="00667544"/>
    <w:rsid w:val="00667BE6"/>
    <w:rsid w:val="00667BF5"/>
    <w:rsid w:val="00667F6C"/>
    <w:rsid w:val="00667F73"/>
    <w:rsid w:val="0067051A"/>
    <w:rsid w:val="00670530"/>
    <w:rsid w:val="00670683"/>
    <w:rsid w:val="006707D9"/>
    <w:rsid w:val="00670D23"/>
    <w:rsid w:val="00670D28"/>
    <w:rsid w:val="00671341"/>
    <w:rsid w:val="0067145C"/>
    <w:rsid w:val="006714F0"/>
    <w:rsid w:val="0067160B"/>
    <w:rsid w:val="0067169B"/>
    <w:rsid w:val="006716DE"/>
    <w:rsid w:val="00671873"/>
    <w:rsid w:val="0067188F"/>
    <w:rsid w:val="006719FC"/>
    <w:rsid w:val="00671DDA"/>
    <w:rsid w:val="006720FF"/>
    <w:rsid w:val="0067212E"/>
    <w:rsid w:val="006722AB"/>
    <w:rsid w:val="00672420"/>
    <w:rsid w:val="006724BB"/>
    <w:rsid w:val="0067264E"/>
    <w:rsid w:val="006729B5"/>
    <w:rsid w:val="00672B7D"/>
    <w:rsid w:val="00672C8B"/>
    <w:rsid w:val="00672D10"/>
    <w:rsid w:val="00672D48"/>
    <w:rsid w:val="00673364"/>
    <w:rsid w:val="0067337C"/>
    <w:rsid w:val="0067346C"/>
    <w:rsid w:val="006737DC"/>
    <w:rsid w:val="00673856"/>
    <w:rsid w:val="00673AEE"/>
    <w:rsid w:val="00673BE0"/>
    <w:rsid w:val="0067454A"/>
    <w:rsid w:val="00674862"/>
    <w:rsid w:val="006748D5"/>
    <w:rsid w:val="00674DE9"/>
    <w:rsid w:val="00674F17"/>
    <w:rsid w:val="00675146"/>
    <w:rsid w:val="0067522B"/>
    <w:rsid w:val="006752D7"/>
    <w:rsid w:val="00675337"/>
    <w:rsid w:val="00675470"/>
    <w:rsid w:val="006756FA"/>
    <w:rsid w:val="00675989"/>
    <w:rsid w:val="00675A10"/>
    <w:rsid w:val="00675B84"/>
    <w:rsid w:val="00675C49"/>
    <w:rsid w:val="00675DCB"/>
    <w:rsid w:val="006760F5"/>
    <w:rsid w:val="00676129"/>
    <w:rsid w:val="00676187"/>
    <w:rsid w:val="00676219"/>
    <w:rsid w:val="00676237"/>
    <w:rsid w:val="00676377"/>
    <w:rsid w:val="0067653D"/>
    <w:rsid w:val="006769D5"/>
    <w:rsid w:val="006769D6"/>
    <w:rsid w:val="00676A7B"/>
    <w:rsid w:val="00676B6E"/>
    <w:rsid w:val="00676F27"/>
    <w:rsid w:val="00676F67"/>
    <w:rsid w:val="006770B3"/>
    <w:rsid w:val="00677104"/>
    <w:rsid w:val="0067722E"/>
    <w:rsid w:val="00677297"/>
    <w:rsid w:val="006772F1"/>
    <w:rsid w:val="0067743B"/>
    <w:rsid w:val="00677490"/>
    <w:rsid w:val="00677662"/>
    <w:rsid w:val="006777B4"/>
    <w:rsid w:val="006779E9"/>
    <w:rsid w:val="00677A84"/>
    <w:rsid w:val="00677C14"/>
    <w:rsid w:val="00677E22"/>
    <w:rsid w:val="006802DE"/>
    <w:rsid w:val="00680830"/>
    <w:rsid w:val="00680862"/>
    <w:rsid w:val="0068092D"/>
    <w:rsid w:val="00680B46"/>
    <w:rsid w:val="00680B79"/>
    <w:rsid w:val="00681245"/>
    <w:rsid w:val="006813C3"/>
    <w:rsid w:val="00681586"/>
    <w:rsid w:val="00681AC0"/>
    <w:rsid w:val="00681BB6"/>
    <w:rsid w:val="00681BC4"/>
    <w:rsid w:val="00681CB3"/>
    <w:rsid w:val="00682242"/>
    <w:rsid w:val="00682460"/>
    <w:rsid w:val="00682529"/>
    <w:rsid w:val="006826C4"/>
    <w:rsid w:val="00682E2A"/>
    <w:rsid w:val="00682E51"/>
    <w:rsid w:val="0068321B"/>
    <w:rsid w:val="00683368"/>
    <w:rsid w:val="00683472"/>
    <w:rsid w:val="00683549"/>
    <w:rsid w:val="00683785"/>
    <w:rsid w:val="006838A7"/>
    <w:rsid w:val="0068396B"/>
    <w:rsid w:val="00683A0A"/>
    <w:rsid w:val="00683F53"/>
    <w:rsid w:val="006841C1"/>
    <w:rsid w:val="00684302"/>
    <w:rsid w:val="006844AF"/>
    <w:rsid w:val="0068494C"/>
    <w:rsid w:val="00684C5C"/>
    <w:rsid w:val="00684DA7"/>
    <w:rsid w:val="00684EBB"/>
    <w:rsid w:val="00684ECE"/>
    <w:rsid w:val="00684FB8"/>
    <w:rsid w:val="00684FED"/>
    <w:rsid w:val="0068502F"/>
    <w:rsid w:val="00685329"/>
    <w:rsid w:val="00685571"/>
    <w:rsid w:val="006857DB"/>
    <w:rsid w:val="00685B2F"/>
    <w:rsid w:val="00685B61"/>
    <w:rsid w:val="00685B88"/>
    <w:rsid w:val="00685BEA"/>
    <w:rsid w:val="00685EBD"/>
    <w:rsid w:val="00686438"/>
    <w:rsid w:val="00686963"/>
    <w:rsid w:val="00686A11"/>
    <w:rsid w:val="00686A6C"/>
    <w:rsid w:val="00686B9D"/>
    <w:rsid w:val="00686D50"/>
    <w:rsid w:val="00687011"/>
    <w:rsid w:val="00687022"/>
    <w:rsid w:val="00687193"/>
    <w:rsid w:val="0068731A"/>
    <w:rsid w:val="006874FF"/>
    <w:rsid w:val="00687549"/>
    <w:rsid w:val="00687623"/>
    <w:rsid w:val="0068770C"/>
    <w:rsid w:val="00687975"/>
    <w:rsid w:val="00687C6F"/>
    <w:rsid w:val="00687EA2"/>
    <w:rsid w:val="00690402"/>
    <w:rsid w:val="00690490"/>
    <w:rsid w:val="00690601"/>
    <w:rsid w:val="0069096A"/>
    <w:rsid w:val="0069096E"/>
    <w:rsid w:val="00690BC4"/>
    <w:rsid w:val="00690C4D"/>
    <w:rsid w:val="006914CB"/>
    <w:rsid w:val="006918CA"/>
    <w:rsid w:val="00691BC7"/>
    <w:rsid w:val="00691CBA"/>
    <w:rsid w:val="00691CF8"/>
    <w:rsid w:val="00691DD1"/>
    <w:rsid w:val="00691E02"/>
    <w:rsid w:val="00692099"/>
    <w:rsid w:val="0069220F"/>
    <w:rsid w:val="0069227F"/>
    <w:rsid w:val="00692320"/>
    <w:rsid w:val="0069250A"/>
    <w:rsid w:val="006925CE"/>
    <w:rsid w:val="006929B5"/>
    <w:rsid w:val="00692A30"/>
    <w:rsid w:val="00692A92"/>
    <w:rsid w:val="00692B2A"/>
    <w:rsid w:val="00692C1A"/>
    <w:rsid w:val="006931C7"/>
    <w:rsid w:val="006931EA"/>
    <w:rsid w:val="00693518"/>
    <w:rsid w:val="0069352F"/>
    <w:rsid w:val="0069373C"/>
    <w:rsid w:val="00693B22"/>
    <w:rsid w:val="00693C11"/>
    <w:rsid w:val="00693CC1"/>
    <w:rsid w:val="00693D39"/>
    <w:rsid w:val="00693EBA"/>
    <w:rsid w:val="00693ED0"/>
    <w:rsid w:val="00693F61"/>
    <w:rsid w:val="00693FAB"/>
    <w:rsid w:val="00694218"/>
    <w:rsid w:val="006942CA"/>
    <w:rsid w:val="006943AB"/>
    <w:rsid w:val="006947F3"/>
    <w:rsid w:val="006948B4"/>
    <w:rsid w:val="00694A5E"/>
    <w:rsid w:val="00694A64"/>
    <w:rsid w:val="00694C71"/>
    <w:rsid w:val="00694CE5"/>
    <w:rsid w:val="006950B2"/>
    <w:rsid w:val="006950E6"/>
    <w:rsid w:val="006957EB"/>
    <w:rsid w:val="00695805"/>
    <w:rsid w:val="006958B0"/>
    <w:rsid w:val="00695B07"/>
    <w:rsid w:val="00695CF4"/>
    <w:rsid w:val="00695D67"/>
    <w:rsid w:val="00696135"/>
    <w:rsid w:val="006967B8"/>
    <w:rsid w:val="006969B3"/>
    <w:rsid w:val="00696A47"/>
    <w:rsid w:val="00696B67"/>
    <w:rsid w:val="00696BD1"/>
    <w:rsid w:val="00696C58"/>
    <w:rsid w:val="00696F66"/>
    <w:rsid w:val="0069738F"/>
    <w:rsid w:val="00697422"/>
    <w:rsid w:val="00697539"/>
    <w:rsid w:val="00697586"/>
    <w:rsid w:val="006975BA"/>
    <w:rsid w:val="0069772B"/>
    <w:rsid w:val="006979EF"/>
    <w:rsid w:val="00697B0E"/>
    <w:rsid w:val="00697C6D"/>
    <w:rsid w:val="00697FCE"/>
    <w:rsid w:val="006A0205"/>
    <w:rsid w:val="006A0250"/>
    <w:rsid w:val="006A0347"/>
    <w:rsid w:val="006A055C"/>
    <w:rsid w:val="006A0593"/>
    <w:rsid w:val="006A06B5"/>
    <w:rsid w:val="006A08C4"/>
    <w:rsid w:val="006A0932"/>
    <w:rsid w:val="006A09D1"/>
    <w:rsid w:val="006A09F4"/>
    <w:rsid w:val="006A0AE5"/>
    <w:rsid w:val="006A0AFF"/>
    <w:rsid w:val="006A0C93"/>
    <w:rsid w:val="006A0FC6"/>
    <w:rsid w:val="006A1000"/>
    <w:rsid w:val="006A1202"/>
    <w:rsid w:val="006A1404"/>
    <w:rsid w:val="006A1535"/>
    <w:rsid w:val="006A167A"/>
    <w:rsid w:val="006A17D4"/>
    <w:rsid w:val="006A19AE"/>
    <w:rsid w:val="006A1CEC"/>
    <w:rsid w:val="006A1EBF"/>
    <w:rsid w:val="006A20B1"/>
    <w:rsid w:val="006A22B8"/>
    <w:rsid w:val="006A2330"/>
    <w:rsid w:val="006A2796"/>
    <w:rsid w:val="006A27FC"/>
    <w:rsid w:val="006A298E"/>
    <w:rsid w:val="006A2B99"/>
    <w:rsid w:val="006A2CD9"/>
    <w:rsid w:val="006A2FF8"/>
    <w:rsid w:val="006A30BB"/>
    <w:rsid w:val="006A3128"/>
    <w:rsid w:val="006A31DE"/>
    <w:rsid w:val="006A341C"/>
    <w:rsid w:val="006A366B"/>
    <w:rsid w:val="006A38BB"/>
    <w:rsid w:val="006A39F0"/>
    <w:rsid w:val="006A3AE9"/>
    <w:rsid w:val="006A3B4F"/>
    <w:rsid w:val="006A450E"/>
    <w:rsid w:val="006A45E9"/>
    <w:rsid w:val="006A4CF4"/>
    <w:rsid w:val="006A4D54"/>
    <w:rsid w:val="006A4F9F"/>
    <w:rsid w:val="006A50C8"/>
    <w:rsid w:val="006A5A3B"/>
    <w:rsid w:val="006A5F7D"/>
    <w:rsid w:val="006A6239"/>
    <w:rsid w:val="006A623C"/>
    <w:rsid w:val="006A6389"/>
    <w:rsid w:val="006A63ED"/>
    <w:rsid w:val="006A63FD"/>
    <w:rsid w:val="006A64C3"/>
    <w:rsid w:val="006A665D"/>
    <w:rsid w:val="006A67CD"/>
    <w:rsid w:val="006A691C"/>
    <w:rsid w:val="006A6A6E"/>
    <w:rsid w:val="006A6AC6"/>
    <w:rsid w:val="006A6B54"/>
    <w:rsid w:val="006A6BFF"/>
    <w:rsid w:val="006A6C50"/>
    <w:rsid w:val="006A6EA3"/>
    <w:rsid w:val="006A6F4B"/>
    <w:rsid w:val="006A705B"/>
    <w:rsid w:val="006A7300"/>
    <w:rsid w:val="006A7382"/>
    <w:rsid w:val="006A7522"/>
    <w:rsid w:val="006A76E3"/>
    <w:rsid w:val="006A7B0F"/>
    <w:rsid w:val="006A7E18"/>
    <w:rsid w:val="006A7E51"/>
    <w:rsid w:val="006A7FF3"/>
    <w:rsid w:val="006B010E"/>
    <w:rsid w:val="006B02E5"/>
    <w:rsid w:val="006B04E3"/>
    <w:rsid w:val="006B062E"/>
    <w:rsid w:val="006B071D"/>
    <w:rsid w:val="006B072C"/>
    <w:rsid w:val="006B0815"/>
    <w:rsid w:val="006B0895"/>
    <w:rsid w:val="006B0BFB"/>
    <w:rsid w:val="006B0D1E"/>
    <w:rsid w:val="006B0EBC"/>
    <w:rsid w:val="006B102E"/>
    <w:rsid w:val="006B1624"/>
    <w:rsid w:val="006B173F"/>
    <w:rsid w:val="006B1955"/>
    <w:rsid w:val="006B1B8C"/>
    <w:rsid w:val="006B1C0F"/>
    <w:rsid w:val="006B1CCC"/>
    <w:rsid w:val="006B1E49"/>
    <w:rsid w:val="006B1F2E"/>
    <w:rsid w:val="006B1F99"/>
    <w:rsid w:val="006B21F6"/>
    <w:rsid w:val="006B23BA"/>
    <w:rsid w:val="006B2479"/>
    <w:rsid w:val="006B2943"/>
    <w:rsid w:val="006B2EB4"/>
    <w:rsid w:val="006B3345"/>
    <w:rsid w:val="006B3585"/>
    <w:rsid w:val="006B3701"/>
    <w:rsid w:val="006B3838"/>
    <w:rsid w:val="006B3B61"/>
    <w:rsid w:val="006B3BB8"/>
    <w:rsid w:val="006B3D11"/>
    <w:rsid w:val="006B3F69"/>
    <w:rsid w:val="006B400A"/>
    <w:rsid w:val="006B417C"/>
    <w:rsid w:val="006B41BB"/>
    <w:rsid w:val="006B44F9"/>
    <w:rsid w:val="006B4680"/>
    <w:rsid w:val="006B490C"/>
    <w:rsid w:val="006B4AC8"/>
    <w:rsid w:val="006B4CAE"/>
    <w:rsid w:val="006B4D68"/>
    <w:rsid w:val="006B4EC6"/>
    <w:rsid w:val="006B51C7"/>
    <w:rsid w:val="006B5276"/>
    <w:rsid w:val="006B5378"/>
    <w:rsid w:val="006B5754"/>
    <w:rsid w:val="006B5A2C"/>
    <w:rsid w:val="006B5F66"/>
    <w:rsid w:val="006B5FA6"/>
    <w:rsid w:val="006B60CE"/>
    <w:rsid w:val="006B64E4"/>
    <w:rsid w:val="006B6572"/>
    <w:rsid w:val="006B66D9"/>
    <w:rsid w:val="006B6881"/>
    <w:rsid w:val="006B68A8"/>
    <w:rsid w:val="006B69EB"/>
    <w:rsid w:val="006B6A51"/>
    <w:rsid w:val="006B6C66"/>
    <w:rsid w:val="006B6E58"/>
    <w:rsid w:val="006B6F86"/>
    <w:rsid w:val="006B743E"/>
    <w:rsid w:val="006B747C"/>
    <w:rsid w:val="006B747F"/>
    <w:rsid w:val="006B752C"/>
    <w:rsid w:val="006B7AC8"/>
    <w:rsid w:val="006B7F82"/>
    <w:rsid w:val="006C002C"/>
    <w:rsid w:val="006C0C56"/>
    <w:rsid w:val="006C0EE0"/>
    <w:rsid w:val="006C155A"/>
    <w:rsid w:val="006C1787"/>
    <w:rsid w:val="006C1A74"/>
    <w:rsid w:val="006C1B7F"/>
    <w:rsid w:val="006C1C3C"/>
    <w:rsid w:val="006C1DE9"/>
    <w:rsid w:val="006C1E54"/>
    <w:rsid w:val="006C1E63"/>
    <w:rsid w:val="006C1E82"/>
    <w:rsid w:val="006C1F24"/>
    <w:rsid w:val="006C1F54"/>
    <w:rsid w:val="006C2404"/>
    <w:rsid w:val="006C2418"/>
    <w:rsid w:val="006C2435"/>
    <w:rsid w:val="006C2492"/>
    <w:rsid w:val="006C257B"/>
    <w:rsid w:val="006C2DFE"/>
    <w:rsid w:val="006C3291"/>
    <w:rsid w:val="006C35A2"/>
    <w:rsid w:val="006C370F"/>
    <w:rsid w:val="006C3840"/>
    <w:rsid w:val="006C3982"/>
    <w:rsid w:val="006C3C08"/>
    <w:rsid w:val="006C3F5F"/>
    <w:rsid w:val="006C40D6"/>
    <w:rsid w:val="006C40E1"/>
    <w:rsid w:val="006C4327"/>
    <w:rsid w:val="006C4382"/>
    <w:rsid w:val="006C43F2"/>
    <w:rsid w:val="006C4650"/>
    <w:rsid w:val="006C4A87"/>
    <w:rsid w:val="006C4D04"/>
    <w:rsid w:val="006C5047"/>
    <w:rsid w:val="006C57BC"/>
    <w:rsid w:val="006C5802"/>
    <w:rsid w:val="006C584B"/>
    <w:rsid w:val="006C5882"/>
    <w:rsid w:val="006C5894"/>
    <w:rsid w:val="006C58EB"/>
    <w:rsid w:val="006C5AD8"/>
    <w:rsid w:val="006C5F3D"/>
    <w:rsid w:val="006C5FD3"/>
    <w:rsid w:val="006C60BB"/>
    <w:rsid w:val="006C6146"/>
    <w:rsid w:val="006C63F5"/>
    <w:rsid w:val="006C63F8"/>
    <w:rsid w:val="006C66EF"/>
    <w:rsid w:val="006C6728"/>
    <w:rsid w:val="006C6BB3"/>
    <w:rsid w:val="006C7014"/>
    <w:rsid w:val="006C70D9"/>
    <w:rsid w:val="006C73F4"/>
    <w:rsid w:val="006C7664"/>
    <w:rsid w:val="006C76A3"/>
    <w:rsid w:val="006C76C3"/>
    <w:rsid w:val="006C785B"/>
    <w:rsid w:val="006C7A0A"/>
    <w:rsid w:val="006C7C43"/>
    <w:rsid w:val="006C7D20"/>
    <w:rsid w:val="006C7E54"/>
    <w:rsid w:val="006C7F87"/>
    <w:rsid w:val="006C7FBE"/>
    <w:rsid w:val="006D0773"/>
    <w:rsid w:val="006D0D7D"/>
    <w:rsid w:val="006D0FC4"/>
    <w:rsid w:val="006D0FD7"/>
    <w:rsid w:val="006D1194"/>
    <w:rsid w:val="006D13CC"/>
    <w:rsid w:val="006D198F"/>
    <w:rsid w:val="006D1990"/>
    <w:rsid w:val="006D1A4B"/>
    <w:rsid w:val="006D1E30"/>
    <w:rsid w:val="006D1E33"/>
    <w:rsid w:val="006D1E70"/>
    <w:rsid w:val="006D2149"/>
    <w:rsid w:val="006D21AE"/>
    <w:rsid w:val="006D22A2"/>
    <w:rsid w:val="006D22BA"/>
    <w:rsid w:val="006D2593"/>
    <w:rsid w:val="006D2A0B"/>
    <w:rsid w:val="006D2A7C"/>
    <w:rsid w:val="006D2CAE"/>
    <w:rsid w:val="006D2E06"/>
    <w:rsid w:val="006D2E60"/>
    <w:rsid w:val="006D308B"/>
    <w:rsid w:val="006D34D3"/>
    <w:rsid w:val="006D35B1"/>
    <w:rsid w:val="006D36D8"/>
    <w:rsid w:val="006D39A8"/>
    <w:rsid w:val="006D39CF"/>
    <w:rsid w:val="006D3D58"/>
    <w:rsid w:val="006D3E5C"/>
    <w:rsid w:val="006D42DC"/>
    <w:rsid w:val="006D42E6"/>
    <w:rsid w:val="006D42E8"/>
    <w:rsid w:val="006D4306"/>
    <w:rsid w:val="006D44BE"/>
    <w:rsid w:val="006D4600"/>
    <w:rsid w:val="006D461F"/>
    <w:rsid w:val="006D4717"/>
    <w:rsid w:val="006D484E"/>
    <w:rsid w:val="006D4AF3"/>
    <w:rsid w:val="006D4E70"/>
    <w:rsid w:val="006D4E8B"/>
    <w:rsid w:val="006D4F35"/>
    <w:rsid w:val="006D5128"/>
    <w:rsid w:val="006D5245"/>
    <w:rsid w:val="006D5256"/>
    <w:rsid w:val="006D54BE"/>
    <w:rsid w:val="006D57E4"/>
    <w:rsid w:val="006D5895"/>
    <w:rsid w:val="006D592E"/>
    <w:rsid w:val="006D5C45"/>
    <w:rsid w:val="006D5D94"/>
    <w:rsid w:val="006D6566"/>
    <w:rsid w:val="006D6A18"/>
    <w:rsid w:val="006D6A27"/>
    <w:rsid w:val="006D6C52"/>
    <w:rsid w:val="006D6F0C"/>
    <w:rsid w:val="006D708C"/>
    <w:rsid w:val="006D70C6"/>
    <w:rsid w:val="006D7156"/>
    <w:rsid w:val="006D718A"/>
    <w:rsid w:val="006D74B6"/>
    <w:rsid w:val="006D762D"/>
    <w:rsid w:val="006D7950"/>
    <w:rsid w:val="006D7AB5"/>
    <w:rsid w:val="006D7ADD"/>
    <w:rsid w:val="006D7CAD"/>
    <w:rsid w:val="006D7D0A"/>
    <w:rsid w:val="006D7E5A"/>
    <w:rsid w:val="006D7FBA"/>
    <w:rsid w:val="006E0250"/>
    <w:rsid w:val="006E0434"/>
    <w:rsid w:val="006E06AF"/>
    <w:rsid w:val="006E096F"/>
    <w:rsid w:val="006E0A8B"/>
    <w:rsid w:val="006E0B5C"/>
    <w:rsid w:val="006E0B6A"/>
    <w:rsid w:val="006E0DFE"/>
    <w:rsid w:val="006E0E58"/>
    <w:rsid w:val="006E10B7"/>
    <w:rsid w:val="006E10E5"/>
    <w:rsid w:val="006E11A2"/>
    <w:rsid w:val="006E16AB"/>
    <w:rsid w:val="006E170B"/>
    <w:rsid w:val="006E18B1"/>
    <w:rsid w:val="006E1A4F"/>
    <w:rsid w:val="006E1B5C"/>
    <w:rsid w:val="006E1BC2"/>
    <w:rsid w:val="006E1BEC"/>
    <w:rsid w:val="006E1C2A"/>
    <w:rsid w:val="006E1C64"/>
    <w:rsid w:val="006E1E48"/>
    <w:rsid w:val="006E2162"/>
    <w:rsid w:val="006E21C8"/>
    <w:rsid w:val="006E2274"/>
    <w:rsid w:val="006E22C1"/>
    <w:rsid w:val="006E23BA"/>
    <w:rsid w:val="006E2599"/>
    <w:rsid w:val="006E25BB"/>
    <w:rsid w:val="006E2700"/>
    <w:rsid w:val="006E29BA"/>
    <w:rsid w:val="006E2AD4"/>
    <w:rsid w:val="006E2D1A"/>
    <w:rsid w:val="006E2F08"/>
    <w:rsid w:val="006E323F"/>
    <w:rsid w:val="006E3254"/>
    <w:rsid w:val="006E369C"/>
    <w:rsid w:val="006E382B"/>
    <w:rsid w:val="006E3B0B"/>
    <w:rsid w:val="006E3FFB"/>
    <w:rsid w:val="006E401A"/>
    <w:rsid w:val="006E4065"/>
    <w:rsid w:val="006E439F"/>
    <w:rsid w:val="006E43C8"/>
    <w:rsid w:val="006E43E0"/>
    <w:rsid w:val="006E4497"/>
    <w:rsid w:val="006E4A90"/>
    <w:rsid w:val="006E4B74"/>
    <w:rsid w:val="006E4BF9"/>
    <w:rsid w:val="006E4D99"/>
    <w:rsid w:val="006E4F01"/>
    <w:rsid w:val="006E524E"/>
    <w:rsid w:val="006E52D2"/>
    <w:rsid w:val="006E5375"/>
    <w:rsid w:val="006E537D"/>
    <w:rsid w:val="006E54CD"/>
    <w:rsid w:val="006E5507"/>
    <w:rsid w:val="006E55C7"/>
    <w:rsid w:val="006E5E37"/>
    <w:rsid w:val="006E6138"/>
    <w:rsid w:val="006E65D4"/>
    <w:rsid w:val="006E69E1"/>
    <w:rsid w:val="006E6BE9"/>
    <w:rsid w:val="006E6EC4"/>
    <w:rsid w:val="006E6F22"/>
    <w:rsid w:val="006E702B"/>
    <w:rsid w:val="006E742C"/>
    <w:rsid w:val="006E7794"/>
    <w:rsid w:val="006E78CE"/>
    <w:rsid w:val="006E798C"/>
    <w:rsid w:val="006E7DD3"/>
    <w:rsid w:val="006E7F76"/>
    <w:rsid w:val="006E7FED"/>
    <w:rsid w:val="006F0558"/>
    <w:rsid w:val="006F07E6"/>
    <w:rsid w:val="006F0A5D"/>
    <w:rsid w:val="006F0A6A"/>
    <w:rsid w:val="006F0AD5"/>
    <w:rsid w:val="006F0ADF"/>
    <w:rsid w:val="006F10E7"/>
    <w:rsid w:val="006F148B"/>
    <w:rsid w:val="006F155B"/>
    <w:rsid w:val="006F166E"/>
    <w:rsid w:val="006F169A"/>
    <w:rsid w:val="006F1A01"/>
    <w:rsid w:val="006F1A83"/>
    <w:rsid w:val="006F1B4D"/>
    <w:rsid w:val="006F1B66"/>
    <w:rsid w:val="006F1E63"/>
    <w:rsid w:val="006F1EE1"/>
    <w:rsid w:val="006F20B8"/>
    <w:rsid w:val="006F21AE"/>
    <w:rsid w:val="006F2664"/>
    <w:rsid w:val="006F2797"/>
    <w:rsid w:val="006F2965"/>
    <w:rsid w:val="006F29A3"/>
    <w:rsid w:val="006F2B88"/>
    <w:rsid w:val="006F2E30"/>
    <w:rsid w:val="006F33C9"/>
    <w:rsid w:val="006F3451"/>
    <w:rsid w:val="006F34F6"/>
    <w:rsid w:val="006F354A"/>
    <w:rsid w:val="006F367A"/>
    <w:rsid w:val="006F3EBD"/>
    <w:rsid w:val="006F3F05"/>
    <w:rsid w:val="006F4131"/>
    <w:rsid w:val="006F425A"/>
    <w:rsid w:val="006F470B"/>
    <w:rsid w:val="006F47BC"/>
    <w:rsid w:val="006F4830"/>
    <w:rsid w:val="006F489A"/>
    <w:rsid w:val="006F4927"/>
    <w:rsid w:val="006F4A85"/>
    <w:rsid w:val="006F4B83"/>
    <w:rsid w:val="006F4F0E"/>
    <w:rsid w:val="006F4FCC"/>
    <w:rsid w:val="006F5274"/>
    <w:rsid w:val="006F5277"/>
    <w:rsid w:val="006F5307"/>
    <w:rsid w:val="006F534A"/>
    <w:rsid w:val="006F54FD"/>
    <w:rsid w:val="006F556F"/>
    <w:rsid w:val="006F566F"/>
    <w:rsid w:val="006F5706"/>
    <w:rsid w:val="006F5826"/>
    <w:rsid w:val="006F5AFC"/>
    <w:rsid w:val="006F5D42"/>
    <w:rsid w:val="006F602F"/>
    <w:rsid w:val="006F6384"/>
    <w:rsid w:val="006F66AA"/>
    <w:rsid w:val="006F6899"/>
    <w:rsid w:val="006F68C6"/>
    <w:rsid w:val="006F6B37"/>
    <w:rsid w:val="006F6BC9"/>
    <w:rsid w:val="006F6DF5"/>
    <w:rsid w:val="006F6F9F"/>
    <w:rsid w:val="006F71C9"/>
    <w:rsid w:val="006F71E2"/>
    <w:rsid w:val="006F74EE"/>
    <w:rsid w:val="006F75ED"/>
    <w:rsid w:val="006F7776"/>
    <w:rsid w:val="006F78DF"/>
    <w:rsid w:val="006F7A13"/>
    <w:rsid w:val="006F7B7B"/>
    <w:rsid w:val="006F7BB3"/>
    <w:rsid w:val="006F7CE7"/>
    <w:rsid w:val="006F7D4C"/>
    <w:rsid w:val="006F7D6E"/>
    <w:rsid w:val="006F7E65"/>
    <w:rsid w:val="007004FE"/>
    <w:rsid w:val="00700783"/>
    <w:rsid w:val="007007DD"/>
    <w:rsid w:val="00700A45"/>
    <w:rsid w:val="00700A4E"/>
    <w:rsid w:val="00700AA5"/>
    <w:rsid w:val="00700BE9"/>
    <w:rsid w:val="00700C32"/>
    <w:rsid w:val="00700D91"/>
    <w:rsid w:val="00701031"/>
    <w:rsid w:val="007011C7"/>
    <w:rsid w:val="0070147A"/>
    <w:rsid w:val="0070160E"/>
    <w:rsid w:val="0070178C"/>
    <w:rsid w:val="007017D9"/>
    <w:rsid w:val="007017DA"/>
    <w:rsid w:val="00701AA7"/>
    <w:rsid w:val="00701EF2"/>
    <w:rsid w:val="0070214F"/>
    <w:rsid w:val="0070228B"/>
    <w:rsid w:val="0070233E"/>
    <w:rsid w:val="00702644"/>
    <w:rsid w:val="00702A7D"/>
    <w:rsid w:val="00702BC4"/>
    <w:rsid w:val="00702C14"/>
    <w:rsid w:val="00702C8F"/>
    <w:rsid w:val="00702D22"/>
    <w:rsid w:val="0070306B"/>
    <w:rsid w:val="00703212"/>
    <w:rsid w:val="007033FB"/>
    <w:rsid w:val="00703559"/>
    <w:rsid w:val="0070370F"/>
    <w:rsid w:val="00703960"/>
    <w:rsid w:val="00703AD7"/>
    <w:rsid w:val="00703AFB"/>
    <w:rsid w:val="00703C73"/>
    <w:rsid w:val="00703D36"/>
    <w:rsid w:val="007040A5"/>
    <w:rsid w:val="00704174"/>
    <w:rsid w:val="007042B3"/>
    <w:rsid w:val="007044D2"/>
    <w:rsid w:val="007046C9"/>
    <w:rsid w:val="00704729"/>
    <w:rsid w:val="0070494C"/>
    <w:rsid w:val="00704B57"/>
    <w:rsid w:val="00704BE6"/>
    <w:rsid w:val="00704C02"/>
    <w:rsid w:val="00704E13"/>
    <w:rsid w:val="0070502F"/>
    <w:rsid w:val="0070517D"/>
    <w:rsid w:val="00705379"/>
    <w:rsid w:val="0070552B"/>
    <w:rsid w:val="00705991"/>
    <w:rsid w:val="00705C50"/>
    <w:rsid w:val="00706200"/>
    <w:rsid w:val="00706502"/>
    <w:rsid w:val="00706962"/>
    <w:rsid w:val="00706ABC"/>
    <w:rsid w:val="00706BB4"/>
    <w:rsid w:val="00706C5F"/>
    <w:rsid w:val="0070701E"/>
    <w:rsid w:val="00707358"/>
    <w:rsid w:val="007076EA"/>
    <w:rsid w:val="007078E4"/>
    <w:rsid w:val="007079D9"/>
    <w:rsid w:val="00707D85"/>
    <w:rsid w:val="00707E91"/>
    <w:rsid w:val="00707F70"/>
    <w:rsid w:val="0071021E"/>
    <w:rsid w:val="00710570"/>
    <w:rsid w:val="0071065B"/>
    <w:rsid w:val="00710BEF"/>
    <w:rsid w:val="00710BF0"/>
    <w:rsid w:val="00710D5A"/>
    <w:rsid w:val="00710E44"/>
    <w:rsid w:val="00710EE9"/>
    <w:rsid w:val="00711130"/>
    <w:rsid w:val="00711214"/>
    <w:rsid w:val="0071126B"/>
    <w:rsid w:val="007112D5"/>
    <w:rsid w:val="00711446"/>
    <w:rsid w:val="0071163F"/>
    <w:rsid w:val="007117AF"/>
    <w:rsid w:val="007119BE"/>
    <w:rsid w:val="00711A2F"/>
    <w:rsid w:val="00711B4A"/>
    <w:rsid w:val="00711C5D"/>
    <w:rsid w:val="00711CDF"/>
    <w:rsid w:val="00711F2B"/>
    <w:rsid w:val="00712019"/>
    <w:rsid w:val="0071224C"/>
    <w:rsid w:val="00712556"/>
    <w:rsid w:val="007125E9"/>
    <w:rsid w:val="00712663"/>
    <w:rsid w:val="00712691"/>
    <w:rsid w:val="007129A9"/>
    <w:rsid w:val="00712A9C"/>
    <w:rsid w:val="00712C1A"/>
    <w:rsid w:val="007130FC"/>
    <w:rsid w:val="00713513"/>
    <w:rsid w:val="0071353F"/>
    <w:rsid w:val="0071360D"/>
    <w:rsid w:val="00713672"/>
    <w:rsid w:val="00713882"/>
    <w:rsid w:val="00713949"/>
    <w:rsid w:val="00713FA6"/>
    <w:rsid w:val="0071401D"/>
    <w:rsid w:val="007141DE"/>
    <w:rsid w:val="00714227"/>
    <w:rsid w:val="0071435D"/>
    <w:rsid w:val="007144C7"/>
    <w:rsid w:val="00714529"/>
    <w:rsid w:val="0071489E"/>
    <w:rsid w:val="007148EF"/>
    <w:rsid w:val="00714928"/>
    <w:rsid w:val="00714A03"/>
    <w:rsid w:val="00714B49"/>
    <w:rsid w:val="00714C13"/>
    <w:rsid w:val="00714D54"/>
    <w:rsid w:val="00714D63"/>
    <w:rsid w:val="00714E89"/>
    <w:rsid w:val="00715154"/>
    <w:rsid w:val="007154B5"/>
    <w:rsid w:val="007157CA"/>
    <w:rsid w:val="00715889"/>
    <w:rsid w:val="007158E7"/>
    <w:rsid w:val="00715B1F"/>
    <w:rsid w:val="00715E2A"/>
    <w:rsid w:val="0071630D"/>
    <w:rsid w:val="007163CD"/>
    <w:rsid w:val="0071657E"/>
    <w:rsid w:val="007168E8"/>
    <w:rsid w:val="007169A2"/>
    <w:rsid w:val="00716EFC"/>
    <w:rsid w:val="00717021"/>
    <w:rsid w:val="0071729E"/>
    <w:rsid w:val="00717713"/>
    <w:rsid w:val="0071771F"/>
    <w:rsid w:val="007179A5"/>
    <w:rsid w:val="00717A21"/>
    <w:rsid w:val="00717B82"/>
    <w:rsid w:val="00717BB1"/>
    <w:rsid w:val="00717CB8"/>
    <w:rsid w:val="00717EB0"/>
    <w:rsid w:val="0072003A"/>
    <w:rsid w:val="00720105"/>
    <w:rsid w:val="0072021B"/>
    <w:rsid w:val="0072027B"/>
    <w:rsid w:val="007203EC"/>
    <w:rsid w:val="00720543"/>
    <w:rsid w:val="00720638"/>
    <w:rsid w:val="00720932"/>
    <w:rsid w:val="00720935"/>
    <w:rsid w:val="00720EBF"/>
    <w:rsid w:val="00720FBF"/>
    <w:rsid w:val="00720FF1"/>
    <w:rsid w:val="007211DA"/>
    <w:rsid w:val="0072165B"/>
    <w:rsid w:val="007219CC"/>
    <w:rsid w:val="00721A3C"/>
    <w:rsid w:val="00721ACB"/>
    <w:rsid w:val="00721D23"/>
    <w:rsid w:val="00721F73"/>
    <w:rsid w:val="00722284"/>
    <w:rsid w:val="0072241C"/>
    <w:rsid w:val="00722B88"/>
    <w:rsid w:val="00722BED"/>
    <w:rsid w:val="00722C93"/>
    <w:rsid w:val="00722D34"/>
    <w:rsid w:val="00722E55"/>
    <w:rsid w:val="00722EA4"/>
    <w:rsid w:val="00722EB8"/>
    <w:rsid w:val="00722F02"/>
    <w:rsid w:val="00722FEE"/>
    <w:rsid w:val="00723019"/>
    <w:rsid w:val="007232E4"/>
    <w:rsid w:val="00723324"/>
    <w:rsid w:val="0072339F"/>
    <w:rsid w:val="00723BDE"/>
    <w:rsid w:val="00723C58"/>
    <w:rsid w:val="00723FA4"/>
    <w:rsid w:val="007242A6"/>
    <w:rsid w:val="007242E9"/>
    <w:rsid w:val="007242F2"/>
    <w:rsid w:val="007243EB"/>
    <w:rsid w:val="0072467D"/>
    <w:rsid w:val="007248C3"/>
    <w:rsid w:val="00724907"/>
    <w:rsid w:val="00724D12"/>
    <w:rsid w:val="00724D4B"/>
    <w:rsid w:val="00724D8E"/>
    <w:rsid w:val="00724DD0"/>
    <w:rsid w:val="00724FA8"/>
    <w:rsid w:val="00725032"/>
    <w:rsid w:val="007253E0"/>
    <w:rsid w:val="0072555E"/>
    <w:rsid w:val="00725960"/>
    <w:rsid w:val="00725B89"/>
    <w:rsid w:val="00725BFB"/>
    <w:rsid w:val="00725EEC"/>
    <w:rsid w:val="007264A7"/>
    <w:rsid w:val="007267A0"/>
    <w:rsid w:val="00726899"/>
    <w:rsid w:val="00726A2E"/>
    <w:rsid w:val="00727131"/>
    <w:rsid w:val="00727147"/>
    <w:rsid w:val="00727767"/>
    <w:rsid w:val="00727784"/>
    <w:rsid w:val="00727957"/>
    <w:rsid w:val="0072797C"/>
    <w:rsid w:val="00727A5E"/>
    <w:rsid w:val="00727B63"/>
    <w:rsid w:val="00727DEB"/>
    <w:rsid w:val="0073017E"/>
    <w:rsid w:val="007301A1"/>
    <w:rsid w:val="007304CC"/>
    <w:rsid w:val="0073054F"/>
    <w:rsid w:val="00730622"/>
    <w:rsid w:val="00730676"/>
    <w:rsid w:val="00730A30"/>
    <w:rsid w:val="00730CA7"/>
    <w:rsid w:val="00730D14"/>
    <w:rsid w:val="007317A1"/>
    <w:rsid w:val="007317F5"/>
    <w:rsid w:val="00731A08"/>
    <w:rsid w:val="00731D9A"/>
    <w:rsid w:val="00731F95"/>
    <w:rsid w:val="00731FC0"/>
    <w:rsid w:val="007321E0"/>
    <w:rsid w:val="0073257D"/>
    <w:rsid w:val="0073264A"/>
    <w:rsid w:val="007326B5"/>
    <w:rsid w:val="007328D4"/>
    <w:rsid w:val="00732D2C"/>
    <w:rsid w:val="00732DD7"/>
    <w:rsid w:val="00733017"/>
    <w:rsid w:val="00733042"/>
    <w:rsid w:val="007331B8"/>
    <w:rsid w:val="007333DA"/>
    <w:rsid w:val="007333E2"/>
    <w:rsid w:val="00733911"/>
    <w:rsid w:val="00733A1D"/>
    <w:rsid w:val="00733BD4"/>
    <w:rsid w:val="00733F5E"/>
    <w:rsid w:val="007340F5"/>
    <w:rsid w:val="007341BA"/>
    <w:rsid w:val="0073427C"/>
    <w:rsid w:val="007343CC"/>
    <w:rsid w:val="00734466"/>
    <w:rsid w:val="007345EE"/>
    <w:rsid w:val="00734607"/>
    <w:rsid w:val="007346F7"/>
    <w:rsid w:val="007348F3"/>
    <w:rsid w:val="00734A2D"/>
    <w:rsid w:val="00734A4D"/>
    <w:rsid w:val="00734BE3"/>
    <w:rsid w:val="00734CF2"/>
    <w:rsid w:val="00734F69"/>
    <w:rsid w:val="00735200"/>
    <w:rsid w:val="007356C5"/>
    <w:rsid w:val="007358D3"/>
    <w:rsid w:val="007359F3"/>
    <w:rsid w:val="00735D06"/>
    <w:rsid w:val="007363B9"/>
    <w:rsid w:val="007363E3"/>
    <w:rsid w:val="00736D0F"/>
    <w:rsid w:val="00736E1B"/>
    <w:rsid w:val="00736E23"/>
    <w:rsid w:val="00736E90"/>
    <w:rsid w:val="00737084"/>
    <w:rsid w:val="00737588"/>
    <w:rsid w:val="00737619"/>
    <w:rsid w:val="00737714"/>
    <w:rsid w:val="00737859"/>
    <w:rsid w:val="007378A3"/>
    <w:rsid w:val="00737911"/>
    <w:rsid w:val="007400F6"/>
    <w:rsid w:val="00740153"/>
    <w:rsid w:val="007401F4"/>
    <w:rsid w:val="007404CA"/>
    <w:rsid w:val="007407D8"/>
    <w:rsid w:val="007409C1"/>
    <w:rsid w:val="00740B71"/>
    <w:rsid w:val="00740BF3"/>
    <w:rsid w:val="00740E1B"/>
    <w:rsid w:val="00740EBA"/>
    <w:rsid w:val="00740EDE"/>
    <w:rsid w:val="007410F7"/>
    <w:rsid w:val="00741164"/>
    <w:rsid w:val="0074139C"/>
    <w:rsid w:val="007414B7"/>
    <w:rsid w:val="007414E9"/>
    <w:rsid w:val="00741700"/>
    <w:rsid w:val="00741722"/>
    <w:rsid w:val="00741AC0"/>
    <w:rsid w:val="00741D1F"/>
    <w:rsid w:val="00741DD3"/>
    <w:rsid w:val="00741E00"/>
    <w:rsid w:val="00742326"/>
    <w:rsid w:val="007425B5"/>
    <w:rsid w:val="007425DE"/>
    <w:rsid w:val="007426E1"/>
    <w:rsid w:val="007427B9"/>
    <w:rsid w:val="007427C4"/>
    <w:rsid w:val="007427D5"/>
    <w:rsid w:val="007428A8"/>
    <w:rsid w:val="007429D9"/>
    <w:rsid w:val="007429DA"/>
    <w:rsid w:val="00742AC6"/>
    <w:rsid w:val="00742B49"/>
    <w:rsid w:val="00742DA0"/>
    <w:rsid w:val="00742EE5"/>
    <w:rsid w:val="00742F05"/>
    <w:rsid w:val="007432BB"/>
    <w:rsid w:val="00743785"/>
    <w:rsid w:val="007437FF"/>
    <w:rsid w:val="00743A53"/>
    <w:rsid w:val="00743D02"/>
    <w:rsid w:val="00743ECA"/>
    <w:rsid w:val="00743F52"/>
    <w:rsid w:val="00743F56"/>
    <w:rsid w:val="00743F5A"/>
    <w:rsid w:val="007442A5"/>
    <w:rsid w:val="007442BC"/>
    <w:rsid w:val="007447D9"/>
    <w:rsid w:val="00744CDB"/>
    <w:rsid w:val="00744D09"/>
    <w:rsid w:val="00744D17"/>
    <w:rsid w:val="00744D48"/>
    <w:rsid w:val="00744D90"/>
    <w:rsid w:val="00744F8C"/>
    <w:rsid w:val="007451D8"/>
    <w:rsid w:val="007452C8"/>
    <w:rsid w:val="007453CC"/>
    <w:rsid w:val="007455B9"/>
    <w:rsid w:val="007458F8"/>
    <w:rsid w:val="00745CEE"/>
    <w:rsid w:val="007460B1"/>
    <w:rsid w:val="007460C8"/>
    <w:rsid w:val="007463C5"/>
    <w:rsid w:val="00746BE5"/>
    <w:rsid w:val="00746D96"/>
    <w:rsid w:val="00746ED9"/>
    <w:rsid w:val="00747061"/>
    <w:rsid w:val="007471CA"/>
    <w:rsid w:val="007476D0"/>
    <w:rsid w:val="007478A1"/>
    <w:rsid w:val="00747BCD"/>
    <w:rsid w:val="00747C26"/>
    <w:rsid w:val="00747E3D"/>
    <w:rsid w:val="007500C2"/>
    <w:rsid w:val="00750656"/>
    <w:rsid w:val="00750679"/>
    <w:rsid w:val="00750692"/>
    <w:rsid w:val="0075092B"/>
    <w:rsid w:val="00750B89"/>
    <w:rsid w:val="00750C84"/>
    <w:rsid w:val="00750C88"/>
    <w:rsid w:val="00750E0E"/>
    <w:rsid w:val="00750E1C"/>
    <w:rsid w:val="00750E6C"/>
    <w:rsid w:val="00750F19"/>
    <w:rsid w:val="00750FC5"/>
    <w:rsid w:val="0075125C"/>
    <w:rsid w:val="0075127C"/>
    <w:rsid w:val="0075134E"/>
    <w:rsid w:val="007513AC"/>
    <w:rsid w:val="007515AD"/>
    <w:rsid w:val="00751A13"/>
    <w:rsid w:val="00751A86"/>
    <w:rsid w:val="00751FCD"/>
    <w:rsid w:val="00752182"/>
    <w:rsid w:val="007522E1"/>
    <w:rsid w:val="007524EC"/>
    <w:rsid w:val="00752778"/>
    <w:rsid w:val="007527CC"/>
    <w:rsid w:val="00752BF4"/>
    <w:rsid w:val="00752C32"/>
    <w:rsid w:val="00752C96"/>
    <w:rsid w:val="007530EE"/>
    <w:rsid w:val="00753386"/>
    <w:rsid w:val="0075393A"/>
    <w:rsid w:val="00753CD4"/>
    <w:rsid w:val="00753D4A"/>
    <w:rsid w:val="00753ED4"/>
    <w:rsid w:val="00753F8C"/>
    <w:rsid w:val="00754057"/>
    <w:rsid w:val="0075424D"/>
    <w:rsid w:val="0075444E"/>
    <w:rsid w:val="00754670"/>
    <w:rsid w:val="007547A5"/>
    <w:rsid w:val="00754AA8"/>
    <w:rsid w:val="00754B9B"/>
    <w:rsid w:val="00754C72"/>
    <w:rsid w:val="00754D56"/>
    <w:rsid w:val="00755397"/>
    <w:rsid w:val="00755692"/>
    <w:rsid w:val="007556FA"/>
    <w:rsid w:val="00755B8D"/>
    <w:rsid w:val="00755D9B"/>
    <w:rsid w:val="00755FA9"/>
    <w:rsid w:val="00756042"/>
    <w:rsid w:val="0075610B"/>
    <w:rsid w:val="007564D4"/>
    <w:rsid w:val="00756539"/>
    <w:rsid w:val="00756651"/>
    <w:rsid w:val="00756A6E"/>
    <w:rsid w:val="00756D05"/>
    <w:rsid w:val="00757056"/>
    <w:rsid w:val="00757102"/>
    <w:rsid w:val="00757458"/>
    <w:rsid w:val="007574D2"/>
    <w:rsid w:val="00757DFF"/>
    <w:rsid w:val="00757F78"/>
    <w:rsid w:val="0076002A"/>
    <w:rsid w:val="007601D4"/>
    <w:rsid w:val="00760756"/>
    <w:rsid w:val="00760886"/>
    <w:rsid w:val="0076094D"/>
    <w:rsid w:val="00760C22"/>
    <w:rsid w:val="00760C2B"/>
    <w:rsid w:val="00760E3C"/>
    <w:rsid w:val="00760F80"/>
    <w:rsid w:val="00760FC6"/>
    <w:rsid w:val="0076106E"/>
    <w:rsid w:val="0076108C"/>
    <w:rsid w:val="007610F3"/>
    <w:rsid w:val="00761219"/>
    <w:rsid w:val="00761292"/>
    <w:rsid w:val="00761396"/>
    <w:rsid w:val="007619CA"/>
    <w:rsid w:val="00761B44"/>
    <w:rsid w:val="007620ED"/>
    <w:rsid w:val="00762210"/>
    <w:rsid w:val="0076274A"/>
    <w:rsid w:val="007629BB"/>
    <w:rsid w:val="00762D41"/>
    <w:rsid w:val="00762D8B"/>
    <w:rsid w:val="00762EF8"/>
    <w:rsid w:val="00762FB5"/>
    <w:rsid w:val="0076312D"/>
    <w:rsid w:val="0076340C"/>
    <w:rsid w:val="007636FD"/>
    <w:rsid w:val="0076373C"/>
    <w:rsid w:val="00763915"/>
    <w:rsid w:val="007639EE"/>
    <w:rsid w:val="00763B6F"/>
    <w:rsid w:val="00763D24"/>
    <w:rsid w:val="00763F8C"/>
    <w:rsid w:val="0076403A"/>
    <w:rsid w:val="00764194"/>
    <w:rsid w:val="007648C1"/>
    <w:rsid w:val="0076497F"/>
    <w:rsid w:val="00764A31"/>
    <w:rsid w:val="00764A95"/>
    <w:rsid w:val="00764AEC"/>
    <w:rsid w:val="00764EF8"/>
    <w:rsid w:val="00765057"/>
    <w:rsid w:val="00765262"/>
    <w:rsid w:val="0076539B"/>
    <w:rsid w:val="007654CF"/>
    <w:rsid w:val="0076556C"/>
    <w:rsid w:val="00765580"/>
    <w:rsid w:val="00765885"/>
    <w:rsid w:val="00765A92"/>
    <w:rsid w:val="00765E2F"/>
    <w:rsid w:val="00765F8E"/>
    <w:rsid w:val="00766426"/>
    <w:rsid w:val="00766535"/>
    <w:rsid w:val="0076683F"/>
    <w:rsid w:val="00766C63"/>
    <w:rsid w:val="00766CEC"/>
    <w:rsid w:val="00766D94"/>
    <w:rsid w:val="00766E8F"/>
    <w:rsid w:val="007670CA"/>
    <w:rsid w:val="00767149"/>
    <w:rsid w:val="007676E2"/>
    <w:rsid w:val="00767977"/>
    <w:rsid w:val="00767A2F"/>
    <w:rsid w:val="00767B6F"/>
    <w:rsid w:val="00767B9E"/>
    <w:rsid w:val="00767BE8"/>
    <w:rsid w:val="00767C39"/>
    <w:rsid w:val="00767DB3"/>
    <w:rsid w:val="00767FD0"/>
    <w:rsid w:val="00770011"/>
    <w:rsid w:val="007701C3"/>
    <w:rsid w:val="007707F5"/>
    <w:rsid w:val="007708C7"/>
    <w:rsid w:val="00770F09"/>
    <w:rsid w:val="0077131A"/>
    <w:rsid w:val="00771647"/>
    <w:rsid w:val="00771668"/>
    <w:rsid w:val="007716D8"/>
    <w:rsid w:val="00771852"/>
    <w:rsid w:val="00771971"/>
    <w:rsid w:val="00771984"/>
    <w:rsid w:val="00771D9E"/>
    <w:rsid w:val="00772149"/>
    <w:rsid w:val="00772492"/>
    <w:rsid w:val="00772680"/>
    <w:rsid w:val="0077298D"/>
    <w:rsid w:val="00772DFF"/>
    <w:rsid w:val="00772F39"/>
    <w:rsid w:val="00773167"/>
    <w:rsid w:val="007731AF"/>
    <w:rsid w:val="00773418"/>
    <w:rsid w:val="007738AA"/>
    <w:rsid w:val="00773917"/>
    <w:rsid w:val="00773FFD"/>
    <w:rsid w:val="00774116"/>
    <w:rsid w:val="0077429E"/>
    <w:rsid w:val="007742B0"/>
    <w:rsid w:val="007745BE"/>
    <w:rsid w:val="00774719"/>
    <w:rsid w:val="00774841"/>
    <w:rsid w:val="00774A2C"/>
    <w:rsid w:val="00774F7A"/>
    <w:rsid w:val="00775109"/>
    <w:rsid w:val="007755A8"/>
    <w:rsid w:val="007756E4"/>
    <w:rsid w:val="00775AC7"/>
    <w:rsid w:val="00775D8A"/>
    <w:rsid w:val="00775E1E"/>
    <w:rsid w:val="00775EF6"/>
    <w:rsid w:val="007760D5"/>
    <w:rsid w:val="0077611D"/>
    <w:rsid w:val="007761D1"/>
    <w:rsid w:val="0077642E"/>
    <w:rsid w:val="00776694"/>
    <w:rsid w:val="00776B4F"/>
    <w:rsid w:val="00776B94"/>
    <w:rsid w:val="00776CF9"/>
    <w:rsid w:val="00776D9D"/>
    <w:rsid w:val="0077703D"/>
    <w:rsid w:val="00777157"/>
    <w:rsid w:val="00777218"/>
    <w:rsid w:val="00777311"/>
    <w:rsid w:val="0077743C"/>
    <w:rsid w:val="007774BF"/>
    <w:rsid w:val="00777582"/>
    <w:rsid w:val="0077763C"/>
    <w:rsid w:val="007776CC"/>
    <w:rsid w:val="00777CF4"/>
    <w:rsid w:val="00777D5A"/>
    <w:rsid w:val="00777DAE"/>
    <w:rsid w:val="00777DBD"/>
    <w:rsid w:val="00777EE6"/>
    <w:rsid w:val="00780283"/>
    <w:rsid w:val="007802B2"/>
    <w:rsid w:val="007802C3"/>
    <w:rsid w:val="007805D6"/>
    <w:rsid w:val="007805FA"/>
    <w:rsid w:val="00780675"/>
    <w:rsid w:val="00780760"/>
    <w:rsid w:val="00780AB3"/>
    <w:rsid w:val="00780B91"/>
    <w:rsid w:val="00780E4D"/>
    <w:rsid w:val="00781252"/>
    <w:rsid w:val="00781289"/>
    <w:rsid w:val="00781674"/>
    <w:rsid w:val="00781C81"/>
    <w:rsid w:val="00781D26"/>
    <w:rsid w:val="00781D67"/>
    <w:rsid w:val="00781D7D"/>
    <w:rsid w:val="00782210"/>
    <w:rsid w:val="00782692"/>
    <w:rsid w:val="007826C6"/>
    <w:rsid w:val="0078274A"/>
    <w:rsid w:val="00782937"/>
    <w:rsid w:val="00783229"/>
    <w:rsid w:val="00783310"/>
    <w:rsid w:val="0078356A"/>
    <w:rsid w:val="00783622"/>
    <w:rsid w:val="007838B4"/>
    <w:rsid w:val="007839E7"/>
    <w:rsid w:val="007839FB"/>
    <w:rsid w:val="00783A04"/>
    <w:rsid w:val="00783A32"/>
    <w:rsid w:val="00783DCF"/>
    <w:rsid w:val="00783F16"/>
    <w:rsid w:val="00783F8B"/>
    <w:rsid w:val="00783F8E"/>
    <w:rsid w:val="00784002"/>
    <w:rsid w:val="0078409D"/>
    <w:rsid w:val="00784571"/>
    <w:rsid w:val="007846FA"/>
    <w:rsid w:val="0078470E"/>
    <w:rsid w:val="00784A8C"/>
    <w:rsid w:val="00784B6C"/>
    <w:rsid w:val="00784F51"/>
    <w:rsid w:val="00784FDE"/>
    <w:rsid w:val="007850E4"/>
    <w:rsid w:val="007853E8"/>
    <w:rsid w:val="0078598E"/>
    <w:rsid w:val="00785A45"/>
    <w:rsid w:val="00785B25"/>
    <w:rsid w:val="00785E4D"/>
    <w:rsid w:val="00785EB1"/>
    <w:rsid w:val="007862A7"/>
    <w:rsid w:val="007862E3"/>
    <w:rsid w:val="007863CD"/>
    <w:rsid w:val="00786414"/>
    <w:rsid w:val="00786616"/>
    <w:rsid w:val="007867AC"/>
    <w:rsid w:val="007869EB"/>
    <w:rsid w:val="00786B07"/>
    <w:rsid w:val="00786BE2"/>
    <w:rsid w:val="00786C63"/>
    <w:rsid w:val="00786C7A"/>
    <w:rsid w:val="00786C81"/>
    <w:rsid w:val="00786E56"/>
    <w:rsid w:val="00787003"/>
    <w:rsid w:val="0078709F"/>
    <w:rsid w:val="007871C5"/>
    <w:rsid w:val="00787418"/>
    <w:rsid w:val="00787555"/>
    <w:rsid w:val="007876F9"/>
    <w:rsid w:val="0078782F"/>
    <w:rsid w:val="007878FA"/>
    <w:rsid w:val="00787C3B"/>
    <w:rsid w:val="00787E83"/>
    <w:rsid w:val="00787E8A"/>
    <w:rsid w:val="00787EE6"/>
    <w:rsid w:val="007900C5"/>
    <w:rsid w:val="0079021F"/>
    <w:rsid w:val="0079034C"/>
    <w:rsid w:val="0079041E"/>
    <w:rsid w:val="007904D0"/>
    <w:rsid w:val="007909E5"/>
    <w:rsid w:val="00790AD9"/>
    <w:rsid w:val="00790B01"/>
    <w:rsid w:val="00790E23"/>
    <w:rsid w:val="00790F05"/>
    <w:rsid w:val="0079107F"/>
    <w:rsid w:val="007911E9"/>
    <w:rsid w:val="00791E38"/>
    <w:rsid w:val="007921DD"/>
    <w:rsid w:val="00792401"/>
    <w:rsid w:val="007925A3"/>
    <w:rsid w:val="007925A9"/>
    <w:rsid w:val="007925D7"/>
    <w:rsid w:val="00792958"/>
    <w:rsid w:val="00792CA7"/>
    <w:rsid w:val="00792E53"/>
    <w:rsid w:val="00793023"/>
    <w:rsid w:val="00793110"/>
    <w:rsid w:val="00793132"/>
    <w:rsid w:val="00793206"/>
    <w:rsid w:val="0079348B"/>
    <w:rsid w:val="00793645"/>
    <w:rsid w:val="007939E1"/>
    <w:rsid w:val="00793A26"/>
    <w:rsid w:val="00793C38"/>
    <w:rsid w:val="00793D77"/>
    <w:rsid w:val="00793D8A"/>
    <w:rsid w:val="00793E9F"/>
    <w:rsid w:val="00793ED8"/>
    <w:rsid w:val="00794018"/>
    <w:rsid w:val="007940C2"/>
    <w:rsid w:val="00794169"/>
    <w:rsid w:val="00794211"/>
    <w:rsid w:val="00794482"/>
    <w:rsid w:val="00794564"/>
    <w:rsid w:val="0079474B"/>
    <w:rsid w:val="0079477D"/>
    <w:rsid w:val="0079478E"/>
    <w:rsid w:val="00794B33"/>
    <w:rsid w:val="0079557B"/>
    <w:rsid w:val="00795985"/>
    <w:rsid w:val="007959D9"/>
    <w:rsid w:val="00795A1A"/>
    <w:rsid w:val="00795A1F"/>
    <w:rsid w:val="00795D32"/>
    <w:rsid w:val="00795DD3"/>
    <w:rsid w:val="00795FF0"/>
    <w:rsid w:val="00796009"/>
    <w:rsid w:val="007962DE"/>
    <w:rsid w:val="007963E6"/>
    <w:rsid w:val="00796506"/>
    <w:rsid w:val="007965F5"/>
    <w:rsid w:val="007969AE"/>
    <w:rsid w:val="00796A28"/>
    <w:rsid w:val="00796C73"/>
    <w:rsid w:val="00796CD8"/>
    <w:rsid w:val="00796E85"/>
    <w:rsid w:val="00796FEB"/>
    <w:rsid w:val="00797157"/>
    <w:rsid w:val="007978D2"/>
    <w:rsid w:val="00797AA2"/>
    <w:rsid w:val="007A002F"/>
    <w:rsid w:val="007A0038"/>
    <w:rsid w:val="007A0406"/>
    <w:rsid w:val="007A054A"/>
    <w:rsid w:val="007A064B"/>
    <w:rsid w:val="007A07CE"/>
    <w:rsid w:val="007A09A5"/>
    <w:rsid w:val="007A09D1"/>
    <w:rsid w:val="007A0ED4"/>
    <w:rsid w:val="007A0F00"/>
    <w:rsid w:val="007A0F20"/>
    <w:rsid w:val="007A0FD7"/>
    <w:rsid w:val="007A1094"/>
    <w:rsid w:val="007A128F"/>
    <w:rsid w:val="007A1494"/>
    <w:rsid w:val="007A14CC"/>
    <w:rsid w:val="007A15D5"/>
    <w:rsid w:val="007A16F7"/>
    <w:rsid w:val="007A1775"/>
    <w:rsid w:val="007A178A"/>
    <w:rsid w:val="007A1818"/>
    <w:rsid w:val="007A18F3"/>
    <w:rsid w:val="007A1AF7"/>
    <w:rsid w:val="007A1C23"/>
    <w:rsid w:val="007A1DCC"/>
    <w:rsid w:val="007A1E4A"/>
    <w:rsid w:val="007A1F0A"/>
    <w:rsid w:val="007A203F"/>
    <w:rsid w:val="007A2047"/>
    <w:rsid w:val="007A21FB"/>
    <w:rsid w:val="007A2790"/>
    <w:rsid w:val="007A29EB"/>
    <w:rsid w:val="007A2B70"/>
    <w:rsid w:val="007A2CB0"/>
    <w:rsid w:val="007A2CE3"/>
    <w:rsid w:val="007A2D59"/>
    <w:rsid w:val="007A2F03"/>
    <w:rsid w:val="007A3222"/>
    <w:rsid w:val="007A32D5"/>
    <w:rsid w:val="007A332D"/>
    <w:rsid w:val="007A3740"/>
    <w:rsid w:val="007A37F9"/>
    <w:rsid w:val="007A3888"/>
    <w:rsid w:val="007A3A4B"/>
    <w:rsid w:val="007A3BC2"/>
    <w:rsid w:val="007A3D76"/>
    <w:rsid w:val="007A40D4"/>
    <w:rsid w:val="007A441D"/>
    <w:rsid w:val="007A46BA"/>
    <w:rsid w:val="007A46E6"/>
    <w:rsid w:val="007A47AC"/>
    <w:rsid w:val="007A48E6"/>
    <w:rsid w:val="007A4A6D"/>
    <w:rsid w:val="007A4B2E"/>
    <w:rsid w:val="007A4C9D"/>
    <w:rsid w:val="007A4EE0"/>
    <w:rsid w:val="007A4FF8"/>
    <w:rsid w:val="007A5050"/>
    <w:rsid w:val="007A50C5"/>
    <w:rsid w:val="007A53E9"/>
    <w:rsid w:val="007A53EB"/>
    <w:rsid w:val="007A578A"/>
    <w:rsid w:val="007A578B"/>
    <w:rsid w:val="007A57E8"/>
    <w:rsid w:val="007A586D"/>
    <w:rsid w:val="007A59CD"/>
    <w:rsid w:val="007A5C35"/>
    <w:rsid w:val="007A5E5A"/>
    <w:rsid w:val="007A5F1C"/>
    <w:rsid w:val="007A5F7F"/>
    <w:rsid w:val="007A618C"/>
    <w:rsid w:val="007A62A9"/>
    <w:rsid w:val="007A63AF"/>
    <w:rsid w:val="007A6456"/>
    <w:rsid w:val="007A64B9"/>
    <w:rsid w:val="007A65A9"/>
    <w:rsid w:val="007A68BA"/>
    <w:rsid w:val="007A6915"/>
    <w:rsid w:val="007A6CB4"/>
    <w:rsid w:val="007A74D1"/>
    <w:rsid w:val="007A76DE"/>
    <w:rsid w:val="007A7701"/>
    <w:rsid w:val="007A7721"/>
    <w:rsid w:val="007A796F"/>
    <w:rsid w:val="007A7D0E"/>
    <w:rsid w:val="007A7D43"/>
    <w:rsid w:val="007B00F2"/>
    <w:rsid w:val="007B0128"/>
    <w:rsid w:val="007B075A"/>
    <w:rsid w:val="007B0C8B"/>
    <w:rsid w:val="007B0CC6"/>
    <w:rsid w:val="007B0D3D"/>
    <w:rsid w:val="007B112A"/>
    <w:rsid w:val="007B11CA"/>
    <w:rsid w:val="007B15AA"/>
    <w:rsid w:val="007B1974"/>
    <w:rsid w:val="007B19FC"/>
    <w:rsid w:val="007B1DD9"/>
    <w:rsid w:val="007B1E46"/>
    <w:rsid w:val="007B1E65"/>
    <w:rsid w:val="007B1FB8"/>
    <w:rsid w:val="007B239A"/>
    <w:rsid w:val="007B24D1"/>
    <w:rsid w:val="007B2547"/>
    <w:rsid w:val="007B27DB"/>
    <w:rsid w:val="007B28AD"/>
    <w:rsid w:val="007B2942"/>
    <w:rsid w:val="007B2A0F"/>
    <w:rsid w:val="007B2EAB"/>
    <w:rsid w:val="007B2F00"/>
    <w:rsid w:val="007B2F61"/>
    <w:rsid w:val="007B30CF"/>
    <w:rsid w:val="007B31B0"/>
    <w:rsid w:val="007B3545"/>
    <w:rsid w:val="007B36A7"/>
    <w:rsid w:val="007B391C"/>
    <w:rsid w:val="007B3AA2"/>
    <w:rsid w:val="007B3CBB"/>
    <w:rsid w:val="007B3D1A"/>
    <w:rsid w:val="007B3D3E"/>
    <w:rsid w:val="007B3EB0"/>
    <w:rsid w:val="007B41E5"/>
    <w:rsid w:val="007B41F9"/>
    <w:rsid w:val="007B4314"/>
    <w:rsid w:val="007B4344"/>
    <w:rsid w:val="007B43F2"/>
    <w:rsid w:val="007B442F"/>
    <w:rsid w:val="007B4485"/>
    <w:rsid w:val="007B49F4"/>
    <w:rsid w:val="007B4E97"/>
    <w:rsid w:val="007B4F6F"/>
    <w:rsid w:val="007B534B"/>
    <w:rsid w:val="007B573D"/>
    <w:rsid w:val="007B5809"/>
    <w:rsid w:val="007B5812"/>
    <w:rsid w:val="007B5B7E"/>
    <w:rsid w:val="007B5BCC"/>
    <w:rsid w:val="007B5C01"/>
    <w:rsid w:val="007B5D37"/>
    <w:rsid w:val="007B5F6A"/>
    <w:rsid w:val="007B60F4"/>
    <w:rsid w:val="007B6373"/>
    <w:rsid w:val="007B659C"/>
    <w:rsid w:val="007B6604"/>
    <w:rsid w:val="007B66AB"/>
    <w:rsid w:val="007B66C4"/>
    <w:rsid w:val="007B67F5"/>
    <w:rsid w:val="007B6A71"/>
    <w:rsid w:val="007B6DC1"/>
    <w:rsid w:val="007B6DC5"/>
    <w:rsid w:val="007B6F2F"/>
    <w:rsid w:val="007B6F8E"/>
    <w:rsid w:val="007B70A2"/>
    <w:rsid w:val="007B7469"/>
    <w:rsid w:val="007B7A21"/>
    <w:rsid w:val="007B7A42"/>
    <w:rsid w:val="007B7D61"/>
    <w:rsid w:val="007B7D74"/>
    <w:rsid w:val="007C05AA"/>
    <w:rsid w:val="007C05E8"/>
    <w:rsid w:val="007C06C5"/>
    <w:rsid w:val="007C084D"/>
    <w:rsid w:val="007C09C2"/>
    <w:rsid w:val="007C09ED"/>
    <w:rsid w:val="007C0AA2"/>
    <w:rsid w:val="007C0BE5"/>
    <w:rsid w:val="007C0C42"/>
    <w:rsid w:val="007C0D98"/>
    <w:rsid w:val="007C0E89"/>
    <w:rsid w:val="007C1043"/>
    <w:rsid w:val="007C11EC"/>
    <w:rsid w:val="007C1271"/>
    <w:rsid w:val="007C166E"/>
    <w:rsid w:val="007C190D"/>
    <w:rsid w:val="007C1A58"/>
    <w:rsid w:val="007C1FE7"/>
    <w:rsid w:val="007C20A6"/>
    <w:rsid w:val="007C20F6"/>
    <w:rsid w:val="007C21A4"/>
    <w:rsid w:val="007C2306"/>
    <w:rsid w:val="007C2499"/>
    <w:rsid w:val="007C26AE"/>
    <w:rsid w:val="007C26E9"/>
    <w:rsid w:val="007C2811"/>
    <w:rsid w:val="007C28C6"/>
    <w:rsid w:val="007C2A57"/>
    <w:rsid w:val="007C2CB7"/>
    <w:rsid w:val="007C2D28"/>
    <w:rsid w:val="007C2D45"/>
    <w:rsid w:val="007C30FA"/>
    <w:rsid w:val="007C320C"/>
    <w:rsid w:val="007C33EA"/>
    <w:rsid w:val="007C33ED"/>
    <w:rsid w:val="007C35F2"/>
    <w:rsid w:val="007C36E2"/>
    <w:rsid w:val="007C3801"/>
    <w:rsid w:val="007C3808"/>
    <w:rsid w:val="007C3AB0"/>
    <w:rsid w:val="007C3AC5"/>
    <w:rsid w:val="007C3D52"/>
    <w:rsid w:val="007C3DB4"/>
    <w:rsid w:val="007C3E90"/>
    <w:rsid w:val="007C3F9A"/>
    <w:rsid w:val="007C401B"/>
    <w:rsid w:val="007C4135"/>
    <w:rsid w:val="007C4194"/>
    <w:rsid w:val="007C4824"/>
    <w:rsid w:val="007C4B69"/>
    <w:rsid w:val="007C4C25"/>
    <w:rsid w:val="007C4DE7"/>
    <w:rsid w:val="007C4E61"/>
    <w:rsid w:val="007C50D3"/>
    <w:rsid w:val="007C51FA"/>
    <w:rsid w:val="007C52FA"/>
    <w:rsid w:val="007C5346"/>
    <w:rsid w:val="007C53CF"/>
    <w:rsid w:val="007C556A"/>
    <w:rsid w:val="007C55E6"/>
    <w:rsid w:val="007C56DB"/>
    <w:rsid w:val="007C5891"/>
    <w:rsid w:val="007C5A65"/>
    <w:rsid w:val="007C5A95"/>
    <w:rsid w:val="007C5C28"/>
    <w:rsid w:val="007C5D6E"/>
    <w:rsid w:val="007C5FF5"/>
    <w:rsid w:val="007C67D7"/>
    <w:rsid w:val="007C694E"/>
    <w:rsid w:val="007C69E7"/>
    <w:rsid w:val="007C69EF"/>
    <w:rsid w:val="007C6A2E"/>
    <w:rsid w:val="007C6A95"/>
    <w:rsid w:val="007C6C03"/>
    <w:rsid w:val="007C6D86"/>
    <w:rsid w:val="007C6F9D"/>
    <w:rsid w:val="007C7557"/>
    <w:rsid w:val="007C764F"/>
    <w:rsid w:val="007C780B"/>
    <w:rsid w:val="007C7820"/>
    <w:rsid w:val="007C785A"/>
    <w:rsid w:val="007C7ABF"/>
    <w:rsid w:val="007C7B3C"/>
    <w:rsid w:val="007C7B57"/>
    <w:rsid w:val="007C7BF5"/>
    <w:rsid w:val="007C7CBE"/>
    <w:rsid w:val="007C7D83"/>
    <w:rsid w:val="007C7DF4"/>
    <w:rsid w:val="007D01BF"/>
    <w:rsid w:val="007D0274"/>
    <w:rsid w:val="007D034B"/>
    <w:rsid w:val="007D04CF"/>
    <w:rsid w:val="007D073D"/>
    <w:rsid w:val="007D07B1"/>
    <w:rsid w:val="007D0CD6"/>
    <w:rsid w:val="007D0D33"/>
    <w:rsid w:val="007D119B"/>
    <w:rsid w:val="007D19ED"/>
    <w:rsid w:val="007D19FE"/>
    <w:rsid w:val="007D1A84"/>
    <w:rsid w:val="007D1BCF"/>
    <w:rsid w:val="007D1CA8"/>
    <w:rsid w:val="007D1CC9"/>
    <w:rsid w:val="007D2143"/>
    <w:rsid w:val="007D21C7"/>
    <w:rsid w:val="007D23E3"/>
    <w:rsid w:val="007D250D"/>
    <w:rsid w:val="007D281D"/>
    <w:rsid w:val="007D291C"/>
    <w:rsid w:val="007D2920"/>
    <w:rsid w:val="007D2A0B"/>
    <w:rsid w:val="007D2B70"/>
    <w:rsid w:val="007D2BA0"/>
    <w:rsid w:val="007D2F06"/>
    <w:rsid w:val="007D3107"/>
    <w:rsid w:val="007D3577"/>
    <w:rsid w:val="007D37B1"/>
    <w:rsid w:val="007D3A09"/>
    <w:rsid w:val="007D3BFB"/>
    <w:rsid w:val="007D3C5E"/>
    <w:rsid w:val="007D430F"/>
    <w:rsid w:val="007D442A"/>
    <w:rsid w:val="007D45EA"/>
    <w:rsid w:val="007D46DA"/>
    <w:rsid w:val="007D4734"/>
    <w:rsid w:val="007D48E2"/>
    <w:rsid w:val="007D491A"/>
    <w:rsid w:val="007D4A72"/>
    <w:rsid w:val="007D4D2E"/>
    <w:rsid w:val="007D4E2D"/>
    <w:rsid w:val="007D4E98"/>
    <w:rsid w:val="007D5621"/>
    <w:rsid w:val="007D5717"/>
    <w:rsid w:val="007D5756"/>
    <w:rsid w:val="007D5A64"/>
    <w:rsid w:val="007D5A68"/>
    <w:rsid w:val="007D5B60"/>
    <w:rsid w:val="007D5C03"/>
    <w:rsid w:val="007D5D52"/>
    <w:rsid w:val="007D607C"/>
    <w:rsid w:val="007D616A"/>
    <w:rsid w:val="007D62D3"/>
    <w:rsid w:val="007D6520"/>
    <w:rsid w:val="007D6584"/>
    <w:rsid w:val="007D6808"/>
    <w:rsid w:val="007D6C10"/>
    <w:rsid w:val="007D737E"/>
    <w:rsid w:val="007D73BA"/>
    <w:rsid w:val="007D75CF"/>
    <w:rsid w:val="007D7790"/>
    <w:rsid w:val="007D7914"/>
    <w:rsid w:val="007D7BC3"/>
    <w:rsid w:val="007D7CFB"/>
    <w:rsid w:val="007D7D99"/>
    <w:rsid w:val="007E00E7"/>
    <w:rsid w:val="007E0440"/>
    <w:rsid w:val="007E0680"/>
    <w:rsid w:val="007E06CB"/>
    <w:rsid w:val="007E07D7"/>
    <w:rsid w:val="007E0B15"/>
    <w:rsid w:val="007E0B40"/>
    <w:rsid w:val="007E0BD7"/>
    <w:rsid w:val="007E0D2C"/>
    <w:rsid w:val="007E0DFD"/>
    <w:rsid w:val="007E0E4A"/>
    <w:rsid w:val="007E12C2"/>
    <w:rsid w:val="007E18D0"/>
    <w:rsid w:val="007E1CA1"/>
    <w:rsid w:val="007E1E93"/>
    <w:rsid w:val="007E20B4"/>
    <w:rsid w:val="007E221F"/>
    <w:rsid w:val="007E226A"/>
    <w:rsid w:val="007E2435"/>
    <w:rsid w:val="007E24D4"/>
    <w:rsid w:val="007E252F"/>
    <w:rsid w:val="007E28DA"/>
    <w:rsid w:val="007E2C66"/>
    <w:rsid w:val="007E2F5B"/>
    <w:rsid w:val="007E304D"/>
    <w:rsid w:val="007E3083"/>
    <w:rsid w:val="007E3086"/>
    <w:rsid w:val="007E30E9"/>
    <w:rsid w:val="007E310F"/>
    <w:rsid w:val="007E3339"/>
    <w:rsid w:val="007E33E4"/>
    <w:rsid w:val="007E35E5"/>
    <w:rsid w:val="007E3628"/>
    <w:rsid w:val="007E3AEF"/>
    <w:rsid w:val="007E3AFE"/>
    <w:rsid w:val="007E3FE7"/>
    <w:rsid w:val="007E42E6"/>
    <w:rsid w:val="007E44B5"/>
    <w:rsid w:val="007E4618"/>
    <w:rsid w:val="007E4788"/>
    <w:rsid w:val="007E480E"/>
    <w:rsid w:val="007E4944"/>
    <w:rsid w:val="007E49D0"/>
    <w:rsid w:val="007E4A83"/>
    <w:rsid w:val="007E4B5D"/>
    <w:rsid w:val="007E4CA4"/>
    <w:rsid w:val="007E5294"/>
    <w:rsid w:val="007E5389"/>
    <w:rsid w:val="007E5724"/>
    <w:rsid w:val="007E57BD"/>
    <w:rsid w:val="007E5933"/>
    <w:rsid w:val="007E5A84"/>
    <w:rsid w:val="007E5CB1"/>
    <w:rsid w:val="007E5E6E"/>
    <w:rsid w:val="007E5EB5"/>
    <w:rsid w:val="007E5F03"/>
    <w:rsid w:val="007E60BE"/>
    <w:rsid w:val="007E60E5"/>
    <w:rsid w:val="007E63D4"/>
    <w:rsid w:val="007E664A"/>
    <w:rsid w:val="007E6713"/>
    <w:rsid w:val="007E67D3"/>
    <w:rsid w:val="007E6AE8"/>
    <w:rsid w:val="007E6C4A"/>
    <w:rsid w:val="007E6D1A"/>
    <w:rsid w:val="007E6DC5"/>
    <w:rsid w:val="007E70B2"/>
    <w:rsid w:val="007E7297"/>
    <w:rsid w:val="007E7394"/>
    <w:rsid w:val="007E7875"/>
    <w:rsid w:val="007E79FD"/>
    <w:rsid w:val="007E7A4B"/>
    <w:rsid w:val="007E7BB1"/>
    <w:rsid w:val="007E7CBF"/>
    <w:rsid w:val="007F02EF"/>
    <w:rsid w:val="007F031F"/>
    <w:rsid w:val="007F04E0"/>
    <w:rsid w:val="007F067A"/>
    <w:rsid w:val="007F094A"/>
    <w:rsid w:val="007F0F29"/>
    <w:rsid w:val="007F0F9F"/>
    <w:rsid w:val="007F160C"/>
    <w:rsid w:val="007F1960"/>
    <w:rsid w:val="007F196D"/>
    <w:rsid w:val="007F1D24"/>
    <w:rsid w:val="007F1E39"/>
    <w:rsid w:val="007F20B8"/>
    <w:rsid w:val="007F22E1"/>
    <w:rsid w:val="007F24C0"/>
    <w:rsid w:val="007F27FE"/>
    <w:rsid w:val="007F2836"/>
    <w:rsid w:val="007F286A"/>
    <w:rsid w:val="007F290A"/>
    <w:rsid w:val="007F2A9A"/>
    <w:rsid w:val="007F2AAA"/>
    <w:rsid w:val="007F2C45"/>
    <w:rsid w:val="007F2E84"/>
    <w:rsid w:val="007F2F27"/>
    <w:rsid w:val="007F31F3"/>
    <w:rsid w:val="007F31FD"/>
    <w:rsid w:val="007F34CF"/>
    <w:rsid w:val="007F34D3"/>
    <w:rsid w:val="007F38DE"/>
    <w:rsid w:val="007F3B5C"/>
    <w:rsid w:val="007F3DE4"/>
    <w:rsid w:val="007F3E04"/>
    <w:rsid w:val="007F4273"/>
    <w:rsid w:val="007F43C7"/>
    <w:rsid w:val="007F44CE"/>
    <w:rsid w:val="007F475B"/>
    <w:rsid w:val="007F4985"/>
    <w:rsid w:val="007F4D43"/>
    <w:rsid w:val="007F4D77"/>
    <w:rsid w:val="007F4F11"/>
    <w:rsid w:val="007F53C5"/>
    <w:rsid w:val="007F545D"/>
    <w:rsid w:val="007F5550"/>
    <w:rsid w:val="007F574B"/>
    <w:rsid w:val="007F5AA0"/>
    <w:rsid w:val="007F5F2C"/>
    <w:rsid w:val="007F681D"/>
    <w:rsid w:val="007F689F"/>
    <w:rsid w:val="007F6914"/>
    <w:rsid w:val="007F6C73"/>
    <w:rsid w:val="007F6DB7"/>
    <w:rsid w:val="007F6F86"/>
    <w:rsid w:val="007F7071"/>
    <w:rsid w:val="007F739A"/>
    <w:rsid w:val="007F741F"/>
    <w:rsid w:val="007F78A8"/>
    <w:rsid w:val="007F78D0"/>
    <w:rsid w:val="007F7CB6"/>
    <w:rsid w:val="007F7D9D"/>
    <w:rsid w:val="007F7DC5"/>
    <w:rsid w:val="008000E9"/>
    <w:rsid w:val="008002B6"/>
    <w:rsid w:val="0080030A"/>
    <w:rsid w:val="008006AB"/>
    <w:rsid w:val="0080098C"/>
    <w:rsid w:val="00800F9D"/>
    <w:rsid w:val="0080136A"/>
    <w:rsid w:val="0080179E"/>
    <w:rsid w:val="00801844"/>
    <w:rsid w:val="00801B41"/>
    <w:rsid w:val="00801B5C"/>
    <w:rsid w:val="00801C10"/>
    <w:rsid w:val="00801CB7"/>
    <w:rsid w:val="0080200F"/>
    <w:rsid w:val="008020C2"/>
    <w:rsid w:val="008020EC"/>
    <w:rsid w:val="0080238D"/>
    <w:rsid w:val="00802503"/>
    <w:rsid w:val="00802699"/>
    <w:rsid w:val="00802768"/>
    <w:rsid w:val="008027C1"/>
    <w:rsid w:val="00802A5F"/>
    <w:rsid w:val="00802B57"/>
    <w:rsid w:val="00802B60"/>
    <w:rsid w:val="00802B81"/>
    <w:rsid w:val="00802C73"/>
    <w:rsid w:val="00802D91"/>
    <w:rsid w:val="00802DC8"/>
    <w:rsid w:val="00802F06"/>
    <w:rsid w:val="00802F36"/>
    <w:rsid w:val="00802F40"/>
    <w:rsid w:val="00803155"/>
    <w:rsid w:val="0080343A"/>
    <w:rsid w:val="008034B3"/>
    <w:rsid w:val="00803771"/>
    <w:rsid w:val="0080381E"/>
    <w:rsid w:val="00803938"/>
    <w:rsid w:val="00803C9F"/>
    <w:rsid w:val="00803E6A"/>
    <w:rsid w:val="0080413F"/>
    <w:rsid w:val="00804307"/>
    <w:rsid w:val="00804334"/>
    <w:rsid w:val="008046FD"/>
    <w:rsid w:val="0080474B"/>
    <w:rsid w:val="0080479C"/>
    <w:rsid w:val="00804875"/>
    <w:rsid w:val="00804C87"/>
    <w:rsid w:val="00804E10"/>
    <w:rsid w:val="00804FFE"/>
    <w:rsid w:val="0080503F"/>
    <w:rsid w:val="00805137"/>
    <w:rsid w:val="0080535E"/>
    <w:rsid w:val="008053A5"/>
    <w:rsid w:val="008054CE"/>
    <w:rsid w:val="008058E3"/>
    <w:rsid w:val="00805951"/>
    <w:rsid w:val="00805A91"/>
    <w:rsid w:val="00805BE9"/>
    <w:rsid w:val="00805D7F"/>
    <w:rsid w:val="00805F3E"/>
    <w:rsid w:val="00805FEB"/>
    <w:rsid w:val="0080609F"/>
    <w:rsid w:val="00806305"/>
    <w:rsid w:val="00806AA3"/>
    <w:rsid w:val="00806E67"/>
    <w:rsid w:val="00806FD4"/>
    <w:rsid w:val="008075BB"/>
    <w:rsid w:val="008078F2"/>
    <w:rsid w:val="00807C86"/>
    <w:rsid w:val="00807CD4"/>
    <w:rsid w:val="00807FD7"/>
    <w:rsid w:val="00810567"/>
    <w:rsid w:val="00810A91"/>
    <w:rsid w:val="00810C29"/>
    <w:rsid w:val="00810E87"/>
    <w:rsid w:val="00811492"/>
    <w:rsid w:val="008114C9"/>
    <w:rsid w:val="00811DA0"/>
    <w:rsid w:val="008122DD"/>
    <w:rsid w:val="008123AB"/>
    <w:rsid w:val="008124CB"/>
    <w:rsid w:val="00812539"/>
    <w:rsid w:val="008126F4"/>
    <w:rsid w:val="008128E7"/>
    <w:rsid w:val="0081290F"/>
    <w:rsid w:val="00812D64"/>
    <w:rsid w:val="00812DB3"/>
    <w:rsid w:val="00812ED0"/>
    <w:rsid w:val="00812F08"/>
    <w:rsid w:val="00812F29"/>
    <w:rsid w:val="00812F96"/>
    <w:rsid w:val="0081311F"/>
    <w:rsid w:val="00813122"/>
    <w:rsid w:val="0081358F"/>
    <w:rsid w:val="0081380A"/>
    <w:rsid w:val="008139C0"/>
    <w:rsid w:val="00813B06"/>
    <w:rsid w:val="00813C7D"/>
    <w:rsid w:val="008140F9"/>
    <w:rsid w:val="00814165"/>
    <w:rsid w:val="008149FF"/>
    <w:rsid w:val="00814FD0"/>
    <w:rsid w:val="00815276"/>
    <w:rsid w:val="008152ED"/>
    <w:rsid w:val="008154BA"/>
    <w:rsid w:val="008155E6"/>
    <w:rsid w:val="0081586A"/>
    <w:rsid w:val="008158EC"/>
    <w:rsid w:val="00815CDC"/>
    <w:rsid w:val="00815D56"/>
    <w:rsid w:val="00815D7E"/>
    <w:rsid w:val="00815DD2"/>
    <w:rsid w:val="00815E08"/>
    <w:rsid w:val="00816126"/>
    <w:rsid w:val="0081612C"/>
    <w:rsid w:val="00816368"/>
    <w:rsid w:val="008165CE"/>
    <w:rsid w:val="008165D5"/>
    <w:rsid w:val="008165EB"/>
    <w:rsid w:val="00816636"/>
    <w:rsid w:val="00816745"/>
    <w:rsid w:val="00816AC5"/>
    <w:rsid w:val="00816C66"/>
    <w:rsid w:val="00816C8C"/>
    <w:rsid w:val="00816E01"/>
    <w:rsid w:val="00816EB2"/>
    <w:rsid w:val="00816FEB"/>
    <w:rsid w:val="0081747C"/>
    <w:rsid w:val="00817591"/>
    <w:rsid w:val="0081773F"/>
    <w:rsid w:val="008178ED"/>
    <w:rsid w:val="00817B70"/>
    <w:rsid w:val="00817CD5"/>
    <w:rsid w:val="00817F1B"/>
    <w:rsid w:val="00820331"/>
    <w:rsid w:val="008204FB"/>
    <w:rsid w:val="0082059C"/>
    <w:rsid w:val="00820932"/>
    <w:rsid w:val="0082093E"/>
    <w:rsid w:val="00820BE9"/>
    <w:rsid w:val="00820DE9"/>
    <w:rsid w:val="00820E59"/>
    <w:rsid w:val="00821158"/>
    <w:rsid w:val="008211E3"/>
    <w:rsid w:val="008214FD"/>
    <w:rsid w:val="00821612"/>
    <w:rsid w:val="008219F0"/>
    <w:rsid w:val="00822158"/>
    <w:rsid w:val="008222C5"/>
    <w:rsid w:val="00822411"/>
    <w:rsid w:val="00822610"/>
    <w:rsid w:val="008226FE"/>
    <w:rsid w:val="008227A5"/>
    <w:rsid w:val="00822976"/>
    <w:rsid w:val="00822BF6"/>
    <w:rsid w:val="00822DDC"/>
    <w:rsid w:val="00823153"/>
    <w:rsid w:val="00823963"/>
    <w:rsid w:val="00823C20"/>
    <w:rsid w:val="00823CC7"/>
    <w:rsid w:val="00823E4D"/>
    <w:rsid w:val="00823F0F"/>
    <w:rsid w:val="00823FAC"/>
    <w:rsid w:val="00823FFC"/>
    <w:rsid w:val="008240A6"/>
    <w:rsid w:val="00824149"/>
    <w:rsid w:val="00824397"/>
    <w:rsid w:val="00824691"/>
    <w:rsid w:val="00824779"/>
    <w:rsid w:val="008247DD"/>
    <w:rsid w:val="00824837"/>
    <w:rsid w:val="00824A33"/>
    <w:rsid w:val="008252DA"/>
    <w:rsid w:val="00825554"/>
    <w:rsid w:val="00825660"/>
    <w:rsid w:val="00825B08"/>
    <w:rsid w:val="00825BCB"/>
    <w:rsid w:val="00825BD3"/>
    <w:rsid w:val="00825EEA"/>
    <w:rsid w:val="00825FE8"/>
    <w:rsid w:val="008261B1"/>
    <w:rsid w:val="00826349"/>
    <w:rsid w:val="00826563"/>
    <w:rsid w:val="0082659F"/>
    <w:rsid w:val="008266CD"/>
    <w:rsid w:val="008267C6"/>
    <w:rsid w:val="00826CD5"/>
    <w:rsid w:val="008271FF"/>
    <w:rsid w:val="0082721C"/>
    <w:rsid w:val="0082721F"/>
    <w:rsid w:val="008273A1"/>
    <w:rsid w:val="00827918"/>
    <w:rsid w:val="00827A97"/>
    <w:rsid w:val="00827B83"/>
    <w:rsid w:val="00827CFF"/>
    <w:rsid w:val="0083000D"/>
    <w:rsid w:val="00830296"/>
    <w:rsid w:val="00830439"/>
    <w:rsid w:val="008305EA"/>
    <w:rsid w:val="008305F3"/>
    <w:rsid w:val="008307B8"/>
    <w:rsid w:val="00830871"/>
    <w:rsid w:val="0083088B"/>
    <w:rsid w:val="00830EB9"/>
    <w:rsid w:val="00830EC5"/>
    <w:rsid w:val="0083122B"/>
    <w:rsid w:val="0083123C"/>
    <w:rsid w:val="00831264"/>
    <w:rsid w:val="008312C8"/>
    <w:rsid w:val="00831310"/>
    <w:rsid w:val="00831487"/>
    <w:rsid w:val="008319C0"/>
    <w:rsid w:val="00831A04"/>
    <w:rsid w:val="00831A09"/>
    <w:rsid w:val="00831DA4"/>
    <w:rsid w:val="00831DAE"/>
    <w:rsid w:val="0083205A"/>
    <w:rsid w:val="0083239B"/>
    <w:rsid w:val="0083247A"/>
    <w:rsid w:val="0083254B"/>
    <w:rsid w:val="00832890"/>
    <w:rsid w:val="008328AA"/>
    <w:rsid w:val="008329BF"/>
    <w:rsid w:val="00832CAD"/>
    <w:rsid w:val="00832CCE"/>
    <w:rsid w:val="0083310F"/>
    <w:rsid w:val="0083349D"/>
    <w:rsid w:val="00833522"/>
    <w:rsid w:val="00833770"/>
    <w:rsid w:val="008337BE"/>
    <w:rsid w:val="00833A85"/>
    <w:rsid w:val="00833F4E"/>
    <w:rsid w:val="00833F73"/>
    <w:rsid w:val="00833FBB"/>
    <w:rsid w:val="00833FD1"/>
    <w:rsid w:val="00834106"/>
    <w:rsid w:val="008342F6"/>
    <w:rsid w:val="0083432D"/>
    <w:rsid w:val="00834706"/>
    <w:rsid w:val="0083474C"/>
    <w:rsid w:val="0083499B"/>
    <w:rsid w:val="00834A3D"/>
    <w:rsid w:val="00834B04"/>
    <w:rsid w:val="00834C6D"/>
    <w:rsid w:val="00834E39"/>
    <w:rsid w:val="00834F8A"/>
    <w:rsid w:val="00835017"/>
    <w:rsid w:val="008350FF"/>
    <w:rsid w:val="00835429"/>
    <w:rsid w:val="00835458"/>
    <w:rsid w:val="008354B2"/>
    <w:rsid w:val="008356EE"/>
    <w:rsid w:val="008358BC"/>
    <w:rsid w:val="00835AE7"/>
    <w:rsid w:val="00835BF7"/>
    <w:rsid w:val="00835DD9"/>
    <w:rsid w:val="0083633C"/>
    <w:rsid w:val="0083647C"/>
    <w:rsid w:val="008364D5"/>
    <w:rsid w:val="00836879"/>
    <w:rsid w:val="00836A93"/>
    <w:rsid w:val="00836ADE"/>
    <w:rsid w:val="00837047"/>
    <w:rsid w:val="008376B8"/>
    <w:rsid w:val="00837AFB"/>
    <w:rsid w:val="00837B58"/>
    <w:rsid w:val="00837C13"/>
    <w:rsid w:val="00837C8C"/>
    <w:rsid w:val="00837DDC"/>
    <w:rsid w:val="00837E01"/>
    <w:rsid w:val="0084024A"/>
    <w:rsid w:val="00840284"/>
    <w:rsid w:val="0084042B"/>
    <w:rsid w:val="00840495"/>
    <w:rsid w:val="0084059F"/>
    <w:rsid w:val="00840751"/>
    <w:rsid w:val="008407DF"/>
    <w:rsid w:val="00840A85"/>
    <w:rsid w:val="00840D1C"/>
    <w:rsid w:val="00840EF9"/>
    <w:rsid w:val="00840FFA"/>
    <w:rsid w:val="008411F5"/>
    <w:rsid w:val="008412D0"/>
    <w:rsid w:val="008413E3"/>
    <w:rsid w:val="008414D5"/>
    <w:rsid w:val="0084161F"/>
    <w:rsid w:val="0084181D"/>
    <w:rsid w:val="00841998"/>
    <w:rsid w:val="00841A30"/>
    <w:rsid w:val="00841C2A"/>
    <w:rsid w:val="00841DF9"/>
    <w:rsid w:val="00841FEB"/>
    <w:rsid w:val="00842056"/>
    <w:rsid w:val="008422A5"/>
    <w:rsid w:val="008425AE"/>
    <w:rsid w:val="0084262B"/>
    <w:rsid w:val="008427DA"/>
    <w:rsid w:val="00842ABB"/>
    <w:rsid w:val="00842B55"/>
    <w:rsid w:val="00842EDB"/>
    <w:rsid w:val="0084308B"/>
    <w:rsid w:val="008434E7"/>
    <w:rsid w:val="0084358C"/>
    <w:rsid w:val="00843621"/>
    <w:rsid w:val="008438FF"/>
    <w:rsid w:val="00843B70"/>
    <w:rsid w:val="00843C78"/>
    <w:rsid w:val="00843CD0"/>
    <w:rsid w:val="00843DCB"/>
    <w:rsid w:val="00843E28"/>
    <w:rsid w:val="00843E8C"/>
    <w:rsid w:val="00843F4F"/>
    <w:rsid w:val="00843F73"/>
    <w:rsid w:val="0084431D"/>
    <w:rsid w:val="00844357"/>
    <w:rsid w:val="008443ED"/>
    <w:rsid w:val="00844479"/>
    <w:rsid w:val="008445CA"/>
    <w:rsid w:val="008445F4"/>
    <w:rsid w:val="008447B0"/>
    <w:rsid w:val="008450D0"/>
    <w:rsid w:val="00845200"/>
    <w:rsid w:val="0084543B"/>
    <w:rsid w:val="008457E5"/>
    <w:rsid w:val="00845AD3"/>
    <w:rsid w:val="00845B92"/>
    <w:rsid w:val="00845BD6"/>
    <w:rsid w:val="00845D63"/>
    <w:rsid w:val="00846234"/>
    <w:rsid w:val="008462DB"/>
    <w:rsid w:val="00846387"/>
    <w:rsid w:val="008466F2"/>
    <w:rsid w:val="00846894"/>
    <w:rsid w:val="00846920"/>
    <w:rsid w:val="008469C3"/>
    <w:rsid w:val="00846DF5"/>
    <w:rsid w:val="00846EB7"/>
    <w:rsid w:val="00846EC2"/>
    <w:rsid w:val="0084736F"/>
    <w:rsid w:val="00847401"/>
    <w:rsid w:val="008475CF"/>
    <w:rsid w:val="00847663"/>
    <w:rsid w:val="0084770C"/>
    <w:rsid w:val="00847716"/>
    <w:rsid w:val="00847794"/>
    <w:rsid w:val="0084785F"/>
    <w:rsid w:val="00847D73"/>
    <w:rsid w:val="00847DAE"/>
    <w:rsid w:val="00847FBF"/>
    <w:rsid w:val="00847FE3"/>
    <w:rsid w:val="00850212"/>
    <w:rsid w:val="00850307"/>
    <w:rsid w:val="00850452"/>
    <w:rsid w:val="00850927"/>
    <w:rsid w:val="00850B14"/>
    <w:rsid w:val="008511A7"/>
    <w:rsid w:val="0085124F"/>
    <w:rsid w:val="008512AF"/>
    <w:rsid w:val="0085156D"/>
    <w:rsid w:val="008516FC"/>
    <w:rsid w:val="0085180A"/>
    <w:rsid w:val="00851943"/>
    <w:rsid w:val="00851A4A"/>
    <w:rsid w:val="0085221E"/>
    <w:rsid w:val="00852464"/>
    <w:rsid w:val="008524C1"/>
    <w:rsid w:val="0085268C"/>
    <w:rsid w:val="008526D3"/>
    <w:rsid w:val="0085275E"/>
    <w:rsid w:val="00852AA0"/>
    <w:rsid w:val="00852C08"/>
    <w:rsid w:val="00852FA8"/>
    <w:rsid w:val="0085363E"/>
    <w:rsid w:val="00853781"/>
    <w:rsid w:val="00853C27"/>
    <w:rsid w:val="00853D37"/>
    <w:rsid w:val="00854065"/>
    <w:rsid w:val="0085419F"/>
    <w:rsid w:val="0085457F"/>
    <w:rsid w:val="008547D2"/>
    <w:rsid w:val="00854834"/>
    <w:rsid w:val="00854D1F"/>
    <w:rsid w:val="0085501D"/>
    <w:rsid w:val="00855030"/>
    <w:rsid w:val="00855096"/>
    <w:rsid w:val="008552D9"/>
    <w:rsid w:val="00855446"/>
    <w:rsid w:val="0085573E"/>
    <w:rsid w:val="00855810"/>
    <w:rsid w:val="00855A7E"/>
    <w:rsid w:val="00855B13"/>
    <w:rsid w:val="00855C1C"/>
    <w:rsid w:val="00855C45"/>
    <w:rsid w:val="00855FE7"/>
    <w:rsid w:val="00856081"/>
    <w:rsid w:val="00856246"/>
    <w:rsid w:val="0085636D"/>
    <w:rsid w:val="008563DA"/>
    <w:rsid w:val="0085665E"/>
    <w:rsid w:val="008567A8"/>
    <w:rsid w:val="0085685D"/>
    <w:rsid w:val="00856AED"/>
    <w:rsid w:val="00856BDE"/>
    <w:rsid w:val="00856CB7"/>
    <w:rsid w:val="00856DD5"/>
    <w:rsid w:val="00856F38"/>
    <w:rsid w:val="00856FAB"/>
    <w:rsid w:val="00857193"/>
    <w:rsid w:val="008571B7"/>
    <w:rsid w:val="0085722B"/>
    <w:rsid w:val="00857469"/>
    <w:rsid w:val="00857484"/>
    <w:rsid w:val="0085756A"/>
    <w:rsid w:val="008577CD"/>
    <w:rsid w:val="008579AB"/>
    <w:rsid w:val="00857B65"/>
    <w:rsid w:val="00857CDF"/>
    <w:rsid w:val="00857D2E"/>
    <w:rsid w:val="00857E3F"/>
    <w:rsid w:val="00857FA3"/>
    <w:rsid w:val="008603A7"/>
    <w:rsid w:val="0086040F"/>
    <w:rsid w:val="008604D4"/>
    <w:rsid w:val="00860998"/>
    <w:rsid w:val="00860D9B"/>
    <w:rsid w:val="00860FCE"/>
    <w:rsid w:val="0086101B"/>
    <w:rsid w:val="008610B9"/>
    <w:rsid w:val="008610BE"/>
    <w:rsid w:val="008610D1"/>
    <w:rsid w:val="008610D3"/>
    <w:rsid w:val="0086148B"/>
    <w:rsid w:val="008615B9"/>
    <w:rsid w:val="0086163C"/>
    <w:rsid w:val="008616CC"/>
    <w:rsid w:val="00861701"/>
    <w:rsid w:val="0086193E"/>
    <w:rsid w:val="00861F23"/>
    <w:rsid w:val="008620D7"/>
    <w:rsid w:val="008629E7"/>
    <w:rsid w:val="00862B1C"/>
    <w:rsid w:val="00862B60"/>
    <w:rsid w:val="00862C7F"/>
    <w:rsid w:val="0086317C"/>
    <w:rsid w:val="008631D2"/>
    <w:rsid w:val="00863224"/>
    <w:rsid w:val="008632CD"/>
    <w:rsid w:val="00863673"/>
    <w:rsid w:val="00863758"/>
    <w:rsid w:val="00863826"/>
    <w:rsid w:val="00863A3A"/>
    <w:rsid w:val="00863AF3"/>
    <w:rsid w:val="00863B48"/>
    <w:rsid w:val="00863C4A"/>
    <w:rsid w:val="00863E67"/>
    <w:rsid w:val="0086410D"/>
    <w:rsid w:val="0086441E"/>
    <w:rsid w:val="00864AB4"/>
    <w:rsid w:val="00864B08"/>
    <w:rsid w:val="00864BEF"/>
    <w:rsid w:val="00864C4A"/>
    <w:rsid w:val="00864EAA"/>
    <w:rsid w:val="008650B2"/>
    <w:rsid w:val="0086511B"/>
    <w:rsid w:val="00865439"/>
    <w:rsid w:val="00865496"/>
    <w:rsid w:val="0086572E"/>
    <w:rsid w:val="008657AB"/>
    <w:rsid w:val="0086583C"/>
    <w:rsid w:val="00865D1B"/>
    <w:rsid w:val="00865F9C"/>
    <w:rsid w:val="00865FF4"/>
    <w:rsid w:val="008660D4"/>
    <w:rsid w:val="008661ED"/>
    <w:rsid w:val="00866329"/>
    <w:rsid w:val="00866898"/>
    <w:rsid w:val="0086696E"/>
    <w:rsid w:val="00866ADC"/>
    <w:rsid w:val="00866BBE"/>
    <w:rsid w:val="00866BC0"/>
    <w:rsid w:val="00866EC3"/>
    <w:rsid w:val="00866EF4"/>
    <w:rsid w:val="0086735F"/>
    <w:rsid w:val="00867C9F"/>
    <w:rsid w:val="008702D2"/>
    <w:rsid w:val="00870A9A"/>
    <w:rsid w:val="00870AE6"/>
    <w:rsid w:val="00870B10"/>
    <w:rsid w:val="00870C9E"/>
    <w:rsid w:val="00870CE2"/>
    <w:rsid w:val="00870CF1"/>
    <w:rsid w:val="00870D99"/>
    <w:rsid w:val="00871790"/>
    <w:rsid w:val="008717E5"/>
    <w:rsid w:val="008718BD"/>
    <w:rsid w:val="008718C8"/>
    <w:rsid w:val="00871A52"/>
    <w:rsid w:val="00871B84"/>
    <w:rsid w:val="00871C3A"/>
    <w:rsid w:val="00871C6D"/>
    <w:rsid w:val="00871D62"/>
    <w:rsid w:val="00871FB8"/>
    <w:rsid w:val="008720FE"/>
    <w:rsid w:val="00872237"/>
    <w:rsid w:val="008722E2"/>
    <w:rsid w:val="00872753"/>
    <w:rsid w:val="008728C3"/>
    <w:rsid w:val="0087297E"/>
    <w:rsid w:val="00872B78"/>
    <w:rsid w:val="00872CA7"/>
    <w:rsid w:val="00872E01"/>
    <w:rsid w:val="00872E74"/>
    <w:rsid w:val="00873201"/>
    <w:rsid w:val="00873250"/>
    <w:rsid w:val="00873AE1"/>
    <w:rsid w:val="00873C2F"/>
    <w:rsid w:val="00873FE1"/>
    <w:rsid w:val="008745D8"/>
    <w:rsid w:val="00874945"/>
    <w:rsid w:val="008749F9"/>
    <w:rsid w:val="00874A9D"/>
    <w:rsid w:val="00874BE1"/>
    <w:rsid w:val="00874D2C"/>
    <w:rsid w:val="00874E0F"/>
    <w:rsid w:val="00874E8B"/>
    <w:rsid w:val="00874F0C"/>
    <w:rsid w:val="00874F26"/>
    <w:rsid w:val="00875000"/>
    <w:rsid w:val="008750DC"/>
    <w:rsid w:val="008751AF"/>
    <w:rsid w:val="008752CC"/>
    <w:rsid w:val="008752CE"/>
    <w:rsid w:val="00875491"/>
    <w:rsid w:val="008758FF"/>
    <w:rsid w:val="0087594A"/>
    <w:rsid w:val="00875ADB"/>
    <w:rsid w:val="00875E00"/>
    <w:rsid w:val="00875F02"/>
    <w:rsid w:val="00876127"/>
    <w:rsid w:val="008762A6"/>
    <w:rsid w:val="008762DF"/>
    <w:rsid w:val="008762F8"/>
    <w:rsid w:val="008765FA"/>
    <w:rsid w:val="008766C7"/>
    <w:rsid w:val="008769F7"/>
    <w:rsid w:val="00876BB8"/>
    <w:rsid w:val="00876BD3"/>
    <w:rsid w:val="00876E33"/>
    <w:rsid w:val="00876E3A"/>
    <w:rsid w:val="00876F18"/>
    <w:rsid w:val="008770D0"/>
    <w:rsid w:val="008772BC"/>
    <w:rsid w:val="008772C7"/>
    <w:rsid w:val="008774D3"/>
    <w:rsid w:val="00877532"/>
    <w:rsid w:val="0087763F"/>
    <w:rsid w:val="00877993"/>
    <w:rsid w:val="00877DC9"/>
    <w:rsid w:val="00877E4D"/>
    <w:rsid w:val="00877E9C"/>
    <w:rsid w:val="00877EFC"/>
    <w:rsid w:val="00880017"/>
    <w:rsid w:val="008800E4"/>
    <w:rsid w:val="0088036F"/>
    <w:rsid w:val="0088043C"/>
    <w:rsid w:val="008808CC"/>
    <w:rsid w:val="00880954"/>
    <w:rsid w:val="00880AE9"/>
    <w:rsid w:val="00880B1D"/>
    <w:rsid w:val="00880DA3"/>
    <w:rsid w:val="00880DC2"/>
    <w:rsid w:val="00880E5F"/>
    <w:rsid w:val="0088134A"/>
    <w:rsid w:val="00881512"/>
    <w:rsid w:val="008818F5"/>
    <w:rsid w:val="00881969"/>
    <w:rsid w:val="00881C8C"/>
    <w:rsid w:val="00881CC0"/>
    <w:rsid w:val="00881F62"/>
    <w:rsid w:val="00882006"/>
    <w:rsid w:val="00882092"/>
    <w:rsid w:val="008823B9"/>
    <w:rsid w:val="00882487"/>
    <w:rsid w:val="00882820"/>
    <w:rsid w:val="0088289D"/>
    <w:rsid w:val="00882965"/>
    <w:rsid w:val="00882FE2"/>
    <w:rsid w:val="0088313A"/>
    <w:rsid w:val="00883387"/>
    <w:rsid w:val="0088342B"/>
    <w:rsid w:val="008835F9"/>
    <w:rsid w:val="008837C9"/>
    <w:rsid w:val="00883854"/>
    <w:rsid w:val="00883C3F"/>
    <w:rsid w:val="00883C62"/>
    <w:rsid w:val="00883CF6"/>
    <w:rsid w:val="00884207"/>
    <w:rsid w:val="00884889"/>
    <w:rsid w:val="008848E9"/>
    <w:rsid w:val="00884964"/>
    <w:rsid w:val="00884BDE"/>
    <w:rsid w:val="00884BFA"/>
    <w:rsid w:val="00884EBD"/>
    <w:rsid w:val="00885227"/>
    <w:rsid w:val="0088526E"/>
    <w:rsid w:val="00885272"/>
    <w:rsid w:val="0088533A"/>
    <w:rsid w:val="00885793"/>
    <w:rsid w:val="008858A1"/>
    <w:rsid w:val="008858D1"/>
    <w:rsid w:val="00885B1B"/>
    <w:rsid w:val="00885B8A"/>
    <w:rsid w:val="008861FF"/>
    <w:rsid w:val="00886442"/>
    <w:rsid w:val="00886A33"/>
    <w:rsid w:val="00886B30"/>
    <w:rsid w:val="00886C75"/>
    <w:rsid w:val="00886C76"/>
    <w:rsid w:val="00886DC2"/>
    <w:rsid w:val="00886FC2"/>
    <w:rsid w:val="0088741A"/>
    <w:rsid w:val="0088747F"/>
    <w:rsid w:val="0088756E"/>
    <w:rsid w:val="008876DB"/>
    <w:rsid w:val="008877D6"/>
    <w:rsid w:val="008879E3"/>
    <w:rsid w:val="00887BC3"/>
    <w:rsid w:val="00887E84"/>
    <w:rsid w:val="00887F9D"/>
    <w:rsid w:val="00890171"/>
    <w:rsid w:val="00890230"/>
    <w:rsid w:val="0089052F"/>
    <w:rsid w:val="008905E1"/>
    <w:rsid w:val="0089060D"/>
    <w:rsid w:val="008906C9"/>
    <w:rsid w:val="00890766"/>
    <w:rsid w:val="00890778"/>
    <w:rsid w:val="008908A5"/>
    <w:rsid w:val="00890921"/>
    <w:rsid w:val="0089095F"/>
    <w:rsid w:val="00890D3D"/>
    <w:rsid w:val="0089130F"/>
    <w:rsid w:val="008913CC"/>
    <w:rsid w:val="008917F5"/>
    <w:rsid w:val="00891956"/>
    <w:rsid w:val="00891D10"/>
    <w:rsid w:val="008920C3"/>
    <w:rsid w:val="00892540"/>
    <w:rsid w:val="008925F5"/>
    <w:rsid w:val="00892673"/>
    <w:rsid w:val="008927BC"/>
    <w:rsid w:val="008927F5"/>
    <w:rsid w:val="00892945"/>
    <w:rsid w:val="00892C90"/>
    <w:rsid w:val="00892E77"/>
    <w:rsid w:val="008930E0"/>
    <w:rsid w:val="0089351F"/>
    <w:rsid w:val="008935A4"/>
    <w:rsid w:val="00893767"/>
    <w:rsid w:val="008937EF"/>
    <w:rsid w:val="0089399D"/>
    <w:rsid w:val="008939B7"/>
    <w:rsid w:val="00893B9A"/>
    <w:rsid w:val="00894060"/>
    <w:rsid w:val="00894433"/>
    <w:rsid w:val="00894776"/>
    <w:rsid w:val="00894A6B"/>
    <w:rsid w:val="00894B86"/>
    <w:rsid w:val="00894BC5"/>
    <w:rsid w:val="00894D7A"/>
    <w:rsid w:val="008950CF"/>
    <w:rsid w:val="008953B6"/>
    <w:rsid w:val="008954B5"/>
    <w:rsid w:val="0089583F"/>
    <w:rsid w:val="008959B0"/>
    <w:rsid w:val="00895AE3"/>
    <w:rsid w:val="00895AF1"/>
    <w:rsid w:val="00895C89"/>
    <w:rsid w:val="00895C98"/>
    <w:rsid w:val="00895EB0"/>
    <w:rsid w:val="00895F87"/>
    <w:rsid w:val="00895FB7"/>
    <w:rsid w:val="008961CF"/>
    <w:rsid w:val="008963B4"/>
    <w:rsid w:val="0089647B"/>
    <w:rsid w:val="00896495"/>
    <w:rsid w:val="00896825"/>
    <w:rsid w:val="0089689B"/>
    <w:rsid w:val="00896AD2"/>
    <w:rsid w:val="00896BDB"/>
    <w:rsid w:val="00896D3A"/>
    <w:rsid w:val="00896D91"/>
    <w:rsid w:val="00896FAD"/>
    <w:rsid w:val="00896FF4"/>
    <w:rsid w:val="00897068"/>
    <w:rsid w:val="008973FE"/>
    <w:rsid w:val="0089762D"/>
    <w:rsid w:val="00897739"/>
    <w:rsid w:val="00897812"/>
    <w:rsid w:val="008979BF"/>
    <w:rsid w:val="00897AAD"/>
    <w:rsid w:val="00897BC6"/>
    <w:rsid w:val="00897C33"/>
    <w:rsid w:val="00897CA3"/>
    <w:rsid w:val="00897DE4"/>
    <w:rsid w:val="00897ED9"/>
    <w:rsid w:val="00897F28"/>
    <w:rsid w:val="00897F5E"/>
    <w:rsid w:val="008A00C4"/>
    <w:rsid w:val="008A0279"/>
    <w:rsid w:val="008A0778"/>
    <w:rsid w:val="008A0873"/>
    <w:rsid w:val="008A089F"/>
    <w:rsid w:val="008A0A9E"/>
    <w:rsid w:val="008A0B20"/>
    <w:rsid w:val="008A0B23"/>
    <w:rsid w:val="008A0D42"/>
    <w:rsid w:val="008A109A"/>
    <w:rsid w:val="008A10E3"/>
    <w:rsid w:val="008A1156"/>
    <w:rsid w:val="008A1843"/>
    <w:rsid w:val="008A1AF3"/>
    <w:rsid w:val="008A1C6E"/>
    <w:rsid w:val="008A1CE3"/>
    <w:rsid w:val="008A1E32"/>
    <w:rsid w:val="008A1F16"/>
    <w:rsid w:val="008A1F76"/>
    <w:rsid w:val="008A2126"/>
    <w:rsid w:val="008A2187"/>
    <w:rsid w:val="008A21EF"/>
    <w:rsid w:val="008A23C3"/>
    <w:rsid w:val="008A24C5"/>
    <w:rsid w:val="008A2A9E"/>
    <w:rsid w:val="008A2AD2"/>
    <w:rsid w:val="008A2D43"/>
    <w:rsid w:val="008A301B"/>
    <w:rsid w:val="008A304F"/>
    <w:rsid w:val="008A30BC"/>
    <w:rsid w:val="008A325E"/>
    <w:rsid w:val="008A3460"/>
    <w:rsid w:val="008A34C1"/>
    <w:rsid w:val="008A3550"/>
    <w:rsid w:val="008A3566"/>
    <w:rsid w:val="008A36E1"/>
    <w:rsid w:val="008A3720"/>
    <w:rsid w:val="008A376C"/>
    <w:rsid w:val="008A3C1E"/>
    <w:rsid w:val="008A4182"/>
    <w:rsid w:val="008A4203"/>
    <w:rsid w:val="008A4533"/>
    <w:rsid w:val="008A45D4"/>
    <w:rsid w:val="008A45E5"/>
    <w:rsid w:val="008A4A83"/>
    <w:rsid w:val="008A4BF7"/>
    <w:rsid w:val="008A4D24"/>
    <w:rsid w:val="008A4FF3"/>
    <w:rsid w:val="008A5265"/>
    <w:rsid w:val="008A52B1"/>
    <w:rsid w:val="008A52B6"/>
    <w:rsid w:val="008A5571"/>
    <w:rsid w:val="008A56C2"/>
    <w:rsid w:val="008A57B3"/>
    <w:rsid w:val="008A57C8"/>
    <w:rsid w:val="008A5821"/>
    <w:rsid w:val="008A5858"/>
    <w:rsid w:val="008A5928"/>
    <w:rsid w:val="008A59ED"/>
    <w:rsid w:val="008A5B4F"/>
    <w:rsid w:val="008A5B58"/>
    <w:rsid w:val="008A5E11"/>
    <w:rsid w:val="008A6171"/>
    <w:rsid w:val="008A625B"/>
    <w:rsid w:val="008A63DD"/>
    <w:rsid w:val="008A6488"/>
    <w:rsid w:val="008A6881"/>
    <w:rsid w:val="008A6889"/>
    <w:rsid w:val="008A69C8"/>
    <w:rsid w:val="008A6EB8"/>
    <w:rsid w:val="008A7160"/>
    <w:rsid w:val="008A718D"/>
    <w:rsid w:val="008A753F"/>
    <w:rsid w:val="008A76BD"/>
    <w:rsid w:val="008A77E2"/>
    <w:rsid w:val="008A7980"/>
    <w:rsid w:val="008A7B70"/>
    <w:rsid w:val="008A7B83"/>
    <w:rsid w:val="008A7FCB"/>
    <w:rsid w:val="008B0184"/>
    <w:rsid w:val="008B0258"/>
    <w:rsid w:val="008B02FC"/>
    <w:rsid w:val="008B0534"/>
    <w:rsid w:val="008B0653"/>
    <w:rsid w:val="008B07F1"/>
    <w:rsid w:val="008B0896"/>
    <w:rsid w:val="008B08C0"/>
    <w:rsid w:val="008B097E"/>
    <w:rsid w:val="008B0A46"/>
    <w:rsid w:val="008B0A74"/>
    <w:rsid w:val="008B0FA2"/>
    <w:rsid w:val="008B117A"/>
    <w:rsid w:val="008B12D4"/>
    <w:rsid w:val="008B1508"/>
    <w:rsid w:val="008B1837"/>
    <w:rsid w:val="008B191C"/>
    <w:rsid w:val="008B197A"/>
    <w:rsid w:val="008B1D6B"/>
    <w:rsid w:val="008B1E24"/>
    <w:rsid w:val="008B2122"/>
    <w:rsid w:val="008B2276"/>
    <w:rsid w:val="008B22D5"/>
    <w:rsid w:val="008B239B"/>
    <w:rsid w:val="008B243F"/>
    <w:rsid w:val="008B2635"/>
    <w:rsid w:val="008B2765"/>
    <w:rsid w:val="008B27F0"/>
    <w:rsid w:val="008B2862"/>
    <w:rsid w:val="008B2AA4"/>
    <w:rsid w:val="008B2C4C"/>
    <w:rsid w:val="008B2C57"/>
    <w:rsid w:val="008B3087"/>
    <w:rsid w:val="008B3136"/>
    <w:rsid w:val="008B31C1"/>
    <w:rsid w:val="008B34BE"/>
    <w:rsid w:val="008B38C0"/>
    <w:rsid w:val="008B391C"/>
    <w:rsid w:val="008B39AB"/>
    <w:rsid w:val="008B3B18"/>
    <w:rsid w:val="008B4318"/>
    <w:rsid w:val="008B44EE"/>
    <w:rsid w:val="008B46D1"/>
    <w:rsid w:val="008B51E3"/>
    <w:rsid w:val="008B52C4"/>
    <w:rsid w:val="008B5758"/>
    <w:rsid w:val="008B57C4"/>
    <w:rsid w:val="008B5B3D"/>
    <w:rsid w:val="008B5B5E"/>
    <w:rsid w:val="008B5BBC"/>
    <w:rsid w:val="008B5BFF"/>
    <w:rsid w:val="008B6024"/>
    <w:rsid w:val="008B613D"/>
    <w:rsid w:val="008B660B"/>
    <w:rsid w:val="008B6CAF"/>
    <w:rsid w:val="008B6F2A"/>
    <w:rsid w:val="008B735B"/>
    <w:rsid w:val="008B7540"/>
    <w:rsid w:val="008B758B"/>
    <w:rsid w:val="008B7AE7"/>
    <w:rsid w:val="008B7CBD"/>
    <w:rsid w:val="008B7D3F"/>
    <w:rsid w:val="008B7F70"/>
    <w:rsid w:val="008C0087"/>
    <w:rsid w:val="008C07C4"/>
    <w:rsid w:val="008C0835"/>
    <w:rsid w:val="008C0A3E"/>
    <w:rsid w:val="008C0CA9"/>
    <w:rsid w:val="008C0E57"/>
    <w:rsid w:val="008C0F15"/>
    <w:rsid w:val="008C0F1E"/>
    <w:rsid w:val="008C0F77"/>
    <w:rsid w:val="008C11BC"/>
    <w:rsid w:val="008C14A9"/>
    <w:rsid w:val="008C1603"/>
    <w:rsid w:val="008C16B0"/>
    <w:rsid w:val="008C1927"/>
    <w:rsid w:val="008C19EB"/>
    <w:rsid w:val="008C1B08"/>
    <w:rsid w:val="008C1BC4"/>
    <w:rsid w:val="008C2040"/>
    <w:rsid w:val="008C220F"/>
    <w:rsid w:val="008C2297"/>
    <w:rsid w:val="008C242C"/>
    <w:rsid w:val="008C254A"/>
    <w:rsid w:val="008C25C6"/>
    <w:rsid w:val="008C25CC"/>
    <w:rsid w:val="008C25F5"/>
    <w:rsid w:val="008C2708"/>
    <w:rsid w:val="008C298C"/>
    <w:rsid w:val="008C2B00"/>
    <w:rsid w:val="008C2CDB"/>
    <w:rsid w:val="008C2CEE"/>
    <w:rsid w:val="008C2F52"/>
    <w:rsid w:val="008C3286"/>
    <w:rsid w:val="008C3322"/>
    <w:rsid w:val="008C3505"/>
    <w:rsid w:val="008C3585"/>
    <w:rsid w:val="008C36F3"/>
    <w:rsid w:val="008C393B"/>
    <w:rsid w:val="008C39E1"/>
    <w:rsid w:val="008C3B1A"/>
    <w:rsid w:val="008C3D4B"/>
    <w:rsid w:val="008C40C3"/>
    <w:rsid w:val="008C4446"/>
    <w:rsid w:val="008C44C1"/>
    <w:rsid w:val="008C4714"/>
    <w:rsid w:val="008C49F8"/>
    <w:rsid w:val="008C5346"/>
    <w:rsid w:val="008C53B9"/>
    <w:rsid w:val="008C555D"/>
    <w:rsid w:val="008C5695"/>
    <w:rsid w:val="008C56F9"/>
    <w:rsid w:val="008C5705"/>
    <w:rsid w:val="008C5738"/>
    <w:rsid w:val="008C5748"/>
    <w:rsid w:val="008C58AE"/>
    <w:rsid w:val="008C596D"/>
    <w:rsid w:val="008C5AFF"/>
    <w:rsid w:val="008C5F0D"/>
    <w:rsid w:val="008C6099"/>
    <w:rsid w:val="008C639A"/>
    <w:rsid w:val="008C664D"/>
    <w:rsid w:val="008C688F"/>
    <w:rsid w:val="008C6A20"/>
    <w:rsid w:val="008C7436"/>
    <w:rsid w:val="008C778E"/>
    <w:rsid w:val="008C7B5A"/>
    <w:rsid w:val="008C7BE5"/>
    <w:rsid w:val="008C7C52"/>
    <w:rsid w:val="008C7F0B"/>
    <w:rsid w:val="008D0175"/>
    <w:rsid w:val="008D01ED"/>
    <w:rsid w:val="008D03A6"/>
    <w:rsid w:val="008D0401"/>
    <w:rsid w:val="008D04F0"/>
    <w:rsid w:val="008D062C"/>
    <w:rsid w:val="008D07B4"/>
    <w:rsid w:val="008D08F0"/>
    <w:rsid w:val="008D0ABD"/>
    <w:rsid w:val="008D0AD1"/>
    <w:rsid w:val="008D0D5E"/>
    <w:rsid w:val="008D1040"/>
    <w:rsid w:val="008D11D7"/>
    <w:rsid w:val="008D1456"/>
    <w:rsid w:val="008D1AD1"/>
    <w:rsid w:val="008D1BC4"/>
    <w:rsid w:val="008D1C0E"/>
    <w:rsid w:val="008D1D36"/>
    <w:rsid w:val="008D1E53"/>
    <w:rsid w:val="008D2087"/>
    <w:rsid w:val="008D217A"/>
    <w:rsid w:val="008D21A5"/>
    <w:rsid w:val="008D2266"/>
    <w:rsid w:val="008D226D"/>
    <w:rsid w:val="008D2330"/>
    <w:rsid w:val="008D25D9"/>
    <w:rsid w:val="008D2728"/>
    <w:rsid w:val="008D2781"/>
    <w:rsid w:val="008D2787"/>
    <w:rsid w:val="008D27DE"/>
    <w:rsid w:val="008D2A8F"/>
    <w:rsid w:val="008D2D5E"/>
    <w:rsid w:val="008D2F92"/>
    <w:rsid w:val="008D30AE"/>
    <w:rsid w:val="008D3262"/>
    <w:rsid w:val="008D333F"/>
    <w:rsid w:val="008D33AB"/>
    <w:rsid w:val="008D352D"/>
    <w:rsid w:val="008D371F"/>
    <w:rsid w:val="008D3879"/>
    <w:rsid w:val="008D38C6"/>
    <w:rsid w:val="008D3980"/>
    <w:rsid w:val="008D3AC2"/>
    <w:rsid w:val="008D3B71"/>
    <w:rsid w:val="008D3C0B"/>
    <w:rsid w:val="008D3DC4"/>
    <w:rsid w:val="008D3F73"/>
    <w:rsid w:val="008D4095"/>
    <w:rsid w:val="008D4100"/>
    <w:rsid w:val="008D4489"/>
    <w:rsid w:val="008D4577"/>
    <w:rsid w:val="008D4D61"/>
    <w:rsid w:val="008D4E20"/>
    <w:rsid w:val="008D4E8D"/>
    <w:rsid w:val="008D4E9C"/>
    <w:rsid w:val="008D4F32"/>
    <w:rsid w:val="008D511C"/>
    <w:rsid w:val="008D532A"/>
    <w:rsid w:val="008D5332"/>
    <w:rsid w:val="008D5371"/>
    <w:rsid w:val="008D5A6A"/>
    <w:rsid w:val="008D5B5A"/>
    <w:rsid w:val="008D5E41"/>
    <w:rsid w:val="008D5F14"/>
    <w:rsid w:val="008D5FEC"/>
    <w:rsid w:val="008D606B"/>
    <w:rsid w:val="008D60B2"/>
    <w:rsid w:val="008D6275"/>
    <w:rsid w:val="008D63B5"/>
    <w:rsid w:val="008D66A8"/>
    <w:rsid w:val="008D670F"/>
    <w:rsid w:val="008D6998"/>
    <w:rsid w:val="008D6DAE"/>
    <w:rsid w:val="008D6E61"/>
    <w:rsid w:val="008D6EC3"/>
    <w:rsid w:val="008D71E9"/>
    <w:rsid w:val="008D7471"/>
    <w:rsid w:val="008D7778"/>
    <w:rsid w:val="008D79C2"/>
    <w:rsid w:val="008D7C88"/>
    <w:rsid w:val="008D7DF0"/>
    <w:rsid w:val="008E003F"/>
    <w:rsid w:val="008E01CB"/>
    <w:rsid w:val="008E0363"/>
    <w:rsid w:val="008E039A"/>
    <w:rsid w:val="008E05DF"/>
    <w:rsid w:val="008E0730"/>
    <w:rsid w:val="008E07E4"/>
    <w:rsid w:val="008E08A8"/>
    <w:rsid w:val="008E08AE"/>
    <w:rsid w:val="008E097F"/>
    <w:rsid w:val="008E0ACB"/>
    <w:rsid w:val="008E0C5B"/>
    <w:rsid w:val="008E0D2B"/>
    <w:rsid w:val="008E0EE4"/>
    <w:rsid w:val="008E0F46"/>
    <w:rsid w:val="008E1018"/>
    <w:rsid w:val="008E1098"/>
    <w:rsid w:val="008E1258"/>
    <w:rsid w:val="008E13D2"/>
    <w:rsid w:val="008E186F"/>
    <w:rsid w:val="008E1A4C"/>
    <w:rsid w:val="008E1C7C"/>
    <w:rsid w:val="008E1DCD"/>
    <w:rsid w:val="008E20D3"/>
    <w:rsid w:val="008E22BA"/>
    <w:rsid w:val="008E22E9"/>
    <w:rsid w:val="008E2322"/>
    <w:rsid w:val="008E2873"/>
    <w:rsid w:val="008E290A"/>
    <w:rsid w:val="008E296F"/>
    <w:rsid w:val="008E2BBE"/>
    <w:rsid w:val="008E2C9F"/>
    <w:rsid w:val="008E2FE2"/>
    <w:rsid w:val="008E3181"/>
    <w:rsid w:val="008E3184"/>
    <w:rsid w:val="008E334A"/>
    <w:rsid w:val="008E3421"/>
    <w:rsid w:val="008E3B64"/>
    <w:rsid w:val="008E3B96"/>
    <w:rsid w:val="008E3D3C"/>
    <w:rsid w:val="008E40C5"/>
    <w:rsid w:val="008E42A6"/>
    <w:rsid w:val="008E4A17"/>
    <w:rsid w:val="008E4BF9"/>
    <w:rsid w:val="008E4D48"/>
    <w:rsid w:val="008E4DAB"/>
    <w:rsid w:val="008E4F5C"/>
    <w:rsid w:val="008E4FF4"/>
    <w:rsid w:val="008E520D"/>
    <w:rsid w:val="008E5684"/>
    <w:rsid w:val="008E5686"/>
    <w:rsid w:val="008E5690"/>
    <w:rsid w:val="008E5A21"/>
    <w:rsid w:val="008E5C49"/>
    <w:rsid w:val="008E5CFF"/>
    <w:rsid w:val="008E5DC2"/>
    <w:rsid w:val="008E5FD0"/>
    <w:rsid w:val="008E6141"/>
    <w:rsid w:val="008E61FE"/>
    <w:rsid w:val="008E6206"/>
    <w:rsid w:val="008E646A"/>
    <w:rsid w:val="008E6574"/>
    <w:rsid w:val="008E661C"/>
    <w:rsid w:val="008E66AA"/>
    <w:rsid w:val="008E66CB"/>
    <w:rsid w:val="008E6828"/>
    <w:rsid w:val="008E684C"/>
    <w:rsid w:val="008E68AB"/>
    <w:rsid w:val="008E68D5"/>
    <w:rsid w:val="008E69A2"/>
    <w:rsid w:val="008E69FC"/>
    <w:rsid w:val="008E6D34"/>
    <w:rsid w:val="008E70E8"/>
    <w:rsid w:val="008E710D"/>
    <w:rsid w:val="008E722D"/>
    <w:rsid w:val="008E73D6"/>
    <w:rsid w:val="008E741A"/>
    <w:rsid w:val="008E75A4"/>
    <w:rsid w:val="008E7616"/>
    <w:rsid w:val="008E766D"/>
    <w:rsid w:val="008E78E7"/>
    <w:rsid w:val="008E7991"/>
    <w:rsid w:val="008E7A61"/>
    <w:rsid w:val="008E7FFE"/>
    <w:rsid w:val="008F0090"/>
    <w:rsid w:val="008F07F5"/>
    <w:rsid w:val="008F0963"/>
    <w:rsid w:val="008F0BC3"/>
    <w:rsid w:val="008F0CEF"/>
    <w:rsid w:val="008F0DF1"/>
    <w:rsid w:val="008F0E90"/>
    <w:rsid w:val="008F0EB6"/>
    <w:rsid w:val="008F101A"/>
    <w:rsid w:val="008F12F7"/>
    <w:rsid w:val="008F1C7F"/>
    <w:rsid w:val="008F1E53"/>
    <w:rsid w:val="008F227E"/>
    <w:rsid w:val="008F25AA"/>
    <w:rsid w:val="008F2764"/>
    <w:rsid w:val="008F2969"/>
    <w:rsid w:val="008F29C3"/>
    <w:rsid w:val="008F29E7"/>
    <w:rsid w:val="008F2D65"/>
    <w:rsid w:val="008F2D76"/>
    <w:rsid w:val="008F2DEB"/>
    <w:rsid w:val="008F3056"/>
    <w:rsid w:val="008F3167"/>
    <w:rsid w:val="008F31A3"/>
    <w:rsid w:val="008F3415"/>
    <w:rsid w:val="008F3427"/>
    <w:rsid w:val="008F3500"/>
    <w:rsid w:val="008F35A5"/>
    <w:rsid w:val="008F3B90"/>
    <w:rsid w:val="008F3C42"/>
    <w:rsid w:val="008F3D21"/>
    <w:rsid w:val="008F3E0B"/>
    <w:rsid w:val="008F3F29"/>
    <w:rsid w:val="008F40B0"/>
    <w:rsid w:val="008F4331"/>
    <w:rsid w:val="008F43CE"/>
    <w:rsid w:val="008F43EA"/>
    <w:rsid w:val="008F4470"/>
    <w:rsid w:val="008F4D11"/>
    <w:rsid w:val="008F4E2E"/>
    <w:rsid w:val="008F525A"/>
    <w:rsid w:val="008F53B7"/>
    <w:rsid w:val="008F57E1"/>
    <w:rsid w:val="008F586D"/>
    <w:rsid w:val="008F5962"/>
    <w:rsid w:val="008F5964"/>
    <w:rsid w:val="008F5E93"/>
    <w:rsid w:val="008F5EFD"/>
    <w:rsid w:val="008F6040"/>
    <w:rsid w:val="008F629A"/>
    <w:rsid w:val="008F6401"/>
    <w:rsid w:val="008F66F7"/>
    <w:rsid w:val="008F6966"/>
    <w:rsid w:val="008F6A5B"/>
    <w:rsid w:val="008F6A9B"/>
    <w:rsid w:val="008F7097"/>
    <w:rsid w:val="008F729B"/>
    <w:rsid w:val="008F7406"/>
    <w:rsid w:val="008F75E1"/>
    <w:rsid w:val="008F76CA"/>
    <w:rsid w:val="008F781C"/>
    <w:rsid w:val="008F782A"/>
    <w:rsid w:val="008F7922"/>
    <w:rsid w:val="008F79CA"/>
    <w:rsid w:val="008F7A2D"/>
    <w:rsid w:val="008F7A4A"/>
    <w:rsid w:val="008F7F46"/>
    <w:rsid w:val="00900158"/>
    <w:rsid w:val="00900472"/>
    <w:rsid w:val="009004D6"/>
    <w:rsid w:val="009007D0"/>
    <w:rsid w:val="00900A0A"/>
    <w:rsid w:val="00900A9F"/>
    <w:rsid w:val="00900B62"/>
    <w:rsid w:val="00900DA6"/>
    <w:rsid w:val="00900F04"/>
    <w:rsid w:val="0090100B"/>
    <w:rsid w:val="009010AD"/>
    <w:rsid w:val="00901349"/>
    <w:rsid w:val="00901A32"/>
    <w:rsid w:val="00901A6B"/>
    <w:rsid w:val="00901A75"/>
    <w:rsid w:val="00901B20"/>
    <w:rsid w:val="00901B5A"/>
    <w:rsid w:val="00901C1A"/>
    <w:rsid w:val="00901DC0"/>
    <w:rsid w:val="009020EA"/>
    <w:rsid w:val="009022FB"/>
    <w:rsid w:val="009025CC"/>
    <w:rsid w:val="0090261F"/>
    <w:rsid w:val="00902A8C"/>
    <w:rsid w:val="00902CD7"/>
    <w:rsid w:val="00902E73"/>
    <w:rsid w:val="009030D8"/>
    <w:rsid w:val="0090314F"/>
    <w:rsid w:val="009034F3"/>
    <w:rsid w:val="009036F5"/>
    <w:rsid w:val="00903A90"/>
    <w:rsid w:val="00903B07"/>
    <w:rsid w:val="00904004"/>
    <w:rsid w:val="0090437D"/>
    <w:rsid w:val="009044B7"/>
    <w:rsid w:val="00904547"/>
    <w:rsid w:val="00904597"/>
    <w:rsid w:val="0090484A"/>
    <w:rsid w:val="00904C2B"/>
    <w:rsid w:val="00904C32"/>
    <w:rsid w:val="00904CBE"/>
    <w:rsid w:val="00904F34"/>
    <w:rsid w:val="00904F84"/>
    <w:rsid w:val="009050FA"/>
    <w:rsid w:val="00905567"/>
    <w:rsid w:val="009056BF"/>
    <w:rsid w:val="00905C69"/>
    <w:rsid w:val="00905F2B"/>
    <w:rsid w:val="00905FA2"/>
    <w:rsid w:val="00905FC4"/>
    <w:rsid w:val="00906013"/>
    <w:rsid w:val="009060EE"/>
    <w:rsid w:val="0090620A"/>
    <w:rsid w:val="00906294"/>
    <w:rsid w:val="009062E1"/>
    <w:rsid w:val="009062ED"/>
    <w:rsid w:val="00906486"/>
    <w:rsid w:val="00906584"/>
    <w:rsid w:val="00906653"/>
    <w:rsid w:val="009068B1"/>
    <w:rsid w:val="0090698F"/>
    <w:rsid w:val="00906A08"/>
    <w:rsid w:val="00906AA2"/>
    <w:rsid w:val="00906EA8"/>
    <w:rsid w:val="009070C8"/>
    <w:rsid w:val="00907276"/>
    <w:rsid w:val="009073FA"/>
    <w:rsid w:val="00907546"/>
    <w:rsid w:val="0090796D"/>
    <w:rsid w:val="00907A97"/>
    <w:rsid w:val="00907CFD"/>
    <w:rsid w:val="00907D1D"/>
    <w:rsid w:val="00907D20"/>
    <w:rsid w:val="00907F55"/>
    <w:rsid w:val="00910116"/>
    <w:rsid w:val="0091040A"/>
    <w:rsid w:val="009104C4"/>
    <w:rsid w:val="009105E0"/>
    <w:rsid w:val="00910702"/>
    <w:rsid w:val="009107C8"/>
    <w:rsid w:val="00910815"/>
    <w:rsid w:val="00910882"/>
    <w:rsid w:val="009108D8"/>
    <w:rsid w:val="009109B5"/>
    <w:rsid w:val="00910A69"/>
    <w:rsid w:val="00910BDB"/>
    <w:rsid w:val="00911609"/>
    <w:rsid w:val="009116D0"/>
    <w:rsid w:val="0091194D"/>
    <w:rsid w:val="009119D4"/>
    <w:rsid w:val="00911A5C"/>
    <w:rsid w:val="00911A8B"/>
    <w:rsid w:val="00911C23"/>
    <w:rsid w:val="00911C39"/>
    <w:rsid w:val="00911F34"/>
    <w:rsid w:val="0091225E"/>
    <w:rsid w:val="00912351"/>
    <w:rsid w:val="009128DD"/>
    <w:rsid w:val="00912A74"/>
    <w:rsid w:val="00912C63"/>
    <w:rsid w:val="00913157"/>
    <w:rsid w:val="00913508"/>
    <w:rsid w:val="0091362F"/>
    <w:rsid w:val="009138CC"/>
    <w:rsid w:val="00913946"/>
    <w:rsid w:val="00913A67"/>
    <w:rsid w:val="00913BE1"/>
    <w:rsid w:val="00913C7A"/>
    <w:rsid w:val="00913DED"/>
    <w:rsid w:val="009141CF"/>
    <w:rsid w:val="00914256"/>
    <w:rsid w:val="009144C0"/>
    <w:rsid w:val="00914759"/>
    <w:rsid w:val="00914837"/>
    <w:rsid w:val="00914888"/>
    <w:rsid w:val="009148E1"/>
    <w:rsid w:val="00914B0D"/>
    <w:rsid w:val="00914C77"/>
    <w:rsid w:val="00915025"/>
    <w:rsid w:val="0091529D"/>
    <w:rsid w:val="009153C9"/>
    <w:rsid w:val="00915448"/>
    <w:rsid w:val="0091591E"/>
    <w:rsid w:val="00915A81"/>
    <w:rsid w:val="00915E07"/>
    <w:rsid w:val="00915EF0"/>
    <w:rsid w:val="00915FF0"/>
    <w:rsid w:val="009161B0"/>
    <w:rsid w:val="0091644E"/>
    <w:rsid w:val="0091647F"/>
    <w:rsid w:val="009164E3"/>
    <w:rsid w:val="00916515"/>
    <w:rsid w:val="00916FA1"/>
    <w:rsid w:val="0091719B"/>
    <w:rsid w:val="00917239"/>
    <w:rsid w:val="00917400"/>
    <w:rsid w:val="009176C9"/>
    <w:rsid w:val="009177D7"/>
    <w:rsid w:val="00917821"/>
    <w:rsid w:val="00917AD0"/>
    <w:rsid w:val="00917B77"/>
    <w:rsid w:val="00917C1B"/>
    <w:rsid w:val="00917FC7"/>
    <w:rsid w:val="00917FDF"/>
    <w:rsid w:val="00920000"/>
    <w:rsid w:val="00920533"/>
    <w:rsid w:val="009206D9"/>
    <w:rsid w:val="00920978"/>
    <w:rsid w:val="00920A90"/>
    <w:rsid w:val="00920C38"/>
    <w:rsid w:val="00921282"/>
    <w:rsid w:val="00921870"/>
    <w:rsid w:val="00921871"/>
    <w:rsid w:val="00921C37"/>
    <w:rsid w:val="00921DFA"/>
    <w:rsid w:val="009223EA"/>
    <w:rsid w:val="0092248D"/>
    <w:rsid w:val="009228DD"/>
    <w:rsid w:val="009229A0"/>
    <w:rsid w:val="00922B50"/>
    <w:rsid w:val="00922C81"/>
    <w:rsid w:val="00922D9F"/>
    <w:rsid w:val="00922DA6"/>
    <w:rsid w:val="00922F9E"/>
    <w:rsid w:val="0092325B"/>
    <w:rsid w:val="0092385A"/>
    <w:rsid w:val="009238A5"/>
    <w:rsid w:val="00923901"/>
    <w:rsid w:val="00923B4D"/>
    <w:rsid w:val="00923EAA"/>
    <w:rsid w:val="00923EB4"/>
    <w:rsid w:val="00923EC0"/>
    <w:rsid w:val="00923F6A"/>
    <w:rsid w:val="00924088"/>
    <w:rsid w:val="00924196"/>
    <w:rsid w:val="0092434A"/>
    <w:rsid w:val="009245E0"/>
    <w:rsid w:val="009248E6"/>
    <w:rsid w:val="00924DE9"/>
    <w:rsid w:val="00924E3C"/>
    <w:rsid w:val="00924E9B"/>
    <w:rsid w:val="00924F67"/>
    <w:rsid w:val="00925085"/>
    <w:rsid w:val="009254BC"/>
    <w:rsid w:val="0092567D"/>
    <w:rsid w:val="00925848"/>
    <w:rsid w:val="009258F5"/>
    <w:rsid w:val="009259E1"/>
    <w:rsid w:val="00925B93"/>
    <w:rsid w:val="00925D1F"/>
    <w:rsid w:val="00925D8D"/>
    <w:rsid w:val="0092604C"/>
    <w:rsid w:val="00926264"/>
    <w:rsid w:val="009262A4"/>
    <w:rsid w:val="0092630B"/>
    <w:rsid w:val="0092660F"/>
    <w:rsid w:val="00926754"/>
    <w:rsid w:val="009267A0"/>
    <w:rsid w:val="00926A80"/>
    <w:rsid w:val="00926CA8"/>
    <w:rsid w:val="00926D14"/>
    <w:rsid w:val="00926E64"/>
    <w:rsid w:val="00926F3B"/>
    <w:rsid w:val="009270DB"/>
    <w:rsid w:val="009270EC"/>
    <w:rsid w:val="0092710E"/>
    <w:rsid w:val="0092742B"/>
    <w:rsid w:val="00927AA4"/>
    <w:rsid w:val="00927CA8"/>
    <w:rsid w:val="00927CCD"/>
    <w:rsid w:val="00927F5D"/>
    <w:rsid w:val="00930285"/>
    <w:rsid w:val="0093037F"/>
    <w:rsid w:val="009304E8"/>
    <w:rsid w:val="009305DC"/>
    <w:rsid w:val="00930625"/>
    <w:rsid w:val="0093072F"/>
    <w:rsid w:val="00930930"/>
    <w:rsid w:val="00930F66"/>
    <w:rsid w:val="00931115"/>
    <w:rsid w:val="00931177"/>
    <w:rsid w:val="0093122E"/>
    <w:rsid w:val="00931533"/>
    <w:rsid w:val="0093194B"/>
    <w:rsid w:val="00931DA0"/>
    <w:rsid w:val="00931E1E"/>
    <w:rsid w:val="00931EC9"/>
    <w:rsid w:val="0093262A"/>
    <w:rsid w:val="00932690"/>
    <w:rsid w:val="009327B2"/>
    <w:rsid w:val="00932896"/>
    <w:rsid w:val="00932A3F"/>
    <w:rsid w:val="00932CE9"/>
    <w:rsid w:val="00932D99"/>
    <w:rsid w:val="00932E29"/>
    <w:rsid w:val="00932FC0"/>
    <w:rsid w:val="0093316E"/>
    <w:rsid w:val="009332D6"/>
    <w:rsid w:val="009332D7"/>
    <w:rsid w:val="00933359"/>
    <w:rsid w:val="00933515"/>
    <w:rsid w:val="009335AF"/>
    <w:rsid w:val="009335F4"/>
    <w:rsid w:val="00933715"/>
    <w:rsid w:val="00933D12"/>
    <w:rsid w:val="00934046"/>
    <w:rsid w:val="00934055"/>
    <w:rsid w:val="0093427E"/>
    <w:rsid w:val="009344AB"/>
    <w:rsid w:val="0093456A"/>
    <w:rsid w:val="00934765"/>
    <w:rsid w:val="0093495F"/>
    <w:rsid w:val="00934A4C"/>
    <w:rsid w:val="00934C75"/>
    <w:rsid w:val="00934E75"/>
    <w:rsid w:val="00934F8E"/>
    <w:rsid w:val="00935002"/>
    <w:rsid w:val="009350DA"/>
    <w:rsid w:val="009352B2"/>
    <w:rsid w:val="009352E7"/>
    <w:rsid w:val="009355EB"/>
    <w:rsid w:val="0093590D"/>
    <w:rsid w:val="00935A8F"/>
    <w:rsid w:val="00935B3C"/>
    <w:rsid w:val="00935C0B"/>
    <w:rsid w:val="00935C5D"/>
    <w:rsid w:val="00936029"/>
    <w:rsid w:val="0093615A"/>
    <w:rsid w:val="00936360"/>
    <w:rsid w:val="00936363"/>
    <w:rsid w:val="0093645F"/>
    <w:rsid w:val="009365DE"/>
    <w:rsid w:val="0093679E"/>
    <w:rsid w:val="00936B7C"/>
    <w:rsid w:val="00936D07"/>
    <w:rsid w:val="00936E0E"/>
    <w:rsid w:val="00936FF8"/>
    <w:rsid w:val="00937091"/>
    <w:rsid w:val="00937112"/>
    <w:rsid w:val="0093762B"/>
    <w:rsid w:val="009377EB"/>
    <w:rsid w:val="009378C2"/>
    <w:rsid w:val="00937ADB"/>
    <w:rsid w:val="00937C51"/>
    <w:rsid w:val="00937D60"/>
    <w:rsid w:val="00937EB2"/>
    <w:rsid w:val="00937FCC"/>
    <w:rsid w:val="0094028D"/>
    <w:rsid w:val="009404E8"/>
    <w:rsid w:val="0094053C"/>
    <w:rsid w:val="00940675"/>
    <w:rsid w:val="00940701"/>
    <w:rsid w:val="00940919"/>
    <w:rsid w:val="00940A2B"/>
    <w:rsid w:val="00940A67"/>
    <w:rsid w:val="00940D05"/>
    <w:rsid w:val="00940E02"/>
    <w:rsid w:val="00940F91"/>
    <w:rsid w:val="00940FB3"/>
    <w:rsid w:val="0094104B"/>
    <w:rsid w:val="009410C0"/>
    <w:rsid w:val="00941247"/>
    <w:rsid w:val="0094168A"/>
    <w:rsid w:val="009416BD"/>
    <w:rsid w:val="00941E19"/>
    <w:rsid w:val="00941EB0"/>
    <w:rsid w:val="00941F71"/>
    <w:rsid w:val="009420E0"/>
    <w:rsid w:val="009423E8"/>
    <w:rsid w:val="00942437"/>
    <w:rsid w:val="00942630"/>
    <w:rsid w:val="00942770"/>
    <w:rsid w:val="00942B2D"/>
    <w:rsid w:val="00942EC9"/>
    <w:rsid w:val="009430FB"/>
    <w:rsid w:val="00943233"/>
    <w:rsid w:val="00943304"/>
    <w:rsid w:val="009433CA"/>
    <w:rsid w:val="00943777"/>
    <w:rsid w:val="00943848"/>
    <w:rsid w:val="009439DD"/>
    <w:rsid w:val="00943BCC"/>
    <w:rsid w:val="00943C51"/>
    <w:rsid w:val="00943E7F"/>
    <w:rsid w:val="00943F73"/>
    <w:rsid w:val="00943F75"/>
    <w:rsid w:val="0094404D"/>
    <w:rsid w:val="00944064"/>
    <w:rsid w:val="009441C4"/>
    <w:rsid w:val="009441DD"/>
    <w:rsid w:val="00944332"/>
    <w:rsid w:val="0094483C"/>
    <w:rsid w:val="00944903"/>
    <w:rsid w:val="00944A09"/>
    <w:rsid w:val="00944B62"/>
    <w:rsid w:val="00944B9D"/>
    <w:rsid w:val="00944C4D"/>
    <w:rsid w:val="00944F10"/>
    <w:rsid w:val="009450BA"/>
    <w:rsid w:val="00945144"/>
    <w:rsid w:val="009451A5"/>
    <w:rsid w:val="009451BC"/>
    <w:rsid w:val="009453A8"/>
    <w:rsid w:val="00945931"/>
    <w:rsid w:val="00945D79"/>
    <w:rsid w:val="00945DB5"/>
    <w:rsid w:val="00945F7B"/>
    <w:rsid w:val="009462CE"/>
    <w:rsid w:val="009463E8"/>
    <w:rsid w:val="00946543"/>
    <w:rsid w:val="00946697"/>
    <w:rsid w:val="009468E9"/>
    <w:rsid w:val="00946930"/>
    <w:rsid w:val="00946934"/>
    <w:rsid w:val="0094696D"/>
    <w:rsid w:val="009469E4"/>
    <w:rsid w:val="00946A54"/>
    <w:rsid w:val="00946B48"/>
    <w:rsid w:val="00946C0A"/>
    <w:rsid w:val="00946D06"/>
    <w:rsid w:val="00946D38"/>
    <w:rsid w:val="00946F49"/>
    <w:rsid w:val="0094711B"/>
    <w:rsid w:val="009471EE"/>
    <w:rsid w:val="00947234"/>
    <w:rsid w:val="0094740E"/>
    <w:rsid w:val="0094765E"/>
    <w:rsid w:val="00947880"/>
    <w:rsid w:val="009478AF"/>
    <w:rsid w:val="009479D1"/>
    <w:rsid w:val="00947A6F"/>
    <w:rsid w:val="00947C79"/>
    <w:rsid w:val="00947CD9"/>
    <w:rsid w:val="00947DC1"/>
    <w:rsid w:val="00947EBD"/>
    <w:rsid w:val="00947F2F"/>
    <w:rsid w:val="00950000"/>
    <w:rsid w:val="0095014D"/>
    <w:rsid w:val="0095017E"/>
    <w:rsid w:val="009501F7"/>
    <w:rsid w:val="00950472"/>
    <w:rsid w:val="009505EB"/>
    <w:rsid w:val="0095067B"/>
    <w:rsid w:val="009506E2"/>
    <w:rsid w:val="00950754"/>
    <w:rsid w:val="00950825"/>
    <w:rsid w:val="009508EB"/>
    <w:rsid w:val="009509D8"/>
    <w:rsid w:val="00950A49"/>
    <w:rsid w:val="00950F5A"/>
    <w:rsid w:val="0095113B"/>
    <w:rsid w:val="009513C5"/>
    <w:rsid w:val="009513D6"/>
    <w:rsid w:val="0095147F"/>
    <w:rsid w:val="00951B0A"/>
    <w:rsid w:val="00951CD1"/>
    <w:rsid w:val="00951CFE"/>
    <w:rsid w:val="009520B1"/>
    <w:rsid w:val="00952146"/>
    <w:rsid w:val="009522B7"/>
    <w:rsid w:val="009523F1"/>
    <w:rsid w:val="00952946"/>
    <w:rsid w:val="00952EAF"/>
    <w:rsid w:val="00953003"/>
    <w:rsid w:val="0095315B"/>
    <w:rsid w:val="0095343D"/>
    <w:rsid w:val="009534AF"/>
    <w:rsid w:val="00953626"/>
    <w:rsid w:val="0095364B"/>
    <w:rsid w:val="00953ABF"/>
    <w:rsid w:val="00953CDB"/>
    <w:rsid w:val="00953E3A"/>
    <w:rsid w:val="00953F7F"/>
    <w:rsid w:val="0095419A"/>
    <w:rsid w:val="009541B3"/>
    <w:rsid w:val="009541ED"/>
    <w:rsid w:val="00954714"/>
    <w:rsid w:val="00954725"/>
    <w:rsid w:val="0095484A"/>
    <w:rsid w:val="00954876"/>
    <w:rsid w:val="00954910"/>
    <w:rsid w:val="00954914"/>
    <w:rsid w:val="00954E12"/>
    <w:rsid w:val="009551AB"/>
    <w:rsid w:val="009552E3"/>
    <w:rsid w:val="0095559B"/>
    <w:rsid w:val="009556B9"/>
    <w:rsid w:val="0095595E"/>
    <w:rsid w:val="00955AA7"/>
    <w:rsid w:val="00955DD0"/>
    <w:rsid w:val="00955EDB"/>
    <w:rsid w:val="0095603E"/>
    <w:rsid w:val="009562FA"/>
    <w:rsid w:val="00956313"/>
    <w:rsid w:val="00956535"/>
    <w:rsid w:val="00956554"/>
    <w:rsid w:val="009566AA"/>
    <w:rsid w:val="00956873"/>
    <w:rsid w:val="0095692F"/>
    <w:rsid w:val="00956B10"/>
    <w:rsid w:val="00957154"/>
    <w:rsid w:val="0095719C"/>
    <w:rsid w:val="009571AE"/>
    <w:rsid w:val="00957356"/>
    <w:rsid w:val="009573BE"/>
    <w:rsid w:val="00957577"/>
    <w:rsid w:val="009575DB"/>
    <w:rsid w:val="0095767C"/>
    <w:rsid w:val="009577A1"/>
    <w:rsid w:val="00957D39"/>
    <w:rsid w:val="00957DB9"/>
    <w:rsid w:val="00957E0E"/>
    <w:rsid w:val="00957EDF"/>
    <w:rsid w:val="00957F5B"/>
    <w:rsid w:val="009600EF"/>
    <w:rsid w:val="00960112"/>
    <w:rsid w:val="00960186"/>
    <w:rsid w:val="009601DA"/>
    <w:rsid w:val="009603EE"/>
    <w:rsid w:val="009605DE"/>
    <w:rsid w:val="00960B40"/>
    <w:rsid w:val="00960EFE"/>
    <w:rsid w:val="0096105B"/>
    <w:rsid w:val="0096117C"/>
    <w:rsid w:val="009612BB"/>
    <w:rsid w:val="009613D4"/>
    <w:rsid w:val="00961659"/>
    <w:rsid w:val="00961715"/>
    <w:rsid w:val="009619C6"/>
    <w:rsid w:val="00961A8D"/>
    <w:rsid w:val="00961D92"/>
    <w:rsid w:val="009621CF"/>
    <w:rsid w:val="009621EA"/>
    <w:rsid w:val="0096222E"/>
    <w:rsid w:val="009626AD"/>
    <w:rsid w:val="009626BC"/>
    <w:rsid w:val="009626E2"/>
    <w:rsid w:val="0096277D"/>
    <w:rsid w:val="00962877"/>
    <w:rsid w:val="00962B88"/>
    <w:rsid w:val="00962EA3"/>
    <w:rsid w:val="00962FAD"/>
    <w:rsid w:val="00963118"/>
    <w:rsid w:val="00963359"/>
    <w:rsid w:val="00963418"/>
    <w:rsid w:val="009635C4"/>
    <w:rsid w:val="00963696"/>
    <w:rsid w:val="009639B2"/>
    <w:rsid w:val="00963DC8"/>
    <w:rsid w:val="009640C3"/>
    <w:rsid w:val="0096419C"/>
    <w:rsid w:val="009641F0"/>
    <w:rsid w:val="0096422A"/>
    <w:rsid w:val="00964361"/>
    <w:rsid w:val="009645CF"/>
    <w:rsid w:val="0096489D"/>
    <w:rsid w:val="009648D8"/>
    <w:rsid w:val="009649C3"/>
    <w:rsid w:val="00964B13"/>
    <w:rsid w:val="00964F35"/>
    <w:rsid w:val="00964F4A"/>
    <w:rsid w:val="009656DD"/>
    <w:rsid w:val="009659CF"/>
    <w:rsid w:val="00965DB9"/>
    <w:rsid w:val="00965DC2"/>
    <w:rsid w:val="00965E95"/>
    <w:rsid w:val="009665A9"/>
    <w:rsid w:val="0096671E"/>
    <w:rsid w:val="00966AF2"/>
    <w:rsid w:val="00966BB3"/>
    <w:rsid w:val="00966D7A"/>
    <w:rsid w:val="00966FBE"/>
    <w:rsid w:val="009673C2"/>
    <w:rsid w:val="009674F9"/>
    <w:rsid w:val="00967A2E"/>
    <w:rsid w:val="00967B86"/>
    <w:rsid w:val="00967E12"/>
    <w:rsid w:val="0097011D"/>
    <w:rsid w:val="009703AE"/>
    <w:rsid w:val="009706BC"/>
    <w:rsid w:val="00970AE1"/>
    <w:rsid w:val="00970C57"/>
    <w:rsid w:val="00970CB5"/>
    <w:rsid w:val="00970CD0"/>
    <w:rsid w:val="00970D2B"/>
    <w:rsid w:val="00970E22"/>
    <w:rsid w:val="00970E50"/>
    <w:rsid w:val="00970F1C"/>
    <w:rsid w:val="00970FCD"/>
    <w:rsid w:val="00971345"/>
    <w:rsid w:val="00971705"/>
    <w:rsid w:val="00971766"/>
    <w:rsid w:val="0097191C"/>
    <w:rsid w:val="00971E26"/>
    <w:rsid w:val="00971FB7"/>
    <w:rsid w:val="0097212D"/>
    <w:rsid w:val="009722C9"/>
    <w:rsid w:val="00972337"/>
    <w:rsid w:val="0097241E"/>
    <w:rsid w:val="00972448"/>
    <w:rsid w:val="00972502"/>
    <w:rsid w:val="00972D1A"/>
    <w:rsid w:val="00972EED"/>
    <w:rsid w:val="009731C2"/>
    <w:rsid w:val="0097332A"/>
    <w:rsid w:val="00973355"/>
    <w:rsid w:val="00973482"/>
    <w:rsid w:val="0097355F"/>
    <w:rsid w:val="0097359B"/>
    <w:rsid w:val="0097376B"/>
    <w:rsid w:val="0097379A"/>
    <w:rsid w:val="009737A8"/>
    <w:rsid w:val="00973F1E"/>
    <w:rsid w:val="009740CC"/>
    <w:rsid w:val="00974428"/>
    <w:rsid w:val="00974444"/>
    <w:rsid w:val="0097457B"/>
    <w:rsid w:val="009745BB"/>
    <w:rsid w:val="0097467B"/>
    <w:rsid w:val="00974775"/>
    <w:rsid w:val="0097479B"/>
    <w:rsid w:val="00974A9A"/>
    <w:rsid w:val="00974BA1"/>
    <w:rsid w:val="00974EC9"/>
    <w:rsid w:val="00975440"/>
    <w:rsid w:val="0097545E"/>
    <w:rsid w:val="009754C9"/>
    <w:rsid w:val="00975BCE"/>
    <w:rsid w:val="00975C86"/>
    <w:rsid w:val="00975D19"/>
    <w:rsid w:val="00975F4B"/>
    <w:rsid w:val="00976199"/>
    <w:rsid w:val="0097619D"/>
    <w:rsid w:val="0097621D"/>
    <w:rsid w:val="0097648E"/>
    <w:rsid w:val="00976498"/>
    <w:rsid w:val="0097688D"/>
    <w:rsid w:val="009769C6"/>
    <w:rsid w:val="00976B5B"/>
    <w:rsid w:val="0097703B"/>
    <w:rsid w:val="00977167"/>
    <w:rsid w:val="009774CE"/>
    <w:rsid w:val="00977A66"/>
    <w:rsid w:val="00977AD2"/>
    <w:rsid w:val="00977BBC"/>
    <w:rsid w:val="00977BD8"/>
    <w:rsid w:val="00977C15"/>
    <w:rsid w:val="00977DAF"/>
    <w:rsid w:val="00977E26"/>
    <w:rsid w:val="00977FDE"/>
    <w:rsid w:val="009800DD"/>
    <w:rsid w:val="00980121"/>
    <w:rsid w:val="00980718"/>
    <w:rsid w:val="009807A1"/>
    <w:rsid w:val="00980A7D"/>
    <w:rsid w:val="00980F93"/>
    <w:rsid w:val="00981385"/>
    <w:rsid w:val="009816E5"/>
    <w:rsid w:val="0098175C"/>
    <w:rsid w:val="00981925"/>
    <w:rsid w:val="00981D5B"/>
    <w:rsid w:val="00981EA6"/>
    <w:rsid w:val="00982193"/>
    <w:rsid w:val="00982204"/>
    <w:rsid w:val="0098230D"/>
    <w:rsid w:val="0098238C"/>
    <w:rsid w:val="009823CB"/>
    <w:rsid w:val="0098250E"/>
    <w:rsid w:val="0098298D"/>
    <w:rsid w:val="00982C15"/>
    <w:rsid w:val="00982C88"/>
    <w:rsid w:val="00983615"/>
    <w:rsid w:val="00983875"/>
    <w:rsid w:val="00983929"/>
    <w:rsid w:val="00983C41"/>
    <w:rsid w:val="00984055"/>
    <w:rsid w:val="009841FF"/>
    <w:rsid w:val="009842FE"/>
    <w:rsid w:val="009846C5"/>
    <w:rsid w:val="0098472E"/>
    <w:rsid w:val="009848B6"/>
    <w:rsid w:val="00984925"/>
    <w:rsid w:val="0098498C"/>
    <w:rsid w:val="009850C9"/>
    <w:rsid w:val="00985133"/>
    <w:rsid w:val="00985248"/>
    <w:rsid w:val="0098527F"/>
    <w:rsid w:val="0098536B"/>
    <w:rsid w:val="009854F9"/>
    <w:rsid w:val="00985550"/>
    <w:rsid w:val="009859A5"/>
    <w:rsid w:val="009859D2"/>
    <w:rsid w:val="00985ABE"/>
    <w:rsid w:val="00985BBC"/>
    <w:rsid w:val="00985C24"/>
    <w:rsid w:val="00985DE3"/>
    <w:rsid w:val="0098638B"/>
    <w:rsid w:val="00986598"/>
    <w:rsid w:val="009865D1"/>
    <w:rsid w:val="009866AD"/>
    <w:rsid w:val="00986758"/>
    <w:rsid w:val="00987228"/>
    <w:rsid w:val="00987262"/>
    <w:rsid w:val="009872F3"/>
    <w:rsid w:val="00987365"/>
    <w:rsid w:val="00987596"/>
    <w:rsid w:val="00987672"/>
    <w:rsid w:val="00987872"/>
    <w:rsid w:val="00987A97"/>
    <w:rsid w:val="00987B37"/>
    <w:rsid w:val="00987B8A"/>
    <w:rsid w:val="00990026"/>
    <w:rsid w:val="009902E9"/>
    <w:rsid w:val="0099041B"/>
    <w:rsid w:val="009904C1"/>
    <w:rsid w:val="00990501"/>
    <w:rsid w:val="00990513"/>
    <w:rsid w:val="0099095E"/>
    <w:rsid w:val="00990AB3"/>
    <w:rsid w:val="0099101A"/>
    <w:rsid w:val="00991045"/>
    <w:rsid w:val="00991159"/>
    <w:rsid w:val="009912DA"/>
    <w:rsid w:val="009915BF"/>
    <w:rsid w:val="009917FF"/>
    <w:rsid w:val="00991C25"/>
    <w:rsid w:val="00991DA0"/>
    <w:rsid w:val="00991E9C"/>
    <w:rsid w:val="0099254B"/>
    <w:rsid w:val="009926E6"/>
    <w:rsid w:val="00992702"/>
    <w:rsid w:val="009928AC"/>
    <w:rsid w:val="0099294D"/>
    <w:rsid w:val="009929F8"/>
    <w:rsid w:val="00992A8A"/>
    <w:rsid w:val="00992D44"/>
    <w:rsid w:val="00992D9A"/>
    <w:rsid w:val="00992D9E"/>
    <w:rsid w:val="0099327B"/>
    <w:rsid w:val="009935B4"/>
    <w:rsid w:val="00993833"/>
    <w:rsid w:val="00993BB2"/>
    <w:rsid w:val="00993CD6"/>
    <w:rsid w:val="00993ED5"/>
    <w:rsid w:val="00994031"/>
    <w:rsid w:val="00994060"/>
    <w:rsid w:val="009941CC"/>
    <w:rsid w:val="0099439E"/>
    <w:rsid w:val="009943F1"/>
    <w:rsid w:val="0099452D"/>
    <w:rsid w:val="00994613"/>
    <w:rsid w:val="009948BD"/>
    <w:rsid w:val="00994A8F"/>
    <w:rsid w:val="00994D97"/>
    <w:rsid w:val="00994ED7"/>
    <w:rsid w:val="00994F18"/>
    <w:rsid w:val="00994F6C"/>
    <w:rsid w:val="0099550E"/>
    <w:rsid w:val="00995611"/>
    <w:rsid w:val="00995654"/>
    <w:rsid w:val="0099583F"/>
    <w:rsid w:val="00995AB4"/>
    <w:rsid w:val="00995ABB"/>
    <w:rsid w:val="00995ABE"/>
    <w:rsid w:val="00995BBF"/>
    <w:rsid w:val="00995D19"/>
    <w:rsid w:val="009961F2"/>
    <w:rsid w:val="00996573"/>
    <w:rsid w:val="009965B9"/>
    <w:rsid w:val="00996CC9"/>
    <w:rsid w:val="009972B7"/>
    <w:rsid w:val="009973BC"/>
    <w:rsid w:val="0099754C"/>
    <w:rsid w:val="00997661"/>
    <w:rsid w:val="00997865"/>
    <w:rsid w:val="009978FE"/>
    <w:rsid w:val="00997A89"/>
    <w:rsid w:val="00997BD7"/>
    <w:rsid w:val="00997CE9"/>
    <w:rsid w:val="00997D21"/>
    <w:rsid w:val="00997F87"/>
    <w:rsid w:val="009A020D"/>
    <w:rsid w:val="009A055A"/>
    <w:rsid w:val="009A0699"/>
    <w:rsid w:val="009A085A"/>
    <w:rsid w:val="009A0A43"/>
    <w:rsid w:val="009A0B63"/>
    <w:rsid w:val="009A0BFE"/>
    <w:rsid w:val="009A0DE7"/>
    <w:rsid w:val="009A11E3"/>
    <w:rsid w:val="009A131F"/>
    <w:rsid w:val="009A13C1"/>
    <w:rsid w:val="009A1561"/>
    <w:rsid w:val="009A162D"/>
    <w:rsid w:val="009A16B0"/>
    <w:rsid w:val="009A16F3"/>
    <w:rsid w:val="009A1852"/>
    <w:rsid w:val="009A1960"/>
    <w:rsid w:val="009A1AB0"/>
    <w:rsid w:val="009A1B81"/>
    <w:rsid w:val="009A1C69"/>
    <w:rsid w:val="009A1E57"/>
    <w:rsid w:val="009A201B"/>
    <w:rsid w:val="009A20B0"/>
    <w:rsid w:val="009A22AB"/>
    <w:rsid w:val="009A234E"/>
    <w:rsid w:val="009A234F"/>
    <w:rsid w:val="009A2693"/>
    <w:rsid w:val="009A292E"/>
    <w:rsid w:val="009A2B6E"/>
    <w:rsid w:val="009A2BF5"/>
    <w:rsid w:val="009A2C03"/>
    <w:rsid w:val="009A2C34"/>
    <w:rsid w:val="009A2FA5"/>
    <w:rsid w:val="009A31F2"/>
    <w:rsid w:val="009A35FD"/>
    <w:rsid w:val="009A3621"/>
    <w:rsid w:val="009A3737"/>
    <w:rsid w:val="009A39E9"/>
    <w:rsid w:val="009A3ECA"/>
    <w:rsid w:val="009A407B"/>
    <w:rsid w:val="009A42DA"/>
    <w:rsid w:val="009A4552"/>
    <w:rsid w:val="009A4B91"/>
    <w:rsid w:val="009A4BCF"/>
    <w:rsid w:val="009A4EA2"/>
    <w:rsid w:val="009A4EAD"/>
    <w:rsid w:val="009A537B"/>
    <w:rsid w:val="009A53F9"/>
    <w:rsid w:val="009A542E"/>
    <w:rsid w:val="009A5446"/>
    <w:rsid w:val="009A54B2"/>
    <w:rsid w:val="009A54EE"/>
    <w:rsid w:val="009A5DF7"/>
    <w:rsid w:val="009A5EE7"/>
    <w:rsid w:val="009A6091"/>
    <w:rsid w:val="009A6195"/>
    <w:rsid w:val="009A61AD"/>
    <w:rsid w:val="009A6464"/>
    <w:rsid w:val="009A647C"/>
    <w:rsid w:val="009A6622"/>
    <w:rsid w:val="009A6ACE"/>
    <w:rsid w:val="009A6C8E"/>
    <w:rsid w:val="009A6E9E"/>
    <w:rsid w:val="009A7068"/>
    <w:rsid w:val="009A7493"/>
    <w:rsid w:val="009A74F2"/>
    <w:rsid w:val="009A74FB"/>
    <w:rsid w:val="009A7974"/>
    <w:rsid w:val="009B0140"/>
    <w:rsid w:val="009B04AD"/>
    <w:rsid w:val="009B0587"/>
    <w:rsid w:val="009B061A"/>
    <w:rsid w:val="009B1002"/>
    <w:rsid w:val="009B1032"/>
    <w:rsid w:val="009B10BC"/>
    <w:rsid w:val="009B13CD"/>
    <w:rsid w:val="009B1402"/>
    <w:rsid w:val="009B1A2C"/>
    <w:rsid w:val="009B1A42"/>
    <w:rsid w:val="009B1C8E"/>
    <w:rsid w:val="009B1F9C"/>
    <w:rsid w:val="009B2481"/>
    <w:rsid w:val="009B24A5"/>
    <w:rsid w:val="009B27BE"/>
    <w:rsid w:val="009B28BA"/>
    <w:rsid w:val="009B2A1A"/>
    <w:rsid w:val="009B2A26"/>
    <w:rsid w:val="009B2A41"/>
    <w:rsid w:val="009B2B45"/>
    <w:rsid w:val="009B2BDC"/>
    <w:rsid w:val="009B2C29"/>
    <w:rsid w:val="009B2F43"/>
    <w:rsid w:val="009B31CB"/>
    <w:rsid w:val="009B3437"/>
    <w:rsid w:val="009B3458"/>
    <w:rsid w:val="009B37B3"/>
    <w:rsid w:val="009B3952"/>
    <w:rsid w:val="009B3A24"/>
    <w:rsid w:val="009B3D68"/>
    <w:rsid w:val="009B425F"/>
    <w:rsid w:val="009B49BE"/>
    <w:rsid w:val="009B4CC9"/>
    <w:rsid w:val="009B4EFB"/>
    <w:rsid w:val="009B4F33"/>
    <w:rsid w:val="009B505A"/>
    <w:rsid w:val="009B50C2"/>
    <w:rsid w:val="009B5243"/>
    <w:rsid w:val="009B534E"/>
    <w:rsid w:val="009B536B"/>
    <w:rsid w:val="009B5404"/>
    <w:rsid w:val="009B5742"/>
    <w:rsid w:val="009B57A5"/>
    <w:rsid w:val="009B5A87"/>
    <w:rsid w:val="009B5ABB"/>
    <w:rsid w:val="009B5C2C"/>
    <w:rsid w:val="009B5D62"/>
    <w:rsid w:val="009B5EB0"/>
    <w:rsid w:val="009B60D5"/>
    <w:rsid w:val="009B619B"/>
    <w:rsid w:val="009B62DE"/>
    <w:rsid w:val="009B6351"/>
    <w:rsid w:val="009B6431"/>
    <w:rsid w:val="009B64E1"/>
    <w:rsid w:val="009B67EF"/>
    <w:rsid w:val="009B690A"/>
    <w:rsid w:val="009B6926"/>
    <w:rsid w:val="009B697F"/>
    <w:rsid w:val="009B6BB3"/>
    <w:rsid w:val="009B6BB4"/>
    <w:rsid w:val="009B6F17"/>
    <w:rsid w:val="009B7039"/>
    <w:rsid w:val="009B706A"/>
    <w:rsid w:val="009B7209"/>
    <w:rsid w:val="009B7388"/>
    <w:rsid w:val="009B7487"/>
    <w:rsid w:val="009B769B"/>
    <w:rsid w:val="009B7C8D"/>
    <w:rsid w:val="009B7F8E"/>
    <w:rsid w:val="009B7FF1"/>
    <w:rsid w:val="009C016D"/>
    <w:rsid w:val="009C01DA"/>
    <w:rsid w:val="009C0607"/>
    <w:rsid w:val="009C0847"/>
    <w:rsid w:val="009C08E0"/>
    <w:rsid w:val="009C0A68"/>
    <w:rsid w:val="009C0CF1"/>
    <w:rsid w:val="009C0F5B"/>
    <w:rsid w:val="009C10D3"/>
    <w:rsid w:val="009C1143"/>
    <w:rsid w:val="009C116E"/>
    <w:rsid w:val="009C118F"/>
    <w:rsid w:val="009C12C9"/>
    <w:rsid w:val="009C134B"/>
    <w:rsid w:val="009C168C"/>
    <w:rsid w:val="009C174C"/>
    <w:rsid w:val="009C175D"/>
    <w:rsid w:val="009C19D9"/>
    <w:rsid w:val="009C1D26"/>
    <w:rsid w:val="009C1F3C"/>
    <w:rsid w:val="009C2233"/>
    <w:rsid w:val="009C252C"/>
    <w:rsid w:val="009C2A8F"/>
    <w:rsid w:val="009C2B95"/>
    <w:rsid w:val="009C2D2A"/>
    <w:rsid w:val="009C2D3B"/>
    <w:rsid w:val="009C3030"/>
    <w:rsid w:val="009C320D"/>
    <w:rsid w:val="009C328C"/>
    <w:rsid w:val="009C32F0"/>
    <w:rsid w:val="009C3431"/>
    <w:rsid w:val="009C34BF"/>
    <w:rsid w:val="009C3CBC"/>
    <w:rsid w:val="009C3D25"/>
    <w:rsid w:val="009C3E8E"/>
    <w:rsid w:val="009C3FCD"/>
    <w:rsid w:val="009C445B"/>
    <w:rsid w:val="009C4636"/>
    <w:rsid w:val="009C47F7"/>
    <w:rsid w:val="009C4815"/>
    <w:rsid w:val="009C49D2"/>
    <w:rsid w:val="009C4AEE"/>
    <w:rsid w:val="009C4B50"/>
    <w:rsid w:val="009C4B8E"/>
    <w:rsid w:val="009C5137"/>
    <w:rsid w:val="009C5370"/>
    <w:rsid w:val="009C564A"/>
    <w:rsid w:val="009C5808"/>
    <w:rsid w:val="009C58D8"/>
    <w:rsid w:val="009C5F50"/>
    <w:rsid w:val="009C5FDE"/>
    <w:rsid w:val="009C6108"/>
    <w:rsid w:val="009C61B8"/>
    <w:rsid w:val="009C6266"/>
    <w:rsid w:val="009C6309"/>
    <w:rsid w:val="009C6381"/>
    <w:rsid w:val="009C670C"/>
    <w:rsid w:val="009C6761"/>
    <w:rsid w:val="009C68B1"/>
    <w:rsid w:val="009C68F6"/>
    <w:rsid w:val="009C69F4"/>
    <w:rsid w:val="009C6B68"/>
    <w:rsid w:val="009C6EE3"/>
    <w:rsid w:val="009C70F8"/>
    <w:rsid w:val="009C7150"/>
    <w:rsid w:val="009C740A"/>
    <w:rsid w:val="009C742F"/>
    <w:rsid w:val="009C7824"/>
    <w:rsid w:val="009C79E4"/>
    <w:rsid w:val="009C7AAE"/>
    <w:rsid w:val="009C7B76"/>
    <w:rsid w:val="009C7E95"/>
    <w:rsid w:val="009C7E9C"/>
    <w:rsid w:val="009C7ECE"/>
    <w:rsid w:val="009D00D5"/>
    <w:rsid w:val="009D014C"/>
    <w:rsid w:val="009D0497"/>
    <w:rsid w:val="009D05CA"/>
    <w:rsid w:val="009D077C"/>
    <w:rsid w:val="009D0889"/>
    <w:rsid w:val="009D0903"/>
    <w:rsid w:val="009D0A44"/>
    <w:rsid w:val="009D0BB2"/>
    <w:rsid w:val="009D0F2D"/>
    <w:rsid w:val="009D0FD2"/>
    <w:rsid w:val="009D1593"/>
    <w:rsid w:val="009D167D"/>
    <w:rsid w:val="009D1739"/>
    <w:rsid w:val="009D1798"/>
    <w:rsid w:val="009D1970"/>
    <w:rsid w:val="009D1A5C"/>
    <w:rsid w:val="009D225B"/>
    <w:rsid w:val="009D253F"/>
    <w:rsid w:val="009D260F"/>
    <w:rsid w:val="009D276C"/>
    <w:rsid w:val="009D290C"/>
    <w:rsid w:val="009D29EB"/>
    <w:rsid w:val="009D2F6D"/>
    <w:rsid w:val="009D2F9D"/>
    <w:rsid w:val="009D3072"/>
    <w:rsid w:val="009D316F"/>
    <w:rsid w:val="009D3247"/>
    <w:rsid w:val="009D3452"/>
    <w:rsid w:val="009D3586"/>
    <w:rsid w:val="009D36ED"/>
    <w:rsid w:val="009D38AA"/>
    <w:rsid w:val="009D3B25"/>
    <w:rsid w:val="009D3B97"/>
    <w:rsid w:val="009D3C19"/>
    <w:rsid w:val="009D3D8D"/>
    <w:rsid w:val="009D3F53"/>
    <w:rsid w:val="009D3F7A"/>
    <w:rsid w:val="009D3F97"/>
    <w:rsid w:val="009D4431"/>
    <w:rsid w:val="009D465D"/>
    <w:rsid w:val="009D468D"/>
    <w:rsid w:val="009D48C4"/>
    <w:rsid w:val="009D4A17"/>
    <w:rsid w:val="009D4A2F"/>
    <w:rsid w:val="009D4B96"/>
    <w:rsid w:val="009D4C61"/>
    <w:rsid w:val="009D4DCE"/>
    <w:rsid w:val="009D4E23"/>
    <w:rsid w:val="009D53F3"/>
    <w:rsid w:val="009D5806"/>
    <w:rsid w:val="009D588E"/>
    <w:rsid w:val="009D5A09"/>
    <w:rsid w:val="009D5ED1"/>
    <w:rsid w:val="009D5FB1"/>
    <w:rsid w:val="009D5FBB"/>
    <w:rsid w:val="009D6005"/>
    <w:rsid w:val="009D6118"/>
    <w:rsid w:val="009D65E4"/>
    <w:rsid w:val="009D66E1"/>
    <w:rsid w:val="009D66FD"/>
    <w:rsid w:val="009D6A4A"/>
    <w:rsid w:val="009D6A53"/>
    <w:rsid w:val="009D6B33"/>
    <w:rsid w:val="009D6BC1"/>
    <w:rsid w:val="009D701D"/>
    <w:rsid w:val="009D723A"/>
    <w:rsid w:val="009D7267"/>
    <w:rsid w:val="009D7273"/>
    <w:rsid w:val="009D74E6"/>
    <w:rsid w:val="009D752E"/>
    <w:rsid w:val="009D7705"/>
    <w:rsid w:val="009D779E"/>
    <w:rsid w:val="009D79BD"/>
    <w:rsid w:val="009E0075"/>
    <w:rsid w:val="009E02C9"/>
    <w:rsid w:val="009E0390"/>
    <w:rsid w:val="009E04B8"/>
    <w:rsid w:val="009E0534"/>
    <w:rsid w:val="009E0624"/>
    <w:rsid w:val="009E06CD"/>
    <w:rsid w:val="009E098D"/>
    <w:rsid w:val="009E09E8"/>
    <w:rsid w:val="009E0AC7"/>
    <w:rsid w:val="009E0BB4"/>
    <w:rsid w:val="009E0CC7"/>
    <w:rsid w:val="009E0D16"/>
    <w:rsid w:val="009E0D39"/>
    <w:rsid w:val="009E0F4B"/>
    <w:rsid w:val="009E100B"/>
    <w:rsid w:val="009E1055"/>
    <w:rsid w:val="009E1106"/>
    <w:rsid w:val="009E145D"/>
    <w:rsid w:val="009E1522"/>
    <w:rsid w:val="009E1609"/>
    <w:rsid w:val="009E1658"/>
    <w:rsid w:val="009E1B0D"/>
    <w:rsid w:val="009E1BBD"/>
    <w:rsid w:val="009E1E5D"/>
    <w:rsid w:val="009E1FF7"/>
    <w:rsid w:val="009E2112"/>
    <w:rsid w:val="009E2146"/>
    <w:rsid w:val="009E21C4"/>
    <w:rsid w:val="009E223E"/>
    <w:rsid w:val="009E2BFF"/>
    <w:rsid w:val="009E3137"/>
    <w:rsid w:val="009E31A0"/>
    <w:rsid w:val="009E363C"/>
    <w:rsid w:val="009E3D40"/>
    <w:rsid w:val="009E3DC9"/>
    <w:rsid w:val="009E3F9C"/>
    <w:rsid w:val="009E405F"/>
    <w:rsid w:val="009E4160"/>
    <w:rsid w:val="009E41F1"/>
    <w:rsid w:val="009E4210"/>
    <w:rsid w:val="009E42B2"/>
    <w:rsid w:val="009E452F"/>
    <w:rsid w:val="009E460F"/>
    <w:rsid w:val="009E4870"/>
    <w:rsid w:val="009E4AA3"/>
    <w:rsid w:val="009E4C38"/>
    <w:rsid w:val="009E4CA0"/>
    <w:rsid w:val="009E4D00"/>
    <w:rsid w:val="009E4D08"/>
    <w:rsid w:val="009E4F66"/>
    <w:rsid w:val="009E51D1"/>
    <w:rsid w:val="009E5323"/>
    <w:rsid w:val="009E5380"/>
    <w:rsid w:val="009E56CF"/>
    <w:rsid w:val="009E57AB"/>
    <w:rsid w:val="009E59DA"/>
    <w:rsid w:val="009E5D34"/>
    <w:rsid w:val="009E5F2A"/>
    <w:rsid w:val="009E618C"/>
    <w:rsid w:val="009E67FB"/>
    <w:rsid w:val="009E68F5"/>
    <w:rsid w:val="009E68FF"/>
    <w:rsid w:val="009E6DDA"/>
    <w:rsid w:val="009E7322"/>
    <w:rsid w:val="009E73E8"/>
    <w:rsid w:val="009E75EE"/>
    <w:rsid w:val="009E7748"/>
    <w:rsid w:val="009E7885"/>
    <w:rsid w:val="009E7C3D"/>
    <w:rsid w:val="009E7CF5"/>
    <w:rsid w:val="009E7D1C"/>
    <w:rsid w:val="009F0060"/>
    <w:rsid w:val="009F05EB"/>
    <w:rsid w:val="009F0797"/>
    <w:rsid w:val="009F09DE"/>
    <w:rsid w:val="009F0A9F"/>
    <w:rsid w:val="009F0BAC"/>
    <w:rsid w:val="009F0E67"/>
    <w:rsid w:val="009F106A"/>
    <w:rsid w:val="009F11BE"/>
    <w:rsid w:val="009F1291"/>
    <w:rsid w:val="009F1346"/>
    <w:rsid w:val="009F14C0"/>
    <w:rsid w:val="009F1A66"/>
    <w:rsid w:val="009F1E31"/>
    <w:rsid w:val="009F2460"/>
    <w:rsid w:val="009F2470"/>
    <w:rsid w:val="009F26E9"/>
    <w:rsid w:val="009F27CF"/>
    <w:rsid w:val="009F2B12"/>
    <w:rsid w:val="009F2D6E"/>
    <w:rsid w:val="009F2DBC"/>
    <w:rsid w:val="009F2E41"/>
    <w:rsid w:val="009F2F73"/>
    <w:rsid w:val="009F2F83"/>
    <w:rsid w:val="009F2FE0"/>
    <w:rsid w:val="009F3022"/>
    <w:rsid w:val="009F3093"/>
    <w:rsid w:val="009F331A"/>
    <w:rsid w:val="009F3A28"/>
    <w:rsid w:val="009F3EE4"/>
    <w:rsid w:val="009F4838"/>
    <w:rsid w:val="009F4D8D"/>
    <w:rsid w:val="009F5178"/>
    <w:rsid w:val="009F52DB"/>
    <w:rsid w:val="009F5576"/>
    <w:rsid w:val="009F5894"/>
    <w:rsid w:val="009F5949"/>
    <w:rsid w:val="009F5B95"/>
    <w:rsid w:val="009F5E84"/>
    <w:rsid w:val="009F5EAD"/>
    <w:rsid w:val="009F5F01"/>
    <w:rsid w:val="009F6063"/>
    <w:rsid w:val="009F60B4"/>
    <w:rsid w:val="009F63E8"/>
    <w:rsid w:val="009F653D"/>
    <w:rsid w:val="009F66B3"/>
    <w:rsid w:val="009F68AD"/>
    <w:rsid w:val="009F6A7E"/>
    <w:rsid w:val="009F6C03"/>
    <w:rsid w:val="009F6E0F"/>
    <w:rsid w:val="009F6ED3"/>
    <w:rsid w:val="009F7056"/>
    <w:rsid w:val="009F7166"/>
    <w:rsid w:val="009F7386"/>
    <w:rsid w:val="009F74AD"/>
    <w:rsid w:val="009F76F3"/>
    <w:rsid w:val="009F7761"/>
    <w:rsid w:val="009F7763"/>
    <w:rsid w:val="009F79E5"/>
    <w:rsid w:val="009F7B34"/>
    <w:rsid w:val="009F7C75"/>
    <w:rsid w:val="009F7E42"/>
    <w:rsid w:val="009F7EC5"/>
    <w:rsid w:val="009F7FF8"/>
    <w:rsid w:val="00A0019B"/>
    <w:rsid w:val="00A00358"/>
    <w:rsid w:val="00A008C5"/>
    <w:rsid w:val="00A00B9C"/>
    <w:rsid w:val="00A00C05"/>
    <w:rsid w:val="00A00DD4"/>
    <w:rsid w:val="00A00E4F"/>
    <w:rsid w:val="00A00F6C"/>
    <w:rsid w:val="00A00FD7"/>
    <w:rsid w:val="00A0125D"/>
    <w:rsid w:val="00A01392"/>
    <w:rsid w:val="00A014A4"/>
    <w:rsid w:val="00A01837"/>
    <w:rsid w:val="00A01ADB"/>
    <w:rsid w:val="00A01BC7"/>
    <w:rsid w:val="00A01C52"/>
    <w:rsid w:val="00A01C5F"/>
    <w:rsid w:val="00A01CD5"/>
    <w:rsid w:val="00A01D3B"/>
    <w:rsid w:val="00A01F3A"/>
    <w:rsid w:val="00A01FAF"/>
    <w:rsid w:val="00A0203D"/>
    <w:rsid w:val="00A0227E"/>
    <w:rsid w:val="00A02409"/>
    <w:rsid w:val="00A02477"/>
    <w:rsid w:val="00A024F6"/>
    <w:rsid w:val="00A028D6"/>
    <w:rsid w:val="00A02EE9"/>
    <w:rsid w:val="00A02F72"/>
    <w:rsid w:val="00A03071"/>
    <w:rsid w:val="00A030BE"/>
    <w:rsid w:val="00A03257"/>
    <w:rsid w:val="00A0336B"/>
    <w:rsid w:val="00A0345A"/>
    <w:rsid w:val="00A038DE"/>
    <w:rsid w:val="00A03E9A"/>
    <w:rsid w:val="00A04018"/>
    <w:rsid w:val="00A04021"/>
    <w:rsid w:val="00A04393"/>
    <w:rsid w:val="00A04518"/>
    <w:rsid w:val="00A047DD"/>
    <w:rsid w:val="00A0485E"/>
    <w:rsid w:val="00A04B4E"/>
    <w:rsid w:val="00A04B73"/>
    <w:rsid w:val="00A04B7B"/>
    <w:rsid w:val="00A04F24"/>
    <w:rsid w:val="00A04F63"/>
    <w:rsid w:val="00A04FC7"/>
    <w:rsid w:val="00A0505E"/>
    <w:rsid w:val="00A050A2"/>
    <w:rsid w:val="00A052FE"/>
    <w:rsid w:val="00A0546B"/>
    <w:rsid w:val="00A05585"/>
    <w:rsid w:val="00A055D4"/>
    <w:rsid w:val="00A055EB"/>
    <w:rsid w:val="00A0576B"/>
    <w:rsid w:val="00A05FAC"/>
    <w:rsid w:val="00A062A7"/>
    <w:rsid w:val="00A062AD"/>
    <w:rsid w:val="00A064A5"/>
    <w:rsid w:val="00A06757"/>
    <w:rsid w:val="00A0675A"/>
    <w:rsid w:val="00A06791"/>
    <w:rsid w:val="00A0682F"/>
    <w:rsid w:val="00A06EE2"/>
    <w:rsid w:val="00A06F08"/>
    <w:rsid w:val="00A07009"/>
    <w:rsid w:val="00A07149"/>
    <w:rsid w:val="00A0720F"/>
    <w:rsid w:val="00A0727F"/>
    <w:rsid w:val="00A0765C"/>
    <w:rsid w:val="00A07804"/>
    <w:rsid w:val="00A0785D"/>
    <w:rsid w:val="00A0786E"/>
    <w:rsid w:val="00A07A2F"/>
    <w:rsid w:val="00A07A38"/>
    <w:rsid w:val="00A07AC2"/>
    <w:rsid w:val="00A07ACB"/>
    <w:rsid w:val="00A07AD5"/>
    <w:rsid w:val="00A07CA0"/>
    <w:rsid w:val="00A07CCD"/>
    <w:rsid w:val="00A07E7E"/>
    <w:rsid w:val="00A1028F"/>
    <w:rsid w:val="00A1031A"/>
    <w:rsid w:val="00A10365"/>
    <w:rsid w:val="00A103E7"/>
    <w:rsid w:val="00A10435"/>
    <w:rsid w:val="00A104C3"/>
    <w:rsid w:val="00A10A3A"/>
    <w:rsid w:val="00A10A6C"/>
    <w:rsid w:val="00A10B06"/>
    <w:rsid w:val="00A10B5A"/>
    <w:rsid w:val="00A10BA9"/>
    <w:rsid w:val="00A115AB"/>
    <w:rsid w:val="00A11971"/>
    <w:rsid w:val="00A11BE1"/>
    <w:rsid w:val="00A11C2A"/>
    <w:rsid w:val="00A11CBE"/>
    <w:rsid w:val="00A12064"/>
    <w:rsid w:val="00A12078"/>
    <w:rsid w:val="00A12408"/>
    <w:rsid w:val="00A125C5"/>
    <w:rsid w:val="00A127B2"/>
    <w:rsid w:val="00A1284E"/>
    <w:rsid w:val="00A12AAE"/>
    <w:rsid w:val="00A12B2C"/>
    <w:rsid w:val="00A12B77"/>
    <w:rsid w:val="00A12C54"/>
    <w:rsid w:val="00A12D21"/>
    <w:rsid w:val="00A13163"/>
    <w:rsid w:val="00A1319B"/>
    <w:rsid w:val="00A13273"/>
    <w:rsid w:val="00A1339C"/>
    <w:rsid w:val="00A138C7"/>
    <w:rsid w:val="00A13C4C"/>
    <w:rsid w:val="00A13D76"/>
    <w:rsid w:val="00A14599"/>
    <w:rsid w:val="00A149ED"/>
    <w:rsid w:val="00A14A83"/>
    <w:rsid w:val="00A14B3D"/>
    <w:rsid w:val="00A14CF1"/>
    <w:rsid w:val="00A14D40"/>
    <w:rsid w:val="00A14EFB"/>
    <w:rsid w:val="00A15379"/>
    <w:rsid w:val="00A15A99"/>
    <w:rsid w:val="00A15CFD"/>
    <w:rsid w:val="00A15F58"/>
    <w:rsid w:val="00A162BC"/>
    <w:rsid w:val="00A1645A"/>
    <w:rsid w:val="00A165FB"/>
    <w:rsid w:val="00A1660E"/>
    <w:rsid w:val="00A1671B"/>
    <w:rsid w:val="00A167FB"/>
    <w:rsid w:val="00A1686A"/>
    <w:rsid w:val="00A16A9E"/>
    <w:rsid w:val="00A16B73"/>
    <w:rsid w:val="00A16D49"/>
    <w:rsid w:val="00A16F1F"/>
    <w:rsid w:val="00A1722E"/>
    <w:rsid w:val="00A17282"/>
    <w:rsid w:val="00A17366"/>
    <w:rsid w:val="00A1793A"/>
    <w:rsid w:val="00A179C1"/>
    <w:rsid w:val="00A2015B"/>
    <w:rsid w:val="00A20541"/>
    <w:rsid w:val="00A207A9"/>
    <w:rsid w:val="00A20885"/>
    <w:rsid w:val="00A208DA"/>
    <w:rsid w:val="00A208EB"/>
    <w:rsid w:val="00A209CA"/>
    <w:rsid w:val="00A20B25"/>
    <w:rsid w:val="00A21009"/>
    <w:rsid w:val="00A212FF"/>
    <w:rsid w:val="00A21785"/>
    <w:rsid w:val="00A217A8"/>
    <w:rsid w:val="00A21847"/>
    <w:rsid w:val="00A218E1"/>
    <w:rsid w:val="00A21988"/>
    <w:rsid w:val="00A219B4"/>
    <w:rsid w:val="00A21A2B"/>
    <w:rsid w:val="00A21A57"/>
    <w:rsid w:val="00A21D75"/>
    <w:rsid w:val="00A21EF9"/>
    <w:rsid w:val="00A22048"/>
    <w:rsid w:val="00A220E0"/>
    <w:rsid w:val="00A22127"/>
    <w:rsid w:val="00A221BD"/>
    <w:rsid w:val="00A22216"/>
    <w:rsid w:val="00A22218"/>
    <w:rsid w:val="00A22245"/>
    <w:rsid w:val="00A22270"/>
    <w:rsid w:val="00A223AE"/>
    <w:rsid w:val="00A2253A"/>
    <w:rsid w:val="00A2262E"/>
    <w:rsid w:val="00A22853"/>
    <w:rsid w:val="00A229AA"/>
    <w:rsid w:val="00A22CED"/>
    <w:rsid w:val="00A22FEF"/>
    <w:rsid w:val="00A23108"/>
    <w:rsid w:val="00A2310E"/>
    <w:rsid w:val="00A231A2"/>
    <w:rsid w:val="00A23237"/>
    <w:rsid w:val="00A2341D"/>
    <w:rsid w:val="00A23490"/>
    <w:rsid w:val="00A2383F"/>
    <w:rsid w:val="00A23861"/>
    <w:rsid w:val="00A238EE"/>
    <w:rsid w:val="00A23AFB"/>
    <w:rsid w:val="00A24107"/>
    <w:rsid w:val="00A242C1"/>
    <w:rsid w:val="00A2430A"/>
    <w:rsid w:val="00A24473"/>
    <w:rsid w:val="00A2451C"/>
    <w:rsid w:val="00A24713"/>
    <w:rsid w:val="00A249CF"/>
    <w:rsid w:val="00A249DF"/>
    <w:rsid w:val="00A249F2"/>
    <w:rsid w:val="00A24A19"/>
    <w:rsid w:val="00A24C58"/>
    <w:rsid w:val="00A24D3C"/>
    <w:rsid w:val="00A24DA3"/>
    <w:rsid w:val="00A2512A"/>
    <w:rsid w:val="00A251D6"/>
    <w:rsid w:val="00A255B4"/>
    <w:rsid w:val="00A25671"/>
    <w:rsid w:val="00A25B5B"/>
    <w:rsid w:val="00A25D07"/>
    <w:rsid w:val="00A2602F"/>
    <w:rsid w:val="00A26278"/>
    <w:rsid w:val="00A26AB4"/>
    <w:rsid w:val="00A26B1B"/>
    <w:rsid w:val="00A26CD9"/>
    <w:rsid w:val="00A26D15"/>
    <w:rsid w:val="00A26DEA"/>
    <w:rsid w:val="00A26F48"/>
    <w:rsid w:val="00A27015"/>
    <w:rsid w:val="00A277E9"/>
    <w:rsid w:val="00A2781F"/>
    <w:rsid w:val="00A27CAA"/>
    <w:rsid w:val="00A27E4D"/>
    <w:rsid w:val="00A30293"/>
    <w:rsid w:val="00A303C6"/>
    <w:rsid w:val="00A303DD"/>
    <w:rsid w:val="00A30411"/>
    <w:rsid w:val="00A30A51"/>
    <w:rsid w:val="00A30C40"/>
    <w:rsid w:val="00A30D56"/>
    <w:rsid w:val="00A30D76"/>
    <w:rsid w:val="00A3104A"/>
    <w:rsid w:val="00A312B8"/>
    <w:rsid w:val="00A31348"/>
    <w:rsid w:val="00A3162A"/>
    <w:rsid w:val="00A31790"/>
    <w:rsid w:val="00A317A7"/>
    <w:rsid w:val="00A3185F"/>
    <w:rsid w:val="00A31961"/>
    <w:rsid w:val="00A31CE1"/>
    <w:rsid w:val="00A31E47"/>
    <w:rsid w:val="00A32003"/>
    <w:rsid w:val="00A3209B"/>
    <w:rsid w:val="00A3235F"/>
    <w:rsid w:val="00A326B7"/>
    <w:rsid w:val="00A329C6"/>
    <w:rsid w:val="00A32A29"/>
    <w:rsid w:val="00A32D7F"/>
    <w:rsid w:val="00A32E32"/>
    <w:rsid w:val="00A3303B"/>
    <w:rsid w:val="00A332D5"/>
    <w:rsid w:val="00A33412"/>
    <w:rsid w:val="00A33468"/>
    <w:rsid w:val="00A335A5"/>
    <w:rsid w:val="00A33D37"/>
    <w:rsid w:val="00A33E2F"/>
    <w:rsid w:val="00A34170"/>
    <w:rsid w:val="00A3428D"/>
    <w:rsid w:val="00A3444E"/>
    <w:rsid w:val="00A3455F"/>
    <w:rsid w:val="00A345CF"/>
    <w:rsid w:val="00A34699"/>
    <w:rsid w:val="00A346F6"/>
    <w:rsid w:val="00A3494B"/>
    <w:rsid w:val="00A350AB"/>
    <w:rsid w:val="00A35443"/>
    <w:rsid w:val="00A3549E"/>
    <w:rsid w:val="00A355F8"/>
    <w:rsid w:val="00A35673"/>
    <w:rsid w:val="00A35A50"/>
    <w:rsid w:val="00A35A5A"/>
    <w:rsid w:val="00A35BE4"/>
    <w:rsid w:val="00A35EE8"/>
    <w:rsid w:val="00A3620C"/>
    <w:rsid w:val="00A3644F"/>
    <w:rsid w:val="00A369D1"/>
    <w:rsid w:val="00A36D16"/>
    <w:rsid w:val="00A36D49"/>
    <w:rsid w:val="00A36EA8"/>
    <w:rsid w:val="00A36F71"/>
    <w:rsid w:val="00A3700B"/>
    <w:rsid w:val="00A37072"/>
    <w:rsid w:val="00A370D9"/>
    <w:rsid w:val="00A371D5"/>
    <w:rsid w:val="00A373E3"/>
    <w:rsid w:val="00A3749A"/>
    <w:rsid w:val="00A3751F"/>
    <w:rsid w:val="00A375BB"/>
    <w:rsid w:val="00A37C73"/>
    <w:rsid w:val="00A37DA1"/>
    <w:rsid w:val="00A37DC0"/>
    <w:rsid w:val="00A37F7F"/>
    <w:rsid w:val="00A403DA"/>
    <w:rsid w:val="00A4041E"/>
    <w:rsid w:val="00A406C0"/>
    <w:rsid w:val="00A40B43"/>
    <w:rsid w:val="00A40B9D"/>
    <w:rsid w:val="00A40EF9"/>
    <w:rsid w:val="00A40F80"/>
    <w:rsid w:val="00A41051"/>
    <w:rsid w:val="00A41174"/>
    <w:rsid w:val="00A41239"/>
    <w:rsid w:val="00A4140D"/>
    <w:rsid w:val="00A41522"/>
    <w:rsid w:val="00A4160C"/>
    <w:rsid w:val="00A4170F"/>
    <w:rsid w:val="00A417B0"/>
    <w:rsid w:val="00A41863"/>
    <w:rsid w:val="00A418D8"/>
    <w:rsid w:val="00A41A76"/>
    <w:rsid w:val="00A41AD1"/>
    <w:rsid w:val="00A41CEB"/>
    <w:rsid w:val="00A41D77"/>
    <w:rsid w:val="00A41DCD"/>
    <w:rsid w:val="00A41F17"/>
    <w:rsid w:val="00A420D5"/>
    <w:rsid w:val="00A42282"/>
    <w:rsid w:val="00A427B7"/>
    <w:rsid w:val="00A427E0"/>
    <w:rsid w:val="00A42B23"/>
    <w:rsid w:val="00A42C3B"/>
    <w:rsid w:val="00A42FC9"/>
    <w:rsid w:val="00A42FF3"/>
    <w:rsid w:val="00A4330B"/>
    <w:rsid w:val="00A433D2"/>
    <w:rsid w:val="00A43540"/>
    <w:rsid w:val="00A43888"/>
    <w:rsid w:val="00A43E9E"/>
    <w:rsid w:val="00A43F31"/>
    <w:rsid w:val="00A43FB4"/>
    <w:rsid w:val="00A4403D"/>
    <w:rsid w:val="00A442DA"/>
    <w:rsid w:val="00A443E0"/>
    <w:rsid w:val="00A443F1"/>
    <w:rsid w:val="00A4441F"/>
    <w:rsid w:val="00A44588"/>
    <w:rsid w:val="00A446B3"/>
    <w:rsid w:val="00A44847"/>
    <w:rsid w:val="00A44859"/>
    <w:rsid w:val="00A449BD"/>
    <w:rsid w:val="00A44AF3"/>
    <w:rsid w:val="00A44BBD"/>
    <w:rsid w:val="00A44D17"/>
    <w:rsid w:val="00A44E58"/>
    <w:rsid w:val="00A44F84"/>
    <w:rsid w:val="00A45014"/>
    <w:rsid w:val="00A450B8"/>
    <w:rsid w:val="00A451E7"/>
    <w:rsid w:val="00A4562D"/>
    <w:rsid w:val="00A4563D"/>
    <w:rsid w:val="00A45722"/>
    <w:rsid w:val="00A45A0D"/>
    <w:rsid w:val="00A45E9F"/>
    <w:rsid w:val="00A46485"/>
    <w:rsid w:val="00A466FF"/>
    <w:rsid w:val="00A46740"/>
    <w:rsid w:val="00A46770"/>
    <w:rsid w:val="00A4678A"/>
    <w:rsid w:val="00A46A7F"/>
    <w:rsid w:val="00A46A88"/>
    <w:rsid w:val="00A46AC7"/>
    <w:rsid w:val="00A46C06"/>
    <w:rsid w:val="00A46C47"/>
    <w:rsid w:val="00A46E44"/>
    <w:rsid w:val="00A46F18"/>
    <w:rsid w:val="00A4705F"/>
    <w:rsid w:val="00A470AD"/>
    <w:rsid w:val="00A472F7"/>
    <w:rsid w:val="00A47463"/>
    <w:rsid w:val="00A4785B"/>
    <w:rsid w:val="00A47938"/>
    <w:rsid w:val="00A50041"/>
    <w:rsid w:val="00A500D7"/>
    <w:rsid w:val="00A5031E"/>
    <w:rsid w:val="00A50357"/>
    <w:rsid w:val="00A5043D"/>
    <w:rsid w:val="00A504E7"/>
    <w:rsid w:val="00A506BA"/>
    <w:rsid w:val="00A50825"/>
    <w:rsid w:val="00A50D25"/>
    <w:rsid w:val="00A50E27"/>
    <w:rsid w:val="00A50FA2"/>
    <w:rsid w:val="00A51278"/>
    <w:rsid w:val="00A5145F"/>
    <w:rsid w:val="00A51542"/>
    <w:rsid w:val="00A51587"/>
    <w:rsid w:val="00A518F6"/>
    <w:rsid w:val="00A51995"/>
    <w:rsid w:val="00A51BE3"/>
    <w:rsid w:val="00A52313"/>
    <w:rsid w:val="00A5233D"/>
    <w:rsid w:val="00A52364"/>
    <w:rsid w:val="00A52399"/>
    <w:rsid w:val="00A52439"/>
    <w:rsid w:val="00A524F6"/>
    <w:rsid w:val="00A52841"/>
    <w:rsid w:val="00A52D07"/>
    <w:rsid w:val="00A52D7D"/>
    <w:rsid w:val="00A52E98"/>
    <w:rsid w:val="00A52F14"/>
    <w:rsid w:val="00A53037"/>
    <w:rsid w:val="00A53095"/>
    <w:rsid w:val="00A53139"/>
    <w:rsid w:val="00A53162"/>
    <w:rsid w:val="00A53263"/>
    <w:rsid w:val="00A534F3"/>
    <w:rsid w:val="00A538D1"/>
    <w:rsid w:val="00A53DB2"/>
    <w:rsid w:val="00A53DDB"/>
    <w:rsid w:val="00A53F5B"/>
    <w:rsid w:val="00A54037"/>
    <w:rsid w:val="00A543FF"/>
    <w:rsid w:val="00A54542"/>
    <w:rsid w:val="00A5478B"/>
    <w:rsid w:val="00A54A56"/>
    <w:rsid w:val="00A54B3D"/>
    <w:rsid w:val="00A54CD1"/>
    <w:rsid w:val="00A54D77"/>
    <w:rsid w:val="00A552B3"/>
    <w:rsid w:val="00A55350"/>
    <w:rsid w:val="00A55545"/>
    <w:rsid w:val="00A556E6"/>
    <w:rsid w:val="00A5588F"/>
    <w:rsid w:val="00A559EF"/>
    <w:rsid w:val="00A55A18"/>
    <w:rsid w:val="00A55ED7"/>
    <w:rsid w:val="00A563D5"/>
    <w:rsid w:val="00A56433"/>
    <w:rsid w:val="00A56914"/>
    <w:rsid w:val="00A56CE8"/>
    <w:rsid w:val="00A56E7A"/>
    <w:rsid w:val="00A56EE3"/>
    <w:rsid w:val="00A56F2E"/>
    <w:rsid w:val="00A56F5C"/>
    <w:rsid w:val="00A5702F"/>
    <w:rsid w:val="00A57303"/>
    <w:rsid w:val="00A57338"/>
    <w:rsid w:val="00A574D7"/>
    <w:rsid w:val="00A575FE"/>
    <w:rsid w:val="00A57AA9"/>
    <w:rsid w:val="00A57E80"/>
    <w:rsid w:val="00A6007A"/>
    <w:rsid w:val="00A6012B"/>
    <w:rsid w:val="00A603CC"/>
    <w:rsid w:val="00A605C3"/>
    <w:rsid w:val="00A607A3"/>
    <w:rsid w:val="00A60810"/>
    <w:rsid w:val="00A60B70"/>
    <w:rsid w:val="00A60C6C"/>
    <w:rsid w:val="00A60FA1"/>
    <w:rsid w:val="00A60FB6"/>
    <w:rsid w:val="00A6139C"/>
    <w:rsid w:val="00A6159B"/>
    <w:rsid w:val="00A619F7"/>
    <w:rsid w:val="00A61A72"/>
    <w:rsid w:val="00A61B06"/>
    <w:rsid w:val="00A62148"/>
    <w:rsid w:val="00A62192"/>
    <w:rsid w:val="00A62202"/>
    <w:rsid w:val="00A622DE"/>
    <w:rsid w:val="00A62687"/>
    <w:rsid w:val="00A627E2"/>
    <w:rsid w:val="00A62823"/>
    <w:rsid w:val="00A6288F"/>
    <w:rsid w:val="00A62935"/>
    <w:rsid w:val="00A629FA"/>
    <w:rsid w:val="00A62CCC"/>
    <w:rsid w:val="00A62D35"/>
    <w:rsid w:val="00A62DB0"/>
    <w:rsid w:val="00A62F59"/>
    <w:rsid w:val="00A633ED"/>
    <w:rsid w:val="00A63430"/>
    <w:rsid w:val="00A635B9"/>
    <w:rsid w:val="00A636E8"/>
    <w:rsid w:val="00A63969"/>
    <w:rsid w:val="00A63A1F"/>
    <w:rsid w:val="00A63A4A"/>
    <w:rsid w:val="00A63B5B"/>
    <w:rsid w:val="00A63F57"/>
    <w:rsid w:val="00A640C0"/>
    <w:rsid w:val="00A6417E"/>
    <w:rsid w:val="00A642AC"/>
    <w:rsid w:val="00A643E1"/>
    <w:rsid w:val="00A64526"/>
    <w:rsid w:val="00A64CA8"/>
    <w:rsid w:val="00A64E4C"/>
    <w:rsid w:val="00A64F4A"/>
    <w:rsid w:val="00A651DF"/>
    <w:rsid w:val="00A654FE"/>
    <w:rsid w:val="00A6561E"/>
    <w:rsid w:val="00A6562B"/>
    <w:rsid w:val="00A65A00"/>
    <w:rsid w:val="00A65A93"/>
    <w:rsid w:val="00A65B5D"/>
    <w:rsid w:val="00A65CE6"/>
    <w:rsid w:val="00A65D34"/>
    <w:rsid w:val="00A65DD3"/>
    <w:rsid w:val="00A65EE7"/>
    <w:rsid w:val="00A660A4"/>
    <w:rsid w:val="00A66215"/>
    <w:rsid w:val="00A66283"/>
    <w:rsid w:val="00A6656F"/>
    <w:rsid w:val="00A6673E"/>
    <w:rsid w:val="00A66820"/>
    <w:rsid w:val="00A66826"/>
    <w:rsid w:val="00A66CFA"/>
    <w:rsid w:val="00A670C8"/>
    <w:rsid w:val="00A674AA"/>
    <w:rsid w:val="00A6758B"/>
    <w:rsid w:val="00A67806"/>
    <w:rsid w:val="00A67819"/>
    <w:rsid w:val="00A67A61"/>
    <w:rsid w:val="00A67AAA"/>
    <w:rsid w:val="00A67BA2"/>
    <w:rsid w:val="00A67DD2"/>
    <w:rsid w:val="00A70133"/>
    <w:rsid w:val="00A7014E"/>
    <w:rsid w:val="00A7026C"/>
    <w:rsid w:val="00A704ED"/>
    <w:rsid w:val="00A706D1"/>
    <w:rsid w:val="00A7082B"/>
    <w:rsid w:val="00A709B2"/>
    <w:rsid w:val="00A70A24"/>
    <w:rsid w:val="00A70ADE"/>
    <w:rsid w:val="00A70B44"/>
    <w:rsid w:val="00A70B4F"/>
    <w:rsid w:val="00A70B9B"/>
    <w:rsid w:val="00A70F5E"/>
    <w:rsid w:val="00A70FC2"/>
    <w:rsid w:val="00A71085"/>
    <w:rsid w:val="00A710C0"/>
    <w:rsid w:val="00A71351"/>
    <w:rsid w:val="00A71482"/>
    <w:rsid w:val="00A7174F"/>
    <w:rsid w:val="00A71D07"/>
    <w:rsid w:val="00A71D60"/>
    <w:rsid w:val="00A71DD8"/>
    <w:rsid w:val="00A71F16"/>
    <w:rsid w:val="00A71F4F"/>
    <w:rsid w:val="00A720D4"/>
    <w:rsid w:val="00A721FA"/>
    <w:rsid w:val="00A722E8"/>
    <w:rsid w:val="00A723EC"/>
    <w:rsid w:val="00A723FA"/>
    <w:rsid w:val="00A72B2F"/>
    <w:rsid w:val="00A72E52"/>
    <w:rsid w:val="00A72E62"/>
    <w:rsid w:val="00A72FE3"/>
    <w:rsid w:val="00A7309E"/>
    <w:rsid w:val="00A731C8"/>
    <w:rsid w:val="00A731E9"/>
    <w:rsid w:val="00A73524"/>
    <w:rsid w:val="00A735BC"/>
    <w:rsid w:val="00A736FA"/>
    <w:rsid w:val="00A73778"/>
    <w:rsid w:val="00A73922"/>
    <w:rsid w:val="00A739C4"/>
    <w:rsid w:val="00A73C7D"/>
    <w:rsid w:val="00A73DC7"/>
    <w:rsid w:val="00A73DF3"/>
    <w:rsid w:val="00A73E87"/>
    <w:rsid w:val="00A73E97"/>
    <w:rsid w:val="00A73F83"/>
    <w:rsid w:val="00A743AD"/>
    <w:rsid w:val="00A743B0"/>
    <w:rsid w:val="00A74463"/>
    <w:rsid w:val="00A744D9"/>
    <w:rsid w:val="00A745EE"/>
    <w:rsid w:val="00A7475B"/>
    <w:rsid w:val="00A748A0"/>
    <w:rsid w:val="00A748B4"/>
    <w:rsid w:val="00A74CCF"/>
    <w:rsid w:val="00A74E2B"/>
    <w:rsid w:val="00A75130"/>
    <w:rsid w:val="00A7516D"/>
    <w:rsid w:val="00A7533C"/>
    <w:rsid w:val="00A7535B"/>
    <w:rsid w:val="00A757E6"/>
    <w:rsid w:val="00A75AF9"/>
    <w:rsid w:val="00A75AFC"/>
    <w:rsid w:val="00A75C80"/>
    <w:rsid w:val="00A75E05"/>
    <w:rsid w:val="00A75F2E"/>
    <w:rsid w:val="00A75F63"/>
    <w:rsid w:val="00A76026"/>
    <w:rsid w:val="00A7627B"/>
    <w:rsid w:val="00A762A6"/>
    <w:rsid w:val="00A762C1"/>
    <w:rsid w:val="00A7664B"/>
    <w:rsid w:val="00A76742"/>
    <w:rsid w:val="00A768F2"/>
    <w:rsid w:val="00A76AB5"/>
    <w:rsid w:val="00A76B94"/>
    <w:rsid w:val="00A76F27"/>
    <w:rsid w:val="00A770A6"/>
    <w:rsid w:val="00A770B7"/>
    <w:rsid w:val="00A770D1"/>
    <w:rsid w:val="00A7727E"/>
    <w:rsid w:val="00A77369"/>
    <w:rsid w:val="00A773C5"/>
    <w:rsid w:val="00A77411"/>
    <w:rsid w:val="00A77A90"/>
    <w:rsid w:val="00A77DDC"/>
    <w:rsid w:val="00A77DEE"/>
    <w:rsid w:val="00A77E41"/>
    <w:rsid w:val="00A77F10"/>
    <w:rsid w:val="00A77F53"/>
    <w:rsid w:val="00A8013B"/>
    <w:rsid w:val="00A801EC"/>
    <w:rsid w:val="00A80294"/>
    <w:rsid w:val="00A802F3"/>
    <w:rsid w:val="00A804A4"/>
    <w:rsid w:val="00A80548"/>
    <w:rsid w:val="00A8072A"/>
    <w:rsid w:val="00A80A3D"/>
    <w:rsid w:val="00A80F5B"/>
    <w:rsid w:val="00A812C1"/>
    <w:rsid w:val="00A813B1"/>
    <w:rsid w:val="00A817CD"/>
    <w:rsid w:val="00A81970"/>
    <w:rsid w:val="00A81995"/>
    <w:rsid w:val="00A81C17"/>
    <w:rsid w:val="00A82228"/>
    <w:rsid w:val="00A82462"/>
    <w:rsid w:val="00A82688"/>
    <w:rsid w:val="00A8271D"/>
    <w:rsid w:val="00A8273C"/>
    <w:rsid w:val="00A82972"/>
    <w:rsid w:val="00A82CD0"/>
    <w:rsid w:val="00A82D89"/>
    <w:rsid w:val="00A82F5A"/>
    <w:rsid w:val="00A830E3"/>
    <w:rsid w:val="00A83231"/>
    <w:rsid w:val="00A832E9"/>
    <w:rsid w:val="00A8368A"/>
    <w:rsid w:val="00A836D1"/>
    <w:rsid w:val="00A83BCE"/>
    <w:rsid w:val="00A83C3E"/>
    <w:rsid w:val="00A83C7D"/>
    <w:rsid w:val="00A83CE4"/>
    <w:rsid w:val="00A84152"/>
    <w:rsid w:val="00A8419B"/>
    <w:rsid w:val="00A84457"/>
    <w:rsid w:val="00A8464B"/>
    <w:rsid w:val="00A84773"/>
    <w:rsid w:val="00A84A14"/>
    <w:rsid w:val="00A84B23"/>
    <w:rsid w:val="00A84E22"/>
    <w:rsid w:val="00A84FF5"/>
    <w:rsid w:val="00A8501D"/>
    <w:rsid w:val="00A8528B"/>
    <w:rsid w:val="00A85564"/>
    <w:rsid w:val="00A8556F"/>
    <w:rsid w:val="00A85658"/>
    <w:rsid w:val="00A858BC"/>
    <w:rsid w:val="00A85929"/>
    <w:rsid w:val="00A85996"/>
    <w:rsid w:val="00A85D13"/>
    <w:rsid w:val="00A85D69"/>
    <w:rsid w:val="00A8632E"/>
    <w:rsid w:val="00A8638A"/>
    <w:rsid w:val="00A86600"/>
    <w:rsid w:val="00A8664F"/>
    <w:rsid w:val="00A86799"/>
    <w:rsid w:val="00A869B4"/>
    <w:rsid w:val="00A86E52"/>
    <w:rsid w:val="00A86E54"/>
    <w:rsid w:val="00A86EB0"/>
    <w:rsid w:val="00A87016"/>
    <w:rsid w:val="00A8715E"/>
    <w:rsid w:val="00A87338"/>
    <w:rsid w:val="00A87486"/>
    <w:rsid w:val="00A879E9"/>
    <w:rsid w:val="00A87A0C"/>
    <w:rsid w:val="00A87F85"/>
    <w:rsid w:val="00A9010B"/>
    <w:rsid w:val="00A9014E"/>
    <w:rsid w:val="00A90208"/>
    <w:rsid w:val="00A9044C"/>
    <w:rsid w:val="00A90E1C"/>
    <w:rsid w:val="00A90E74"/>
    <w:rsid w:val="00A90E8B"/>
    <w:rsid w:val="00A90FBC"/>
    <w:rsid w:val="00A911D9"/>
    <w:rsid w:val="00A91492"/>
    <w:rsid w:val="00A914EE"/>
    <w:rsid w:val="00A91864"/>
    <w:rsid w:val="00A91A8C"/>
    <w:rsid w:val="00A91CBB"/>
    <w:rsid w:val="00A9200B"/>
    <w:rsid w:val="00A922D9"/>
    <w:rsid w:val="00A9293E"/>
    <w:rsid w:val="00A92CBD"/>
    <w:rsid w:val="00A93183"/>
    <w:rsid w:val="00A9331F"/>
    <w:rsid w:val="00A93392"/>
    <w:rsid w:val="00A93A65"/>
    <w:rsid w:val="00A93B75"/>
    <w:rsid w:val="00A93B8C"/>
    <w:rsid w:val="00A93D0B"/>
    <w:rsid w:val="00A93E8E"/>
    <w:rsid w:val="00A93F96"/>
    <w:rsid w:val="00A94055"/>
    <w:rsid w:val="00A941C6"/>
    <w:rsid w:val="00A94340"/>
    <w:rsid w:val="00A94467"/>
    <w:rsid w:val="00A9477B"/>
    <w:rsid w:val="00A9485B"/>
    <w:rsid w:val="00A94943"/>
    <w:rsid w:val="00A94CA4"/>
    <w:rsid w:val="00A95164"/>
    <w:rsid w:val="00A95387"/>
    <w:rsid w:val="00A95516"/>
    <w:rsid w:val="00A95AF2"/>
    <w:rsid w:val="00A95CCB"/>
    <w:rsid w:val="00A960DE"/>
    <w:rsid w:val="00A96200"/>
    <w:rsid w:val="00A96226"/>
    <w:rsid w:val="00A96511"/>
    <w:rsid w:val="00A96526"/>
    <w:rsid w:val="00A96919"/>
    <w:rsid w:val="00A96929"/>
    <w:rsid w:val="00A969F3"/>
    <w:rsid w:val="00A96E7C"/>
    <w:rsid w:val="00A97228"/>
    <w:rsid w:val="00A97622"/>
    <w:rsid w:val="00A97956"/>
    <w:rsid w:val="00A97990"/>
    <w:rsid w:val="00A97A15"/>
    <w:rsid w:val="00A97AE6"/>
    <w:rsid w:val="00A97B90"/>
    <w:rsid w:val="00A97CE8"/>
    <w:rsid w:val="00A97DA3"/>
    <w:rsid w:val="00A97FDB"/>
    <w:rsid w:val="00AA014F"/>
    <w:rsid w:val="00AA0269"/>
    <w:rsid w:val="00AA0444"/>
    <w:rsid w:val="00AA057C"/>
    <w:rsid w:val="00AA09CD"/>
    <w:rsid w:val="00AA0B07"/>
    <w:rsid w:val="00AA0C8E"/>
    <w:rsid w:val="00AA0FB5"/>
    <w:rsid w:val="00AA0FF3"/>
    <w:rsid w:val="00AA1248"/>
    <w:rsid w:val="00AA1433"/>
    <w:rsid w:val="00AA1643"/>
    <w:rsid w:val="00AA1E49"/>
    <w:rsid w:val="00AA1EF6"/>
    <w:rsid w:val="00AA2303"/>
    <w:rsid w:val="00AA24CC"/>
    <w:rsid w:val="00AA25C5"/>
    <w:rsid w:val="00AA261D"/>
    <w:rsid w:val="00AA26A9"/>
    <w:rsid w:val="00AA2741"/>
    <w:rsid w:val="00AA2790"/>
    <w:rsid w:val="00AA2925"/>
    <w:rsid w:val="00AA29E2"/>
    <w:rsid w:val="00AA2EE9"/>
    <w:rsid w:val="00AA32F7"/>
    <w:rsid w:val="00AA32FB"/>
    <w:rsid w:val="00AA3591"/>
    <w:rsid w:val="00AA367C"/>
    <w:rsid w:val="00AA37C0"/>
    <w:rsid w:val="00AA38B2"/>
    <w:rsid w:val="00AA3A77"/>
    <w:rsid w:val="00AA3C48"/>
    <w:rsid w:val="00AA3D9B"/>
    <w:rsid w:val="00AA3F52"/>
    <w:rsid w:val="00AA4033"/>
    <w:rsid w:val="00AA4064"/>
    <w:rsid w:val="00AA42C3"/>
    <w:rsid w:val="00AA42E9"/>
    <w:rsid w:val="00AA4314"/>
    <w:rsid w:val="00AA4380"/>
    <w:rsid w:val="00AA4430"/>
    <w:rsid w:val="00AA4515"/>
    <w:rsid w:val="00AA48AE"/>
    <w:rsid w:val="00AA4951"/>
    <w:rsid w:val="00AA4ABB"/>
    <w:rsid w:val="00AA4BFB"/>
    <w:rsid w:val="00AA50B7"/>
    <w:rsid w:val="00AA52A3"/>
    <w:rsid w:val="00AA52F8"/>
    <w:rsid w:val="00AA532D"/>
    <w:rsid w:val="00AA538F"/>
    <w:rsid w:val="00AA54C9"/>
    <w:rsid w:val="00AA5A34"/>
    <w:rsid w:val="00AA5C27"/>
    <w:rsid w:val="00AA5E46"/>
    <w:rsid w:val="00AA6502"/>
    <w:rsid w:val="00AA6527"/>
    <w:rsid w:val="00AA66DC"/>
    <w:rsid w:val="00AA6841"/>
    <w:rsid w:val="00AA6F0F"/>
    <w:rsid w:val="00AA70E0"/>
    <w:rsid w:val="00AA711B"/>
    <w:rsid w:val="00AA71C5"/>
    <w:rsid w:val="00AA7331"/>
    <w:rsid w:val="00AA748D"/>
    <w:rsid w:val="00AA75ED"/>
    <w:rsid w:val="00AA77B1"/>
    <w:rsid w:val="00AA7A1A"/>
    <w:rsid w:val="00AA7A9C"/>
    <w:rsid w:val="00AB025B"/>
    <w:rsid w:val="00AB02CB"/>
    <w:rsid w:val="00AB0387"/>
    <w:rsid w:val="00AB0F4A"/>
    <w:rsid w:val="00AB1150"/>
    <w:rsid w:val="00AB119E"/>
    <w:rsid w:val="00AB11C1"/>
    <w:rsid w:val="00AB1214"/>
    <w:rsid w:val="00AB1678"/>
    <w:rsid w:val="00AB16CF"/>
    <w:rsid w:val="00AB1749"/>
    <w:rsid w:val="00AB1829"/>
    <w:rsid w:val="00AB1CDF"/>
    <w:rsid w:val="00AB1D43"/>
    <w:rsid w:val="00AB2280"/>
    <w:rsid w:val="00AB231D"/>
    <w:rsid w:val="00AB24C4"/>
    <w:rsid w:val="00AB28C5"/>
    <w:rsid w:val="00AB2CDA"/>
    <w:rsid w:val="00AB312E"/>
    <w:rsid w:val="00AB313A"/>
    <w:rsid w:val="00AB3481"/>
    <w:rsid w:val="00AB354A"/>
    <w:rsid w:val="00AB36C4"/>
    <w:rsid w:val="00AB37EC"/>
    <w:rsid w:val="00AB392B"/>
    <w:rsid w:val="00AB39B3"/>
    <w:rsid w:val="00AB3ACA"/>
    <w:rsid w:val="00AB3DAF"/>
    <w:rsid w:val="00AB3F51"/>
    <w:rsid w:val="00AB4235"/>
    <w:rsid w:val="00AB4645"/>
    <w:rsid w:val="00AB466B"/>
    <w:rsid w:val="00AB4BCE"/>
    <w:rsid w:val="00AB4DF7"/>
    <w:rsid w:val="00AB4E71"/>
    <w:rsid w:val="00AB51E9"/>
    <w:rsid w:val="00AB5333"/>
    <w:rsid w:val="00AB53F4"/>
    <w:rsid w:val="00AB551E"/>
    <w:rsid w:val="00AB568E"/>
    <w:rsid w:val="00AB56C9"/>
    <w:rsid w:val="00AB594A"/>
    <w:rsid w:val="00AB59EB"/>
    <w:rsid w:val="00AB5ADB"/>
    <w:rsid w:val="00AB5BB8"/>
    <w:rsid w:val="00AB5C7C"/>
    <w:rsid w:val="00AB5CAE"/>
    <w:rsid w:val="00AB5D1D"/>
    <w:rsid w:val="00AB5E0F"/>
    <w:rsid w:val="00AB5F47"/>
    <w:rsid w:val="00AB5FC1"/>
    <w:rsid w:val="00AB6124"/>
    <w:rsid w:val="00AB6304"/>
    <w:rsid w:val="00AB633F"/>
    <w:rsid w:val="00AB63D3"/>
    <w:rsid w:val="00AB6600"/>
    <w:rsid w:val="00AB6787"/>
    <w:rsid w:val="00AB6807"/>
    <w:rsid w:val="00AB6CF8"/>
    <w:rsid w:val="00AB6E1A"/>
    <w:rsid w:val="00AB6EDE"/>
    <w:rsid w:val="00AB71DF"/>
    <w:rsid w:val="00AB74EC"/>
    <w:rsid w:val="00AB77AA"/>
    <w:rsid w:val="00AB7A90"/>
    <w:rsid w:val="00AB7D3F"/>
    <w:rsid w:val="00AB7DDE"/>
    <w:rsid w:val="00AC01F6"/>
    <w:rsid w:val="00AC039D"/>
    <w:rsid w:val="00AC0587"/>
    <w:rsid w:val="00AC0A21"/>
    <w:rsid w:val="00AC0C2E"/>
    <w:rsid w:val="00AC0E24"/>
    <w:rsid w:val="00AC13D0"/>
    <w:rsid w:val="00AC1606"/>
    <w:rsid w:val="00AC161D"/>
    <w:rsid w:val="00AC1732"/>
    <w:rsid w:val="00AC18FB"/>
    <w:rsid w:val="00AC1BF6"/>
    <w:rsid w:val="00AC1D7A"/>
    <w:rsid w:val="00AC2050"/>
    <w:rsid w:val="00AC209A"/>
    <w:rsid w:val="00AC20C9"/>
    <w:rsid w:val="00AC2292"/>
    <w:rsid w:val="00AC22F4"/>
    <w:rsid w:val="00AC246C"/>
    <w:rsid w:val="00AC24D9"/>
    <w:rsid w:val="00AC2666"/>
    <w:rsid w:val="00AC2777"/>
    <w:rsid w:val="00AC27EC"/>
    <w:rsid w:val="00AC2853"/>
    <w:rsid w:val="00AC2854"/>
    <w:rsid w:val="00AC2B63"/>
    <w:rsid w:val="00AC2C8D"/>
    <w:rsid w:val="00AC2F86"/>
    <w:rsid w:val="00AC3249"/>
    <w:rsid w:val="00AC32B2"/>
    <w:rsid w:val="00AC34BB"/>
    <w:rsid w:val="00AC3B8D"/>
    <w:rsid w:val="00AC3F99"/>
    <w:rsid w:val="00AC41F7"/>
    <w:rsid w:val="00AC4652"/>
    <w:rsid w:val="00AC4AC0"/>
    <w:rsid w:val="00AC50E9"/>
    <w:rsid w:val="00AC55DD"/>
    <w:rsid w:val="00AC58F1"/>
    <w:rsid w:val="00AC5901"/>
    <w:rsid w:val="00AC5B24"/>
    <w:rsid w:val="00AC5D03"/>
    <w:rsid w:val="00AC5D59"/>
    <w:rsid w:val="00AC5E79"/>
    <w:rsid w:val="00AC622B"/>
    <w:rsid w:val="00AC636F"/>
    <w:rsid w:val="00AC63CD"/>
    <w:rsid w:val="00AC6405"/>
    <w:rsid w:val="00AC6411"/>
    <w:rsid w:val="00AC6660"/>
    <w:rsid w:val="00AC67A3"/>
    <w:rsid w:val="00AC6860"/>
    <w:rsid w:val="00AC6B53"/>
    <w:rsid w:val="00AC6D36"/>
    <w:rsid w:val="00AC7177"/>
    <w:rsid w:val="00AC7267"/>
    <w:rsid w:val="00AC7839"/>
    <w:rsid w:val="00AC78DA"/>
    <w:rsid w:val="00AC79D6"/>
    <w:rsid w:val="00AC7AF6"/>
    <w:rsid w:val="00AC7ED6"/>
    <w:rsid w:val="00AD03A5"/>
    <w:rsid w:val="00AD06D7"/>
    <w:rsid w:val="00AD09A8"/>
    <w:rsid w:val="00AD0C00"/>
    <w:rsid w:val="00AD0CAD"/>
    <w:rsid w:val="00AD0DF8"/>
    <w:rsid w:val="00AD0F99"/>
    <w:rsid w:val="00AD10D2"/>
    <w:rsid w:val="00AD146C"/>
    <w:rsid w:val="00AD1479"/>
    <w:rsid w:val="00AD14E3"/>
    <w:rsid w:val="00AD1531"/>
    <w:rsid w:val="00AD1843"/>
    <w:rsid w:val="00AD1879"/>
    <w:rsid w:val="00AD18D1"/>
    <w:rsid w:val="00AD18DF"/>
    <w:rsid w:val="00AD1ADE"/>
    <w:rsid w:val="00AD1C47"/>
    <w:rsid w:val="00AD1C9C"/>
    <w:rsid w:val="00AD1D16"/>
    <w:rsid w:val="00AD1E8F"/>
    <w:rsid w:val="00AD1FDC"/>
    <w:rsid w:val="00AD1FE6"/>
    <w:rsid w:val="00AD2036"/>
    <w:rsid w:val="00AD211E"/>
    <w:rsid w:val="00AD2323"/>
    <w:rsid w:val="00AD2770"/>
    <w:rsid w:val="00AD292F"/>
    <w:rsid w:val="00AD2998"/>
    <w:rsid w:val="00AD299B"/>
    <w:rsid w:val="00AD2A28"/>
    <w:rsid w:val="00AD2A93"/>
    <w:rsid w:val="00AD2E2A"/>
    <w:rsid w:val="00AD2F9B"/>
    <w:rsid w:val="00AD3596"/>
    <w:rsid w:val="00AD3852"/>
    <w:rsid w:val="00AD3864"/>
    <w:rsid w:val="00AD38D2"/>
    <w:rsid w:val="00AD3909"/>
    <w:rsid w:val="00AD3947"/>
    <w:rsid w:val="00AD3EBD"/>
    <w:rsid w:val="00AD42B8"/>
    <w:rsid w:val="00AD4377"/>
    <w:rsid w:val="00AD451C"/>
    <w:rsid w:val="00AD471C"/>
    <w:rsid w:val="00AD4930"/>
    <w:rsid w:val="00AD49AE"/>
    <w:rsid w:val="00AD4A24"/>
    <w:rsid w:val="00AD4AB0"/>
    <w:rsid w:val="00AD4B9D"/>
    <w:rsid w:val="00AD4D28"/>
    <w:rsid w:val="00AD4ECF"/>
    <w:rsid w:val="00AD4FF0"/>
    <w:rsid w:val="00AD515D"/>
    <w:rsid w:val="00AD54F2"/>
    <w:rsid w:val="00AD5721"/>
    <w:rsid w:val="00AD5815"/>
    <w:rsid w:val="00AD5C03"/>
    <w:rsid w:val="00AD5C3B"/>
    <w:rsid w:val="00AD5F49"/>
    <w:rsid w:val="00AD5F6E"/>
    <w:rsid w:val="00AD611D"/>
    <w:rsid w:val="00AD62E9"/>
    <w:rsid w:val="00AD63D6"/>
    <w:rsid w:val="00AD664C"/>
    <w:rsid w:val="00AD6C67"/>
    <w:rsid w:val="00AD6F29"/>
    <w:rsid w:val="00AD6F9D"/>
    <w:rsid w:val="00AD73F3"/>
    <w:rsid w:val="00AD7401"/>
    <w:rsid w:val="00AD7421"/>
    <w:rsid w:val="00AD74A9"/>
    <w:rsid w:val="00AD76D8"/>
    <w:rsid w:val="00AD781E"/>
    <w:rsid w:val="00AD7848"/>
    <w:rsid w:val="00AD7882"/>
    <w:rsid w:val="00AD78DF"/>
    <w:rsid w:val="00AD7AD9"/>
    <w:rsid w:val="00AD7ED7"/>
    <w:rsid w:val="00AE0028"/>
    <w:rsid w:val="00AE016A"/>
    <w:rsid w:val="00AE0759"/>
    <w:rsid w:val="00AE0875"/>
    <w:rsid w:val="00AE0BFF"/>
    <w:rsid w:val="00AE0C44"/>
    <w:rsid w:val="00AE0ED7"/>
    <w:rsid w:val="00AE0EF6"/>
    <w:rsid w:val="00AE0FF2"/>
    <w:rsid w:val="00AE10ED"/>
    <w:rsid w:val="00AE1154"/>
    <w:rsid w:val="00AE139B"/>
    <w:rsid w:val="00AE15CB"/>
    <w:rsid w:val="00AE17B5"/>
    <w:rsid w:val="00AE1909"/>
    <w:rsid w:val="00AE1A70"/>
    <w:rsid w:val="00AE1C65"/>
    <w:rsid w:val="00AE2081"/>
    <w:rsid w:val="00AE24C2"/>
    <w:rsid w:val="00AE2A22"/>
    <w:rsid w:val="00AE2BC8"/>
    <w:rsid w:val="00AE2C76"/>
    <w:rsid w:val="00AE2DDB"/>
    <w:rsid w:val="00AE2EC8"/>
    <w:rsid w:val="00AE2F88"/>
    <w:rsid w:val="00AE3288"/>
    <w:rsid w:val="00AE3297"/>
    <w:rsid w:val="00AE33D6"/>
    <w:rsid w:val="00AE34BA"/>
    <w:rsid w:val="00AE34C2"/>
    <w:rsid w:val="00AE3626"/>
    <w:rsid w:val="00AE370B"/>
    <w:rsid w:val="00AE38AA"/>
    <w:rsid w:val="00AE3B65"/>
    <w:rsid w:val="00AE3E37"/>
    <w:rsid w:val="00AE3FA5"/>
    <w:rsid w:val="00AE3FFF"/>
    <w:rsid w:val="00AE4145"/>
    <w:rsid w:val="00AE4346"/>
    <w:rsid w:val="00AE4471"/>
    <w:rsid w:val="00AE44B3"/>
    <w:rsid w:val="00AE4A3B"/>
    <w:rsid w:val="00AE4B59"/>
    <w:rsid w:val="00AE4B8F"/>
    <w:rsid w:val="00AE4D0F"/>
    <w:rsid w:val="00AE4DD9"/>
    <w:rsid w:val="00AE4DE1"/>
    <w:rsid w:val="00AE4EA6"/>
    <w:rsid w:val="00AE5117"/>
    <w:rsid w:val="00AE53A4"/>
    <w:rsid w:val="00AE54A1"/>
    <w:rsid w:val="00AE5538"/>
    <w:rsid w:val="00AE55F9"/>
    <w:rsid w:val="00AE5745"/>
    <w:rsid w:val="00AE58EF"/>
    <w:rsid w:val="00AE593D"/>
    <w:rsid w:val="00AE5C59"/>
    <w:rsid w:val="00AE5D29"/>
    <w:rsid w:val="00AE5ECA"/>
    <w:rsid w:val="00AE6199"/>
    <w:rsid w:val="00AE6479"/>
    <w:rsid w:val="00AE64F7"/>
    <w:rsid w:val="00AE676D"/>
    <w:rsid w:val="00AE6775"/>
    <w:rsid w:val="00AE6963"/>
    <w:rsid w:val="00AE6AA7"/>
    <w:rsid w:val="00AE6C65"/>
    <w:rsid w:val="00AE6DBC"/>
    <w:rsid w:val="00AE6E07"/>
    <w:rsid w:val="00AE6EBC"/>
    <w:rsid w:val="00AE7119"/>
    <w:rsid w:val="00AE71CD"/>
    <w:rsid w:val="00AE7719"/>
    <w:rsid w:val="00AE7818"/>
    <w:rsid w:val="00AE7923"/>
    <w:rsid w:val="00AE79A3"/>
    <w:rsid w:val="00AE79EE"/>
    <w:rsid w:val="00AE7A92"/>
    <w:rsid w:val="00AE7B7C"/>
    <w:rsid w:val="00AE7C04"/>
    <w:rsid w:val="00AE7C17"/>
    <w:rsid w:val="00AF0262"/>
    <w:rsid w:val="00AF0755"/>
    <w:rsid w:val="00AF07BE"/>
    <w:rsid w:val="00AF1567"/>
    <w:rsid w:val="00AF18D1"/>
    <w:rsid w:val="00AF1B9E"/>
    <w:rsid w:val="00AF1CF5"/>
    <w:rsid w:val="00AF1E74"/>
    <w:rsid w:val="00AF21DA"/>
    <w:rsid w:val="00AF2470"/>
    <w:rsid w:val="00AF24C3"/>
    <w:rsid w:val="00AF25B8"/>
    <w:rsid w:val="00AF25FC"/>
    <w:rsid w:val="00AF2798"/>
    <w:rsid w:val="00AF2913"/>
    <w:rsid w:val="00AF2B74"/>
    <w:rsid w:val="00AF2C9C"/>
    <w:rsid w:val="00AF3130"/>
    <w:rsid w:val="00AF317A"/>
    <w:rsid w:val="00AF33D0"/>
    <w:rsid w:val="00AF3548"/>
    <w:rsid w:val="00AF3A36"/>
    <w:rsid w:val="00AF3BA1"/>
    <w:rsid w:val="00AF3C46"/>
    <w:rsid w:val="00AF3F53"/>
    <w:rsid w:val="00AF3FDC"/>
    <w:rsid w:val="00AF43C0"/>
    <w:rsid w:val="00AF44D1"/>
    <w:rsid w:val="00AF45F0"/>
    <w:rsid w:val="00AF46B9"/>
    <w:rsid w:val="00AF46CC"/>
    <w:rsid w:val="00AF503E"/>
    <w:rsid w:val="00AF50B6"/>
    <w:rsid w:val="00AF5147"/>
    <w:rsid w:val="00AF5709"/>
    <w:rsid w:val="00AF5A36"/>
    <w:rsid w:val="00AF5B01"/>
    <w:rsid w:val="00AF5CBD"/>
    <w:rsid w:val="00AF607E"/>
    <w:rsid w:val="00AF60D9"/>
    <w:rsid w:val="00AF613D"/>
    <w:rsid w:val="00AF62BC"/>
    <w:rsid w:val="00AF637A"/>
    <w:rsid w:val="00AF66D2"/>
    <w:rsid w:val="00AF682C"/>
    <w:rsid w:val="00AF6A2A"/>
    <w:rsid w:val="00AF6AA2"/>
    <w:rsid w:val="00AF6B5A"/>
    <w:rsid w:val="00AF6DAE"/>
    <w:rsid w:val="00AF7086"/>
    <w:rsid w:val="00AF7119"/>
    <w:rsid w:val="00AF73D6"/>
    <w:rsid w:val="00AF74A3"/>
    <w:rsid w:val="00AF76C4"/>
    <w:rsid w:val="00AF7716"/>
    <w:rsid w:val="00AF7743"/>
    <w:rsid w:val="00AF77FB"/>
    <w:rsid w:val="00AF784A"/>
    <w:rsid w:val="00AF78E5"/>
    <w:rsid w:val="00AF7DB1"/>
    <w:rsid w:val="00AF7F9C"/>
    <w:rsid w:val="00B00414"/>
    <w:rsid w:val="00B007AB"/>
    <w:rsid w:val="00B008DB"/>
    <w:rsid w:val="00B00919"/>
    <w:rsid w:val="00B0098B"/>
    <w:rsid w:val="00B009DB"/>
    <w:rsid w:val="00B00A18"/>
    <w:rsid w:val="00B00E7B"/>
    <w:rsid w:val="00B01191"/>
    <w:rsid w:val="00B01403"/>
    <w:rsid w:val="00B01450"/>
    <w:rsid w:val="00B01660"/>
    <w:rsid w:val="00B017F5"/>
    <w:rsid w:val="00B01957"/>
    <w:rsid w:val="00B01B3E"/>
    <w:rsid w:val="00B01C81"/>
    <w:rsid w:val="00B01D5A"/>
    <w:rsid w:val="00B01F97"/>
    <w:rsid w:val="00B02163"/>
    <w:rsid w:val="00B021C8"/>
    <w:rsid w:val="00B02723"/>
    <w:rsid w:val="00B0280A"/>
    <w:rsid w:val="00B0288B"/>
    <w:rsid w:val="00B02DF0"/>
    <w:rsid w:val="00B02F40"/>
    <w:rsid w:val="00B030FB"/>
    <w:rsid w:val="00B033A9"/>
    <w:rsid w:val="00B03801"/>
    <w:rsid w:val="00B03881"/>
    <w:rsid w:val="00B03AF9"/>
    <w:rsid w:val="00B03BC1"/>
    <w:rsid w:val="00B03E42"/>
    <w:rsid w:val="00B03EA1"/>
    <w:rsid w:val="00B0421E"/>
    <w:rsid w:val="00B04238"/>
    <w:rsid w:val="00B042B1"/>
    <w:rsid w:val="00B0448E"/>
    <w:rsid w:val="00B045E5"/>
    <w:rsid w:val="00B0473F"/>
    <w:rsid w:val="00B04A4E"/>
    <w:rsid w:val="00B04E5B"/>
    <w:rsid w:val="00B04EAC"/>
    <w:rsid w:val="00B051C3"/>
    <w:rsid w:val="00B0529B"/>
    <w:rsid w:val="00B0534B"/>
    <w:rsid w:val="00B05540"/>
    <w:rsid w:val="00B05632"/>
    <w:rsid w:val="00B05735"/>
    <w:rsid w:val="00B058A9"/>
    <w:rsid w:val="00B05BA0"/>
    <w:rsid w:val="00B05CE8"/>
    <w:rsid w:val="00B05D4B"/>
    <w:rsid w:val="00B05F7F"/>
    <w:rsid w:val="00B06019"/>
    <w:rsid w:val="00B06036"/>
    <w:rsid w:val="00B0679B"/>
    <w:rsid w:val="00B06B47"/>
    <w:rsid w:val="00B06D86"/>
    <w:rsid w:val="00B06DD9"/>
    <w:rsid w:val="00B07203"/>
    <w:rsid w:val="00B0737D"/>
    <w:rsid w:val="00B07462"/>
    <w:rsid w:val="00B0749E"/>
    <w:rsid w:val="00B074C4"/>
    <w:rsid w:val="00B07527"/>
    <w:rsid w:val="00B075D4"/>
    <w:rsid w:val="00B07769"/>
    <w:rsid w:val="00B07784"/>
    <w:rsid w:val="00B077CF"/>
    <w:rsid w:val="00B07A41"/>
    <w:rsid w:val="00B07AE3"/>
    <w:rsid w:val="00B07D83"/>
    <w:rsid w:val="00B07E0B"/>
    <w:rsid w:val="00B07F51"/>
    <w:rsid w:val="00B07FB4"/>
    <w:rsid w:val="00B1014D"/>
    <w:rsid w:val="00B1039F"/>
    <w:rsid w:val="00B1051E"/>
    <w:rsid w:val="00B106BF"/>
    <w:rsid w:val="00B10759"/>
    <w:rsid w:val="00B1078C"/>
    <w:rsid w:val="00B10840"/>
    <w:rsid w:val="00B1096E"/>
    <w:rsid w:val="00B11190"/>
    <w:rsid w:val="00B112D9"/>
    <w:rsid w:val="00B113C0"/>
    <w:rsid w:val="00B116E8"/>
    <w:rsid w:val="00B11847"/>
    <w:rsid w:val="00B11975"/>
    <w:rsid w:val="00B119C8"/>
    <w:rsid w:val="00B11CB9"/>
    <w:rsid w:val="00B11D52"/>
    <w:rsid w:val="00B11E79"/>
    <w:rsid w:val="00B12283"/>
    <w:rsid w:val="00B1232A"/>
    <w:rsid w:val="00B12496"/>
    <w:rsid w:val="00B126FC"/>
    <w:rsid w:val="00B12B6A"/>
    <w:rsid w:val="00B12C81"/>
    <w:rsid w:val="00B12CA1"/>
    <w:rsid w:val="00B12CB5"/>
    <w:rsid w:val="00B12D6B"/>
    <w:rsid w:val="00B12FE9"/>
    <w:rsid w:val="00B130C4"/>
    <w:rsid w:val="00B132CD"/>
    <w:rsid w:val="00B13354"/>
    <w:rsid w:val="00B13435"/>
    <w:rsid w:val="00B13441"/>
    <w:rsid w:val="00B13483"/>
    <w:rsid w:val="00B1351A"/>
    <w:rsid w:val="00B13543"/>
    <w:rsid w:val="00B13610"/>
    <w:rsid w:val="00B13689"/>
    <w:rsid w:val="00B137EA"/>
    <w:rsid w:val="00B13B1F"/>
    <w:rsid w:val="00B13C38"/>
    <w:rsid w:val="00B13D37"/>
    <w:rsid w:val="00B13FE9"/>
    <w:rsid w:val="00B14342"/>
    <w:rsid w:val="00B147EC"/>
    <w:rsid w:val="00B1496A"/>
    <w:rsid w:val="00B14C16"/>
    <w:rsid w:val="00B14D5C"/>
    <w:rsid w:val="00B14E7B"/>
    <w:rsid w:val="00B1523E"/>
    <w:rsid w:val="00B1556A"/>
    <w:rsid w:val="00B156AE"/>
    <w:rsid w:val="00B15718"/>
    <w:rsid w:val="00B15856"/>
    <w:rsid w:val="00B1590B"/>
    <w:rsid w:val="00B15A49"/>
    <w:rsid w:val="00B15D54"/>
    <w:rsid w:val="00B15E66"/>
    <w:rsid w:val="00B15F80"/>
    <w:rsid w:val="00B15FB0"/>
    <w:rsid w:val="00B16062"/>
    <w:rsid w:val="00B1641D"/>
    <w:rsid w:val="00B164F2"/>
    <w:rsid w:val="00B16561"/>
    <w:rsid w:val="00B1672A"/>
    <w:rsid w:val="00B1680B"/>
    <w:rsid w:val="00B168F4"/>
    <w:rsid w:val="00B16B88"/>
    <w:rsid w:val="00B16BD6"/>
    <w:rsid w:val="00B16CF6"/>
    <w:rsid w:val="00B16D34"/>
    <w:rsid w:val="00B16E0D"/>
    <w:rsid w:val="00B16E3A"/>
    <w:rsid w:val="00B16E3E"/>
    <w:rsid w:val="00B170B8"/>
    <w:rsid w:val="00B1711F"/>
    <w:rsid w:val="00B17141"/>
    <w:rsid w:val="00B17344"/>
    <w:rsid w:val="00B17592"/>
    <w:rsid w:val="00B176E1"/>
    <w:rsid w:val="00B17CFE"/>
    <w:rsid w:val="00B200BF"/>
    <w:rsid w:val="00B20255"/>
    <w:rsid w:val="00B202AE"/>
    <w:rsid w:val="00B20343"/>
    <w:rsid w:val="00B203C6"/>
    <w:rsid w:val="00B203E3"/>
    <w:rsid w:val="00B20B60"/>
    <w:rsid w:val="00B20D93"/>
    <w:rsid w:val="00B20F09"/>
    <w:rsid w:val="00B20F54"/>
    <w:rsid w:val="00B210C8"/>
    <w:rsid w:val="00B211F8"/>
    <w:rsid w:val="00B216B0"/>
    <w:rsid w:val="00B217E2"/>
    <w:rsid w:val="00B2186B"/>
    <w:rsid w:val="00B219CA"/>
    <w:rsid w:val="00B21AA7"/>
    <w:rsid w:val="00B21CDE"/>
    <w:rsid w:val="00B21DC8"/>
    <w:rsid w:val="00B21DE3"/>
    <w:rsid w:val="00B21E82"/>
    <w:rsid w:val="00B22037"/>
    <w:rsid w:val="00B22170"/>
    <w:rsid w:val="00B224AD"/>
    <w:rsid w:val="00B228D0"/>
    <w:rsid w:val="00B22A0B"/>
    <w:rsid w:val="00B22ABF"/>
    <w:rsid w:val="00B22CBE"/>
    <w:rsid w:val="00B22E89"/>
    <w:rsid w:val="00B22E93"/>
    <w:rsid w:val="00B22EE4"/>
    <w:rsid w:val="00B22FF6"/>
    <w:rsid w:val="00B2330D"/>
    <w:rsid w:val="00B2349F"/>
    <w:rsid w:val="00B23534"/>
    <w:rsid w:val="00B239E1"/>
    <w:rsid w:val="00B23B08"/>
    <w:rsid w:val="00B23B13"/>
    <w:rsid w:val="00B23B51"/>
    <w:rsid w:val="00B23BAB"/>
    <w:rsid w:val="00B23E62"/>
    <w:rsid w:val="00B23EC6"/>
    <w:rsid w:val="00B23F92"/>
    <w:rsid w:val="00B23FE1"/>
    <w:rsid w:val="00B24012"/>
    <w:rsid w:val="00B2404F"/>
    <w:rsid w:val="00B245F6"/>
    <w:rsid w:val="00B24704"/>
    <w:rsid w:val="00B24A09"/>
    <w:rsid w:val="00B24ABD"/>
    <w:rsid w:val="00B24BE9"/>
    <w:rsid w:val="00B25456"/>
    <w:rsid w:val="00B25741"/>
    <w:rsid w:val="00B25829"/>
    <w:rsid w:val="00B259D7"/>
    <w:rsid w:val="00B25BC4"/>
    <w:rsid w:val="00B25C55"/>
    <w:rsid w:val="00B25F2A"/>
    <w:rsid w:val="00B26176"/>
    <w:rsid w:val="00B2643E"/>
    <w:rsid w:val="00B265A7"/>
    <w:rsid w:val="00B26C05"/>
    <w:rsid w:val="00B26C77"/>
    <w:rsid w:val="00B26F5F"/>
    <w:rsid w:val="00B270A7"/>
    <w:rsid w:val="00B273F2"/>
    <w:rsid w:val="00B27560"/>
    <w:rsid w:val="00B277B8"/>
    <w:rsid w:val="00B27890"/>
    <w:rsid w:val="00B27CC8"/>
    <w:rsid w:val="00B27DDF"/>
    <w:rsid w:val="00B27EE2"/>
    <w:rsid w:val="00B27F53"/>
    <w:rsid w:val="00B3028E"/>
    <w:rsid w:val="00B30724"/>
    <w:rsid w:val="00B30E91"/>
    <w:rsid w:val="00B31059"/>
    <w:rsid w:val="00B31575"/>
    <w:rsid w:val="00B318C1"/>
    <w:rsid w:val="00B318E8"/>
    <w:rsid w:val="00B3194F"/>
    <w:rsid w:val="00B31AB8"/>
    <w:rsid w:val="00B31BA2"/>
    <w:rsid w:val="00B31BA4"/>
    <w:rsid w:val="00B31DB8"/>
    <w:rsid w:val="00B31F42"/>
    <w:rsid w:val="00B31F98"/>
    <w:rsid w:val="00B322E5"/>
    <w:rsid w:val="00B32639"/>
    <w:rsid w:val="00B32696"/>
    <w:rsid w:val="00B326CB"/>
    <w:rsid w:val="00B3283A"/>
    <w:rsid w:val="00B329F2"/>
    <w:rsid w:val="00B32B42"/>
    <w:rsid w:val="00B32CBA"/>
    <w:rsid w:val="00B32DAA"/>
    <w:rsid w:val="00B32DD7"/>
    <w:rsid w:val="00B33166"/>
    <w:rsid w:val="00B33350"/>
    <w:rsid w:val="00B33551"/>
    <w:rsid w:val="00B339B5"/>
    <w:rsid w:val="00B33A93"/>
    <w:rsid w:val="00B33B02"/>
    <w:rsid w:val="00B33BDA"/>
    <w:rsid w:val="00B33D47"/>
    <w:rsid w:val="00B33EE8"/>
    <w:rsid w:val="00B33F0D"/>
    <w:rsid w:val="00B34024"/>
    <w:rsid w:val="00B34051"/>
    <w:rsid w:val="00B3406B"/>
    <w:rsid w:val="00B344E0"/>
    <w:rsid w:val="00B346D0"/>
    <w:rsid w:val="00B347EC"/>
    <w:rsid w:val="00B34865"/>
    <w:rsid w:val="00B3491A"/>
    <w:rsid w:val="00B34AF8"/>
    <w:rsid w:val="00B34E62"/>
    <w:rsid w:val="00B34E98"/>
    <w:rsid w:val="00B34FB2"/>
    <w:rsid w:val="00B35310"/>
    <w:rsid w:val="00B354F1"/>
    <w:rsid w:val="00B358EA"/>
    <w:rsid w:val="00B35A79"/>
    <w:rsid w:val="00B35BFC"/>
    <w:rsid w:val="00B35E1C"/>
    <w:rsid w:val="00B360F3"/>
    <w:rsid w:val="00B3684B"/>
    <w:rsid w:val="00B368EA"/>
    <w:rsid w:val="00B36980"/>
    <w:rsid w:val="00B36B05"/>
    <w:rsid w:val="00B36B28"/>
    <w:rsid w:val="00B37164"/>
    <w:rsid w:val="00B37193"/>
    <w:rsid w:val="00B372C4"/>
    <w:rsid w:val="00B375A7"/>
    <w:rsid w:val="00B37799"/>
    <w:rsid w:val="00B37822"/>
    <w:rsid w:val="00B378E9"/>
    <w:rsid w:val="00B379FB"/>
    <w:rsid w:val="00B37A08"/>
    <w:rsid w:val="00B37A37"/>
    <w:rsid w:val="00B37C7C"/>
    <w:rsid w:val="00B37D5B"/>
    <w:rsid w:val="00B37D86"/>
    <w:rsid w:val="00B37DE3"/>
    <w:rsid w:val="00B37DFF"/>
    <w:rsid w:val="00B40171"/>
    <w:rsid w:val="00B4065D"/>
    <w:rsid w:val="00B407F9"/>
    <w:rsid w:val="00B40BC8"/>
    <w:rsid w:val="00B40C66"/>
    <w:rsid w:val="00B40E95"/>
    <w:rsid w:val="00B41064"/>
    <w:rsid w:val="00B410A7"/>
    <w:rsid w:val="00B41328"/>
    <w:rsid w:val="00B413A5"/>
    <w:rsid w:val="00B41451"/>
    <w:rsid w:val="00B4159C"/>
    <w:rsid w:val="00B415DB"/>
    <w:rsid w:val="00B416D5"/>
    <w:rsid w:val="00B41CCC"/>
    <w:rsid w:val="00B41D15"/>
    <w:rsid w:val="00B41E00"/>
    <w:rsid w:val="00B41EEF"/>
    <w:rsid w:val="00B41F5E"/>
    <w:rsid w:val="00B4213A"/>
    <w:rsid w:val="00B421E5"/>
    <w:rsid w:val="00B42256"/>
    <w:rsid w:val="00B426F6"/>
    <w:rsid w:val="00B42C07"/>
    <w:rsid w:val="00B42CBF"/>
    <w:rsid w:val="00B42D8A"/>
    <w:rsid w:val="00B43323"/>
    <w:rsid w:val="00B4355C"/>
    <w:rsid w:val="00B43616"/>
    <w:rsid w:val="00B43695"/>
    <w:rsid w:val="00B43AAF"/>
    <w:rsid w:val="00B43D50"/>
    <w:rsid w:val="00B43D6D"/>
    <w:rsid w:val="00B43DEE"/>
    <w:rsid w:val="00B43F51"/>
    <w:rsid w:val="00B440A1"/>
    <w:rsid w:val="00B445EA"/>
    <w:rsid w:val="00B446A6"/>
    <w:rsid w:val="00B446EF"/>
    <w:rsid w:val="00B44735"/>
    <w:rsid w:val="00B44BDA"/>
    <w:rsid w:val="00B44CC6"/>
    <w:rsid w:val="00B44EE4"/>
    <w:rsid w:val="00B45218"/>
    <w:rsid w:val="00B45408"/>
    <w:rsid w:val="00B454A7"/>
    <w:rsid w:val="00B4555F"/>
    <w:rsid w:val="00B45574"/>
    <w:rsid w:val="00B457A0"/>
    <w:rsid w:val="00B459D1"/>
    <w:rsid w:val="00B45DAC"/>
    <w:rsid w:val="00B45ECA"/>
    <w:rsid w:val="00B46737"/>
    <w:rsid w:val="00B4690C"/>
    <w:rsid w:val="00B46935"/>
    <w:rsid w:val="00B473B7"/>
    <w:rsid w:val="00B476C4"/>
    <w:rsid w:val="00B47795"/>
    <w:rsid w:val="00B478AD"/>
    <w:rsid w:val="00B4790F"/>
    <w:rsid w:val="00B47949"/>
    <w:rsid w:val="00B47957"/>
    <w:rsid w:val="00B4799D"/>
    <w:rsid w:val="00B47A00"/>
    <w:rsid w:val="00B47E36"/>
    <w:rsid w:val="00B50057"/>
    <w:rsid w:val="00B50084"/>
    <w:rsid w:val="00B500AF"/>
    <w:rsid w:val="00B5075D"/>
    <w:rsid w:val="00B507F6"/>
    <w:rsid w:val="00B509C1"/>
    <w:rsid w:val="00B50BBF"/>
    <w:rsid w:val="00B50C6F"/>
    <w:rsid w:val="00B50EBB"/>
    <w:rsid w:val="00B50FAA"/>
    <w:rsid w:val="00B5127C"/>
    <w:rsid w:val="00B513A2"/>
    <w:rsid w:val="00B517E4"/>
    <w:rsid w:val="00B51AAC"/>
    <w:rsid w:val="00B51B13"/>
    <w:rsid w:val="00B51DDA"/>
    <w:rsid w:val="00B51E7D"/>
    <w:rsid w:val="00B51F2B"/>
    <w:rsid w:val="00B51F56"/>
    <w:rsid w:val="00B52217"/>
    <w:rsid w:val="00B52240"/>
    <w:rsid w:val="00B523A0"/>
    <w:rsid w:val="00B525EA"/>
    <w:rsid w:val="00B52BA8"/>
    <w:rsid w:val="00B52CFD"/>
    <w:rsid w:val="00B52D43"/>
    <w:rsid w:val="00B52EB0"/>
    <w:rsid w:val="00B53451"/>
    <w:rsid w:val="00B534C6"/>
    <w:rsid w:val="00B5394B"/>
    <w:rsid w:val="00B539D9"/>
    <w:rsid w:val="00B53CE9"/>
    <w:rsid w:val="00B53D3B"/>
    <w:rsid w:val="00B53DEA"/>
    <w:rsid w:val="00B53E1A"/>
    <w:rsid w:val="00B53E4A"/>
    <w:rsid w:val="00B54213"/>
    <w:rsid w:val="00B54484"/>
    <w:rsid w:val="00B544B1"/>
    <w:rsid w:val="00B546DD"/>
    <w:rsid w:val="00B54C57"/>
    <w:rsid w:val="00B54D77"/>
    <w:rsid w:val="00B54F54"/>
    <w:rsid w:val="00B54F71"/>
    <w:rsid w:val="00B54FB1"/>
    <w:rsid w:val="00B54FF4"/>
    <w:rsid w:val="00B55099"/>
    <w:rsid w:val="00B55114"/>
    <w:rsid w:val="00B55231"/>
    <w:rsid w:val="00B558D5"/>
    <w:rsid w:val="00B5598A"/>
    <w:rsid w:val="00B5607A"/>
    <w:rsid w:val="00B561E4"/>
    <w:rsid w:val="00B5621D"/>
    <w:rsid w:val="00B562B8"/>
    <w:rsid w:val="00B56397"/>
    <w:rsid w:val="00B56413"/>
    <w:rsid w:val="00B5644F"/>
    <w:rsid w:val="00B56450"/>
    <w:rsid w:val="00B5648E"/>
    <w:rsid w:val="00B56779"/>
    <w:rsid w:val="00B56CC9"/>
    <w:rsid w:val="00B56D88"/>
    <w:rsid w:val="00B57981"/>
    <w:rsid w:val="00B57D90"/>
    <w:rsid w:val="00B57DEB"/>
    <w:rsid w:val="00B57E31"/>
    <w:rsid w:val="00B60270"/>
    <w:rsid w:val="00B60384"/>
    <w:rsid w:val="00B60432"/>
    <w:rsid w:val="00B60510"/>
    <w:rsid w:val="00B60942"/>
    <w:rsid w:val="00B60A15"/>
    <w:rsid w:val="00B60AB5"/>
    <w:rsid w:val="00B60F2E"/>
    <w:rsid w:val="00B60F59"/>
    <w:rsid w:val="00B61103"/>
    <w:rsid w:val="00B61175"/>
    <w:rsid w:val="00B612DA"/>
    <w:rsid w:val="00B61386"/>
    <w:rsid w:val="00B61388"/>
    <w:rsid w:val="00B61531"/>
    <w:rsid w:val="00B618D1"/>
    <w:rsid w:val="00B62155"/>
    <w:rsid w:val="00B62748"/>
    <w:rsid w:val="00B62C7D"/>
    <w:rsid w:val="00B62FB4"/>
    <w:rsid w:val="00B632AF"/>
    <w:rsid w:val="00B63A23"/>
    <w:rsid w:val="00B63CBD"/>
    <w:rsid w:val="00B641CE"/>
    <w:rsid w:val="00B64453"/>
    <w:rsid w:val="00B64473"/>
    <w:rsid w:val="00B646CA"/>
    <w:rsid w:val="00B64D3F"/>
    <w:rsid w:val="00B650C9"/>
    <w:rsid w:val="00B65113"/>
    <w:rsid w:val="00B65163"/>
    <w:rsid w:val="00B651D7"/>
    <w:rsid w:val="00B65278"/>
    <w:rsid w:val="00B65283"/>
    <w:rsid w:val="00B655F6"/>
    <w:rsid w:val="00B65791"/>
    <w:rsid w:val="00B65A24"/>
    <w:rsid w:val="00B65A5C"/>
    <w:rsid w:val="00B65AE1"/>
    <w:rsid w:val="00B65B5E"/>
    <w:rsid w:val="00B65BF1"/>
    <w:rsid w:val="00B65C6A"/>
    <w:rsid w:val="00B65EE4"/>
    <w:rsid w:val="00B65F35"/>
    <w:rsid w:val="00B65F4D"/>
    <w:rsid w:val="00B65F7D"/>
    <w:rsid w:val="00B65FE2"/>
    <w:rsid w:val="00B660B0"/>
    <w:rsid w:val="00B662FD"/>
    <w:rsid w:val="00B66967"/>
    <w:rsid w:val="00B66E1C"/>
    <w:rsid w:val="00B66E85"/>
    <w:rsid w:val="00B67173"/>
    <w:rsid w:val="00B67455"/>
    <w:rsid w:val="00B70075"/>
    <w:rsid w:val="00B70903"/>
    <w:rsid w:val="00B70EFC"/>
    <w:rsid w:val="00B70F2F"/>
    <w:rsid w:val="00B70F97"/>
    <w:rsid w:val="00B70FB6"/>
    <w:rsid w:val="00B7107C"/>
    <w:rsid w:val="00B71276"/>
    <w:rsid w:val="00B71420"/>
    <w:rsid w:val="00B714FB"/>
    <w:rsid w:val="00B71575"/>
    <w:rsid w:val="00B71676"/>
    <w:rsid w:val="00B71718"/>
    <w:rsid w:val="00B71787"/>
    <w:rsid w:val="00B71ACB"/>
    <w:rsid w:val="00B71E56"/>
    <w:rsid w:val="00B71F92"/>
    <w:rsid w:val="00B71FC9"/>
    <w:rsid w:val="00B721A8"/>
    <w:rsid w:val="00B722F7"/>
    <w:rsid w:val="00B722FC"/>
    <w:rsid w:val="00B722FF"/>
    <w:rsid w:val="00B72329"/>
    <w:rsid w:val="00B72420"/>
    <w:rsid w:val="00B725E1"/>
    <w:rsid w:val="00B72634"/>
    <w:rsid w:val="00B72710"/>
    <w:rsid w:val="00B72797"/>
    <w:rsid w:val="00B72B73"/>
    <w:rsid w:val="00B72FEC"/>
    <w:rsid w:val="00B730EC"/>
    <w:rsid w:val="00B7320A"/>
    <w:rsid w:val="00B735EF"/>
    <w:rsid w:val="00B735F2"/>
    <w:rsid w:val="00B73678"/>
    <w:rsid w:val="00B73760"/>
    <w:rsid w:val="00B737A6"/>
    <w:rsid w:val="00B73EBC"/>
    <w:rsid w:val="00B740EE"/>
    <w:rsid w:val="00B741C9"/>
    <w:rsid w:val="00B7435D"/>
    <w:rsid w:val="00B74AD7"/>
    <w:rsid w:val="00B74E24"/>
    <w:rsid w:val="00B75013"/>
    <w:rsid w:val="00B75119"/>
    <w:rsid w:val="00B751C0"/>
    <w:rsid w:val="00B755CB"/>
    <w:rsid w:val="00B75615"/>
    <w:rsid w:val="00B7567A"/>
    <w:rsid w:val="00B75696"/>
    <w:rsid w:val="00B75819"/>
    <w:rsid w:val="00B7587D"/>
    <w:rsid w:val="00B75923"/>
    <w:rsid w:val="00B75A77"/>
    <w:rsid w:val="00B75AFF"/>
    <w:rsid w:val="00B75B70"/>
    <w:rsid w:val="00B75C46"/>
    <w:rsid w:val="00B75EBC"/>
    <w:rsid w:val="00B760A0"/>
    <w:rsid w:val="00B761D4"/>
    <w:rsid w:val="00B7629D"/>
    <w:rsid w:val="00B76649"/>
    <w:rsid w:val="00B76671"/>
    <w:rsid w:val="00B766F8"/>
    <w:rsid w:val="00B768A2"/>
    <w:rsid w:val="00B76C32"/>
    <w:rsid w:val="00B76ED1"/>
    <w:rsid w:val="00B774D3"/>
    <w:rsid w:val="00B77578"/>
    <w:rsid w:val="00B7760C"/>
    <w:rsid w:val="00B7775A"/>
    <w:rsid w:val="00B779CC"/>
    <w:rsid w:val="00B779F2"/>
    <w:rsid w:val="00B77AAC"/>
    <w:rsid w:val="00B77B79"/>
    <w:rsid w:val="00B77C4B"/>
    <w:rsid w:val="00B77E06"/>
    <w:rsid w:val="00B77E0D"/>
    <w:rsid w:val="00B802A8"/>
    <w:rsid w:val="00B803C2"/>
    <w:rsid w:val="00B80515"/>
    <w:rsid w:val="00B80526"/>
    <w:rsid w:val="00B805D1"/>
    <w:rsid w:val="00B80751"/>
    <w:rsid w:val="00B80A78"/>
    <w:rsid w:val="00B80A90"/>
    <w:rsid w:val="00B80BE9"/>
    <w:rsid w:val="00B80C16"/>
    <w:rsid w:val="00B81046"/>
    <w:rsid w:val="00B81206"/>
    <w:rsid w:val="00B813BD"/>
    <w:rsid w:val="00B81515"/>
    <w:rsid w:val="00B815A0"/>
    <w:rsid w:val="00B81858"/>
    <w:rsid w:val="00B8199A"/>
    <w:rsid w:val="00B81B21"/>
    <w:rsid w:val="00B81B29"/>
    <w:rsid w:val="00B81B44"/>
    <w:rsid w:val="00B81C64"/>
    <w:rsid w:val="00B81D0C"/>
    <w:rsid w:val="00B81E5B"/>
    <w:rsid w:val="00B820C9"/>
    <w:rsid w:val="00B821B3"/>
    <w:rsid w:val="00B821C0"/>
    <w:rsid w:val="00B82637"/>
    <w:rsid w:val="00B8265F"/>
    <w:rsid w:val="00B82A0A"/>
    <w:rsid w:val="00B82B92"/>
    <w:rsid w:val="00B82C15"/>
    <w:rsid w:val="00B82E52"/>
    <w:rsid w:val="00B82E75"/>
    <w:rsid w:val="00B82FA2"/>
    <w:rsid w:val="00B83117"/>
    <w:rsid w:val="00B8319F"/>
    <w:rsid w:val="00B83213"/>
    <w:rsid w:val="00B834CA"/>
    <w:rsid w:val="00B835CF"/>
    <w:rsid w:val="00B8370A"/>
    <w:rsid w:val="00B837AB"/>
    <w:rsid w:val="00B83ADC"/>
    <w:rsid w:val="00B83B3E"/>
    <w:rsid w:val="00B83B6F"/>
    <w:rsid w:val="00B83C48"/>
    <w:rsid w:val="00B840E4"/>
    <w:rsid w:val="00B84224"/>
    <w:rsid w:val="00B84776"/>
    <w:rsid w:val="00B848C7"/>
    <w:rsid w:val="00B84B11"/>
    <w:rsid w:val="00B84B7F"/>
    <w:rsid w:val="00B84C67"/>
    <w:rsid w:val="00B84DA5"/>
    <w:rsid w:val="00B84DF9"/>
    <w:rsid w:val="00B850AE"/>
    <w:rsid w:val="00B85291"/>
    <w:rsid w:val="00B8547D"/>
    <w:rsid w:val="00B85AD5"/>
    <w:rsid w:val="00B85BB4"/>
    <w:rsid w:val="00B85D2D"/>
    <w:rsid w:val="00B85DB2"/>
    <w:rsid w:val="00B85DB7"/>
    <w:rsid w:val="00B86120"/>
    <w:rsid w:val="00B86230"/>
    <w:rsid w:val="00B86A75"/>
    <w:rsid w:val="00B86AF4"/>
    <w:rsid w:val="00B86C11"/>
    <w:rsid w:val="00B86D1C"/>
    <w:rsid w:val="00B86EE1"/>
    <w:rsid w:val="00B871D7"/>
    <w:rsid w:val="00B87290"/>
    <w:rsid w:val="00B87634"/>
    <w:rsid w:val="00B87718"/>
    <w:rsid w:val="00B8772B"/>
    <w:rsid w:val="00B877F8"/>
    <w:rsid w:val="00B87811"/>
    <w:rsid w:val="00B878CA"/>
    <w:rsid w:val="00B87BE6"/>
    <w:rsid w:val="00B87DBA"/>
    <w:rsid w:val="00B87DE6"/>
    <w:rsid w:val="00B87F9F"/>
    <w:rsid w:val="00B90026"/>
    <w:rsid w:val="00B9033E"/>
    <w:rsid w:val="00B9053B"/>
    <w:rsid w:val="00B9069F"/>
    <w:rsid w:val="00B9072A"/>
    <w:rsid w:val="00B90ACB"/>
    <w:rsid w:val="00B90B6C"/>
    <w:rsid w:val="00B90C1D"/>
    <w:rsid w:val="00B90D43"/>
    <w:rsid w:val="00B915CB"/>
    <w:rsid w:val="00B91651"/>
    <w:rsid w:val="00B91D75"/>
    <w:rsid w:val="00B92135"/>
    <w:rsid w:val="00B922AF"/>
    <w:rsid w:val="00B926E7"/>
    <w:rsid w:val="00B92B17"/>
    <w:rsid w:val="00B92B8A"/>
    <w:rsid w:val="00B92D71"/>
    <w:rsid w:val="00B92EC0"/>
    <w:rsid w:val="00B93000"/>
    <w:rsid w:val="00B930F0"/>
    <w:rsid w:val="00B93144"/>
    <w:rsid w:val="00B932D4"/>
    <w:rsid w:val="00B933D9"/>
    <w:rsid w:val="00B935CB"/>
    <w:rsid w:val="00B9360B"/>
    <w:rsid w:val="00B936CB"/>
    <w:rsid w:val="00B93857"/>
    <w:rsid w:val="00B93859"/>
    <w:rsid w:val="00B93954"/>
    <w:rsid w:val="00B9397C"/>
    <w:rsid w:val="00B93C7A"/>
    <w:rsid w:val="00B9409B"/>
    <w:rsid w:val="00B9460B"/>
    <w:rsid w:val="00B94A04"/>
    <w:rsid w:val="00B94B08"/>
    <w:rsid w:val="00B94B55"/>
    <w:rsid w:val="00B94D98"/>
    <w:rsid w:val="00B94F6B"/>
    <w:rsid w:val="00B950A0"/>
    <w:rsid w:val="00B9511C"/>
    <w:rsid w:val="00B95230"/>
    <w:rsid w:val="00B95434"/>
    <w:rsid w:val="00B954CB"/>
    <w:rsid w:val="00B95536"/>
    <w:rsid w:val="00B95660"/>
    <w:rsid w:val="00B956B1"/>
    <w:rsid w:val="00B957C0"/>
    <w:rsid w:val="00B95AFA"/>
    <w:rsid w:val="00B95D2C"/>
    <w:rsid w:val="00B95F6A"/>
    <w:rsid w:val="00B96263"/>
    <w:rsid w:val="00B9645C"/>
    <w:rsid w:val="00B9680F"/>
    <w:rsid w:val="00B96C04"/>
    <w:rsid w:val="00B96CC4"/>
    <w:rsid w:val="00B96E31"/>
    <w:rsid w:val="00B9720C"/>
    <w:rsid w:val="00B97447"/>
    <w:rsid w:val="00B977AF"/>
    <w:rsid w:val="00B97C9B"/>
    <w:rsid w:val="00B97D92"/>
    <w:rsid w:val="00B97DAD"/>
    <w:rsid w:val="00B97DD6"/>
    <w:rsid w:val="00B97EAE"/>
    <w:rsid w:val="00B97F5B"/>
    <w:rsid w:val="00BA0302"/>
    <w:rsid w:val="00BA0387"/>
    <w:rsid w:val="00BA0581"/>
    <w:rsid w:val="00BA08B3"/>
    <w:rsid w:val="00BA0E03"/>
    <w:rsid w:val="00BA103D"/>
    <w:rsid w:val="00BA11FD"/>
    <w:rsid w:val="00BA121D"/>
    <w:rsid w:val="00BA13C0"/>
    <w:rsid w:val="00BA14EC"/>
    <w:rsid w:val="00BA1A93"/>
    <w:rsid w:val="00BA1C54"/>
    <w:rsid w:val="00BA1C95"/>
    <w:rsid w:val="00BA1D0A"/>
    <w:rsid w:val="00BA1E27"/>
    <w:rsid w:val="00BA1F7C"/>
    <w:rsid w:val="00BA1FF9"/>
    <w:rsid w:val="00BA200E"/>
    <w:rsid w:val="00BA22AE"/>
    <w:rsid w:val="00BA2447"/>
    <w:rsid w:val="00BA26A2"/>
    <w:rsid w:val="00BA2B3D"/>
    <w:rsid w:val="00BA2CE4"/>
    <w:rsid w:val="00BA2D14"/>
    <w:rsid w:val="00BA2E05"/>
    <w:rsid w:val="00BA3333"/>
    <w:rsid w:val="00BA3367"/>
    <w:rsid w:val="00BA3471"/>
    <w:rsid w:val="00BA34E2"/>
    <w:rsid w:val="00BA3609"/>
    <w:rsid w:val="00BA3658"/>
    <w:rsid w:val="00BA3A13"/>
    <w:rsid w:val="00BA3AEB"/>
    <w:rsid w:val="00BA3BC5"/>
    <w:rsid w:val="00BA3DCC"/>
    <w:rsid w:val="00BA3ECE"/>
    <w:rsid w:val="00BA4131"/>
    <w:rsid w:val="00BA419B"/>
    <w:rsid w:val="00BA4228"/>
    <w:rsid w:val="00BA45CA"/>
    <w:rsid w:val="00BA46C6"/>
    <w:rsid w:val="00BA46D1"/>
    <w:rsid w:val="00BA4818"/>
    <w:rsid w:val="00BA488B"/>
    <w:rsid w:val="00BA48E6"/>
    <w:rsid w:val="00BA4C81"/>
    <w:rsid w:val="00BA520F"/>
    <w:rsid w:val="00BA52EA"/>
    <w:rsid w:val="00BA559A"/>
    <w:rsid w:val="00BA59AF"/>
    <w:rsid w:val="00BA5D35"/>
    <w:rsid w:val="00BA6154"/>
    <w:rsid w:val="00BA62D6"/>
    <w:rsid w:val="00BA6379"/>
    <w:rsid w:val="00BA6582"/>
    <w:rsid w:val="00BA6A63"/>
    <w:rsid w:val="00BA6CE4"/>
    <w:rsid w:val="00BA6D9C"/>
    <w:rsid w:val="00BA6E51"/>
    <w:rsid w:val="00BA70CF"/>
    <w:rsid w:val="00BA70F1"/>
    <w:rsid w:val="00BA723F"/>
    <w:rsid w:val="00BA725F"/>
    <w:rsid w:val="00BA73E7"/>
    <w:rsid w:val="00BA7408"/>
    <w:rsid w:val="00BA78BB"/>
    <w:rsid w:val="00BA7E18"/>
    <w:rsid w:val="00BA7E1C"/>
    <w:rsid w:val="00BB00BE"/>
    <w:rsid w:val="00BB0695"/>
    <w:rsid w:val="00BB0A68"/>
    <w:rsid w:val="00BB0D03"/>
    <w:rsid w:val="00BB0D43"/>
    <w:rsid w:val="00BB1085"/>
    <w:rsid w:val="00BB1289"/>
    <w:rsid w:val="00BB12EC"/>
    <w:rsid w:val="00BB13BF"/>
    <w:rsid w:val="00BB146E"/>
    <w:rsid w:val="00BB182D"/>
    <w:rsid w:val="00BB1C42"/>
    <w:rsid w:val="00BB1E70"/>
    <w:rsid w:val="00BB1F1B"/>
    <w:rsid w:val="00BB2633"/>
    <w:rsid w:val="00BB264B"/>
    <w:rsid w:val="00BB26B0"/>
    <w:rsid w:val="00BB285F"/>
    <w:rsid w:val="00BB29F2"/>
    <w:rsid w:val="00BB2C91"/>
    <w:rsid w:val="00BB2CC5"/>
    <w:rsid w:val="00BB2E2D"/>
    <w:rsid w:val="00BB2F8F"/>
    <w:rsid w:val="00BB30F1"/>
    <w:rsid w:val="00BB3345"/>
    <w:rsid w:val="00BB349B"/>
    <w:rsid w:val="00BB362A"/>
    <w:rsid w:val="00BB37AD"/>
    <w:rsid w:val="00BB3B73"/>
    <w:rsid w:val="00BB3B9C"/>
    <w:rsid w:val="00BB3EB1"/>
    <w:rsid w:val="00BB4016"/>
    <w:rsid w:val="00BB40E5"/>
    <w:rsid w:val="00BB4319"/>
    <w:rsid w:val="00BB433F"/>
    <w:rsid w:val="00BB447B"/>
    <w:rsid w:val="00BB44AD"/>
    <w:rsid w:val="00BB4AC0"/>
    <w:rsid w:val="00BB4D37"/>
    <w:rsid w:val="00BB4F24"/>
    <w:rsid w:val="00BB4F30"/>
    <w:rsid w:val="00BB5228"/>
    <w:rsid w:val="00BB5377"/>
    <w:rsid w:val="00BB570C"/>
    <w:rsid w:val="00BB58B4"/>
    <w:rsid w:val="00BB5B26"/>
    <w:rsid w:val="00BB5CC2"/>
    <w:rsid w:val="00BB5EC4"/>
    <w:rsid w:val="00BB5F60"/>
    <w:rsid w:val="00BB62E3"/>
    <w:rsid w:val="00BB6423"/>
    <w:rsid w:val="00BB65DB"/>
    <w:rsid w:val="00BB6605"/>
    <w:rsid w:val="00BB681F"/>
    <w:rsid w:val="00BB6A55"/>
    <w:rsid w:val="00BB6CA0"/>
    <w:rsid w:val="00BB6DF1"/>
    <w:rsid w:val="00BB70EE"/>
    <w:rsid w:val="00BB73E3"/>
    <w:rsid w:val="00BB79F6"/>
    <w:rsid w:val="00BB7A4B"/>
    <w:rsid w:val="00BB7C74"/>
    <w:rsid w:val="00BB7D50"/>
    <w:rsid w:val="00BB7F40"/>
    <w:rsid w:val="00BC0250"/>
    <w:rsid w:val="00BC02D3"/>
    <w:rsid w:val="00BC031C"/>
    <w:rsid w:val="00BC049E"/>
    <w:rsid w:val="00BC069A"/>
    <w:rsid w:val="00BC078B"/>
    <w:rsid w:val="00BC1570"/>
    <w:rsid w:val="00BC1896"/>
    <w:rsid w:val="00BC1959"/>
    <w:rsid w:val="00BC1C96"/>
    <w:rsid w:val="00BC1CD1"/>
    <w:rsid w:val="00BC202D"/>
    <w:rsid w:val="00BC206D"/>
    <w:rsid w:val="00BC21CC"/>
    <w:rsid w:val="00BC21DE"/>
    <w:rsid w:val="00BC232D"/>
    <w:rsid w:val="00BC261D"/>
    <w:rsid w:val="00BC2880"/>
    <w:rsid w:val="00BC2B8A"/>
    <w:rsid w:val="00BC31A7"/>
    <w:rsid w:val="00BC3238"/>
    <w:rsid w:val="00BC325F"/>
    <w:rsid w:val="00BC327A"/>
    <w:rsid w:val="00BC3291"/>
    <w:rsid w:val="00BC34AD"/>
    <w:rsid w:val="00BC371C"/>
    <w:rsid w:val="00BC3AC6"/>
    <w:rsid w:val="00BC3E38"/>
    <w:rsid w:val="00BC404B"/>
    <w:rsid w:val="00BC424B"/>
    <w:rsid w:val="00BC4447"/>
    <w:rsid w:val="00BC47AA"/>
    <w:rsid w:val="00BC485A"/>
    <w:rsid w:val="00BC4A89"/>
    <w:rsid w:val="00BC4D3C"/>
    <w:rsid w:val="00BC5024"/>
    <w:rsid w:val="00BC51BE"/>
    <w:rsid w:val="00BC520C"/>
    <w:rsid w:val="00BC560C"/>
    <w:rsid w:val="00BC58D9"/>
    <w:rsid w:val="00BC5ABB"/>
    <w:rsid w:val="00BC5CC9"/>
    <w:rsid w:val="00BC5D4C"/>
    <w:rsid w:val="00BC60DC"/>
    <w:rsid w:val="00BC628E"/>
    <w:rsid w:val="00BC63E3"/>
    <w:rsid w:val="00BC6419"/>
    <w:rsid w:val="00BC6454"/>
    <w:rsid w:val="00BC64B2"/>
    <w:rsid w:val="00BC6504"/>
    <w:rsid w:val="00BC6506"/>
    <w:rsid w:val="00BC6510"/>
    <w:rsid w:val="00BC6646"/>
    <w:rsid w:val="00BC7214"/>
    <w:rsid w:val="00BC753D"/>
    <w:rsid w:val="00BC7774"/>
    <w:rsid w:val="00BC77AA"/>
    <w:rsid w:val="00BC77E8"/>
    <w:rsid w:val="00BC7893"/>
    <w:rsid w:val="00BC7A31"/>
    <w:rsid w:val="00BC7B18"/>
    <w:rsid w:val="00BC7CDF"/>
    <w:rsid w:val="00BC7E15"/>
    <w:rsid w:val="00BC7E72"/>
    <w:rsid w:val="00BD046B"/>
    <w:rsid w:val="00BD04CC"/>
    <w:rsid w:val="00BD06E9"/>
    <w:rsid w:val="00BD08A8"/>
    <w:rsid w:val="00BD0D7E"/>
    <w:rsid w:val="00BD10A6"/>
    <w:rsid w:val="00BD10AD"/>
    <w:rsid w:val="00BD1273"/>
    <w:rsid w:val="00BD13A4"/>
    <w:rsid w:val="00BD1473"/>
    <w:rsid w:val="00BD15E4"/>
    <w:rsid w:val="00BD1916"/>
    <w:rsid w:val="00BD1E5C"/>
    <w:rsid w:val="00BD1FBC"/>
    <w:rsid w:val="00BD20A2"/>
    <w:rsid w:val="00BD2289"/>
    <w:rsid w:val="00BD22A5"/>
    <w:rsid w:val="00BD2392"/>
    <w:rsid w:val="00BD26A7"/>
    <w:rsid w:val="00BD272A"/>
    <w:rsid w:val="00BD290A"/>
    <w:rsid w:val="00BD3172"/>
    <w:rsid w:val="00BD3288"/>
    <w:rsid w:val="00BD3357"/>
    <w:rsid w:val="00BD365C"/>
    <w:rsid w:val="00BD37D6"/>
    <w:rsid w:val="00BD3B59"/>
    <w:rsid w:val="00BD3D36"/>
    <w:rsid w:val="00BD3E67"/>
    <w:rsid w:val="00BD3E9F"/>
    <w:rsid w:val="00BD3F47"/>
    <w:rsid w:val="00BD41B3"/>
    <w:rsid w:val="00BD4489"/>
    <w:rsid w:val="00BD480F"/>
    <w:rsid w:val="00BD485A"/>
    <w:rsid w:val="00BD498F"/>
    <w:rsid w:val="00BD4FA0"/>
    <w:rsid w:val="00BD535D"/>
    <w:rsid w:val="00BD5566"/>
    <w:rsid w:val="00BD5A54"/>
    <w:rsid w:val="00BD5ADF"/>
    <w:rsid w:val="00BD5C9E"/>
    <w:rsid w:val="00BD5F8B"/>
    <w:rsid w:val="00BD60E4"/>
    <w:rsid w:val="00BD60FD"/>
    <w:rsid w:val="00BD61A1"/>
    <w:rsid w:val="00BD61F7"/>
    <w:rsid w:val="00BD62A7"/>
    <w:rsid w:val="00BD63AE"/>
    <w:rsid w:val="00BD654B"/>
    <w:rsid w:val="00BD69AE"/>
    <w:rsid w:val="00BD69E0"/>
    <w:rsid w:val="00BD6BE3"/>
    <w:rsid w:val="00BD6CC2"/>
    <w:rsid w:val="00BD6D41"/>
    <w:rsid w:val="00BD6DA1"/>
    <w:rsid w:val="00BD6E77"/>
    <w:rsid w:val="00BD6EC1"/>
    <w:rsid w:val="00BD6FD5"/>
    <w:rsid w:val="00BD7068"/>
    <w:rsid w:val="00BD7093"/>
    <w:rsid w:val="00BD74F8"/>
    <w:rsid w:val="00BD7572"/>
    <w:rsid w:val="00BD7681"/>
    <w:rsid w:val="00BD769A"/>
    <w:rsid w:val="00BD76D3"/>
    <w:rsid w:val="00BD7856"/>
    <w:rsid w:val="00BD7A98"/>
    <w:rsid w:val="00BD7D8E"/>
    <w:rsid w:val="00BD7FF7"/>
    <w:rsid w:val="00BE01E7"/>
    <w:rsid w:val="00BE030D"/>
    <w:rsid w:val="00BE03F7"/>
    <w:rsid w:val="00BE06DF"/>
    <w:rsid w:val="00BE0700"/>
    <w:rsid w:val="00BE0783"/>
    <w:rsid w:val="00BE0818"/>
    <w:rsid w:val="00BE088D"/>
    <w:rsid w:val="00BE08A0"/>
    <w:rsid w:val="00BE0A18"/>
    <w:rsid w:val="00BE0B6F"/>
    <w:rsid w:val="00BE0C39"/>
    <w:rsid w:val="00BE0DB2"/>
    <w:rsid w:val="00BE1073"/>
    <w:rsid w:val="00BE1085"/>
    <w:rsid w:val="00BE121A"/>
    <w:rsid w:val="00BE145A"/>
    <w:rsid w:val="00BE14C1"/>
    <w:rsid w:val="00BE1BBD"/>
    <w:rsid w:val="00BE1C39"/>
    <w:rsid w:val="00BE20C1"/>
    <w:rsid w:val="00BE216D"/>
    <w:rsid w:val="00BE21F8"/>
    <w:rsid w:val="00BE2478"/>
    <w:rsid w:val="00BE2647"/>
    <w:rsid w:val="00BE26C1"/>
    <w:rsid w:val="00BE270C"/>
    <w:rsid w:val="00BE28A8"/>
    <w:rsid w:val="00BE2B6A"/>
    <w:rsid w:val="00BE2E29"/>
    <w:rsid w:val="00BE2E4F"/>
    <w:rsid w:val="00BE2FC3"/>
    <w:rsid w:val="00BE3055"/>
    <w:rsid w:val="00BE309F"/>
    <w:rsid w:val="00BE313B"/>
    <w:rsid w:val="00BE315D"/>
    <w:rsid w:val="00BE35EF"/>
    <w:rsid w:val="00BE38C6"/>
    <w:rsid w:val="00BE3A0B"/>
    <w:rsid w:val="00BE3C6F"/>
    <w:rsid w:val="00BE3C89"/>
    <w:rsid w:val="00BE3E78"/>
    <w:rsid w:val="00BE3EAB"/>
    <w:rsid w:val="00BE3FDA"/>
    <w:rsid w:val="00BE4162"/>
    <w:rsid w:val="00BE418D"/>
    <w:rsid w:val="00BE454C"/>
    <w:rsid w:val="00BE47A6"/>
    <w:rsid w:val="00BE4814"/>
    <w:rsid w:val="00BE48B0"/>
    <w:rsid w:val="00BE4B18"/>
    <w:rsid w:val="00BE4C4F"/>
    <w:rsid w:val="00BE4D93"/>
    <w:rsid w:val="00BE4F71"/>
    <w:rsid w:val="00BE52E0"/>
    <w:rsid w:val="00BE56C5"/>
    <w:rsid w:val="00BE56C9"/>
    <w:rsid w:val="00BE59AB"/>
    <w:rsid w:val="00BE59EC"/>
    <w:rsid w:val="00BE5BDD"/>
    <w:rsid w:val="00BE6308"/>
    <w:rsid w:val="00BE6382"/>
    <w:rsid w:val="00BE655D"/>
    <w:rsid w:val="00BE6B7E"/>
    <w:rsid w:val="00BE6C81"/>
    <w:rsid w:val="00BE6D17"/>
    <w:rsid w:val="00BE6EF3"/>
    <w:rsid w:val="00BE7081"/>
    <w:rsid w:val="00BE7213"/>
    <w:rsid w:val="00BE75DA"/>
    <w:rsid w:val="00BE769B"/>
    <w:rsid w:val="00BE7753"/>
    <w:rsid w:val="00BE78E8"/>
    <w:rsid w:val="00BE7905"/>
    <w:rsid w:val="00BE7AED"/>
    <w:rsid w:val="00BE7BF1"/>
    <w:rsid w:val="00BE7D61"/>
    <w:rsid w:val="00BEE44E"/>
    <w:rsid w:val="00BF0088"/>
    <w:rsid w:val="00BF027C"/>
    <w:rsid w:val="00BF043A"/>
    <w:rsid w:val="00BF048D"/>
    <w:rsid w:val="00BF0783"/>
    <w:rsid w:val="00BF092D"/>
    <w:rsid w:val="00BF0B4E"/>
    <w:rsid w:val="00BF0E09"/>
    <w:rsid w:val="00BF101B"/>
    <w:rsid w:val="00BF1265"/>
    <w:rsid w:val="00BF1322"/>
    <w:rsid w:val="00BF1461"/>
    <w:rsid w:val="00BF150B"/>
    <w:rsid w:val="00BF1531"/>
    <w:rsid w:val="00BF18DC"/>
    <w:rsid w:val="00BF1AE1"/>
    <w:rsid w:val="00BF1BE6"/>
    <w:rsid w:val="00BF1C4A"/>
    <w:rsid w:val="00BF1D5E"/>
    <w:rsid w:val="00BF1E33"/>
    <w:rsid w:val="00BF1F75"/>
    <w:rsid w:val="00BF21C6"/>
    <w:rsid w:val="00BF2216"/>
    <w:rsid w:val="00BF2222"/>
    <w:rsid w:val="00BF2D64"/>
    <w:rsid w:val="00BF2D68"/>
    <w:rsid w:val="00BF2D77"/>
    <w:rsid w:val="00BF2EEA"/>
    <w:rsid w:val="00BF33F7"/>
    <w:rsid w:val="00BF351B"/>
    <w:rsid w:val="00BF3572"/>
    <w:rsid w:val="00BF358F"/>
    <w:rsid w:val="00BF3621"/>
    <w:rsid w:val="00BF365A"/>
    <w:rsid w:val="00BF3787"/>
    <w:rsid w:val="00BF3835"/>
    <w:rsid w:val="00BF3AFC"/>
    <w:rsid w:val="00BF4664"/>
    <w:rsid w:val="00BF4724"/>
    <w:rsid w:val="00BF4836"/>
    <w:rsid w:val="00BF4D2C"/>
    <w:rsid w:val="00BF4DD5"/>
    <w:rsid w:val="00BF4F92"/>
    <w:rsid w:val="00BF501C"/>
    <w:rsid w:val="00BF5084"/>
    <w:rsid w:val="00BF5132"/>
    <w:rsid w:val="00BF52F5"/>
    <w:rsid w:val="00BF537A"/>
    <w:rsid w:val="00BF575C"/>
    <w:rsid w:val="00BF580A"/>
    <w:rsid w:val="00BF5859"/>
    <w:rsid w:val="00BF5DE9"/>
    <w:rsid w:val="00BF6075"/>
    <w:rsid w:val="00BF6593"/>
    <w:rsid w:val="00BF669E"/>
    <w:rsid w:val="00BF6A8B"/>
    <w:rsid w:val="00BF6BF5"/>
    <w:rsid w:val="00BF6E43"/>
    <w:rsid w:val="00BF6F18"/>
    <w:rsid w:val="00BF723B"/>
    <w:rsid w:val="00BF738F"/>
    <w:rsid w:val="00BF73A6"/>
    <w:rsid w:val="00BF74B6"/>
    <w:rsid w:val="00BF7799"/>
    <w:rsid w:val="00BF77D7"/>
    <w:rsid w:val="00BF798A"/>
    <w:rsid w:val="00BF7C0A"/>
    <w:rsid w:val="00BF7C38"/>
    <w:rsid w:val="00BF7E29"/>
    <w:rsid w:val="00BF7F8B"/>
    <w:rsid w:val="00C00079"/>
    <w:rsid w:val="00C0013C"/>
    <w:rsid w:val="00C00197"/>
    <w:rsid w:val="00C00213"/>
    <w:rsid w:val="00C00298"/>
    <w:rsid w:val="00C005CE"/>
    <w:rsid w:val="00C00616"/>
    <w:rsid w:val="00C00724"/>
    <w:rsid w:val="00C007A9"/>
    <w:rsid w:val="00C00882"/>
    <w:rsid w:val="00C00979"/>
    <w:rsid w:val="00C009E7"/>
    <w:rsid w:val="00C00A02"/>
    <w:rsid w:val="00C00AC4"/>
    <w:rsid w:val="00C00BCE"/>
    <w:rsid w:val="00C00E1D"/>
    <w:rsid w:val="00C00E67"/>
    <w:rsid w:val="00C00FB4"/>
    <w:rsid w:val="00C0107C"/>
    <w:rsid w:val="00C012D4"/>
    <w:rsid w:val="00C014A1"/>
    <w:rsid w:val="00C0195F"/>
    <w:rsid w:val="00C01F5E"/>
    <w:rsid w:val="00C02284"/>
    <w:rsid w:val="00C02455"/>
    <w:rsid w:val="00C02546"/>
    <w:rsid w:val="00C02D47"/>
    <w:rsid w:val="00C02D9C"/>
    <w:rsid w:val="00C030CF"/>
    <w:rsid w:val="00C03291"/>
    <w:rsid w:val="00C035F1"/>
    <w:rsid w:val="00C03970"/>
    <w:rsid w:val="00C03C2C"/>
    <w:rsid w:val="00C03DB2"/>
    <w:rsid w:val="00C03F14"/>
    <w:rsid w:val="00C03F21"/>
    <w:rsid w:val="00C04057"/>
    <w:rsid w:val="00C040C9"/>
    <w:rsid w:val="00C04129"/>
    <w:rsid w:val="00C04192"/>
    <w:rsid w:val="00C042C2"/>
    <w:rsid w:val="00C0465D"/>
    <w:rsid w:val="00C048E1"/>
    <w:rsid w:val="00C04A3E"/>
    <w:rsid w:val="00C04BB4"/>
    <w:rsid w:val="00C04E4D"/>
    <w:rsid w:val="00C05072"/>
    <w:rsid w:val="00C0531C"/>
    <w:rsid w:val="00C05359"/>
    <w:rsid w:val="00C059C4"/>
    <w:rsid w:val="00C05D54"/>
    <w:rsid w:val="00C0602D"/>
    <w:rsid w:val="00C069E9"/>
    <w:rsid w:val="00C06A2C"/>
    <w:rsid w:val="00C06A37"/>
    <w:rsid w:val="00C06A70"/>
    <w:rsid w:val="00C06AB6"/>
    <w:rsid w:val="00C06BC2"/>
    <w:rsid w:val="00C06FB5"/>
    <w:rsid w:val="00C0702E"/>
    <w:rsid w:val="00C0731C"/>
    <w:rsid w:val="00C075D8"/>
    <w:rsid w:val="00C0794F"/>
    <w:rsid w:val="00C07AE8"/>
    <w:rsid w:val="00C07B56"/>
    <w:rsid w:val="00C07C5A"/>
    <w:rsid w:val="00C07D78"/>
    <w:rsid w:val="00C07EA1"/>
    <w:rsid w:val="00C1027C"/>
    <w:rsid w:val="00C102ED"/>
    <w:rsid w:val="00C105E5"/>
    <w:rsid w:val="00C106D0"/>
    <w:rsid w:val="00C10757"/>
    <w:rsid w:val="00C1084A"/>
    <w:rsid w:val="00C10C58"/>
    <w:rsid w:val="00C10DE0"/>
    <w:rsid w:val="00C10E07"/>
    <w:rsid w:val="00C10E97"/>
    <w:rsid w:val="00C11037"/>
    <w:rsid w:val="00C11184"/>
    <w:rsid w:val="00C115CD"/>
    <w:rsid w:val="00C115E8"/>
    <w:rsid w:val="00C1183B"/>
    <w:rsid w:val="00C11C26"/>
    <w:rsid w:val="00C11E3F"/>
    <w:rsid w:val="00C11E51"/>
    <w:rsid w:val="00C1205B"/>
    <w:rsid w:val="00C120A6"/>
    <w:rsid w:val="00C1217E"/>
    <w:rsid w:val="00C123A6"/>
    <w:rsid w:val="00C1269F"/>
    <w:rsid w:val="00C12728"/>
    <w:rsid w:val="00C12A91"/>
    <w:rsid w:val="00C12C23"/>
    <w:rsid w:val="00C12D66"/>
    <w:rsid w:val="00C13119"/>
    <w:rsid w:val="00C13314"/>
    <w:rsid w:val="00C133ED"/>
    <w:rsid w:val="00C13557"/>
    <w:rsid w:val="00C13739"/>
    <w:rsid w:val="00C1385E"/>
    <w:rsid w:val="00C13894"/>
    <w:rsid w:val="00C1394A"/>
    <w:rsid w:val="00C13DAE"/>
    <w:rsid w:val="00C1405E"/>
    <w:rsid w:val="00C1424C"/>
    <w:rsid w:val="00C1424F"/>
    <w:rsid w:val="00C1451D"/>
    <w:rsid w:val="00C14565"/>
    <w:rsid w:val="00C14A2B"/>
    <w:rsid w:val="00C14D52"/>
    <w:rsid w:val="00C14E5A"/>
    <w:rsid w:val="00C15060"/>
    <w:rsid w:val="00C15225"/>
    <w:rsid w:val="00C152F3"/>
    <w:rsid w:val="00C1534E"/>
    <w:rsid w:val="00C1568B"/>
    <w:rsid w:val="00C15B62"/>
    <w:rsid w:val="00C15F7E"/>
    <w:rsid w:val="00C1616C"/>
    <w:rsid w:val="00C16479"/>
    <w:rsid w:val="00C164D8"/>
    <w:rsid w:val="00C165D1"/>
    <w:rsid w:val="00C166D7"/>
    <w:rsid w:val="00C1670A"/>
    <w:rsid w:val="00C16953"/>
    <w:rsid w:val="00C16CA9"/>
    <w:rsid w:val="00C16D94"/>
    <w:rsid w:val="00C16E55"/>
    <w:rsid w:val="00C16F6D"/>
    <w:rsid w:val="00C17463"/>
    <w:rsid w:val="00C17555"/>
    <w:rsid w:val="00C176C0"/>
    <w:rsid w:val="00C17A02"/>
    <w:rsid w:val="00C17BB4"/>
    <w:rsid w:val="00C17C81"/>
    <w:rsid w:val="00C17C94"/>
    <w:rsid w:val="00C17D86"/>
    <w:rsid w:val="00C17E1A"/>
    <w:rsid w:val="00C17E5D"/>
    <w:rsid w:val="00C20229"/>
    <w:rsid w:val="00C20334"/>
    <w:rsid w:val="00C2035A"/>
    <w:rsid w:val="00C205E1"/>
    <w:rsid w:val="00C20678"/>
    <w:rsid w:val="00C20832"/>
    <w:rsid w:val="00C208AE"/>
    <w:rsid w:val="00C20961"/>
    <w:rsid w:val="00C209FA"/>
    <w:rsid w:val="00C209FB"/>
    <w:rsid w:val="00C20A08"/>
    <w:rsid w:val="00C20B37"/>
    <w:rsid w:val="00C20CC0"/>
    <w:rsid w:val="00C20CF5"/>
    <w:rsid w:val="00C20F09"/>
    <w:rsid w:val="00C21163"/>
    <w:rsid w:val="00C218F9"/>
    <w:rsid w:val="00C2193C"/>
    <w:rsid w:val="00C21976"/>
    <w:rsid w:val="00C21AF8"/>
    <w:rsid w:val="00C21CC5"/>
    <w:rsid w:val="00C21F22"/>
    <w:rsid w:val="00C22075"/>
    <w:rsid w:val="00C2215F"/>
    <w:rsid w:val="00C2217F"/>
    <w:rsid w:val="00C22C99"/>
    <w:rsid w:val="00C235D3"/>
    <w:rsid w:val="00C2377B"/>
    <w:rsid w:val="00C239E1"/>
    <w:rsid w:val="00C23D71"/>
    <w:rsid w:val="00C23DC2"/>
    <w:rsid w:val="00C23F4A"/>
    <w:rsid w:val="00C23FFD"/>
    <w:rsid w:val="00C24052"/>
    <w:rsid w:val="00C24356"/>
    <w:rsid w:val="00C24499"/>
    <w:rsid w:val="00C245C2"/>
    <w:rsid w:val="00C2499B"/>
    <w:rsid w:val="00C24A53"/>
    <w:rsid w:val="00C24A93"/>
    <w:rsid w:val="00C24CAA"/>
    <w:rsid w:val="00C24DBA"/>
    <w:rsid w:val="00C24DC4"/>
    <w:rsid w:val="00C24EC6"/>
    <w:rsid w:val="00C24F1B"/>
    <w:rsid w:val="00C250D5"/>
    <w:rsid w:val="00C25571"/>
    <w:rsid w:val="00C256C8"/>
    <w:rsid w:val="00C25790"/>
    <w:rsid w:val="00C258FB"/>
    <w:rsid w:val="00C25D61"/>
    <w:rsid w:val="00C25F88"/>
    <w:rsid w:val="00C25FEB"/>
    <w:rsid w:val="00C25FEE"/>
    <w:rsid w:val="00C26B1D"/>
    <w:rsid w:val="00C26C81"/>
    <w:rsid w:val="00C27084"/>
    <w:rsid w:val="00C278B7"/>
    <w:rsid w:val="00C27B22"/>
    <w:rsid w:val="00C2A283"/>
    <w:rsid w:val="00C304A1"/>
    <w:rsid w:val="00C304FB"/>
    <w:rsid w:val="00C3071F"/>
    <w:rsid w:val="00C30766"/>
    <w:rsid w:val="00C30838"/>
    <w:rsid w:val="00C30901"/>
    <w:rsid w:val="00C30B19"/>
    <w:rsid w:val="00C30C64"/>
    <w:rsid w:val="00C30CDB"/>
    <w:rsid w:val="00C31433"/>
    <w:rsid w:val="00C31474"/>
    <w:rsid w:val="00C31625"/>
    <w:rsid w:val="00C31B49"/>
    <w:rsid w:val="00C31BC8"/>
    <w:rsid w:val="00C31DFF"/>
    <w:rsid w:val="00C31E0D"/>
    <w:rsid w:val="00C32197"/>
    <w:rsid w:val="00C3227F"/>
    <w:rsid w:val="00C323B9"/>
    <w:rsid w:val="00C32534"/>
    <w:rsid w:val="00C326F6"/>
    <w:rsid w:val="00C328DA"/>
    <w:rsid w:val="00C329A9"/>
    <w:rsid w:val="00C329B2"/>
    <w:rsid w:val="00C32DBA"/>
    <w:rsid w:val="00C32EA2"/>
    <w:rsid w:val="00C32ECC"/>
    <w:rsid w:val="00C3310E"/>
    <w:rsid w:val="00C3312A"/>
    <w:rsid w:val="00C33170"/>
    <w:rsid w:val="00C33213"/>
    <w:rsid w:val="00C3325B"/>
    <w:rsid w:val="00C33419"/>
    <w:rsid w:val="00C33482"/>
    <w:rsid w:val="00C33612"/>
    <w:rsid w:val="00C336AC"/>
    <w:rsid w:val="00C336E8"/>
    <w:rsid w:val="00C339A4"/>
    <w:rsid w:val="00C339E6"/>
    <w:rsid w:val="00C33C27"/>
    <w:rsid w:val="00C33C9F"/>
    <w:rsid w:val="00C33D1C"/>
    <w:rsid w:val="00C33F1F"/>
    <w:rsid w:val="00C34104"/>
    <w:rsid w:val="00C342A9"/>
    <w:rsid w:val="00C34402"/>
    <w:rsid w:val="00C34548"/>
    <w:rsid w:val="00C34A04"/>
    <w:rsid w:val="00C34AD4"/>
    <w:rsid w:val="00C34E03"/>
    <w:rsid w:val="00C34FC1"/>
    <w:rsid w:val="00C351A3"/>
    <w:rsid w:val="00C354F5"/>
    <w:rsid w:val="00C3561B"/>
    <w:rsid w:val="00C3565E"/>
    <w:rsid w:val="00C35666"/>
    <w:rsid w:val="00C356A0"/>
    <w:rsid w:val="00C356D9"/>
    <w:rsid w:val="00C3588F"/>
    <w:rsid w:val="00C3590A"/>
    <w:rsid w:val="00C359FE"/>
    <w:rsid w:val="00C35B14"/>
    <w:rsid w:val="00C35CA4"/>
    <w:rsid w:val="00C35E22"/>
    <w:rsid w:val="00C3602D"/>
    <w:rsid w:val="00C362FC"/>
    <w:rsid w:val="00C36343"/>
    <w:rsid w:val="00C36B91"/>
    <w:rsid w:val="00C36D9B"/>
    <w:rsid w:val="00C3717E"/>
    <w:rsid w:val="00C373E3"/>
    <w:rsid w:val="00C37880"/>
    <w:rsid w:val="00C378C3"/>
    <w:rsid w:val="00C37961"/>
    <w:rsid w:val="00C37D25"/>
    <w:rsid w:val="00C37D50"/>
    <w:rsid w:val="00C37E13"/>
    <w:rsid w:val="00C37F59"/>
    <w:rsid w:val="00C406C8"/>
    <w:rsid w:val="00C407FD"/>
    <w:rsid w:val="00C40869"/>
    <w:rsid w:val="00C40A12"/>
    <w:rsid w:val="00C40D15"/>
    <w:rsid w:val="00C40E66"/>
    <w:rsid w:val="00C412FB"/>
    <w:rsid w:val="00C4143B"/>
    <w:rsid w:val="00C414A5"/>
    <w:rsid w:val="00C41875"/>
    <w:rsid w:val="00C41936"/>
    <w:rsid w:val="00C41A71"/>
    <w:rsid w:val="00C41B88"/>
    <w:rsid w:val="00C41BBC"/>
    <w:rsid w:val="00C41D93"/>
    <w:rsid w:val="00C420C5"/>
    <w:rsid w:val="00C42124"/>
    <w:rsid w:val="00C423D0"/>
    <w:rsid w:val="00C42529"/>
    <w:rsid w:val="00C42813"/>
    <w:rsid w:val="00C42AAF"/>
    <w:rsid w:val="00C42D71"/>
    <w:rsid w:val="00C42E58"/>
    <w:rsid w:val="00C42E90"/>
    <w:rsid w:val="00C42EDB"/>
    <w:rsid w:val="00C4321B"/>
    <w:rsid w:val="00C43248"/>
    <w:rsid w:val="00C435DC"/>
    <w:rsid w:val="00C438A6"/>
    <w:rsid w:val="00C4392F"/>
    <w:rsid w:val="00C43973"/>
    <w:rsid w:val="00C43985"/>
    <w:rsid w:val="00C43ACE"/>
    <w:rsid w:val="00C43AE6"/>
    <w:rsid w:val="00C43D80"/>
    <w:rsid w:val="00C43E2D"/>
    <w:rsid w:val="00C43EA2"/>
    <w:rsid w:val="00C441E3"/>
    <w:rsid w:val="00C443D6"/>
    <w:rsid w:val="00C44626"/>
    <w:rsid w:val="00C44641"/>
    <w:rsid w:val="00C4470D"/>
    <w:rsid w:val="00C4470F"/>
    <w:rsid w:val="00C4473F"/>
    <w:rsid w:val="00C44886"/>
    <w:rsid w:val="00C44995"/>
    <w:rsid w:val="00C449CA"/>
    <w:rsid w:val="00C44B29"/>
    <w:rsid w:val="00C44CB1"/>
    <w:rsid w:val="00C44D71"/>
    <w:rsid w:val="00C44DEC"/>
    <w:rsid w:val="00C44F72"/>
    <w:rsid w:val="00C45076"/>
    <w:rsid w:val="00C45237"/>
    <w:rsid w:val="00C45399"/>
    <w:rsid w:val="00C45710"/>
    <w:rsid w:val="00C4586A"/>
    <w:rsid w:val="00C4593F"/>
    <w:rsid w:val="00C45C32"/>
    <w:rsid w:val="00C45C46"/>
    <w:rsid w:val="00C45CD0"/>
    <w:rsid w:val="00C45E8A"/>
    <w:rsid w:val="00C4615D"/>
    <w:rsid w:val="00C46176"/>
    <w:rsid w:val="00C462BE"/>
    <w:rsid w:val="00C46527"/>
    <w:rsid w:val="00C466D0"/>
    <w:rsid w:val="00C46708"/>
    <w:rsid w:val="00C46AF8"/>
    <w:rsid w:val="00C46BA4"/>
    <w:rsid w:val="00C46D5C"/>
    <w:rsid w:val="00C46F2E"/>
    <w:rsid w:val="00C46FAE"/>
    <w:rsid w:val="00C47078"/>
    <w:rsid w:val="00C471EC"/>
    <w:rsid w:val="00C47295"/>
    <w:rsid w:val="00C473C9"/>
    <w:rsid w:val="00C4742A"/>
    <w:rsid w:val="00C475AD"/>
    <w:rsid w:val="00C47FF9"/>
    <w:rsid w:val="00C5029E"/>
    <w:rsid w:val="00C5047D"/>
    <w:rsid w:val="00C504A6"/>
    <w:rsid w:val="00C5056A"/>
    <w:rsid w:val="00C50B8E"/>
    <w:rsid w:val="00C50C2A"/>
    <w:rsid w:val="00C50D45"/>
    <w:rsid w:val="00C50D89"/>
    <w:rsid w:val="00C50E58"/>
    <w:rsid w:val="00C50E73"/>
    <w:rsid w:val="00C51051"/>
    <w:rsid w:val="00C5107F"/>
    <w:rsid w:val="00C51181"/>
    <w:rsid w:val="00C5143F"/>
    <w:rsid w:val="00C519B7"/>
    <w:rsid w:val="00C520B1"/>
    <w:rsid w:val="00C52468"/>
    <w:rsid w:val="00C524A0"/>
    <w:rsid w:val="00C52746"/>
    <w:rsid w:val="00C5280E"/>
    <w:rsid w:val="00C52B31"/>
    <w:rsid w:val="00C52C1E"/>
    <w:rsid w:val="00C52E52"/>
    <w:rsid w:val="00C53203"/>
    <w:rsid w:val="00C5335B"/>
    <w:rsid w:val="00C534B1"/>
    <w:rsid w:val="00C53528"/>
    <w:rsid w:val="00C53534"/>
    <w:rsid w:val="00C53597"/>
    <w:rsid w:val="00C538C5"/>
    <w:rsid w:val="00C53946"/>
    <w:rsid w:val="00C53F64"/>
    <w:rsid w:val="00C53F70"/>
    <w:rsid w:val="00C53F8A"/>
    <w:rsid w:val="00C544D7"/>
    <w:rsid w:val="00C546E2"/>
    <w:rsid w:val="00C5476E"/>
    <w:rsid w:val="00C5497F"/>
    <w:rsid w:val="00C54CC6"/>
    <w:rsid w:val="00C54DB0"/>
    <w:rsid w:val="00C55378"/>
    <w:rsid w:val="00C553C5"/>
    <w:rsid w:val="00C5542D"/>
    <w:rsid w:val="00C558C0"/>
    <w:rsid w:val="00C5590E"/>
    <w:rsid w:val="00C55926"/>
    <w:rsid w:val="00C55AD8"/>
    <w:rsid w:val="00C55C3C"/>
    <w:rsid w:val="00C562D2"/>
    <w:rsid w:val="00C563B9"/>
    <w:rsid w:val="00C563DC"/>
    <w:rsid w:val="00C563FB"/>
    <w:rsid w:val="00C566D8"/>
    <w:rsid w:val="00C56704"/>
    <w:rsid w:val="00C56A0F"/>
    <w:rsid w:val="00C56AE7"/>
    <w:rsid w:val="00C56E3B"/>
    <w:rsid w:val="00C57078"/>
    <w:rsid w:val="00C570A4"/>
    <w:rsid w:val="00C57B29"/>
    <w:rsid w:val="00C57BED"/>
    <w:rsid w:val="00C57C0D"/>
    <w:rsid w:val="00C57F65"/>
    <w:rsid w:val="00C57FD0"/>
    <w:rsid w:val="00C60292"/>
    <w:rsid w:val="00C604D3"/>
    <w:rsid w:val="00C607E4"/>
    <w:rsid w:val="00C607FC"/>
    <w:rsid w:val="00C60B8F"/>
    <w:rsid w:val="00C60EC4"/>
    <w:rsid w:val="00C61013"/>
    <w:rsid w:val="00C612CE"/>
    <w:rsid w:val="00C6152D"/>
    <w:rsid w:val="00C617A2"/>
    <w:rsid w:val="00C61EFC"/>
    <w:rsid w:val="00C61F61"/>
    <w:rsid w:val="00C622B7"/>
    <w:rsid w:val="00C62394"/>
    <w:rsid w:val="00C62562"/>
    <w:rsid w:val="00C6269F"/>
    <w:rsid w:val="00C62794"/>
    <w:rsid w:val="00C62C52"/>
    <w:rsid w:val="00C62D7F"/>
    <w:rsid w:val="00C63228"/>
    <w:rsid w:val="00C63390"/>
    <w:rsid w:val="00C63688"/>
    <w:rsid w:val="00C636C4"/>
    <w:rsid w:val="00C63AEB"/>
    <w:rsid w:val="00C63B4E"/>
    <w:rsid w:val="00C63D4A"/>
    <w:rsid w:val="00C641DB"/>
    <w:rsid w:val="00C64229"/>
    <w:rsid w:val="00C642E8"/>
    <w:rsid w:val="00C6457F"/>
    <w:rsid w:val="00C645F5"/>
    <w:rsid w:val="00C646C6"/>
    <w:rsid w:val="00C649C1"/>
    <w:rsid w:val="00C64A44"/>
    <w:rsid w:val="00C64C15"/>
    <w:rsid w:val="00C64D08"/>
    <w:rsid w:val="00C64D6B"/>
    <w:rsid w:val="00C64D86"/>
    <w:rsid w:val="00C64DC1"/>
    <w:rsid w:val="00C64EAB"/>
    <w:rsid w:val="00C64F78"/>
    <w:rsid w:val="00C650AD"/>
    <w:rsid w:val="00C651D8"/>
    <w:rsid w:val="00C65483"/>
    <w:rsid w:val="00C65D0A"/>
    <w:rsid w:val="00C65FAF"/>
    <w:rsid w:val="00C66045"/>
    <w:rsid w:val="00C660C0"/>
    <w:rsid w:val="00C66171"/>
    <w:rsid w:val="00C66503"/>
    <w:rsid w:val="00C66618"/>
    <w:rsid w:val="00C66723"/>
    <w:rsid w:val="00C66881"/>
    <w:rsid w:val="00C668BD"/>
    <w:rsid w:val="00C66D94"/>
    <w:rsid w:val="00C66D96"/>
    <w:rsid w:val="00C6706E"/>
    <w:rsid w:val="00C6729C"/>
    <w:rsid w:val="00C67500"/>
    <w:rsid w:val="00C675C6"/>
    <w:rsid w:val="00C67B84"/>
    <w:rsid w:val="00C67D11"/>
    <w:rsid w:val="00C702C8"/>
    <w:rsid w:val="00C70380"/>
    <w:rsid w:val="00C703AF"/>
    <w:rsid w:val="00C70650"/>
    <w:rsid w:val="00C70740"/>
    <w:rsid w:val="00C70771"/>
    <w:rsid w:val="00C70805"/>
    <w:rsid w:val="00C7095F"/>
    <w:rsid w:val="00C70B3A"/>
    <w:rsid w:val="00C71001"/>
    <w:rsid w:val="00C7123C"/>
    <w:rsid w:val="00C7189C"/>
    <w:rsid w:val="00C71DBF"/>
    <w:rsid w:val="00C71E04"/>
    <w:rsid w:val="00C71F15"/>
    <w:rsid w:val="00C72212"/>
    <w:rsid w:val="00C722CA"/>
    <w:rsid w:val="00C723B2"/>
    <w:rsid w:val="00C724F1"/>
    <w:rsid w:val="00C725F6"/>
    <w:rsid w:val="00C72685"/>
    <w:rsid w:val="00C7277B"/>
    <w:rsid w:val="00C72DCF"/>
    <w:rsid w:val="00C72DD7"/>
    <w:rsid w:val="00C72FFA"/>
    <w:rsid w:val="00C73121"/>
    <w:rsid w:val="00C734A6"/>
    <w:rsid w:val="00C735B5"/>
    <w:rsid w:val="00C7376A"/>
    <w:rsid w:val="00C73875"/>
    <w:rsid w:val="00C73964"/>
    <w:rsid w:val="00C739AF"/>
    <w:rsid w:val="00C73A2E"/>
    <w:rsid w:val="00C73C76"/>
    <w:rsid w:val="00C73E70"/>
    <w:rsid w:val="00C7405C"/>
    <w:rsid w:val="00C740B7"/>
    <w:rsid w:val="00C74326"/>
    <w:rsid w:val="00C7464A"/>
    <w:rsid w:val="00C74800"/>
    <w:rsid w:val="00C749ED"/>
    <w:rsid w:val="00C74CC5"/>
    <w:rsid w:val="00C74E9A"/>
    <w:rsid w:val="00C74FE1"/>
    <w:rsid w:val="00C750D1"/>
    <w:rsid w:val="00C750D6"/>
    <w:rsid w:val="00C751EE"/>
    <w:rsid w:val="00C752E3"/>
    <w:rsid w:val="00C75413"/>
    <w:rsid w:val="00C75575"/>
    <w:rsid w:val="00C75AB7"/>
    <w:rsid w:val="00C75B2E"/>
    <w:rsid w:val="00C75C10"/>
    <w:rsid w:val="00C75D36"/>
    <w:rsid w:val="00C75FD8"/>
    <w:rsid w:val="00C76411"/>
    <w:rsid w:val="00C76642"/>
    <w:rsid w:val="00C76695"/>
    <w:rsid w:val="00C76A48"/>
    <w:rsid w:val="00C76CA7"/>
    <w:rsid w:val="00C770C7"/>
    <w:rsid w:val="00C770D8"/>
    <w:rsid w:val="00C771BC"/>
    <w:rsid w:val="00C772A3"/>
    <w:rsid w:val="00C775B3"/>
    <w:rsid w:val="00C775F0"/>
    <w:rsid w:val="00C77634"/>
    <w:rsid w:val="00C77987"/>
    <w:rsid w:val="00C779EA"/>
    <w:rsid w:val="00C77A00"/>
    <w:rsid w:val="00C77AE8"/>
    <w:rsid w:val="00C804C5"/>
    <w:rsid w:val="00C80526"/>
    <w:rsid w:val="00C80815"/>
    <w:rsid w:val="00C80A9D"/>
    <w:rsid w:val="00C80B8B"/>
    <w:rsid w:val="00C80BC5"/>
    <w:rsid w:val="00C80D31"/>
    <w:rsid w:val="00C80F58"/>
    <w:rsid w:val="00C813CA"/>
    <w:rsid w:val="00C8196A"/>
    <w:rsid w:val="00C81AD2"/>
    <w:rsid w:val="00C81F9B"/>
    <w:rsid w:val="00C82020"/>
    <w:rsid w:val="00C82122"/>
    <w:rsid w:val="00C82304"/>
    <w:rsid w:val="00C82445"/>
    <w:rsid w:val="00C8261E"/>
    <w:rsid w:val="00C8292A"/>
    <w:rsid w:val="00C82F46"/>
    <w:rsid w:val="00C82F5E"/>
    <w:rsid w:val="00C83106"/>
    <w:rsid w:val="00C832A0"/>
    <w:rsid w:val="00C83498"/>
    <w:rsid w:val="00C83C3A"/>
    <w:rsid w:val="00C83D15"/>
    <w:rsid w:val="00C83F7A"/>
    <w:rsid w:val="00C84086"/>
    <w:rsid w:val="00C8408E"/>
    <w:rsid w:val="00C84196"/>
    <w:rsid w:val="00C84213"/>
    <w:rsid w:val="00C84397"/>
    <w:rsid w:val="00C8456B"/>
    <w:rsid w:val="00C846D9"/>
    <w:rsid w:val="00C84719"/>
    <w:rsid w:val="00C8473A"/>
    <w:rsid w:val="00C847DD"/>
    <w:rsid w:val="00C848FA"/>
    <w:rsid w:val="00C84959"/>
    <w:rsid w:val="00C84B57"/>
    <w:rsid w:val="00C84DCF"/>
    <w:rsid w:val="00C84E29"/>
    <w:rsid w:val="00C84E91"/>
    <w:rsid w:val="00C84F2A"/>
    <w:rsid w:val="00C84F89"/>
    <w:rsid w:val="00C850CA"/>
    <w:rsid w:val="00C85341"/>
    <w:rsid w:val="00C8548E"/>
    <w:rsid w:val="00C85C32"/>
    <w:rsid w:val="00C85D1E"/>
    <w:rsid w:val="00C85DED"/>
    <w:rsid w:val="00C85FD3"/>
    <w:rsid w:val="00C86235"/>
    <w:rsid w:val="00C8624A"/>
    <w:rsid w:val="00C86412"/>
    <w:rsid w:val="00C865DC"/>
    <w:rsid w:val="00C86BB6"/>
    <w:rsid w:val="00C8707E"/>
    <w:rsid w:val="00C872AF"/>
    <w:rsid w:val="00C87530"/>
    <w:rsid w:val="00C87663"/>
    <w:rsid w:val="00C876A6"/>
    <w:rsid w:val="00C877DB"/>
    <w:rsid w:val="00C8788F"/>
    <w:rsid w:val="00C87A55"/>
    <w:rsid w:val="00C87A94"/>
    <w:rsid w:val="00C87DC7"/>
    <w:rsid w:val="00C9029E"/>
    <w:rsid w:val="00C90468"/>
    <w:rsid w:val="00C9051C"/>
    <w:rsid w:val="00C9073C"/>
    <w:rsid w:val="00C90BEA"/>
    <w:rsid w:val="00C90D63"/>
    <w:rsid w:val="00C91148"/>
    <w:rsid w:val="00C915D4"/>
    <w:rsid w:val="00C91AF3"/>
    <w:rsid w:val="00C91BA2"/>
    <w:rsid w:val="00C91D98"/>
    <w:rsid w:val="00C9212E"/>
    <w:rsid w:val="00C922EC"/>
    <w:rsid w:val="00C922F5"/>
    <w:rsid w:val="00C92323"/>
    <w:rsid w:val="00C925DC"/>
    <w:rsid w:val="00C92680"/>
    <w:rsid w:val="00C9273F"/>
    <w:rsid w:val="00C927C7"/>
    <w:rsid w:val="00C92898"/>
    <w:rsid w:val="00C929A5"/>
    <w:rsid w:val="00C92B21"/>
    <w:rsid w:val="00C92BD2"/>
    <w:rsid w:val="00C93218"/>
    <w:rsid w:val="00C932C7"/>
    <w:rsid w:val="00C934C1"/>
    <w:rsid w:val="00C93E91"/>
    <w:rsid w:val="00C93F27"/>
    <w:rsid w:val="00C940F3"/>
    <w:rsid w:val="00C943D3"/>
    <w:rsid w:val="00C94838"/>
    <w:rsid w:val="00C94A32"/>
    <w:rsid w:val="00C94BBF"/>
    <w:rsid w:val="00C95135"/>
    <w:rsid w:val="00C956BD"/>
    <w:rsid w:val="00C9590C"/>
    <w:rsid w:val="00C95A62"/>
    <w:rsid w:val="00C95AC4"/>
    <w:rsid w:val="00C95D84"/>
    <w:rsid w:val="00C95F78"/>
    <w:rsid w:val="00C96094"/>
    <w:rsid w:val="00C9633D"/>
    <w:rsid w:val="00C96430"/>
    <w:rsid w:val="00C964C4"/>
    <w:rsid w:val="00C9680A"/>
    <w:rsid w:val="00C96CF5"/>
    <w:rsid w:val="00C96F0C"/>
    <w:rsid w:val="00C9722C"/>
    <w:rsid w:val="00C9738B"/>
    <w:rsid w:val="00C97717"/>
    <w:rsid w:val="00C978EB"/>
    <w:rsid w:val="00C97E28"/>
    <w:rsid w:val="00CA040F"/>
    <w:rsid w:val="00CA0467"/>
    <w:rsid w:val="00CA0500"/>
    <w:rsid w:val="00CA0552"/>
    <w:rsid w:val="00CA06CA"/>
    <w:rsid w:val="00CA09DF"/>
    <w:rsid w:val="00CA0D02"/>
    <w:rsid w:val="00CA110A"/>
    <w:rsid w:val="00CA120C"/>
    <w:rsid w:val="00CA12A1"/>
    <w:rsid w:val="00CA16E5"/>
    <w:rsid w:val="00CA196D"/>
    <w:rsid w:val="00CA1C76"/>
    <w:rsid w:val="00CA1D63"/>
    <w:rsid w:val="00CA1E35"/>
    <w:rsid w:val="00CA1FF8"/>
    <w:rsid w:val="00CA2061"/>
    <w:rsid w:val="00CA21FB"/>
    <w:rsid w:val="00CA223C"/>
    <w:rsid w:val="00CA2297"/>
    <w:rsid w:val="00CA229A"/>
    <w:rsid w:val="00CA25DD"/>
    <w:rsid w:val="00CA2698"/>
    <w:rsid w:val="00CA26ED"/>
    <w:rsid w:val="00CA2831"/>
    <w:rsid w:val="00CA2915"/>
    <w:rsid w:val="00CA2919"/>
    <w:rsid w:val="00CA2BBC"/>
    <w:rsid w:val="00CA2D8E"/>
    <w:rsid w:val="00CA30D3"/>
    <w:rsid w:val="00CA30EF"/>
    <w:rsid w:val="00CA31EE"/>
    <w:rsid w:val="00CA3421"/>
    <w:rsid w:val="00CA3A32"/>
    <w:rsid w:val="00CA3AC1"/>
    <w:rsid w:val="00CA3B89"/>
    <w:rsid w:val="00CA3D6A"/>
    <w:rsid w:val="00CA3D99"/>
    <w:rsid w:val="00CA40D9"/>
    <w:rsid w:val="00CA4189"/>
    <w:rsid w:val="00CA4340"/>
    <w:rsid w:val="00CA46A8"/>
    <w:rsid w:val="00CA4C41"/>
    <w:rsid w:val="00CA4C82"/>
    <w:rsid w:val="00CA4CA0"/>
    <w:rsid w:val="00CA4FA3"/>
    <w:rsid w:val="00CA51F8"/>
    <w:rsid w:val="00CA5255"/>
    <w:rsid w:val="00CA58F4"/>
    <w:rsid w:val="00CA5BDB"/>
    <w:rsid w:val="00CA5E68"/>
    <w:rsid w:val="00CA5E96"/>
    <w:rsid w:val="00CA5F83"/>
    <w:rsid w:val="00CA602A"/>
    <w:rsid w:val="00CA607F"/>
    <w:rsid w:val="00CA619C"/>
    <w:rsid w:val="00CA61DD"/>
    <w:rsid w:val="00CA64A7"/>
    <w:rsid w:val="00CA6784"/>
    <w:rsid w:val="00CA6857"/>
    <w:rsid w:val="00CA68E3"/>
    <w:rsid w:val="00CA68ED"/>
    <w:rsid w:val="00CA6994"/>
    <w:rsid w:val="00CA6D12"/>
    <w:rsid w:val="00CA6E98"/>
    <w:rsid w:val="00CA6F9B"/>
    <w:rsid w:val="00CA6FEB"/>
    <w:rsid w:val="00CA7140"/>
    <w:rsid w:val="00CA7634"/>
    <w:rsid w:val="00CA7883"/>
    <w:rsid w:val="00CA7972"/>
    <w:rsid w:val="00CA7B1D"/>
    <w:rsid w:val="00CA7E23"/>
    <w:rsid w:val="00CB009A"/>
    <w:rsid w:val="00CB0324"/>
    <w:rsid w:val="00CB03A7"/>
    <w:rsid w:val="00CB0571"/>
    <w:rsid w:val="00CB05D7"/>
    <w:rsid w:val="00CB0750"/>
    <w:rsid w:val="00CB0AE6"/>
    <w:rsid w:val="00CB0FA4"/>
    <w:rsid w:val="00CB1347"/>
    <w:rsid w:val="00CB1366"/>
    <w:rsid w:val="00CB13DD"/>
    <w:rsid w:val="00CB1462"/>
    <w:rsid w:val="00CB1713"/>
    <w:rsid w:val="00CB1855"/>
    <w:rsid w:val="00CB18AF"/>
    <w:rsid w:val="00CB195B"/>
    <w:rsid w:val="00CB1A73"/>
    <w:rsid w:val="00CB1E06"/>
    <w:rsid w:val="00CB205E"/>
    <w:rsid w:val="00CB20C5"/>
    <w:rsid w:val="00CB225E"/>
    <w:rsid w:val="00CB2354"/>
    <w:rsid w:val="00CB23A1"/>
    <w:rsid w:val="00CB262A"/>
    <w:rsid w:val="00CB2818"/>
    <w:rsid w:val="00CB2902"/>
    <w:rsid w:val="00CB2AB0"/>
    <w:rsid w:val="00CB2B3D"/>
    <w:rsid w:val="00CB2C1D"/>
    <w:rsid w:val="00CB2D3C"/>
    <w:rsid w:val="00CB2EE6"/>
    <w:rsid w:val="00CB2F81"/>
    <w:rsid w:val="00CB2FF3"/>
    <w:rsid w:val="00CB306B"/>
    <w:rsid w:val="00CB30FC"/>
    <w:rsid w:val="00CB3549"/>
    <w:rsid w:val="00CB367A"/>
    <w:rsid w:val="00CB36C4"/>
    <w:rsid w:val="00CB388C"/>
    <w:rsid w:val="00CB3B90"/>
    <w:rsid w:val="00CB3DB8"/>
    <w:rsid w:val="00CB3F62"/>
    <w:rsid w:val="00CB408C"/>
    <w:rsid w:val="00CB4349"/>
    <w:rsid w:val="00CB4799"/>
    <w:rsid w:val="00CB4BDE"/>
    <w:rsid w:val="00CB4C04"/>
    <w:rsid w:val="00CB4D1F"/>
    <w:rsid w:val="00CB5078"/>
    <w:rsid w:val="00CB50FD"/>
    <w:rsid w:val="00CB5139"/>
    <w:rsid w:val="00CB575E"/>
    <w:rsid w:val="00CB57B1"/>
    <w:rsid w:val="00CB5F4A"/>
    <w:rsid w:val="00CB67E8"/>
    <w:rsid w:val="00CB6ABD"/>
    <w:rsid w:val="00CB6E6E"/>
    <w:rsid w:val="00CB70EF"/>
    <w:rsid w:val="00CB72F0"/>
    <w:rsid w:val="00CB7830"/>
    <w:rsid w:val="00CB7A09"/>
    <w:rsid w:val="00CB7D16"/>
    <w:rsid w:val="00CC007E"/>
    <w:rsid w:val="00CC00D7"/>
    <w:rsid w:val="00CC014C"/>
    <w:rsid w:val="00CC0524"/>
    <w:rsid w:val="00CC06D8"/>
    <w:rsid w:val="00CC09B3"/>
    <w:rsid w:val="00CC0A0F"/>
    <w:rsid w:val="00CC0A5F"/>
    <w:rsid w:val="00CC0CE2"/>
    <w:rsid w:val="00CC0D47"/>
    <w:rsid w:val="00CC0E30"/>
    <w:rsid w:val="00CC0F58"/>
    <w:rsid w:val="00CC0FBC"/>
    <w:rsid w:val="00CC1388"/>
    <w:rsid w:val="00CC14B3"/>
    <w:rsid w:val="00CC168B"/>
    <w:rsid w:val="00CC16D7"/>
    <w:rsid w:val="00CC16E6"/>
    <w:rsid w:val="00CC1898"/>
    <w:rsid w:val="00CC19F7"/>
    <w:rsid w:val="00CC1F0A"/>
    <w:rsid w:val="00CC213C"/>
    <w:rsid w:val="00CC224C"/>
    <w:rsid w:val="00CC2628"/>
    <w:rsid w:val="00CC28AD"/>
    <w:rsid w:val="00CC2933"/>
    <w:rsid w:val="00CC29B0"/>
    <w:rsid w:val="00CC2D26"/>
    <w:rsid w:val="00CC2F3C"/>
    <w:rsid w:val="00CC2FBC"/>
    <w:rsid w:val="00CC2FD3"/>
    <w:rsid w:val="00CC30BB"/>
    <w:rsid w:val="00CC31B0"/>
    <w:rsid w:val="00CC31B5"/>
    <w:rsid w:val="00CC3303"/>
    <w:rsid w:val="00CC3310"/>
    <w:rsid w:val="00CC348D"/>
    <w:rsid w:val="00CC3536"/>
    <w:rsid w:val="00CC3759"/>
    <w:rsid w:val="00CC3878"/>
    <w:rsid w:val="00CC3C64"/>
    <w:rsid w:val="00CC3CAC"/>
    <w:rsid w:val="00CC3CBB"/>
    <w:rsid w:val="00CC3DD5"/>
    <w:rsid w:val="00CC3E0F"/>
    <w:rsid w:val="00CC3E52"/>
    <w:rsid w:val="00CC3F20"/>
    <w:rsid w:val="00CC41F7"/>
    <w:rsid w:val="00CC42BA"/>
    <w:rsid w:val="00CC437A"/>
    <w:rsid w:val="00CC43F9"/>
    <w:rsid w:val="00CC4464"/>
    <w:rsid w:val="00CC4868"/>
    <w:rsid w:val="00CC4CD0"/>
    <w:rsid w:val="00CC4F80"/>
    <w:rsid w:val="00CC5002"/>
    <w:rsid w:val="00CC50F2"/>
    <w:rsid w:val="00CC5429"/>
    <w:rsid w:val="00CC5546"/>
    <w:rsid w:val="00CC55DD"/>
    <w:rsid w:val="00CC59F4"/>
    <w:rsid w:val="00CC5A87"/>
    <w:rsid w:val="00CC5B5D"/>
    <w:rsid w:val="00CC5DE1"/>
    <w:rsid w:val="00CC5E12"/>
    <w:rsid w:val="00CC5FCA"/>
    <w:rsid w:val="00CC6511"/>
    <w:rsid w:val="00CC6574"/>
    <w:rsid w:val="00CC684E"/>
    <w:rsid w:val="00CC6993"/>
    <w:rsid w:val="00CC6D41"/>
    <w:rsid w:val="00CC6D89"/>
    <w:rsid w:val="00CC72C7"/>
    <w:rsid w:val="00CC73AE"/>
    <w:rsid w:val="00CC73FA"/>
    <w:rsid w:val="00CC75FD"/>
    <w:rsid w:val="00CC7622"/>
    <w:rsid w:val="00CC76B0"/>
    <w:rsid w:val="00CC7893"/>
    <w:rsid w:val="00CC7972"/>
    <w:rsid w:val="00CC7C77"/>
    <w:rsid w:val="00CC7EE7"/>
    <w:rsid w:val="00CC7F85"/>
    <w:rsid w:val="00CD0086"/>
    <w:rsid w:val="00CD00FA"/>
    <w:rsid w:val="00CD012E"/>
    <w:rsid w:val="00CD021F"/>
    <w:rsid w:val="00CD05B3"/>
    <w:rsid w:val="00CD06DD"/>
    <w:rsid w:val="00CD073F"/>
    <w:rsid w:val="00CD085F"/>
    <w:rsid w:val="00CD0A0C"/>
    <w:rsid w:val="00CD0B61"/>
    <w:rsid w:val="00CD0C4E"/>
    <w:rsid w:val="00CD0EEF"/>
    <w:rsid w:val="00CD1024"/>
    <w:rsid w:val="00CD10EB"/>
    <w:rsid w:val="00CD14FD"/>
    <w:rsid w:val="00CD1588"/>
    <w:rsid w:val="00CD15D5"/>
    <w:rsid w:val="00CD17C0"/>
    <w:rsid w:val="00CD187F"/>
    <w:rsid w:val="00CD1A48"/>
    <w:rsid w:val="00CD1BD0"/>
    <w:rsid w:val="00CD2087"/>
    <w:rsid w:val="00CD232C"/>
    <w:rsid w:val="00CD25C2"/>
    <w:rsid w:val="00CD2DAB"/>
    <w:rsid w:val="00CD30FE"/>
    <w:rsid w:val="00CD3233"/>
    <w:rsid w:val="00CD328F"/>
    <w:rsid w:val="00CD34FE"/>
    <w:rsid w:val="00CD353F"/>
    <w:rsid w:val="00CD35A9"/>
    <w:rsid w:val="00CD386A"/>
    <w:rsid w:val="00CD39D6"/>
    <w:rsid w:val="00CD3CF0"/>
    <w:rsid w:val="00CD3E44"/>
    <w:rsid w:val="00CD4099"/>
    <w:rsid w:val="00CD40C4"/>
    <w:rsid w:val="00CD41D4"/>
    <w:rsid w:val="00CD424B"/>
    <w:rsid w:val="00CD42ED"/>
    <w:rsid w:val="00CD4539"/>
    <w:rsid w:val="00CD45FC"/>
    <w:rsid w:val="00CD4A18"/>
    <w:rsid w:val="00CD4B44"/>
    <w:rsid w:val="00CD4B6D"/>
    <w:rsid w:val="00CD5274"/>
    <w:rsid w:val="00CD5298"/>
    <w:rsid w:val="00CD52FD"/>
    <w:rsid w:val="00CD53E5"/>
    <w:rsid w:val="00CD53F0"/>
    <w:rsid w:val="00CD5473"/>
    <w:rsid w:val="00CD5601"/>
    <w:rsid w:val="00CD5680"/>
    <w:rsid w:val="00CD569F"/>
    <w:rsid w:val="00CD58E1"/>
    <w:rsid w:val="00CD5A20"/>
    <w:rsid w:val="00CD5A80"/>
    <w:rsid w:val="00CD5B5B"/>
    <w:rsid w:val="00CD5B69"/>
    <w:rsid w:val="00CD633C"/>
    <w:rsid w:val="00CD63EF"/>
    <w:rsid w:val="00CD6413"/>
    <w:rsid w:val="00CD663A"/>
    <w:rsid w:val="00CD66FB"/>
    <w:rsid w:val="00CD6A79"/>
    <w:rsid w:val="00CD6CCB"/>
    <w:rsid w:val="00CD7037"/>
    <w:rsid w:val="00CD7058"/>
    <w:rsid w:val="00CD71A4"/>
    <w:rsid w:val="00CD71E3"/>
    <w:rsid w:val="00CD7373"/>
    <w:rsid w:val="00CD769D"/>
    <w:rsid w:val="00CD771E"/>
    <w:rsid w:val="00CD7803"/>
    <w:rsid w:val="00CD7AB2"/>
    <w:rsid w:val="00CD7B1D"/>
    <w:rsid w:val="00CD7CBE"/>
    <w:rsid w:val="00CD7DE8"/>
    <w:rsid w:val="00CE0101"/>
    <w:rsid w:val="00CE03D6"/>
    <w:rsid w:val="00CE0851"/>
    <w:rsid w:val="00CE094E"/>
    <w:rsid w:val="00CE095B"/>
    <w:rsid w:val="00CE0C90"/>
    <w:rsid w:val="00CE0EF1"/>
    <w:rsid w:val="00CE0FCE"/>
    <w:rsid w:val="00CE10AE"/>
    <w:rsid w:val="00CE1208"/>
    <w:rsid w:val="00CE12E4"/>
    <w:rsid w:val="00CE1488"/>
    <w:rsid w:val="00CE179E"/>
    <w:rsid w:val="00CE1870"/>
    <w:rsid w:val="00CE1BCE"/>
    <w:rsid w:val="00CE1C41"/>
    <w:rsid w:val="00CE1C52"/>
    <w:rsid w:val="00CE1D30"/>
    <w:rsid w:val="00CE2045"/>
    <w:rsid w:val="00CE20EC"/>
    <w:rsid w:val="00CE2211"/>
    <w:rsid w:val="00CE2448"/>
    <w:rsid w:val="00CE253E"/>
    <w:rsid w:val="00CE2606"/>
    <w:rsid w:val="00CE2629"/>
    <w:rsid w:val="00CE2709"/>
    <w:rsid w:val="00CE2986"/>
    <w:rsid w:val="00CE2E55"/>
    <w:rsid w:val="00CE2EA7"/>
    <w:rsid w:val="00CE312D"/>
    <w:rsid w:val="00CE3323"/>
    <w:rsid w:val="00CE379F"/>
    <w:rsid w:val="00CE3965"/>
    <w:rsid w:val="00CE3A5D"/>
    <w:rsid w:val="00CE3A7F"/>
    <w:rsid w:val="00CE3B50"/>
    <w:rsid w:val="00CE3E36"/>
    <w:rsid w:val="00CE42F4"/>
    <w:rsid w:val="00CE4392"/>
    <w:rsid w:val="00CE43F5"/>
    <w:rsid w:val="00CE4825"/>
    <w:rsid w:val="00CE4AFF"/>
    <w:rsid w:val="00CE4E62"/>
    <w:rsid w:val="00CE5014"/>
    <w:rsid w:val="00CE5221"/>
    <w:rsid w:val="00CE5238"/>
    <w:rsid w:val="00CE5244"/>
    <w:rsid w:val="00CE5440"/>
    <w:rsid w:val="00CE5591"/>
    <w:rsid w:val="00CE5593"/>
    <w:rsid w:val="00CE584C"/>
    <w:rsid w:val="00CE585A"/>
    <w:rsid w:val="00CE58BE"/>
    <w:rsid w:val="00CE5959"/>
    <w:rsid w:val="00CE5F96"/>
    <w:rsid w:val="00CE6032"/>
    <w:rsid w:val="00CE622A"/>
    <w:rsid w:val="00CE6280"/>
    <w:rsid w:val="00CE660D"/>
    <w:rsid w:val="00CE666B"/>
    <w:rsid w:val="00CE6963"/>
    <w:rsid w:val="00CE6B3B"/>
    <w:rsid w:val="00CE6B6F"/>
    <w:rsid w:val="00CE6F2E"/>
    <w:rsid w:val="00CE720C"/>
    <w:rsid w:val="00CE7514"/>
    <w:rsid w:val="00CE756E"/>
    <w:rsid w:val="00CE76BC"/>
    <w:rsid w:val="00CE776F"/>
    <w:rsid w:val="00CE79EF"/>
    <w:rsid w:val="00CE7A99"/>
    <w:rsid w:val="00CF02D3"/>
    <w:rsid w:val="00CF055C"/>
    <w:rsid w:val="00CF05CD"/>
    <w:rsid w:val="00CF07CC"/>
    <w:rsid w:val="00CF08CD"/>
    <w:rsid w:val="00CF0913"/>
    <w:rsid w:val="00CF092C"/>
    <w:rsid w:val="00CF0A9A"/>
    <w:rsid w:val="00CF105C"/>
    <w:rsid w:val="00CF1555"/>
    <w:rsid w:val="00CF1649"/>
    <w:rsid w:val="00CF165E"/>
    <w:rsid w:val="00CF1708"/>
    <w:rsid w:val="00CF18FE"/>
    <w:rsid w:val="00CF1D80"/>
    <w:rsid w:val="00CF20CC"/>
    <w:rsid w:val="00CF2119"/>
    <w:rsid w:val="00CF212D"/>
    <w:rsid w:val="00CF23E4"/>
    <w:rsid w:val="00CF248B"/>
    <w:rsid w:val="00CF2B96"/>
    <w:rsid w:val="00CF2C86"/>
    <w:rsid w:val="00CF2D0C"/>
    <w:rsid w:val="00CF3086"/>
    <w:rsid w:val="00CF3176"/>
    <w:rsid w:val="00CF322F"/>
    <w:rsid w:val="00CF335D"/>
    <w:rsid w:val="00CF33A8"/>
    <w:rsid w:val="00CF33C1"/>
    <w:rsid w:val="00CF3B33"/>
    <w:rsid w:val="00CF3C9E"/>
    <w:rsid w:val="00CF3E0B"/>
    <w:rsid w:val="00CF3FB9"/>
    <w:rsid w:val="00CF4109"/>
    <w:rsid w:val="00CF4113"/>
    <w:rsid w:val="00CF4640"/>
    <w:rsid w:val="00CF4725"/>
    <w:rsid w:val="00CF4910"/>
    <w:rsid w:val="00CF4C01"/>
    <w:rsid w:val="00CF4F55"/>
    <w:rsid w:val="00CF5290"/>
    <w:rsid w:val="00CF52D1"/>
    <w:rsid w:val="00CF55F0"/>
    <w:rsid w:val="00CF592F"/>
    <w:rsid w:val="00CF5A06"/>
    <w:rsid w:val="00CF5A64"/>
    <w:rsid w:val="00CF5CD8"/>
    <w:rsid w:val="00CF5DE0"/>
    <w:rsid w:val="00CF60C9"/>
    <w:rsid w:val="00CF6627"/>
    <w:rsid w:val="00CF6799"/>
    <w:rsid w:val="00CF68EC"/>
    <w:rsid w:val="00CF6A22"/>
    <w:rsid w:val="00CF6B27"/>
    <w:rsid w:val="00CF6F32"/>
    <w:rsid w:val="00CF74C5"/>
    <w:rsid w:val="00CF7751"/>
    <w:rsid w:val="00CF7F2D"/>
    <w:rsid w:val="00D00147"/>
    <w:rsid w:val="00D001CF"/>
    <w:rsid w:val="00D002C7"/>
    <w:rsid w:val="00D00373"/>
    <w:rsid w:val="00D00435"/>
    <w:rsid w:val="00D00656"/>
    <w:rsid w:val="00D00773"/>
    <w:rsid w:val="00D0088E"/>
    <w:rsid w:val="00D00A82"/>
    <w:rsid w:val="00D00B30"/>
    <w:rsid w:val="00D01296"/>
    <w:rsid w:val="00D01522"/>
    <w:rsid w:val="00D01752"/>
    <w:rsid w:val="00D0177E"/>
    <w:rsid w:val="00D017D2"/>
    <w:rsid w:val="00D01862"/>
    <w:rsid w:val="00D01AA0"/>
    <w:rsid w:val="00D01D71"/>
    <w:rsid w:val="00D01FE5"/>
    <w:rsid w:val="00D02154"/>
    <w:rsid w:val="00D02289"/>
    <w:rsid w:val="00D0236D"/>
    <w:rsid w:val="00D02689"/>
    <w:rsid w:val="00D02843"/>
    <w:rsid w:val="00D03046"/>
    <w:rsid w:val="00D03057"/>
    <w:rsid w:val="00D03075"/>
    <w:rsid w:val="00D03126"/>
    <w:rsid w:val="00D0325D"/>
    <w:rsid w:val="00D0335E"/>
    <w:rsid w:val="00D03386"/>
    <w:rsid w:val="00D03470"/>
    <w:rsid w:val="00D0351B"/>
    <w:rsid w:val="00D0359D"/>
    <w:rsid w:val="00D038D2"/>
    <w:rsid w:val="00D039C9"/>
    <w:rsid w:val="00D03A0A"/>
    <w:rsid w:val="00D03AD6"/>
    <w:rsid w:val="00D03AFA"/>
    <w:rsid w:val="00D03D9A"/>
    <w:rsid w:val="00D03DDD"/>
    <w:rsid w:val="00D03FBF"/>
    <w:rsid w:val="00D0411A"/>
    <w:rsid w:val="00D04195"/>
    <w:rsid w:val="00D04309"/>
    <w:rsid w:val="00D0434E"/>
    <w:rsid w:val="00D04605"/>
    <w:rsid w:val="00D04766"/>
    <w:rsid w:val="00D047DE"/>
    <w:rsid w:val="00D04AA3"/>
    <w:rsid w:val="00D04B67"/>
    <w:rsid w:val="00D04CA4"/>
    <w:rsid w:val="00D04D6F"/>
    <w:rsid w:val="00D04D73"/>
    <w:rsid w:val="00D0555C"/>
    <w:rsid w:val="00D055B4"/>
    <w:rsid w:val="00D055E2"/>
    <w:rsid w:val="00D057F9"/>
    <w:rsid w:val="00D05B5B"/>
    <w:rsid w:val="00D05BD4"/>
    <w:rsid w:val="00D05CD9"/>
    <w:rsid w:val="00D05D08"/>
    <w:rsid w:val="00D05E2B"/>
    <w:rsid w:val="00D060B5"/>
    <w:rsid w:val="00D062C7"/>
    <w:rsid w:val="00D065A8"/>
    <w:rsid w:val="00D06734"/>
    <w:rsid w:val="00D06B51"/>
    <w:rsid w:val="00D06C00"/>
    <w:rsid w:val="00D06C1F"/>
    <w:rsid w:val="00D06C25"/>
    <w:rsid w:val="00D06C45"/>
    <w:rsid w:val="00D06CF1"/>
    <w:rsid w:val="00D06DA0"/>
    <w:rsid w:val="00D06FAF"/>
    <w:rsid w:val="00D06FF3"/>
    <w:rsid w:val="00D07050"/>
    <w:rsid w:val="00D070B8"/>
    <w:rsid w:val="00D0720A"/>
    <w:rsid w:val="00D0738A"/>
    <w:rsid w:val="00D07844"/>
    <w:rsid w:val="00D0787B"/>
    <w:rsid w:val="00D07C98"/>
    <w:rsid w:val="00D07FB4"/>
    <w:rsid w:val="00D10309"/>
    <w:rsid w:val="00D10319"/>
    <w:rsid w:val="00D10443"/>
    <w:rsid w:val="00D1080C"/>
    <w:rsid w:val="00D108BE"/>
    <w:rsid w:val="00D10A15"/>
    <w:rsid w:val="00D114CE"/>
    <w:rsid w:val="00D116AE"/>
    <w:rsid w:val="00D11856"/>
    <w:rsid w:val="00D119C0"/>
    <w:rsid w:val="00D11B9E"/>
    <w:rsid w:val="00D11D8C"/>
    <w:rsid w:val="00D11F69"/>
    <w:rsid w:val="00D11FEB"/>
    <w:rsid w:val="00D12021"/>
    <w:rsid w:val="00D1225D"/>
    <w:rsid w:val="00D127A3"/>
    <w:rsid w:val="00D12951"/>
    <w:rsid w:val="00D12969"/>
    <w:rsid w:val="00D129CB"/>
    <w:rsid w:val="00D12B16"/>
    <w:rsid w:val="00D12EAE"/>
    <w:rsid w:val="00D12EF1"/>
    <w:rsid w:val="00D13184"/>
    <w:rsid w:val="00D132BA"/>
    <w:rsid w:val="00D133E4"/>
    <w:rsid w:val="00D134C7"/>
    <w:rsid w:val="00D135C1"/>
    <w:rsid w:val="00D1394B"/>
    <w:rsid w:val="00D13B89"/>
    <w:rsid w:val="00D145F9"/>
    <w:rsid w:val="00D148FD"/>
    <w:rsid w:val="00D14BC9"/>
    <w:rsid w:val="00D14D99"/>
    <w:rsid w:val="00D14E0A"/>
    <w:rsid w:val="00D14F15"/>
    <w:rsid w:val="00D14F95"/>
    <w:rsid w:val="00D15173"/>
    <w:rsid w:val="00D156DC"/>
    <w:rsid w:val="00D1572C"/>
    <w:rsid w:val="00D159E7"/>
    <w:rsid w:val="00D15B7D"/>
    <w:rsid w:val="00D160DC"/>
    <w:rsid w:val="00D163DD"/>
    <w:rsid w:val="00D16719"/>
    <w:rsid w:val="00D167FA"/>
    <w:rsid w:val="00D16C51"/>
    <w:rsid w:val="00D171E0"/>
    <w:rsid w:val="00D176A6"/>
    <w:rsid w:val="00D17A3E"/>
    <w:rsid w:val="00D17A81"/>
    <w:rsid w:val="00D17A88"/>
    <w:rsid w:val="00D17B2E"/>
    <w:rsid w:val="00D17C2A"/>
    <w:rsid w:val="00D17CDE"/>
    <w:rsid w:val="00D17E85"/>
    <w:rsid w:val="00D17E8F"/>
    <w:rsid w:val="00D200A6"/>
    <w:rsid w:val="00D20377"/>
    <w:rsid w:val="00D20408"/>
    <w:rsid w:val="00D20441"/>
    <w:rsid w:val="00D204F3"/>
    <w:rsid w:val="00D2054E"/>
    <w:rsid w:val="00D2061B"/>
    <w:rsid w:val="00D207C2"/>
    <w:rsid w:val="00D20803"/>
    <w:rsid w:val="00D209E1"/>
    <w:rsid w:val="00D20D64"/>
    <w:rsid w:val="00D2134E"/>
    <w:rsid w:val="00D21730"/>
    <w:rsid w:val="00D21957"/>
    <w:rsid w:val="00D219AC"/>
    <w:rsid w:val="00D219B4"/>
    <w:rsid w:val="00D21D59"/>
    <w:rsid w:val="00D21FAB"/>
    <w:rsid w:val="00D222DE"/>
    <w:rsid w:val="00D22340"/>
    <w:rsid w:val="00D2288F"/>
    <w:rsid w:val="00D228A2"/>
    <w:rsid w:val="00D2299E"/>
    <w:rsid w:val="00D22AD2"/>
    <w:rsid w:val="00D22B4B"/>
    <w:rsid w:val="00D22C8D"/>
    <w:rsid w:val="00D2301B"/>
    <w:rsid w:val="00D2306A"/>
    <w:rsid w:val="00D23319"/>
    <w:rsid w:val="00D23455"/>
    <w:rsid w:val="00D2352C"/>
    <w:rsid w:val="00D236D4"/>
    <w:rsid w:val="00D23702"/>
    <w:rsid w:val="00D23BA8"/>
    <w:rsid w:val="00D23D66"/>
    <w:rsid w:val="00D23E0C"/>
    <w:rsid w:val="00D23EF4"/>
    <w:rsid w:val="00D24246"/>
    <w:rsid w:val="00D243F0"/>
    <w:rsid w:val="00D245C2"/>
    <w:rsid w:val="00D248DE"/>
    <w:rsid w:val="00D24B54"/>
    <w:rsid w:val="00D24C62"/>
    <w:rsid w:val="00D24E97"/>
    <w:rsid w:val="00D24ECE"/>
    <w:rsid w:val="00D24F08"/>
    <w:rsid w:val="00D24FA1"/>
    <w:rsid w:val="00D251E4"/>
    <w:rsid w:val="00D2537F"/>
    <w:rsid w:val="00D253D4"/>
    <w:rsid w:val="00D2549E"/>
    <w:rsid w:val="00D2560B"/>
    <w:rsid w:val="00D25627"/>
    <w:rsid w:val="00D2571D"/>
    <w:rsid w:val="00D2572C"/>
    <w:rsid w:val="00D25A81"/>
    <w:rsid w:val="00D25BF1"/>
    <w:rsid w:val="00D25C9F"/>
    <w:rsid w:val="00D25CCC"/>
    <w:rsid w:val="00D25DC4"/>
    <w:rsid w:val="00D25F59"/>
    <w:rsid w:val="00D26073"/>
    <w:rsid w:val="00D26171"/>
    <w:rsid w:val="00D263D2"/>
    <w:rsid w:val="00D26488"/>
    <w:rsid w:val="00D264B5"/>
    <w:rsid w:val="00D2680E"/>
    <w:rsid w:val="00D26923"/>
    <w:rsid w:val="00D2695F"/>
    <w:rsid w:val="00D26A49"/>
    <w:rsid w:val="00D26BD3"/>
    <w:rsid w:val="00D26E2A"/>
    <w:rsid w:val="00D26E86"/>
    <w:rsid w:val="00D27004"/>
    <w:rsid w:val="00D27114"/>
    <w:rsid w:val="00D27155"/>
    <w:rsid w:val="00D271A5"/>
    <w:rsid w:val="00D2780B"/>
    <w:rsid w:val="00D2784B"/>
    <w:rsid w:val="00D27981"/>
    <w:rsid w:val="00D27C16"/>
    <w:rsid w:val="00D27C76"/>
    <w:rsid w:val="00D27CCB"/>
    <w:rsid w:val="00D3034C"/>
    <w:rsid w:val="00D306D7"/>
    <w:rsid w:val="00D307DD"/>
    <w:rsid w:val="00D30A79"/>
    <w:rsid w:val="00D30C56"/>
    <w:rsid w:val="00D30CC0"/>
    <w:rsid w:val="00D30D8A"/>
    <w:rsid w:val="00D30DD0"/>
    <w:rsid w:val="00D30ECC"/>
    <w:rsid w:val="00D30ED1"/>
    <w:rsid w:val="00D30F5D"/>
    <w:rsid w:val="00D3122E"/>
    <w:rsid w:val="00D31335"/>
    <w:rsid w:val="00D3136E"/>
    <w:rsid w:val="00D313A2"/>
    <w:rsid w:val="00D31997"/>
    <w:rsid w:val="00D319A9"/>
    <w:rsid w:val="00D31ACB"/>
    <w:rsid w:val="00D31B0C"/>
    <w:rsid w:val="00D31D13"/>
    <w:rsid w:val="00D31DE0"/>
    <w:rsid w:val="00D31F3B"/>
    <w:rsid w:val="00D321AA"/>
    <w:rsid w:val="00D3223C"/>
    <w:rsid w:val="00D32366"/>
    <w:rsid w:val="00D324A0"/>
    <w:rsid w:val="00D324B2"/>
    <w:rsid w:val="00D327F8"/>
    <w:rsid w:val="00D32D88"/>
    <w:rsid w:val="00D32ECC"/>
    <w:rsid w:val="00D330CD"/>
    <w:rsid w:val="00D33464"/>
    <w:rsid w:val="00D337D2"/>
    <w:rsid w:val="00D3394A"/>
    <w:rsid w:val="00D3394B"/>
    <w:rsid w:val="00D33FF8"/>
    <w:rsid w:val="00D345EF"/>
    <w:rsid w:val="00D348A5"/>
    <w:rsid w:val="00D34A3B"/>
    <w:rsid w:val="00D34A86"/>
    <w:rsid w:val="00D3510B"/>
    <w:rsid w:val="00D352BA"/>
    <w:rsid w:val="00D354E2"/>
    <w:rsid w:val="00D3559C"/>
    <w:rsid w:val="00D35F23"/>
    <w:rsid w:val="00D36050"/>
    <w:rsid w:val="00D3610E"/>
    <w:rsid w:val="00D364D2"/>
    <w:rsid w:val="00D36A5C"/>
    <w:rsid w:val="00D36B6E"/>
    <w:rsid w:val="00D36E22"/>
    <w:rsid w:val="00D36ED0"/>
    <w:rsid w:val="00D370BD"/>
    <w:rsid w:val="00D370DC"/>
    <w:rsid w:val="00D370F8"/>
    <w:rsid w:val="00D37147"/>
    <w:rsid w:val="00D37202"/>
    <w:rsid w:val="00D373C9"/>
    <w:rsid w:val="00D3759A"/>
    <w:rsid w:val="00D3776B"/>
    <w:rsid w:val="00D37837"/>
    <w:rsid w:val="00D3789A"/>
    <w:rsid w:val="00D379CA"/>
    <w:rsid w:val="00D37BE7"/>
    <w:rsid w:val="00D403CE"/>
    <w:rsid w:val="00D40428"/>
    <w:rsid w:val="00D40846"/>
    <w:rsid w:val="00D40AA8"/>
    <w:rsid w:val="00D40E09"/>
    <w:rsid w:val="00D40E7D"/>
    <w:rsid w:val="00D41056"/>
    <w:rsid w:val="00D41356"/>
    <w:rsid w:val="00D41428"/>
    <w:rsid w:val="00D414F3"/>
    <w:rsid w:val="00D4154A"/>
    <w:rsid w:val="00D41770"/>
    <w:rsid w:val="00D41937"/>
    <w:rsid w:val="00D419CD"/>
    <w:rsid w:val="00D41ADC"/>
    <w:rsid w:val="00D41AEA"/>
    <w:rsid w:val="00D41B22"/>
    <w:rsid w:val="00D41D3E"/>
    <w:rsid w:val="00D41D5D"/>
    <w:rsid w:val="00D41E51"/>
    <w:rsid w:val="00D41EDB"/>
    <w:rsid w:val="00D41FA4"/>
    <w:rsid w:val="00D420F5"/>
    <w:rsid w:val="00D4217C"/>
    <w:rsid w:val="00D4218E"/>
    <w:rsid w:val="00D422BE"/>
    <w:rsid w:val="00D42466"/>
    <w:rsid w:val="00D4285D"/>
    <w:rsid w:val="00D42B28"/>
    <w:rsid w:val="00D42C52"/>
    <w:rsid w:val="00D42CE7"/>
    <w:rsid w:val="00D42DC5"/>
    <w:rsid w:val="00D430A2"/>
    <w:rsid w:val="00D43131"/>
    <w:rsid w:val="00D431CC"/>
    <w:rsid w:val="00D4320C"/>
    <w:rsid w:val="00D43276"/>
    <w:rsid w:val="00D43295"/>
    <w:rsid w:val="00D43486"/>
    <w:rsid w:val="00D4362A"/>
    <w:rsid w:val="00D438B7"/>
    <w:rsid w:val="00D43B3A"/>
    <w:rsid w:val="00D43B59"/>
    <w:rsid w:val="00D43BD0"/>
    <w:rsid w:val="00D43BE1"/>
    <w:rsid w:val="00D43C5B"/>
    <w:rsid w:val="00D4431A"/>
    <w:rsid w:val="00D44576"/>
    <w:rsid w:val="00D44806"/>
    <w:rsid w:val="00D44915"/>
    <w:rsid w:val="00D44D4C"/>
    <w:rsid w:val="00D455A9"/>
    <w:rsid w:val="00D4580D"/>
    <w:rsid w:val="00D45816"/>
    <w:rsid w:val="00D45C1D"/>
    <w:rsid w:val="00D45FD0"/>
    <w:rsid w:val="00D462D1"/>
    <w:rsid w:val="00D46400"/>
    <w:rsid w:val="00D46445"/>
    <w:rsid w:val="00D46550"/>
    <w:rsid w:val="00D4672E"/>
    <w:rsid w:val="00D46ACA"/>
    <w:rsid w:val="00D46DCE"/>
    <w:rsid w:val="00D4716F"/>
    <w:rsid w:val="00D4717A"/>
    <w:rsid w:val="00D47466"/>
    <w:rsid w:val="00D476C0"/>
    <w:rsid w:val="00D477BF"/>
    <w:rsid w:val="00D478B8"/>
    <w:rsid w:val="00D47D78"/>
    <w:rsid w:val="00D50424"/>
    <w:rsid w:val="00D5050D"/>
    <w:rsid w:val="00D50751"/>
    <w:rsid w:val="00D50871"/>
    <w:rsid w:val="00D509AF"/>
    <w:rsid w:val="00D50A35"/>
    <w:rsid w:val="00D50BDB"/>
    <w:rsid w:val="00D50C96"/>
    <w:rsid w:val="00D50E72"/>
    <w:rsid w:val="00D50E96"/>
    <w:rsid w:val="00D51016"/>
    <w:rsid w:val="00D510E6"/>
    <w:rsid w:val="00D51165"/>
    <w:rsid w:val="00D51237"/>
    <w:rsid w:val="00D5125F"/>
    <w:rsid w:val="00D51274"/>
    <w:rsid w:val="00D5165B"/>
    <w:rsid w:val="00D5173C"/>
    <w:rsid w:val="00D51760"/>
    <w:rsid w:val="00D51767"/>
    <w:rsid w:val="00D517CC"/>
    <w:rsid w:val="00D51DB2"/>
    <w:rsid w:val="00D51DC4"/>
    <w:rsid w:val="00D51E4D"/>
    <w:rsid w:val="00D52028"/>
    <w:rsid w:val="00D52204"/>
    <w:rsid w:val="00D52297"/>
    <w:rsid w:val="00D5253B"/>
    <w:rsid w:val="00D5265B"/>
    <w:rsid w:val="00D5277A"/>
    <w:rsid w:val="00D527DF"/>
    <w:rsid w:val="00D5291D"/>
    <w:rsid w:val="00D52B85"/>
    <w:rsid w:val="00D52DD0"/>
    <w:rsid w:val="00D5302C"/>
    <w:rsid w:val="00D530FE"/>
    <w:rsid w:val="00D53512"/>
    <w:rsid w:val="00D5355F"/>
    <w:rsid w:val="00D537C0"/>
    <w:rsid w:val="00D53A1D"/>
    <w:rsid w:val="00D53B9E"/>
    <w:rsid w:val="00D53CCA"/>
    <w:rsid w:val="00D54098"/>
    <w:rsid w:val="00D54219"/>
    <w:rsid w:val="00D5438B"/>
    <w:rsid w:val="00D54749"/>
    <w:rsid w:val="00D54953"/>
    <w:rsid w:val="00D5497A"/>
    <w:rsid w:val="00D54AF1"/>
    <w:rsid w:val="00D54CAF"/>
    <w:rsid w:val="00D54DD5"/>
    <w:rsid w:val="00D54ED1"/>
    <w:rsid w:val="00D55278"/>
    <w:rsid w:val="00D55521"/>
    <w:rsid w:val="00D5556B"/>
    <w:rsid w:val="00D55580"/>
    <w:rsid w:val="00D55765"/>
    <w:rsid w:val="00D5580E"/>
    <w:rsid w:val="00D55886"/>
    <w:rsid w:val="00D55C01"/>
    <w:rsid w:val="00D55C4E"/>
    <w:rsid w:val="00D55D55"/>
    <w:rsid w:val="00D55F9E"/>
    <w:rsid w:val="00D561A6"/>
    <w:rsid w:val="00D56273"/>
    <w:rsid w:val="00D564AC"/>
    <w:rsid w:val="00D566F5"/>
    <w:rsid w:val="00D5672D"/>
    <w:rsid w:val="00D56798"/>
    <w:rsid w:val="00D56833"/>
    <w:rsid w:val="00D56969"/>
    <w:rsid w:val="00D56B37"/>
    <w:rsid w:val="00D56B50"/>
    <w:rsid w:val="00D56B81"/>
    <w:rsid w:val="00D56FDF"/>
    <w:rsid w:val="00D57060"/>
    <w:rsid w:val="00D5747C"/>
    <w:rsid w:val="00D5756E"/>
    <w:rsid w:val="00D579AB"/>
    <w:rsid w:val="00D57ABD"/>
    <w:rsid w:val="00D57CFA"/>
    <w:rsid w:val="00D57DA4"/>
    <w:rsid w:val="00D57DCA"/>
    <w:rsid w:val="00D57ECC"/>
    <w:rsid w:val="00D60063"/>
    <w:rsid w:val="00D60717"/>
    <w:rsid w:val="00D60737"/>
    <w:rsid w:val="00D6079C"/>
    <w:rsid w:val="00D611E0"/>
    <w:rsid w:val="00D6124A"/>
    <w:rsid w:val="00D6141A"/>
    <w:rsid w:val="00D614F9"/>
    <w:rsid w:val="00D61578"/>
    <w:rsid w:val="00D618D1"/>
    <w:rsid w:val="00D61945"/>
    <w:rsid w:val="00D61A5A"/>
    <w:rsid w:val="00D61A89"/>
    <w:rsid w:val="00D61B75"/>
    <w:rsid w:val="00D61CD6"/>
    <w:rsid w:val="00D61D04"/>
    <w:rsid w:val="00D61DF0"/>
    <w:rsid w:val="00D61F14"/>
    <w:rsid w:val="00D61FD3"/>
    <w:rsid w:val="00D61FE0"/>
    <w:rsid w:val="00D6208E"/>
    <w:rsid w:val="00D620B2"/>
    <w:rsid w:val="00D625CE"/>
    <w:rsid w:val="00D62ECE"/>
    <w:rsid w:val="00D62FC4"/>
    <w:rsid w:val="00D63154"/>
    <w:rsid w:val="00D63204"/>
    <w:rsid w:val="00D632BF"/>
    <w:rsid w:val="00D632C0"/>
    <w:rsid w:val="00D63662"/>
    <w:rsid w:val="00D63925"/>
    <w:rsid w:val="00D63AE4"/>
    <w:rsid w:val="00D63B5A"/>
    <w:rsid w:val="00D63BFD"/>
    <w:rsid w:val="00D63C72"/>
    <w:rsid w:val="00D63D1E"/>
    <w:rsid w:val="00D64082"/>
    <w:rsid w:val="00D640AA"/>
    <w:rsid w:val="00D642DE"/>
    <w:rsid w:val="00D64876"/>
    <w:rsid w:val="00D64878"/>
    <w:rsid w:val="00D649E1"/>
    <w:rsid w:val="00D64C4A"/>
    <w:rsid w:val="00D64CA0"/>
    <w:rsid w:val="00D64F55"/>
    <w:rsid w:val="00D65414"/>
    <w:rsid w:val="00D65544"/>
    <w:rsid w:val="00D65573"/>
    <w:rsid w:val="00D6585E"/>
    <w:rsid w:val="00D65864"/>
    <w:rsid w:val="00D65914"/>
    <w:rsid w:val="00D65A78"/>
    <w:rsid w:val="00D65C9F"/>
    <w:rsid w:val="00D666CE"/>
    <w:rsid w:val="00D6670E"/>
    <w:rsid w:val="00D66A8B"/>
    <w:rsid w:val="00D66BB4"/>
    <w:rsid w:val="00D66C1B"/>
    <w:rsid w:val="00D67209"/>
    <w:rsid w:val="00D6726B"/>
    <w:rsid w:val="00D67418"/>
    <w:rsid w:val="00D676A6"/>
    <w:rsid w:val="00D67748"/>
    <w:rsid w:val="00D67D35"/>
    <w:rsid w:val="00D67DB0"/>
    <w:rsid w:val="00D70257"/>
    <w:rsid w:val="00D70342"/>
    <w:rsid w:val="00D7040D"/>
    <w:rsid w:val="00D70918"/>
    <w:rsid w:val="00D70B0A"/>
    <w:rsid w:val="00D71286"/>
    <w:rsid w:val="00D718E5"/>
    <w:rsid w:val="00D71CEB"/>
    <w:rsid w:val="00D71E16"/>
    <w:rsid w:val="00D720B0"/>
    <w:rsid w:val="00D7276C"/>
    <w:rsid w:val="00D7285A"/>
    <w:rsid w:val="00D729D2"/>
    <w:rsid w:val="00D72ADA"/>
    <w:rsid w:val="00D72BEE"/>
    <w:rsid w:val="00D73042"/>
    <w:rsid w:val="00D73044"/>
    <w:rsid w:val="00D730C7"/>
    <w:rsid w:val="00D730EE"/>
    <w:rsid w:val="00D73103"/>
    <w:rsid w:val="00D73174"/>
    <w:rsid w:val="00D731F3"/>
    <w:rsid w:val="00D736CB"/>
    <w:rsid w:val="00D737AD"/>
    <w:rsid w:val="00D7386C"/>
    <w:rsid w:val="00D73D51"/>
    <w:rsid w:val="00D742A2"/>
    <w:rsid w:val="00D743A7"/>
    <w:rsid w:val="00D74487"/>
    <w:rsid w:val="00D7448E"/>
    <w:rsid w:val="00D745A3"/>
    <w:rsid w:val="00D747D6"/>
    <w:rsid w:val="00D74C76"/>
    <w:rsid w:val="00D74CBE"/>
    <w:rsid w:val="00D74D82"/>
    <w:rsid w:val="00D74EB6"/>
    <w:rsid w:val="00D7516B"/>
    <w:rsid w:val="00D7516D"/>
    <w:rsid w:val="00D751DC"/>
    <w:rsid w:val="00D752AF"/>
    <w:rsid w:val="00D75459"/>
    <w:rsid w:val="00D75716"/>
    <w:rsid w:val="00D757AA"/>
    <w:rsid w:val="00D757C9"/>
    <w:rsid w:val="00D7580F"/>
    <w:rsid w:val="00D75E74"/>
    <w:rsid w:val="00D75F6C"/>
    <w:rsid w:val="00D7601F"/>
    <w:rsid w:val="00D760BE"/>
    <w:rsid w:val="00D7638C"/>
    <w:rsid w:val="00D76617"/>
    <w:rsid w:val="00D7666F"/>
    <w:rsid w:val="00D76747"/>
    <w:rsid w:val="00D76794"/>
    <w:rsid w:val="00D767A9"/>
    <w:rsid w:val="00D768E1"/>
    <w:rsid w:val="00D76BEB"/>
    <w:rsid w:val="00D76EB8"/>
    <w:rsid w:val="00D76F16"/>
    <w:rsid w:val="00D76FB3"/>
    <w:rsid w:val="00D76FC0"/>
    <w:rsid w:val="00D7707F"/>
    <w:rsid w:val="00D774A0"/>
    <w:rsid w:val="00D77593"/>
    <w:rsid w:val="00D777AC"/>
    <w:rsid w:val="00D77848"/>
    <w:rsid w:val="00D779A6"/>
    <w:rsid w:val="00D77DEC"/>
    <w:rsid w:val="00D77DFF"/>
    <w:rsid w:val="00D8007D"/>
    <w:rsid w:val="00D80109"/>
    <w:rsid w:val="00D80166"/>
    <w:rsid w:val="00D802F4"/>
    <w:rsid w:val="00D804EC"/>
    <w:rsid w:val="00D8055F"/>
    <w:rsid w:val="00D806EA"/>
    <w:rsid w:val="00D809B3"/>
    <w:rsid w:val="00D80DA2"/>
    <w:rsid w:val="00D80EB7"/>
    <w:rsid w:val="00D80EC6"/>
    <w:rsid w:val="00D81174"/>
    <w:rsid w:val="00D81320"/>
    <w:rsid w:val="00D814BB"/>
    <w:rsid w:val="00D81904"/>
    <w:rsid w:val="00D8194B"/>
    <w:rsid w:val="00D819AC"/>
    <w:rsid w:val="00D81AE1"/>
    <w:rsid w:val="00D81BE1"/>
    <w:rsid w:val="00D81C6D"/>
    <w:rsid w:val="00D81EA0"/>
    <w:rsid w:val="00D81F14"/>
    <w:rsid w:val="00D8201A"/>
    <w:rsid w:val="00D820B0"/>
    <w:rsid w:val="00D821F1"/>
    <w:rsid w:val="00D822BC"/>
    <w:rsid w:val="00D82561"/>
    <w:rsid w:val="00D825D6"/>
    <w:rsid w:val="00D82B0D"/>
    <w:rsid w:val="00D82B48"/>
    <w:rsid w:val="00D82CEB"/>
    <w:rsid w:val="00D82DC5"/>
    <w:rsid w:val="00D82E60"/>
    <w:rsid w:val="00D831B9"/>
    <w:rsid w:val="00D831C0"/>
    <w:rsid w:val="00D83410"/>
    <w:rsid w:val="00D8347A"/>
    <w:rsid w:val="00D83679"/>
    <w:rsid w:val="00D83713"/>
    <w:rsid w:val="00D8398F"/>
    <w:rsid w:val="00D83AA4"/>
    <w:rsid w:val="00D83BA5"/>
    <w:rsid w:val="00D83C4A"/>
    <w:rsid w:val="00D83E79"/>
    <w:rsid w:val="00D83F3B"/>
    <w:rsid w:val="00D84331"/>
    <w:rsid w:val="00D8436C"/>
    <w:rsid w:val="00D844EE"/>
    <w:rsid w:val="00D845EE"/>
    <w:rsid w:val="00D84902"/>
    <w:rsid w:val="00D84903"/>
    <w:rsid w:val="00D84AA6"/>
    <w:rsid w:val="00D84AB1"/>
    <w:rsid w:val="00D84B00"/>
    <w:rsid w:val="00D84B25"/>
    <w:rsid w:val="00D84B32"/>
    <w:rsid w:val="00D84B57"/>
    <w:rsid w:val="00D84C5D"/>
    <w:rsid w:val="00D84EFA"/>
    <w:rsid w:val="00D84FD5"/>
    <w:rsid w:val="00D84FE0"/>
    <w:rsid w:val="00D85233"/>
    <w:rsid w:val="00D8531E"/>
    <w:rsid w:val="00D85393"/>
    <w:rsid w:val="00D8542D"/>
    <w:rsid w:val="00D85502"/>
    <w:rsid w:val="00D85667"/>
    <w:rsid w:val="00D859BE"/>
    <w:rsid w:val="00D859C3"/>
    <w:rsid w:val="00D85B53"/>
    <w:rsid w:val="00D8621D"/>
    <w:rsid w:val="00D863B5"/>
    <w:rsid w:val="00D8647C"/>
    <w:rsid w:val="00D865E5"/>
    <w:rsid w:val="00D86B23"/>
    <w:rsid w:val="00D86B39"/>
    <w:rsid w:val="00D86D3B"/>
    <w:rsid w:val="00D86DC2"/>
    <w:rsid w:val="00D86E76"/>
    <w:rsid w:val="00D86FA3"/>
    <w:rsid w:val="00D86FA7"/>
    <w:rsid w:val="00D877EE"/>
    <w:rsid w:val="00D87A1F"/>
    <w:rsid w:val="00D87B83"/>
    <w:rsid w:val="00D87C1C"/>
    <w:rsid w:val="00D87DBC"/>
    <w:rsid w:val="00D87E93"/>
    <w:rsid w:val="00D900C6"/>
    <w:rsid w:val="00D90158"/>
    <w:rsid w:val="00D90207"/>
    <w:rsid w:val="00D904EE"/>
    <w:rsid w:val="00D906E2"/>
    <w:rsid w:val="00D90B7D"/>
    <w:rsid w:val="00D90F06"/>
    <w:rsid w:val="00D9142C"/>
    <w:rsid w:val="00D91486"/>
    <w:rsid w:val="00D916B6"/>
    <w:rsid w:val="00D919CF"/>
    <w:rsid w:val="00D91AF2"/>
    <w:rsid w:val="00D91BE0"/>
    <w:rsid w:val="00D91CCB"/>
    <w:rsid w:val="00D9220A"/>
    <w:rsid w:val="00D922B4"/>
    <w:rsid w:val="00D92500"/>
    <w:rsid w:val="00D927EB"/>
    <w:rsid w:val="00D92890"/>
    <w:rsid w:val="00D928AF"/>
    <w:rsid w:val="00D92AE7"/>
    <w:rsid w:val="00D92BDB"/>
    <w:rsid w:val="00D92D33"/>
    <w:rsid w:val="00D92F93"/>
    <w:rsid w:val="00D92FBF"/>
    <w:rsid w:val="00D930A7"/>
    <w:rsid w:val="00D933CD"/>
    <w:rsid w:val="00D93467"/>
    <w:rsid w:val="00D93492"/>
    <w:rsid w:val="00D934AF"/>
    <w:rsid w:val="00D93BDF"/>
    <w:rsid w:val="00D93D87"/>
    <w:rsid w:val="00D93F07"/>
    <w:rsid w:val="00D93F5E"/>
    <w:rsid w:val="00D940C6"/>
    <w:rsid w:val="00D943C3"/>
    <w:rsid w:val="00D94761"/>
    <w:rsid w:val="00D94D6A"/>
    <w:rsid w:val="00D94F09"/>
    <w:rsid w:val="00D94F51"/>
    <w:rsid w:val="00D9522F"/>
    <w:rsid w:val="00D952B7"/>
    <w:rsid w:val="00D95420"/>
    <w:rsid w:val="00D956C8"/>
    <w:rsid w:val="00D959CE"/>
    <w:rsid w:val="00D959DC"/>
    <w:rsid w:val="00D95B61"/>
    <w:rsid w:val="00D95C45"/>
    <w:rsid w:val="00D96333"/>
    <w:rsid w:val="00D96341"/>
    <w:rsid w:val="00D9637F"/>
    <w:rsid w:val="00D96388"/>
    <w:rsid w:val="00D96678"/>
    <w:rsid w:val="00D969C0"/>
    <w:rsid w:val="00D96A04"/>
    <w:rsid w:val="00D96A3F"/>
    <w:rsid w:val="00D96B08"/>
    <w:rsid w:val="00D96BF1"/>
    <w:rsid w:val="00D96C5C"/>
    <w:rsid w:val="00D96C91"/>
    <w:rsid w:val="00D96D2D"/>
    <w:rsid w:val="00D96DC2"/>
    <w:rsid w:val="00D97133"/>
    <w:rsid w:val="00D97239"/>
    <w:rsid w:val="00D97390"/>
    <w:rsid w:val="00D974E7"/>
    <w:rsid w:val="00D97C46"/>
    <w:rsid w:val="00D97CB4"/>
    <w:rsid w:val="00D97DD9"/>
    <w:rsid w:val="00D97EF6"/>
    <w:rsid w:val="00D97F50"/>
    <w:rsid w:val="00DA01EF"/>
    <w:rsid w:val="00DA0235"/>
    <w:rsid w:val="00DA02D3"/>
    <w:rsid w:val="00DA0381"/>
    <w:rsid w:val="00DA0784"/>
    <w:rsid w:val="00DA1093"/>
    <w:rsid w:val="00DA15EA"/>
    <w:rsid w:val="00DA169B"/>
    <w:rsid w:val="00DA1D7D"/>
    <w:rsid w:val="00DA1F3A"/>
    <w:rsid w:val="00DA20B2"/>
    <w:rsid w:val="00DA21AD"/>
    <w:rsid w:val="00DA22BE"/>
    <w:rsid w:val="00DA267B"/>
    <w:rsid w:val="00DA2A7F"/>
    <w:rsid w:val="00DA3509"/>
    <w:rsid w:val="00DA3538"/>
    <w:rsid w:val="00DA3710"/>
    <w:rsid w:val="00DA3959"/>
    <w:rsid w:val="00DA3BFB"/>
    <w:rsid w:val="00DA3F21"/>
    <w:rsid w:val="00DA407C"/>
    <w:rsid w:val="00DA41D3"/>
    <w:rsid w:val="00DA42A4"/>
    <w:rsid w:val="00DA4763"/>
    <w:rsid w:val="00DA4770"/>
    <w:rsid w:val="00DA48A3"/>
    <w:rsid w:val="00DA4AC4"/>
    <w:rsid w:val="00DA4C7B"/>
    <w:rsid w:val="00DA4EB1"/>
    <w:rsid w:val="00DA4F7E"/>
    <w:rsid w:val="00DA5217"/>
    <w:rsid w:val="00DA56E5"/>
    <w:rsid w:val="00DA5C7C"/>
    <w:rsid w:val="00DA6640"/>
    <w:rsid w:val="00DA69A3"/>
    <w:rsid w:val="00DA6BA0"/>
    <w:rsid w:val="00DA6BA5"/>
    <w:rsid w:val="00DA6D10"/>
    <w:rsid w:val="00DA6D1A"/>
    <w:rsid w:val="00DA6E18"/>
    <w:rsid w:val="00DA71C3"/>
    <w:rsid w:val="00DA7216"/>
    <w:rsid w:val="00DA7327"/>
    <w:rsid w:val="00DA7385"/>
    <w:rsid w:val="00DA7686"/>
    <w:rsid w:val="00DA76B2"/>
    <w:rsid w:val="00DA7778"/>
    <w:rsid w:val="00DA77D0"/>
    <w:rsid w:val="00DA77E4"/>
    <w:rsid w:val="00DA79C5"/>
    <w:rsid w:val="00DA7AAF"/>
    <w:rsid w:val="00DA7BE9"/>
    <w:rsid w:val="00DB03B6"/>
    <w:rsid w:val="00DB03C3"/>
    <w:rsid w:val="00DB06D4"/>
    <w:rsid w:val="00DB06E6"/>
    <w:rsid w:val="00DB08EC"/>
    <w:rsid w:val="00DB099E"/>
    <w:rsid w:val="00DB0A1E"/>
    <w:rsid w:val="00DB0AA5"/>
    <w:rsid w:val="00DB0C56"/>
    <w:rsid w:val="00DB0CF7"/>
    <w:rsid w:val="00DB0DBE"/>
    <w:rsid w:val="00DB10F8"/>
    <w:rsid w:val="00DB1237"/>
    <w:rsid w:val="00DB15A2"/>
    <w:rsid w:val="00DB1727"/>
    <w:rsid w:val="00DB1AD7"/>
    <w:rsid w:val="00DB1B7A"/>
    <w:rsid w:val="00DB1B7D"/>
    <w:rsid w:val="00DB1EA9"/>
    <w:rsid w:val="00DB1F22"/>
    <w:rsid w:val="00DB1F73"/>
    <w:rsid w:val="00DB2953"/>
    <w:rsid w:val="00DB29FF"/>
    <w:rsid w:val="00DB2D00"/>
    <w:rsid w:val="00DB2E21"/>
    <w:rsid w:val="00DB2EA4"/>
    <w:rsid w:val="00DB2F7A"/>
    <w:rsid w:val="00DB321E"/>
    <w:rsid w:val="00DB32D7"/>
    <w:rsid w:val="00DB32E2"/>
    <w:rsid w:val="00DB3375"/>
    <w:rsid w:val="00DB3392"/>
    <w:rsid w:val="00DB37EF"/>
    <w:rsid w:val="00DB3880"/>
    <w:rsid w:val="00DB3984"/>
    <w:rsid w:val="00DB3A2F"/>
    <w:rsid w:val="00DB3BCB"/>
    <w:rsid w:val="00DB3E77"/>
    <w:rsid w:val="00DB3F99"/>
    <w:rsid w:val="00DB3F9D"/>
    <w:rsid w:val="00DB40B5"/>
    <w:rsid w:val="00DB43DB"/>
    <w:rsid w:val="00DB43F5"/>
    <w:rsid w:val="00DB4742"/>
    <w:rsid w:val="00DB476C"/>
    <w:rsid w:val="00DB4868"/>
    <w:rsid w:val="00DB4993"/>
    <w:rsid w:val="00DB4A6A"/>
    <w:rsid w:val="00DB50F5"/>
    <w:rsid w:val="00DB5194"/>
    <w:rsid w:val="00DB5816"/>
    <w:rsid w:val="00DB58DC"/>
    <w:rsid w:val="00DB5A7C"/>
    <w:rsid w:val="00DB5B01"/>
    <w:rsid w:val="00DB617E"/>
    <w:rsid w:val="00DB6451"/>
    <w:rsid w:val="00DB65FB"/>
    <w:rsid w:val="00DB6691"/>
    <w:rsid w:val="00DB69A7"/>
    <w:rsid w:val="00DB6BE3"/>
    <w:rsid w:val="00DB7199"/>
    <w:rsid w:val="00DB7656"/>
    <w:rsid w:val="00DB7662"/>
    <w:rsid w:val="00DB7738"/>
    <w:rsid w:val="00DB77D7"/>
    <w:rsid w:val="00DB7945"/>
    <w:rsid w:val="00DB7A5A"/>
    <w:rsid w:val="00DB7B8C"/>
    <w:rsid w:val="00DB7C39"/>
    <w:rsid w:val="00DB7E61"/>
    <w:rsid w:val="00DC0042"/>
    <w:rsid w:val="00DC0130"/>
    <w:rsid w:val="00DC0293"/>
    <w:rsid w:val="00DC069A"/>
    <w:rsid w:val="00DC09B1"/>
    <w:rsid w:val="00DC0C0B"/>
    <w:rsid w:val="00DC0CFF"/>
    <w:rsid w:val="00DC0D0E"/>
    <w:rsid w:val="00DC0FCC"/>
    <w:rsid w:val="00DC0FD9"/>
    <w:rsid w:val="00DC1412"/>
    <w:rsid w:val="00DC17FA"/>
    <w:rsid w:val="00DC194D"/>
    <w:rsid w:val="00DC1B56"/>
    <w:rsid w:val="00DC1D1F"/>
    <w:rsid w:val="00DC285C"/>
    <w:rsid w:val="00DC2993"/>
    <w:rsid w:val="00DC2A2F"/>
    <w:rsid w:val="00DC2BF7"/>
    <w:rsid w:val="00DC2E1B"/>
    <w:rsid w:val="00DC2F8E"/>
    <w:rsid w:val="00DC30DD"/>
    <w:rsid w:val="00DC3252"/>
    <w:rsid w:val="00DC3381"/>
    <w:rsid w:val="00DC33B8"/>
    <w:rsid w:val="00DC34A0"/>
    <w:rsid w:val="00DC3679"/>
    <w:rsid w:val="00DC383B"/>
    <w:rsid w:val="00DC391D"/>
    <w:rsid w:val="00DC3983"/>
    <w:rsid w:val="00DC3A2D"/>
    <w:rsid w:val="00DC3BD8"/>
    <w:rsid w:val="00DC3C44"/>
    <w:rsid w:val="00DC3C5D"/>
    <w:rsid w:val="00DC3E8C"/>
    <w:rsid w:val="00DC40CC"/>
    <w:rsid w:val="00DC45F5"/>
    <w:rsid w:val="00DC48DF"/>
    <w:rsid w:val="00DC49C5"/>
    <w:rsid w:val="00DC4A36"/>
    <w:rsid w:val="00DC4B6F"/>
    <w:rsid w:val="00DC4C86"/>
    <w:rsid w:val="00DC4D32"/>
    <w:rsid w:val="00DC549F"/>
    <w:rsid w:val="00DC54E4"/>
    <w:rsid w:val="00DC5825"/>
    <w:rsid w:val="00DC5863"/>
    <w:rsid w:val="00DC5919"/>
    <w:rsid w:val="00DC5979"/>
    <w:rsid w:val="00DC5A0A"/>
    <w:rsid w:val="00DC5A0C"/>
    <w:rsid w:val="00DC5A97"/>
    <w:rsid w:val="00DC5E48"/>
    <w:rsid w:val="00DC5F00"/>
    <w:rsid w:val="00DC6943"/>
    <w:rsid w:val="00DC6A71"/>
    <w:rsid w:val="00DC6B21"/>
    <w:rsid w:val="00DC7142"/>
    <w:rsid w:val="00DC7450"/>
    <w:rsid w:val="00DC74BC"/>
    <w:rsid w:val="00DC74F2"/>
    <w:rsid w:val="00DC784D"/>
    <w:rsid w:val="00DC78A9"/>
    <w:rsid w:val="00DC7C38"/>
    <w:rsid w:val="00DC7D4D"/>
    <w:rsid w:val="00DC7DE6"/>
    <w:rsid w:val="00DC7E93"/>
    <w:rsid w:val="00DD0184"/>
    <w:rsid w:val="00DD01D9"/>
    <w:rsid w:val="00DD041C"/>
    <w:rsid w:val="00DD04B3"/>
    <w:rsid w:val="00DD04ED"/>
    <w:rsid w:val="00DD07BA"/>
    <w:rsid w:val="00DD0BEC"/>
    <w:rsid w:val="00DD0CF4"/>
    <w:rsid w:val="00DD0D5C"/>
    <w:rsid w:val="00DD0DCB"/>
    <w:rsid w:val="00DD0ED8"/>
    <w:rsid w:val="00DD1110"/>
    <w:rsid w:val="00DD1593"/>
    <w:rsid w:val="00DD1656"/>
    <w:rsid w:val="00DD18A9"/>
    <w:rsid w:val="00DD18D7"/>
    <w:rsid w:val="00DD1AF4"/>
    <w:rsid w:val="00DD1D70"/>
    <w:rsid w:val="00DD1DCB"/>
    <w:rsid w:val="00DD1E2F"/>
    <w:rsid w:val="00DD1ECA"/>
    <w:rsid w:val="00DD1F61"/>
    <w:rsid w:val="00DD2269"/>
    <w:rsid w:val="00DD23BA"/>
    <w:rsid w:val="00DD2801"/>
    <w:rsid w:val="00DD286A"/>
    <w:rsid w:val="00DD2882"/>
    <w:rsid w:val="00DD2D3B"/>
    <w:rsid w:val="00DD2DC1"/>
    <w:rsid w:val="00DD2F63"/>
    <w:rsid w:val="00DD374D"/>
    <w:rsid w:val="00DD3981"/>
    <w:rsid w:val="00DD3A05"/>
    <w:rsid w:val="00DD3B8D"/>
    <w:rsid w:val="00DD3D78"/>
    <w:rsid w:val="00DD4290"/>
    <w:rsid w:val="00DD4D9B"/>
    <w:rsid w:val="00DD4E6B"/>
    <w:rsid w:val="00DD4EB3"/>
    <w:rsid w:val="00DD5073"/>
    <w:rsid w:val="00DD50A8"/>
    <w:rsid w:val="00DD51AA"/>
    <w:rsid w:val="00DD53A8"/>
    <w:rsid w:val="00DD5419"/>
    <w:rsid w:val="00DD5437"/>
    <w:rsid w:val="00DD5BF0"/>
    <w:rsid w:val="00DD5CC1"/>
    <w:rsid w:val="00DD5E20"/>
    <w:rsid w:val="00DD5E70"/>
    <w:rsid w:val="00DD615B"/>
    <w:rsid w:val="00DD635B"/>
    <w:rsid w:val="00DD63E2"/>
    <w:rsid w:val="00DD6633"/>
    <w:rsid w:val="00DD6845"/>
    <w:rsid w:val="00DD6928"/>
    <w:rsid w:val="00DD6C0F"/>
    <w:rsid w:val="00DD6D49"/>
    <w:rsid w:val="00DD6E5B"/>
    <w:rsid w:val="00DD6FAE"/>
    <w:rsid w:val="00DD70BA"/>
    <w:rsid w:val="00DD7324"/>
    <w:rsid w:val="00DD733B"/>
    <w:rsid w:val="00DD77C5"/>
    <w:rsid w:val="00DD7B91"/>
    <w:rsid w:val="00DD7CCB"/>
    <w:rsid w:val="00DD7E96"/>
    <w:rsid w:val="00DD7F69"/>
    <w:rsid w:val="00DE0104"/>
    <w:rsid w:val="00DE031B"/>
    <w:rsid w:val="00DE0684"/>
    <w:rsid w:val="00DE06F6"/>
    <w:rsid w:val="00DE0720"/>
    <w:rsid w:val="00DE11A5"/>
    <w:rsid w:val="00DE1548"/>
    <w:rsid w:val="00DE1675"/>
    <w:rsid w:val="00DE18A7"/>
    <w:rsid w:val="00DE1E2B"/>
    <w:rsid w:val="00DE1F8C"/>
    <w:rsid w:val="00DE1FA7"/>
    <w:rsid w:val="00DE20BF"/>
    <w:rsid w:val="00DE20E1"/>
    <w:rsid w:val="00DE2107"/>
    <w:rsid w:val="00DE21F2"/>
    <w:rsid w:val="00DE221F"/>
    <w:rsid w:val="00DE22B9"/>
    <w:rsid w:val="00DE2493"/>
    <w:rsid w:val="00DE2A14"/>
    <w:rsid w:val="00DE2CD7"/>
    <w:rsid w:val="00DE2F7A"/>
    <w:rsid w:val="00DE3441"/>
    <w:rsid w:val="00DE39DB"/>
    <w:rsid w:val="00DE3B42"/>
    <w:rsid w:val="00DE3DD4"/>
    <w:rsid w:val="00DE3DE5"/>
    <w:rsid w:val="00DE3E0E"/>
    <w:rsid w:val="00DE3FCD"/>
    <w:rsid w:val="00DE4061"/>
    <w:rsid w:val="00DE40C5"/>
    <w:rsid w:val="00DE4294"/>
    <w:rsid w:val="00DE4574"/>
    <w:rsid w:val="00DE4710"/>
    <w:rsid w:val="00DE4935"/>
    <w:rsid w:val="00DE4982"/>
    <w:rsid w:val="00DE4ADC"/>
    <w:rsid w:val="00DE4B50"/>
    <w:rsid w:val="00DE4B88"/>
    <w:rsid w:val="00DE4C62"/>
    <w:rsid w:val="00DE4DB6"/>
    <w:rsid w:val="00DE4E29"/>
    <w:rsid w:val="00DE595F"/>
    <w:rsid w:val="00DE597A"/>
    <w:rsid w:val="00DE5A4B"/>
    <w:rsid w:val="00DE5A88"/>
    <w:rsid w:val="00DE5D9B"/>
    <w:rsid w:val="00DE5DCB"/>
    <w:rsid w:val="00DE6036"/>
    <w:rsid w:val="00DE63CD"/>
    <w:rsid w:val="00DE6693"/>
    <w:rsid w:val="00DE66A3"/>
    <w:rsid w:val="00DE6869"/>
    <w:rsid w:val="00DE6945"/>
    <w:rsid w:val="00DE6957"/>
    <w:rsid w:val="00DE6A63"/>
    <w:rsid w:val="00DE6AF0"/>
    <w:rsid w:val="00DE6E95"/>
    <w:rsid w:val="00DE6FB6"/>
    <w:rsid w:val="00DE72D4"/>
    <w:rsid w:val="00DE7444"/>
    <w:rsid w:val="00DE74CB"/>
    <w:rsid w:val="00DE769D"/>
    <w:rsid w:val="00DE7E93"/>
    <w:rsid w:val="00DF0139"/>
    <w:rsid w:val="00DF016C"/>
    <w:rsid w:val="00DF024B"/>
    <w:rsid w:val="00DF0423"/>
    <w:rsid w:val="00DF047A"/>
    <w:rsid w:val="00DF06BC"/>
    <w:rsid w:val="00DF0721"/>
    <w:rsid w:val="00DF08EB"/>
    <w:rsid w:val="00DF0976"/>
    <w:rsid w:val="00DF0ADE"/>
    <w:rsid w:val="00DF0D44"/>
    <w:rsid w:val="00DF1171"/>
    <w:rsid w:val="00DF1267"/>
    <w:rsid w:val="00DF1364"/>
    <w:rsid w:val="00DF1781"/>
    <w:rsid w:val="00DF1CD4"/>
    <w:rsid w:val="00DF1CF9"/>
    <w:rsid w:val="00DF1D18"/>
    <w:rsid w:val="00DF1D8F"/>
    <w:rsid w:val="00DF1EE4"/>
    <w:rsid w:val="00DF2128"/>
    <w:rsid w:val="00DF222F"/>
    <w:rsid w:val="00DF237D"/>
    <w:rsid w:val="00DF2392"/>
    <w:rsid w:val="00DF24B2"/>
    <w:rsid w:val="00DF28D4"/>
    <w:rsid w:val="00DF2D9F"/>
    <w:rsid w:val="00DF2E56"/>
    <w:rsid w:val="00DF30AF"/>
    <w:rsid w:val="00DF3103"/>
    <w:rsid w:val="00DF33F8"/>
    <w:rsid w:val="00DF342F"/>
    <w:rsid w:val="00DF3746"/>
    <w:rsid w:val="00DF3A21"/>
    <w:rsid w:val="00DF3BBF"/>
    <w:rsid w:val="00DF3D27"/>
    <w:rsid w:val="00DF3E21"/>
    <w:rsid w:val="00DF3F2F"/>
    <w:rsid w:val="00DF433D"/>
    <w:rsid w:val="00DF496E"/>
    <w:rsid w:val="00DF4A52"/>
    <w:rsid w:val="00DF4E4F"/>
    <w:rsid w:val="00DF4FE5"/>
    <w:rsid w:val="00DF531E"/>
    <w:rsid w:val="00DF5680"/>
    <w:rsid w:val="00DF5791"/>
    <w:rsid w:val="00DF5AD9"/>
    <w:rsid w:val="00DF5C12"/>
    <w:rsid w:val="00DF5E5D"/>
    <w:rsid w:val="00DF5F95"/>
    <w:rsid w:val="00DF6164"/>
    <w:rsid w:val="00DF6514"/>
    <w:rsid w:val="00DF659E"/>
    <w:rsid w:val="00DF65A2"/>
    <w:rsid w:val="00DF6641"/>
    <w:rsid w:val="00DF6713"/>
    <w:rsid w:val="00DF6AB5"/>
    <w:rsid w:val="00DF6DBE"/>
    <w:rsid w:val="00DF73C9"/>
    <w:rsid w:val="00DF74CE"/>
    <w:rsid w:val="00DF76BF"/>
    <w:rsid w:val="00DF7821"/>
    <w:rsid w:val="00DF7937"/>
    <w:rsid w:val="00E00150"/>
    <w:rsid w:val="00E001E0"/>
    <w:rsid w:val="00E003F4"/>
    <w:rsid w:val="00E00404"/>
    <w:rsid w:val="00E0054B"/>
    <w:rsid w:val="00E00C9D"/>
    <w:rsid w:val="00E00DFC"/>
    <w:rsid w:val="00E010EF"/>
    <w:rsid w:val="00E01330"/>
    <w:rsid w:val="00E01358"/>
    <w:rsid w:val="00E0156B"/>
    <w:rsid w:val="00E016A6"/>
    <w:rsid w:val="00E017BF"/>
    <w:rsid w:val="00E0196B"/>
    <w:rsid w:val="00E01A37"/>
    <w:rsid w:val="00E01A54"/>
    <w:rsid w:val="00E02159"/>
    <w:rsid w:val="00E024ED"/>
    <w:rsid w:val="00E02586"/>
    <w:rsid w:val="00E02605"/>
    <w:rsid w:val="00E02688"/>
    <w:rsid w:val="00E026A9"/>
    <w:rsid w:val="00E028D6"/>
    <w:rsid w:val="00E02D35"/>
    <w:rsid w:val="00E030D2"/>
    <w:rsid w:val="00E03346"/>
    <w:rsid w:val="00E034D8"/>
    <w:rsid w:val="00E034E9"/>
    <w:rsid w:val="00E034F0"/>
    <w:rsid w:val="00E0357D"/>
    <w:rsid w:val="00E03F19"/>
    <w:rsid w:val="00E04071"/>
    <w:rsid w:val="00E0418A"/>
    <w:rsid w:val="00E043F1"/>
    <w:rsid w:val="00E044B7"/>
    <w:rsid w:val="00E049F4"/>
    <w:rsid w:val="00E04BF0"/>
    <w:rsid w:val="00E04D93"/>
    <w:rsid w:val="00E0514E"/>
    <w:rsid w:val="00E05555"/>
    <w:rsid w:val="00E055A9"/>
    <w:rsid w:val="00E05633"/>
    <w:rsid w:val="00E05A48"/>
    <w:rsid w:val="00E06081"/>
    <w:rsid w:val="00E06682"/>
    <w:rsid w:val="00E069B5"/>
    <w:rsid w:val="00E06DFC"/>
    <w:rsid w:val="00E06ECC"/>
    <w:rsid w:val="00E070CD"/>
    <w:rsid w:val="00E073EE"/>
    <w:rsid w:val="00E0749B"/>
    <w:rsid w:val="00E074ED"/>
    <w:rsid w:val="00E0759C"/>
    <w:rsid w:val="00E07880"/>
    <w:rsid w:val="00E0795C"/>
    <w:rsid w:val="00E079F0"/>
    <w:rsid w:val="00E07BC7"/>
    <w:rsid w:val="00E07F99"/>
    <w:rsid w:val="00E07FA5"/>
    <w:rsid w:val="00E10030"/>
    <w:rsid w:val="00E10052"/>
    <w:rsid w:val="00E103BE"/>
    <w:rsid w:val="00E10582"/>
    <w:rsid w:val="00E1070F"/>
    <w:rsid w:val="00E1087E"/>
    <w:rsid w:val="00E108DE"/>
    <w:rsid w:val="00E10A3E"/>
    <w:rsid w:val="00E10D3E"/>
    <w:rsid w:val="00E10F64"/>
    <w:rsid w:val="00E10F81"/>
    <w:rsid w:val="00E11274"/>
    <w:rsid w:val="00E113BC"/>
    <w:rsid w:val="00E11464"/>
    <w:rsid w:val="00E11503"/>
    <w:rsid w:val="00E1190B"/>
    <w:rsid w:val="00E11B63"/>
    <w:rsid w:val="00E11FBB"/>
    <w:rsid w:val="00E120D7"/>
    <w:rsid w:val="00E124C5"/>
    <w:rsid w:val="00E129BD"/>
    <w:rsid w:val="00E12CBF"/>
    <w:rsid w:val="00E12DE8"/>
    <w:rsid w:val="00E12F3A"/>
    <w:rsid w:val="00E13386"/>
    <w:rsid w:val="00E133AA"/>
    <w:rsid w:val="00E134D3"/>
    <w:rsid w:val="00E13573"/>
    <w:rsid w:val="00E138D9"/>
    <w:rsid w:val="00E13BFE"/>
    <w:rsid w:val="00E13D03"/>
    <w:rsid w:val="00E13D41"/>
    <w:rsid w:val="00E13DB8"/>
    <w:rsid w:val="00E13EB4"/>
    <w:rsid w:val="00E142A4"/>
    <w:rsid w:val="00E143A0"/>
    <w:rsid w:val="00E145EC"/>
    <w:rsid w:val="00E14668"/>
    <w:rsid w:val="00E14A6E"/>
    <w:rsid w:val="00E14B1C"/>
    <w:rsid w:val="00E15002"/>
    <w:rsid w:val="00E15287"/>
    <w:rsid w:val="00E152A9"/>
    <w:rsid w:val="00E15304"/>
    <w:rsid w:val="00E15555"/>
    <w:rsid w:val="00E1561D"/>
    <w:rsid w:val="00E1563F"/>
    <w:rsid w:val="00E156CF"/>
    <w:rsid w:val="00E162B7"/>
    <w:rsid w:val="00E165D0"/>
    <w:rsid w:val="00E166E3"/>
    <w:rsid w:val="00E169FB"/>
    <w:rsid w:val="00E16E19"/>
    <w:rsid w:val="00E16F7F"/>
    <w:rsid w:val="00E17044"/>
    <w:rsid w:val="00E17214"/>
    <w:rsid w:val="00E172AE"/>
    <w:rsid w:val="00E17440"/>
    <w:rsid w:val="00E1771F"/>
    <w:rsid w:val="00E17CB6"/>
    <w:rsid w:val="00E17D25"/>
    <w:rsid w:val="00E17F7C"/>
    <w:rsid w:val="00E20103"/>
    <w:rsid w:val="00E20189"/>
    <w:rsid w:val="00E20916"/>
    <w:rsid w:val="00E20ACC"/>
    <w:rsid w:val="00E20ADD"/>
    <w:rsid w:val="00E20BD8"/>
    <w:rsid w:val="00E20BF2"/>
    <w:rsid w:val="00E20CE7"/>
    <w:rsid w:val="00E20F79"/>
    <w:rsid w:val="00E21351"/>
    <w:rsid w:val="00E214FD"/>
    <w:rsid w:val="00E215E9"/>
    <w:rsid w:val="00E21689"/>
    <w:rsid w:val="00E217E2"/>
    <w:rsid w:val="00E21C56"/>
    <w:rsid w:val="00E21DF7"/>
    <w:rsid w:val="00E21FF9"/>
    <w:rsid w:val="00E2216B"/>
    <w:rsid w:val="00E223F9"/>
    <w:rsid w:val="00E225F3"/>
    <w:rsid w:val="00E2265C"/>
    <w:rsid w:val="00E22ABD"/>
    <w:rsid w:val="00E22B15"/>
    <w:rsid w:val="00E22BE0"/>
    <w:rsid w:val="00E22C33"/>
    <w:rsid w:val="00E22C44"/>
    <w:rsid w:val="00E22CC0"/>
    <w:rsid w:val="00E22CDA"/>
    <w:rsid w:val="00E23100"/>
    <w:rsid w:val="00E23626"/>
    <w:rsid w:val="00E237A7"/>
    <w:rsid w:val="00E239C4"/>
    <w:rsid w:val="00E23A18"/>
    <w:rsid w:val="00E23F65"/>
    <w:rsid w:val="00E240D5"/>
    <w:rsid w:val="00E24274"/>
    <w:rsid w:val="00E2433A"/>
    <w:rsid w:val="00E244FA"/>
    <w:rsid w:val="00E24776"/>
    <w:rsid w:val="00E249B9"/>
    <w:rsid w:val="00E249E9"/>
    <w:rsid w:val="00E24A6F"/>
    <w:rsid w:val="00E24B16"/>
    <w:rsid w:val="00E24CE9"/>
    <w:rsid w:val="00E24F94"/>
    <w:rsid w:val="00E24FBA"/>
    <w:rsid w:val="00E2520E"/>
    <w:rsid w:val="00E254E9"/>
    <w:rsid w:val="00E25900"/>
    <w:rsid w:val="00E25912"/>
    <w:rsid w:val="00E259CD"/>
    <w:rsid w:val="00E25CE1"/>
    <w:rsid w:val="00E25D57"/>
    <w:rsid w:val="00E25D75"/>
    <w:rsid w:val="00E2622A"/>
    <w:rsid w:val="00E265C7"/>
    <w:rsid w:val="00E268CA"/>
    <w:rsid w:val="00E2690B"/>
    <w:rsid w:val="00E26ACC"/>
    <w:rsid w:val="00E26BF0"/>
    <w:rsid w:val="00E26CBA"/>
    <w:rsid w:val="00E26E01"/>
    <w:rsid w:val="00E26E1E"/>
    <w:rsid w:val="00E27039"/>
    <w:rsid w:val="00E2729D"/>
    <w:rsid w:val="00E273FD"/>
    <w:rsid w:val="00E2741A"/>
    <w:rsid w:val="00E27881"/>
    <w:rsid w:val="00E27A2C"/>
    <w:rsid w:val="00E27A4E"/>
    <w:rsid w:val="00E27C03"/>
    <w:rsid w:val="00E27F22"/>
    <w:rsid w:val="00E27FCC"/>
    <w:rsid w:val="00E3066B"/>
    <w:rsid w:val="00E306DC"/>
    <w:rsid w:val="00E30D5B"/>
    <w:rsid w:val="00E313EF"/>
    <w:rsid w:val="00E317C9"/>
    <w:rsid w:val="00E31A3F"/>
    <w:rsid w:val="00E31BB8"/>
    <w:rsid w:val="00E31BF5"/>
    <w:rsid w:val="00E31D3A"/>
    <w:rsid w:val="00E31F03"/>
    <w:rsid w:val="00E31F7E"/>
    <w:rsid w:val="00E320BB"/>
    <w:rsid w:val="00E32104"/>
    <w:rsid w:val="00E32329"/>
    <w:rsid w:val="00E32AEF"/>
    <w:rsid w:val="00E32B79"/>
    <w:rsid w:val="00E32C27"/>
    <w:rsid w:val="00E32D51"/>
    <w:rsid w:val="00E32FC4"/>
    <w:rsid w:val="00E333D8"/>
    <w:rsid w:val="00E336CB"/>
    <w:rsid w:val="00E33B1C"/>
    <w:rsid w:val="00E33B8F"/>
    <w:rsid w:val="00E33C9F"/>
    <w:rsid w:val="00E33D95"/>
    <w:rsid w:val="00E33ECF"/>
    <w:rsid w:val="00E3408F"/>
    <w:rsid w:val="00E342C3"/>
    <w:rsid w:val="00E345F9"/>
    <w:rsid w:val="00E34B6A"/>
    <w:rsid w:val="00E34E3C"/>
    <w:rsid w:val="00E35057"/>
    <w:rsid w:val="00E3545E"/>
    <w:rsid w:val="00E35604"/>
    <w:rsid w:val="00E357D1"/>
    <w:rsid w:val="00E357EB"/>
    <w:rsid w:val="00E3598F"/>
    <w:rsid w:val="00E35AC9"/>
    <w:rsid w:val="00E35D22"/>
    <w:rsid w:val="00E35EA1"/>
    <w:rsid w:val="00E35F16"/>
    <w:rsid w:val="00E35F5B"/>
    <w:rsid w:val="00E35FB8"/>
    <w:rsid w:val="00E36007"/>
    <w:rsid w:val="00E363E8"/>
    <w:rsid w:val="00E3646B"/>
    <w:rsid w:val="00E36660"/>
    <w:rsid w:val="00E3668F"/>
    <w:rsid w:val="00E36C10"/>
    <w:rsid w:val="00E36CF8"/>
    <w:rsid w:val="00E36E33"/>
    <w:rsid w:val="00E36E48"/>
    <w:rsid w:val="00E37048"/>
    <w:rsid w:val="00E372F3"/>
    <w:rsid w:val="00E3733D"/>
    <w:rsid w:val="00E37496"/>
    <w:rsid w:val="00E37834"/>
    <w:rsid w:val="00E37C53"/>
    <w:rsid w:val="00E37D95"/>
    <w:rsid w:val="00E37F62"/>
    <w:rsid w:val="00E40032"/>
    <w:rsid w:val="00E4037B"/>
    <w:rsid w:val="00E40403"/>
    <w:rsid w:val="00E40454"/>
    <w:rsid w:val="00E4069C"/>
    <w:rsid w:val="00E40740"/>
    <w:rsid w:val="00E407E0"/>
    <w:rsid w:val="00E407FC"/>
    <w:rsid w:val="00E40820"/>
    <w:rsid w:val="00E408DD"/>
    <w:rsid w:val="00E409BA"/>
    <w:rsid w:val="00E40CD4"/>
    <w:rsid w:val="00E41395"/>
    <w:rsid w:val="00E4148E"/>
    <w:rsid w:val="00E41A50"/>
    <w:rsid w:val="00E41CB0"/>
    <w:rsid w:val="00E41D39"/>
    <w:rsid w:val="00E41DA3"/>
    <w:rsid w:val="00E41DB6"/>
    <w:rsid w:val="00E41E95"/>
    <w:rsid w:val="00E41F16"/>
    <w:rsid w:val="00E42047"/>
    <w:rsid w:val="00E4221C"/>
    <w:rsid w:val="00E422FC"/>
    <w:rsid w:val="00E423BE"/>
    <w:rsid w:val="00E4249E"/>
    <w:rsid w:val="00E42596"/>
    <w:rsid w:val="00E426FA"/>
    <w:rsid w:val="00E4287B"/>
    <w:rsid w:val="00E42E84"/>
    <w:rsid w:val="00E42FE5"/>
    <w:rsid w:val="00E43099"/>
    <w:rsid w:val="00E430F2"/>
    <w:rsid w:val="00E431DA"/>
    <w:rsid w:val="00E436BE"/>
    <w:rsid w:val="00E436D1"/>
    <w:rsid w:val="00E43A15"/>
    <w:rsid w:val="00E43AD8"/>
    <w:rsid w:val="00E43E50"/>
    <w:rsid w:val="00E440AC"/>
    <w:rsid w:val="00E4455F"/>
    <w:rsid w:val="00E4475E"/>
    <w:rsid w:val="00E449F5"/>
    <w:rsid w:val="00E44A1C"/>
    <w:rsid w:val="00E44D75"/>
    <w:rsid w:val="00E453D6"/>
    <w:rsid w:val="00E453FC"/>
    <w:rsid w:val="00E45466"/>
    <w:rsid w:val="00E455C4"/>
    <w:rsid w:val="00E45816"/>
    <w:rsid w:val="00E45836"/>
    <w:rsid w:val="00E45EA4"/>
    <w:rsid w:val="00E45EAE"/>
    <w:rsid w:val="00E45F29"/>
    <w:rsid w:val="00E45FD2"/>
    <w:rsid w:val="00E46183"/>
    <w:rsid w:val="00E461D9"/>
    <w:rsid w:val="00E4633A"/>
    <w:rsid w:val="00E46788"/>
    <w:rsid w:val="00E46BC0"/>
    <w:rsid w:val="00E46BE3"/>
    <w:rsid w:val="00E46C6B"/>
    <w:rsid w:val="00E46F3E"/>
    <w:rsid w:val="00E470B0"/>
    <w:rsid w:val="00E47655"/>
    <w:rsid w:val="00E47720"/>
    <w:rsid w:val="00E47871"/>
    <w:rsid w:val="00E47AF4"/>
    <w:rsid w:val="00E47F0B"/>
    <w:rsid w:val="00E47FB0"/>
    <w:rsid w:val="00E503B4"/>
    <w:rsid w:val="00E504BD"/>
    <w:rsid w:val="00E50884"/>
    <w:rsid w:val="00E5089F"/>
    <w:rsid w:val="00E50920"/>
    <w:rsid w:val="00E50B34"/>
    <w:rsid w:val="00E50BC0"/>
    <w:rsid w:val="00E50BC5"/>
    <w:rsid w:val="00E50DA4"/>
    <w:rsid w:val="00E50DBE"/>
    <w:rsid w:val="00E512B7"/>
    <w:rsid w:val="00E51604"/>
    <w:rsid w:val="00E51735"/>
    <w:rsid w:val="00E51BB6"/>
    <w:rsid w:val="00E51CDE"/>
    <w:rsid w:val="00E51EBE"/>
    <w:rsid w:val="00E51EC9"/>
    <w:rsid w:val="00E51F6D"/>
    <w:rsid w:val="00E520E2"/>
    <w:rsid w:val="00E52499"/>
    <w:rsid w:val="00E527F5"/>
    <w:rsid w:val="00E528C4"/>
    <w:rsid w:val="00E52A08"/>
    <w:rsid w:val="00E52B00"/>
    <w:rsid w:val="00E52E64"/>
    <w:rsid w:val="00E52FB1"/>
    <w:rsid w:val="00E5364D"/>
    <w:rsid w:val="00E536A3"/>
    <w:rsid w:val="00E539A2"/>
    <w:rsid w:val="00E53AA7"/>
    <w:rsid w:val="00E53AF4"/>
    <w:rsid w:val="00E53BC8"/>
    <w:rsid w:val="00E53C5E"/>
    <w:rsid w:val="00E53D2E"/>
    <w:rsid w:val="00E53DDC"/>
    <w:rsid w:val="00E53E88"/>
    <w:rsid w:val="00E53EFD"/>
    <w:rsid w:val="00E53F34"/>
    <w:rsid w:val="00E53F7F"/>
    <w:rsid w:val="00E54045"/>
    <w:rsid w:val="00E5413E"/>
    <w:rsid w:val="00E5439C"/>
    <w:rsid w:val="00E5483C"/>
    <w:rsid w:val="00E54987"/>
    <w:rsid w:val="00E54EC2"/>
    <w:rsid w:val="00E54ED4"/>
    <w:rsid w:val="00E54EE9"/>
    <w:rsid w:val="00E551C2"/>
    <w:rsid w:val="00E557C9"/>
    <w:rsid w:val="00E559B4"/>
    <w:rsid w:val="00E55A8C"/>
    <w:rsid w:val="00E55AC2"/>
    <w:rsid w:val="00E55B97"/>
    <w:rsid w:val="00E56186"/>
    <w:rsid w:val="00E5634D"/>
    <w:rsid w:val="00E564DC"/>
    <w:rsid w:val="00E564F7"/>
    <w:rsid w:val="00E56809"/>
    <w:rsid w:val="00E5680E"/>
    <w:rsid w:val="00E56930"/>
    <w:rsid w:val="00E56AEB"/>
    <w:rsid w:val="00E56BC6"/>
    <w:rsid w:val="00E56C0F"/>
    <w:rsid w:val="00E56D38"/>
    <w:rsid w:val="00E56D68"/>
    <w:rsid w:val="00E56E12"/>
    <w:rsid w:val="00E5708F"/>
    <w:rsid w:val="00E5722A"/>
    <w:rsid w:val="00E57304"/>
    <w:rsid w:val="00E5739E"/>
    <w:rsid w:val="00E576E7"/>
    <w:rsid w:val="00E5788E"/>
    <w:rsid w:val="00E57944"/>
    <w:rsid w:val="00E57BAB"/>
    <w:rsid w:val="00E57C74"/>
    <w:rsid w:val="00E57DD7"/>
    <w:rsid w:val="00E57E41"/>
    <w:rsid w:val="00E60752"/>
    <w:rsid w:val="00E607CB"/>
    <w:rsid w:val="00E607D7"/>
    <w:rsid w:val="00E60866"/>
    <w:rsid w:val="00E60B6A"/>
    <w:rsid w:val="00E60C6A"/>
    <w:rsid w:val="00E60E3D"/>
    <w:rsid w:val="00E60FE7"/>
    <w:rsid w:val="00E61023"/>
    <w:rsid w:val="00E61600"/>
    <w:rsid w:val="00E61693"/>
    <w:rsid w:val="00E6169B"/>
    <w:rsid w:val="00E61932"/>
    <w:rsid w:val="00E61F40"/>
    <w:rsid w:val="00E61F44"/>
    <w:rsid w:val="00E62171"/>
    <w:rsid w:val="00E62186"/>
    <w:rsid w:val="00E621CA"/>
    <w:rsid w:val="00E62637"/>
    <w:rsid w:val="00E62BC1"/>
    <w:rsid w:val="00E62C1B"/>
    <w:rsid w:val="00E62DE6"/>
    <w:rsid w:val="00E62E1C"/>
    <w:rsid w:val="00E63002"/>
    <w:rsid w:val="00E630A6"/>
    <w:rsid w:val="00E630F9"/>
    <w:rsid w:val="00E631C2"/>
    <w:rsid w:val="00E633C4"/>
    <w:rsid w:val="00E63591"/>
    <w:rsid w:val="00E637BB"/>
    <w:rsid w:val="00E6384A"/>
    <w:rsid w:val="00E6398A"/>
    <w:rsid w:val="00E63A95"/>
    <w:rsid w:val="00E63BE1"/>
    <w:rsid w:val="00E63E5C"/>
    <w:rsid w:val="00E63E8A"/>
    <w:rsid w:val="00E63F03"/>
    <w:rsid w:val="00E63FE7"/>
    <w:rsid w:val="00E64415"/>
    <w:rsid w:val="00E644CA"/>
    <w:rsid w:val="00E64674"/>
    <w:rsid w:val="00E646CD"/>
    <w:rsid w:val="00E64829"/>
    <w:rsid w:val="00E64BE8"/>
    <w:rsid w:val="00E64E7E"/>
    <w:rsid w:val="00E64FC9"/>
    <w:rsid w:val="00E64FF6"/>
    <w:rsid w:val="00E65404"/>
    <w:rsid w:val="00E654BA"/>
    <w:rsid w:val="00E65560"/>
    <w:rsid w:val="00E65AB5"/>
    <w:rsid w:val="00E65D00"/>
    <w:rsid w:val="00E65FAB"/>
    <w:rsid w:val="00E66193"/>
    <w:rsid w:val="00E666CC"/>
    <w:rsid w:val="00E668D0"/>
    <w:rsid w:val="00E668FB"/>
    <w:rsid w:val="00E66CA4"/>
    <w:rsid w:val="00E66EB5"/>
    <w:rsid w:val="00E67260"/>
    <w:rsid w:val="00E6728E"/>
    <w:rsid w:val="00E672EC"/>
    <w:rsid w:val="00E67467"/>
    <w:rsid w:val="00E674A3"/>
    <w:rsid w:val="00E67552"/>
    <w:rsid w:val="00E67556"/>
    <w:rsid w:val="00E6758D"/>
    <w:rsid w:val="00E677B1"/>
    <w:rsid w:val="00E679D9"/>
    <w:rsid w:val="00E67B8A"/>
    <w:rsid w:val="00E67C81"/>
    <w:rsid w:val="00E67E78"/>
    <w:rsid w:val="00E67F53"/>
    <w:rsid w:val="00E70098"/>
    <w:rsid w:val="00E7040A"/>
    <w:rsid w:val="00E709AE"/>
    <w:rsid w:val="00E70C96"/>
    <w:rsid w:val="00E70D69"/>
    <w:rsid w:val="00E70E8B"/>
    <w:rsid w:val="00E70FB9"/>
    <w:rsid w:val="00E70FBB"/>
    <w:rsid w:val="00E716A7"/>
    <w:rsid w:val="00E718FC"/>
    <w:rsid w:val="00E71A94"/>
    <w:rsid w:val="00E71C44"/>
    <w:rsid w:val="00E71DAF"/>
    <w:rsid w:val="00E721E7"/>
    <w:rsid w:val="00E7222E"/>
    <w:rsid w:val="00E7231C"/>
    <w:rsid w:val="00E724A7"/>
    <w:rsid w:val="00E72589"/>
    <w:rsid w:val="00E7291B"/>
    <w:rsid w:val="00E72930"/>
    <w:rsid w:val="00E7294D"/>
    <w:rsid w:val="00E72D7C"/>
    <w:rsid w:val="00E72DBD"/>
    <w:rsid w:val="00E72E44"/>
    <w:rsid w:val="00E7323F"/>
    <w:rsid w:val="00E735F8"/>
    <w:rsid w:val="00E739C7"/>
    <w:rsid w:val="00E73A21"/>
    <w:rsid w:val="00E73DD1"/>
    <w:rsid w:val="00E73E44"/>
    <w:rsid w:val="00E73EF6"/>
    <w:rsid w:val="00E73F6C"/>
    <w:rsid w:val="00E74352"/>
    <w:rsid w:val="00E743D1"/>
    <w:rsid w:val="00E74441"/>
    <w:rsid w:val="00E74665"/>
    <w:rsid w:val="00E7471A"/>
    <w:rsid w:val="00E748DA"/>
    <w:rsid w:val="00E74B05"/>
    <w:rsid w:val="00E75023"/>
    <w:rsid w:val="00E7522F"/>
    <w:rsid w:val="00E75271"/>
    <w:rsid w:val="00E753E5"/>
    <w:rsid w:val="00E754E6"/>
    <w:rsid w:val="00E757C3"/>
    <w:rsid w:val="00E758C7"/>
    <w:rsid w:val="00E75975"/>
    <w:rsid w:val="00E75D85"/>
    <w:rsid w:val="00E75FC0"/>
    <w:rsid w:val="00E7619A"/>
    <w:rsid w:val="00E7627B"/>
    <w:rsid w:val="00E76394"/>
    <w:rsid w:val="00E765CD"/>
    <w:rsid w:val="00E76BA1"/>
    <w:rsid w:val="00E76C5A"/>
    <w:rsid w:val="00E76EDE"/>
    <w:rsid w:val="00E770B0"/>
    <w:rsid w:val="00E77289"/>
    <w:rsid w:val="00E77520"/>
    <w:rsid w:val="00E77B75"/>
    <w:rsid w:val="00E77BA4"/>
    <w:rsid w:val="00E8089E"/>
    <w:rsid w:val="00E80AF7"/>
    <w:rsid w:val="00E80DDF"/>
    <w:rsid w:val="00E813B2"/>
    <w:rsid w:val="00E816D4"/>
    <w:rsid w:val="00E818B9"/>
    <w:rsid w:val="00E81954"/>
    <w:rsid w:val="00E81DA4"/>
    <w:rsid w:val="00E81E9B"/>
    <w:rsid w:val="00E81EC1"/>
    <w:rsid w:val="00E81FA3"/>
    <w:rsid w:val="00E82103"/>
    <w:rsid w:val="00E82251"/>
    <w:rsid w:val="00E823A9"/>
    <w:rsid w:val="00E82544"/>
    <w:rsid w:val="00E828CE"/>
    <w:rsid w:val="00E82938"/>
    <w:rsid w:val="00E82D6B"/>
    <w:rsid w:val="00E82EC3"/>
    <w:rsid w:val="00E82F27"/>
    <w:rsid w:val="00E82F2A"/>
    <w:rsid w:val="00E83235"/>
    <w:rsid w:val="00E8345C"/>
    <w:rsid w:val="00E8353E"/>
    <w:rsid w:val="00E83771"/>
    <w:rsid w:val="00E8377F"/>
    <w:rsid w:val="00E8378D"/>
    <w:rsid w:val="00E83827"/>
    <w:rsid w:val="00E83D63"/>
    <w:rsid w:val="00E840A3"/>
    <w:rsid w:val="00E8435A"/>
    <w:rsid w:val="00E843A0"/>
    <w:rsid w:val="00E84470"/>
    <w:rsid w:val="00E844C4"/>
    <w:rsid w:val="00E84B83"/>
    <w:rsid w:val="00E84C29"/>
    <w:rsid w:val="00E84D44"/>
    <w:rsid w:val="00E84D58"/>
    <w:rsid w:val="00E84E81"/>
    <w:rsid w:val="00E84F62"/>
    <w:rsid w:val="00E85079"/>
    <w:rsid w:val="00E851C2"/>
    <w:rsid w:val="00E85C38"/>
    <w:rsid w:val="00E8639C"/>
    <w:rsid w:val="00E8641A"/>
    <w:rsid w:val="00E86484"/>
    <w:rsid w:val="00E86563"/>
    <w:rsid w:val="00E865E5"/>
    <w:rsid w:val="00E86740"/>
    <w:rsid w:val="00E86809"/>
    <w:rsid w:val="00E86955"/>
    <w:rsid w:val="00E86CD7"/>
    <w:rsid w:val="00E86E89"/>
    <w:rsid w:val="00E86F1C"/>
    <w:rsid w:val="00E86F91"/>
    <w:rsid w:val="00E873AD"/>
    <w:rsid w:val="00E874B9"/>
    <w:rsid w:val="00E87606"/>
    <w:rsid w:val="00E87665"/>
    <w:rsid w:val="00E878FE"/>
    <w:rsid w:val="00E879E1"/>
    <w:rsid w:val="00E879FC"/>
    <w:rsid w:val="00E87B21"/>
    <w:rsid w:val="00E87B66"/>
    <w:rsid w:val="00E87B94"/>
    <w:rsid w:val="00E87C0C"/>
    <w:rsid w:val="00E87D37"/>
    <w:rsid w:val="00E90580"/>
    <w:rsid w:val="00E906AB"/>
    <w:rsid w:val="00E9071B"/>
    <w:rsid w:val="00E9086A"/>
    <w:rsid w:val="00E908D9"/>
    <w:rsid w:val="00E9096E"/>
    <w:rsid w:val="00E909C8"/>
    <w:rsid w:val="00E90A0B"/>
    <w:rsid w:val="00E90BCF"/>
    <w:rsid w:val="00E91165"/>
    <w:rsid w:val="00E91535"/>
    <w:rsid w:val="00E91613"/>
    <w:rsid w:val="00E91681"/>
    <w:rsid w:val="00E917DF"/>
    <w:rsid w:val="00E91A4B"/>
    <w:rsid w:val="00E91BB8"/>
    <w:rsid w:val="00E91C76"/>
    <w:rsid w:val="00E91EB6"/>
    <w:rsid w:val="00E91F65"/>
    <w:rsid w:val="00E920A9"/>
    <w:rsid w:val="00E9254D"/>
    <w:rsid w:val="00E92562"/>
    <w:rsid w:val="00E9298B"/>
    <w:rsid w:val="00E92B2D"/>
    <w:rsid w:val="00E92CD1"/>
    <w:rsid w:val="00E93379"/>
    <w:rsid w:val="00E93484"/>
    <w:rsid w:val="00E9348C"/>
    <w:rsid w:val="00E93626"/>
    <w:rsid w:val="00E936BE"/>
    <w:rsid w:val="00E93975"/>
    <w:rsid w:val="00E93DD1"/>
    <w:rsid w:val="00E93E1C"/>
    <w:rsid w:val="00E94111"/>
    <w:rsid w:val="00E94393"/>
    <w:rsid w:val="00E9483B"/>
    <w:rsid w:val="00E94991"/>
    <w:rsid w:val="00E94A93"/>
    <w:rsid w:val="00E94CD9"/>
    <w:rsid w:val="00E94FB4"/>
    <w:rsid w:val="00E9512C"/>
    <w:rsid w:val="00E955A0"/>
    <w:rsid w:val="00E955AE"/>
    <w:rsid w:val="00E955F8"/>
    <w:rsid w:val="00E95B0B"/>
    <w:rsid w:val="00E95EB0"/>
    <w:rsid w:val="00E96024"/>
    <w:rsid w:val="00E96049"/>
    <w:rsid w:val="00E96691"/>
    <w:rsid w:val="00E966ED"/>
    <w:rsid w:val="00E9674D"/>
    <w:rsid w:val="00E96905"/>
    <w:rsid w:val="00E96BF1"/>
    <w:rsid w:val="00E96D85"/>
    <w:rsid w:val="00E96E2B"/>
    <w:rsid w:val="00E96FB5"/>
    <w:rsid w:val="00E96FC5"/>
    <w:rsid w:val="00E97001"/>
    <w:rsid w:val="00E97170"/>
    <w:rsid w:val="00E9721F"/>
    <w:rsid w:val="00E9725D"/>
    <w:rsid w:val="00E974BA"/>
    <w:rsid w:val="00E974F3"/>
    <w:rsid w:val="00E976EE"/>
    <w:rsid w:val="00E97A52"/>
    <w:rsid w:val="00E97E7F"/>
    <w:rsid w:val="00EA028E"/>
    <w:rsid w:val="00EA07B3"/>
    <w:rsid w:val="00EA087C"/>
    <w:rsid w:val="00EA09AA"/>
    <w:rsid w:val="00EA0A3E"/>
    <w:rsid w:val="00EA0A4C"/>
    <w:rsid w:val="00EA0BC4"/>
    <w:rsid w:val="00EA0CE8"/>
    <w:rsid w:val="00EA0DA5"/>
    <w:rsid w:val="00EA10E6"/>
    <w:rsid w:val="00EA1640"/>
    <w:rsid w:val="00EA178D"/>
    <w:rsid w:val="00EA1885"/>
    <w:rsid w:val="00EA19EB"/>
    <w:rsid w:val="00EA1A21"/>
    <w:rsid w:val="00EA1B65"/>
    <w:rsid w:val="00EA1BF4"/>
    <w:rsid w:val="00EA1E23"/>
    <w:rsid w:val="00EA1E32"/>
    <w:rsid w:val="00EA1EB6"/>
    <w:rsid w:val="00EA1FC8"/>
    <w:rsid w:val="00EA219F"/>
    <w:rsid w:val="00EA221F"/>
    <w:rsid w:val="00EA2384"/>
    <w:rsid w:val="00EA2440"/>
    <w:rsid w:val="00EA245E"/>
    <w:rsid w:val="00EA2714"/>
    <w:rsid w:val="00EA2726"/>
    <w:rsid w:val="00EA28C2"/>
    <w:rsid w:val="00EA2D36"/>
    <w:rsid w:val="00EA2D80"/>
    <w:rsid w:val="00EA3278"/>
    <w:rsid w:val="00EA33EC"/>
    <w:rsid w:val="00EA348D"/>
    <w:rsid w:val="00EA38EE"/>
    <w:rsid w:val="00EA3E20"/>
    <w:rsid w:val="00EA3F88"/>
    <w:rsid w:val="00EA40CA"/>
    <w:rsid w:val="00EA4360"/>
    <w:rsid w:val="00EA43D4"/>
    <w:rsid w:val="00EA47D6"/>
    <w:rsid w:val="00EA4BA6"/>
    <w:rsid w:val="00EA5140"/>
    <w:rsid w:val="00EA5760"/>
    <w:rsid w:val="00EA5905"/>
    <w:rsid w:val="00EA59CC"/>
    <w:rsid w:val="00EA5A97"/>
    <w:rsid w:val="00EA5BC0"/>
    <w:rsid w:val="00EA5C0D"/>
    <w:rsid w:val="00EA5C4D"/>
    <w:rsid w:val="00EA6034"/>
    <w:rsid w:val="00EA621B"/>
    <w:rsid w:val="00EA626D"/>
    <w:rsid w:val="00EA6732"/>
    <w:rsid w:val="00EA6856"/>
    <w:rsid w:val="00EA6B8D"/>
    <w:rsid w:val="00EA6CE6"/>
    <w:rsid w:val="00EA6E59"/>
    <w:rsid w:val="00EA6EC6"/>
    <w:rsid w:val="00EA70E0"/>
    <w:rsid w:val="00EA7177"/>
    <w:rsid w:val="00EA7193"/>
    <w:rsid w:val="00EA72AC"/>
    <w:rsid w:val="00EA7A34"/>
    <w:rsid w:val="00EA7ABD"/>
    <w:rsid w:val="00EA7C17"/>
    <w:rsid w:val="00EA7D15"/>
    <w:rsid w:val="00EA7D37"/>
    <w:rsid w:val="00EA7E31"/>
    <w:rsid w:val="00EA7F59"/>
    <w:rsid w:val="00EA7F70"/>
    <w:rsid w:val="00EB0114"/>
    <w:rsid w:val="00EB052E"/>
    <w:rsid w:val="00EB058C"/>
    <w:rsid w:val="00EB066B"/>
    <w:rsid w:val="00EB0949"/>
    <w:rsid w:val="00EB0A89"/>
    <w:rsid w:val="00EB0DA2"/>
    <w:rsid w:val="00EB0DD7"/>
    <w:rsid w:val="00EB1527"/>
    <w:rsid w:val="00EB15B4"/>
    <w:rsid w:val="00EB172B"/>
    <w:rsid w:val="00EB173C"/>
    <w:rsid w:val="00EB1789"/>
    <w:rsid w:val="00EB189B"/>
    <w:rsid w:val="00EB1959"/>
    <w:rsid w:val="00EB1C07"/>
    <w:rsid w:val="00EB1E03"/>
    <w:rsid w:val="00EB1E4C"/>
    <w:rsid w:val="00EB1F4D"/>
    <w:rsid w:val="00EB1FFD"/>
    <w:rsid w:val="00EB2032"/>
    <w:rsid w:val="00EB239B"/>
    <w:rsid w:val="00EB2506"/>
    <w:rsid w:val="00EB255A"/>
    <w:rsid w:val="00EB25DA"/>
    <w:rsid w:val="00EB27EC"/>
    <w:rsid w:val="00EB292A"/>
    <w:rsid w:val="00EB2B65"/>
    <w:rsid w:val="00EB2C98"/>
    <w:rsid w:val="00EB2FAD"/>
    <w:rsid w:val="00EB3208"/>
    <w:rsid w:val="00EB330A"/>
    <w:rsid w:val="00EB3359"/>
    <w:rsid w:val="00EB3580"/>
    <w:rsid w:val="00EB3589"/>
    <w:rsid w:val="00EB3A00"/>
    <w:rsid w:val="00EB3A39"/>
    <w:rsid w:val="00EB3A9A"/>
    <w:rsid w:val="00EB3B0E"/>
    <w:rsid w:val="00EB3B10"/>
    <w:rsid w:val="00EB3E49"/>
    <w:rsid w:val="00EB3F84"/>
    <w:rsid w:val="00EB40B5"/>
    <w:rsid w:val="00EB40E6"/>
    <w:rsid w:val="00EB451E"/>
    <w:rsid w:val="00EB45A7"/>
    <w:rsid w:val="00EB4606"/>
    <w:rsid w:val="00EB4857"/>
    <w:rsid w:val="00EB4E92"/>
    <w:rsid w:val="00EB5027"/>
    <w:rsid w:val="00EB523E"/>
    <w:rsid w:val="00EB54BA"/>
    <w:rsid w:val="00EB5646"/>
    <w:rsid w:val="00EB5786"/>
    <w:rsid w:val="00EB579E"/>
    <w:rsid w:val="00EB5B3B"/>
    <w:rsid w:val="00EB5C04"/>
    <w:rsid w:val="00EB5D6C"/>
    <w:rsid w:val="00EB5F46"/>
    <w:rsid w:val="00EB60D6"/>
    <w:rsid w:val="00EB60DE"/>
    <w:rsid w:val="00EB61BA"/>
    <w:rsid w:val="00EB631F"/>
    <w:rsid w:val="00EB6473"/>
    <w:rsid w:val="00EB66C8"/>
    <w:rsid w:val="00EB6731"/>
    <w:rsid w:val="00EB68B1"/>
    <w:rsid w:val="00EB699A"/>
    <w:rsid w:val="00EB69A6"/>
    <w:rsid w:val="00EB6B4B"/>
    <w:rsid w:val="00EB71A1"/>
    <w:rsid w:val="00EB7554"/>
    <w:rsid w:val="00EB756E"/>
    <w:rsid w:val="00EB7636"/>
    <w:rsid w:val="00EB7691"/>
    <w:rsid w:val="00EB7761"/>
    <w:rsid w:val="00EB77F9"/>
    <w:rsid w:val="00EB7902"/>
    <w:rsid w:val="00EB7930"/>
    <w:rsid w:val="00EB7ADB"/>
    <w:rsid w:val="00EB7D85"/>
    <w:rsid w:val="00EB7F7E"/>
    <w:rsid w:val="00EC0282"/>
    <w:rsid w:val="00EC0400"/>
    <w:rsid w:val="00EC0784"/>
    <w:rsid w:val="00EC0D0C"/>
    <w:rsid w:val="00EC10BD"/>
    <w:rsid w:val="00EC1145"/>
    <w:rsid w:val="00EC17BC"/>
    <w:rsid w:val="00EC18A1"/>
    <w:rsid w:val="00EC18A5"/>
    <w:rsid w:val="00EC1911"/>
    <w:rsid w:val="00EC1B5C"/>
    <w:rsid w:val="00EC1EF4"/>
    <w:rsid w:val="00EC1FD4"/>
    <w:rsid w:val="00EC20C7"/>
    <w:rsid w:val="00EC22A5"/>
    <w:rsid w:val="00EC253B"/>
    <w:rsid w:val="00EC2570"/>
    <w:rsid w:val="00EC2584"/>
    <w:rsid w:val="00EC25D1"/>
    <w:rsid w:val="00EC28F4"/>
    <w:rsid w:val="00EC2A29"/>
    <w:rsid w:val="00EC2FF1"/>
    <w:rsid w:val="00EC30BD"/>
    <w:rsid w:val="00EC315A"/>
    <w:rsid w:val="00EC31B6"/>
    <w:rsid w:val="00EC326C"/>
    <w:rsid w:val="00EC38A5"/>
    <w:rsid w:val="00EC3BFD"/>
    <w:rsid w:val="00EC3D25"/>
    <w:rsid w:val="00EC42E4"/>
    <w:rsid w:val="00EC45E8"/>
    <w:rsid w:val="00EC47DF"/>
    <w:rsid w:val="00EC493B"/>
    <w:rsid w:val="00EC4982"/>
    <w:rsid w:val="00EC49DA"/>
    <w:rsid w:val="00EC4A57"/>
    <w:rsid w:val="00EC4A93"/>
    <w:rsid w:val="00EC511C"/>
    <w:rsid w:val="00EC56C3"/>
    <w:rsid w:val="00EC5C4F"/>
    <w:rsid w:val="00EC5C92"/>
    <w:rsid w:val="00EC5D0C"/>
    <w:rsid w:val="00EC5DCF"/>
    <w:rsid w:val="00EC63D9"/>
    <w:rsid w:val="00EC6409"/>
    <w:rsid w:val="00EC6742"/>
    <w:rsid w:val="00EC6876"/>
    <w:rsid w:val="00EC68DC"/>
    <w:rsid w:val="00EC6A3F"/>
    <w:rsid w:val="00EC6B37"/>
    <w:rsid w:val="00EC6B65"/>
    <w:rsid w:val="00EC6C32"/>
    <w:rsid w:val="00EC6E1A"/>
    <w:rsid w:val="00EC6E3A"/>
    <w:rsid w:val="00EC6E9D"/>
    <w:rsid w:val="00EC6F47"/>
    <w:rsid w:val="00EC6F62"/>
    <w:rsid w:val="00EC73CF"/>
    <w:rsid w:val="00EC7889"/>
    <w:rsid w:val="00EC7925"/>
    <w:rsid w:val="00EC792A"/>
    <w:rsid w:val="00EC796D"/>
    <w:rsid w:val="00EC7A7D"/>
    <w:rsid w:val="00EC7ACF"/>
    <w:rsid w:val="00EC7C0A"/>
    <w:rsid w:val="00EC7CF7"/>
    <w:rsid w:val="00EC7D28"/>
    <w:rsid w:val="00EC7EF5"/>
    <w:rsid w:val="00EC7F90"/>
    <w:rsid w:val="00ED027F"/>
    <w:rsid w:val="00ED03A7"/>
    <w:rsid w:val="00ED0679"/>
    <w:rsid w:val="00ED0703"/>
    <w:rsid w:val="00ED0756"/>
    <w:rsid w:val="00ED0887"/>
    <w:rsid w:val="00ED08A7"/>
    <w:rsid w:val="00ED08EF"/>
    <w:rsid w:val="00ED0A74"/>
    <w:rsid w:val="00ED0DF1"/>
    <w:rsid w:val="00ED0E0F"/>
    <w:rsid w:val="00ED0E5A"/>
    <w:rsid w:val="00ED0FB6"/>
    <w:rsid w:val="00ED123D"/>
    <w:rsid w:val="00ED145E"/>
    <w:rsid w:val="00ED14A6"/>
    <w:rsid w:val="00ED1567"/>
    <w:rsid w:val="00ED1582"/>
    <w:rsid w:val="00ED1A05"/>
    <w:rsid w:val="00ED1C3E"/>
    <w:rsid w:val="00ED1CF7"/>
    <w:rsid w:val="00ED1FA7"/>
    <w:rsid w:val="00ED21FC"/>
    <w:rsid w:val="00ED257A"/>
    <w:rsid w:val="00ED2582"/>
    <w:rsid w:val="00ED2604"/>
    <w:rsid w:val="00ED2823"/>
    <w:rsid w:val="00ED2B4A"/>
    <w:rsid w:val="00ED2ECC"/>
    <w:rsid w:val="00ED2F25"/>
    <w:rsid w:val="00ED2F4D"/>
    <w:rsid w:val="00ED30A0"/>
    <w:rsid w:val="00ED3454"/>
    <w:rsid w:val="00ED349F"/>
    <w:rsid w:val="00ED377F"/>
    <w:rsid w:val="00ED384E"/>
    <w:rsid w:val="00ED399D"/>
    <w:rsid w:val="00ED3A7C"/>
    <w:rsid w:val="00ED3B53"/>
    <w:rsid w:val="00ED3B63"/>
    <w:rsid w:val="00ED3DBF"/>
    <w:rsid w:val="00ED3E61"/>
    <w:rsid w:val="00ED425E"/>
    <w:rsid w:val="00ED45AF"/>
    <w:rsid w:val="00ED45F2"/>
    <w:rsid w:val="00ED4692"/>
    <w:rsid w:val="00ED47D1"/>
    <w:rsid w:val="00ED4836"/>
    <w:rsid w:val="00ED4AA8"/>
    <w:rsid w:val="00ED4BB3"/>
    <w:rsid w:val="00ED4D21"/>
    <w:rsid w:val="00ED4D2F"/>
    <w:rsid w:val="00ED5144"/>
    <w:rsid w:val="00ED51A9"/>
    <w:rsid w:val="00ED52A6"/>
    <w:rsid w:val="00ED5631"/>
    <w:rsid w:val="00ED5836"/>
    <w:rsid w:val="00ED58B9"/>
    <w:rsid w:val="00ED5A58"/>
    <w:rsid w:val="00ED6430"/>
    <w:rsid w:val="00ED6509"/>
    <w:rsid w:val="00ED6988"/>
    <w:rsid w:val="00ED6A38"/>
    <w:rsid w:val="00ED701A"/>
    <w:rsid w:val="00ED70B7"/>
    <w:rsid w:val="00ED743D"/>
    <w:rsid w:val="00ED744B"/>
    <w:rsid w:val="00ED766C"/>
    <w:rsid w:val="00ED79CB"/>
    <w:rsid w:val="00ED7B1A"/>
    <w:rsid w:val="00ED7C52"/>
    <w:rsid w:val="00EE0262"/>
    <w:rsid w:val="00EE02E7"/>
    <w:rsid w:val="00EE0694"/>
    <w:rsid w:val="00EE07AE"/>
    <w:rsid w:val="00EE0A1A"/>
    <w:rsid w:val="00EE0BB5"/>
    <w:rsid w:val="00EE0BD5"/>
    <w:rsid w:val="00EE0BF8"/>
    <w:rsid w:val="00EE0C1B"/>
    <w:rsid w:val="00EE0E95"/>
    <w:rsid w:val="00EE1119"/>
    <w:rsid w:val="00EE1218"/>
    <w:rsid w:val="00EE13F8"/>
    <w:rsid w:val="00EE1516"/>
    <w:rsid w:val="00EE17AA"/>
    <w:rsid w:val="00EE18E7"/>
    <w:rsid w:val="00EE198E"/>
    <w:rsid w:val="00EE1C2B"/>
    <w:rsid w:val="00EE2032"/>
    <w:rsid w:val="00EE2119"/>
    <w:rsid w:val="00EE222D"/>
    <w:rsid w:val="00EE2388"/>
    <w:rsid w:val="00EE2502"/>
    <w:rsid w:val="00EE25D8"/>
    <w:rsid w:val="00EE28EA"/>
    <w:rsid w:val="00EE2EFC"/>
    <w:rsid w:val="00EE2FB5"/>
    <w:rsid w:val="00EE3171"/>
    <w:rsid w:val="00EE3273"/>
    <w:rsid w:val="00EE337E"/>
    <w:rsid w:val="00EE33D8"/>
    <w:rsid w:val="00EE3501"/>
    <w:rsid w:val="00EE354E"/>
    <w:rsid w:val="00EE369A"/>
    <w:rsid w:val="00EE3B19"/>
    <w:rsid w:val="00EE3B8F"/>
    <w:rsid w:val="00EE3BA0"/>
    <w:rsid w:val="00EE3BD0"/>
    <w:rsid w:val="00EE3D40"/>
    <w:rsid w:val="00EE3DF5"/>
    <w:rsid w:val="00EE3E55"/>
    <w:rsid w:val="00EE3EA8"/>
    <w:rsid w:val="00EE3F00"/>
    <w:rsid w:val="00EE415B"/>
    <w:rsid w:val="00EE481B"/>
    <w:rsid w:val="00EE4985"/>
    <w:rsid w:val="00EE4B42"/>
    <w:rsid w:val="00EE4B92"/>
    <w:rsid w:val="00EE4C8C"/>
    <w:rsid w:val="00EE5040"/>
    <w:rsid w:val="00EE5730"/>
    <w:rsid w:val="00EE5935"/>
    <w:rsid w:val="00EE5AAE"/>
    <w:rsid w:val="00EE5B64"/>
    <w:rsid w:val="00EE5C00"/>
    <w:rsid w:val="00EE5E1F"/>
    <w:rsid w:val="00EE5EF8"/>
    <w:rsid w:val="00EE5FD0"/>
    <w:rsid w:val="00EE6065"/>
    <w:rsid w:val="00EE63DA"/>
    <w:rsid w:val="00EE63E3"/>
    <w:rsid w:val="00EE6753"/>
    <w:rsid w:val="00EE71A4"/>
    <w:rsid w:val="00EE735D"/>
    <w:rsid w:val="00EE740A"/>
    <w:rsid w:val="00EE758E"/>
    <w:rsid w:val="00EE766F"/>
    <w:rsid w:val="00EE76DD"/>
    <w:rsid w:val="00EE7751"/>
    <w:rsid w:val="00EE7814"/>
    <w:rsid w:val="00EE78C1"/>
    <w:rsid w:val="00EE78FB"/>
    <w:rsid w:val="00EE7A37"/>
    <w:rsid w:val="00EE7CCE"/>
    <w:rsid w:val="00EF00A5"/>
    <w:rsid w:val="00EF010A"/>
    <w:rsid w:val="00EF0126"/>
    <w:rsid w:val="00EF02A5"/>
    <w:rsid w:val="00EF04D2"/>
    <w:rsid w:val="00EF0524"/>
    <w:rsid w:val="00EF0818"/>
    <w:rsid w:val="00EF0868"/>
    <w:rsid w:val="00EF0A17"/>
    <w:rsid w:val="00EF0AAB"/>
    <w:rsid w:val="00EF0BC7"/>
    <w:rsid w:val="00EF0C44"/>
    <w:rsid w:val="00EF0C51"/>
    <w:rsid w:val="00EF0CFC"/>
    <w:rsid w:val="00EF0FCF"/>
    <w:rsid w:val="00EF133C"/>
    <w:rsid w:val="00EF1503"/>
    <w:rsid w:val="00EF1A0F"/>
    <w:rsid w:val="00EF1B8B"/>
    <w:rsid w:val="00EF1C0B"/>
    <w:rsid w:val="00EF1D64"/>
    <w:rsid w:val="00EF2095"/>
    <w:rsid w:val="00EF2C2D"/>
    <w:rsid w:val="00EF2D9C"/>
    <w:rsid w:val="00EF2F85"/>
    <w:rsid w:val="00EF2FAD"/>
    <w:rsid w:val="00EF3077"/>
    <w:rsid w:val="00EF3096"/>
    <w:rsid w:val="00EF31E9"/>
    <w:rsid w:val="00EF3463"/>
    <w:rsid w:val="00EF3549"/>
    <w:rsid w:val="00EF367C"/>
    <w:rsid w:val="00EF3793"/>
    <w:rsid w:val="00EF392C"/>
    <w:rsid w:val="00EF39CF"/>
    <w:rsid w:val="00EF3A09"/>
    <w:rsid w:val="00EF3C68"/>
    <w:rsid w:val="00EF3D80"/>
    <w:rsid w:val="00EF3E36"/>
    <w:rsid w:val="00EF3EC0"/>
    <w:rsid w:val="00EF453C"/>
    <w:rsid w:val="00EF48A6"/>
    <w:rsid w:val="00EF4A5E"/>
    <w:rsid w:val="00EF4AE3"/>
    <w:rsid w:val="00EF4B27"/>
    <w:rsid w:val="00EF4C0B"/>
    <w:rsid w:val="00EF4DB1"/>
    <w:rsid w:val="00EF4FE4"/>
    <w:rsid w:val="00EF50F8"/>
    <w:rsid w:val="00EF5206"/>
    <w:rsid w:val="00EF5258"/>
    <w:rsid w:val="00EF5425"/>
    <w:rsid w:val="00EF5454"/>
    <w:rsid w:val="00EF55FC"/>
    <w:rsid w:val="00EF5BC7"/>
    <w:rsid w:val="00EF5C7F"/>
    <w:rsid w:val="00EF5D2D"/>
    <w:rsid w:val="00EF6228"/>
    <w:rsid w:val="00EF646C"/>
    <w:rsid w:val="00EF6650"/>
    <w:rsid w:val="00EF6813"/>
    <w:rsid w:val="00EF68CA"/>
    <w:rsid w:val="00EF6903"/>
    <w:rsid w:val="00EF691E"/>
    <w:rsid w:val="00EF69FF"/>
    <w:rsid w:val="00EF6B33"/>
    <w:rsid w:val="00EF6F82"/>
    <w:rsid w:val="00EF7004"/>
    <w:rsid w:val="00EF7335"/>
    <w:rsid w:val="00EF7972"/>
    <w:rsid w:val="00EF7B44"/>
    <w:rsid w:val="00EF7D4E"/>
    <w:rsid w:val="00EF7FCB"/>
    <w:rsid w:val="00F00151"/>
    <w:rsid w:val="00F0049E"/>
    <w:rsid w:val="00F00588"/>
    <w:rsid w:val="00F008A7"/>
    <w:rsid w:val="00F00979"/>
    <w:rsid w:val="00F00AA0"/>
    <w:rsid w:val="00F00FCB"/>
    <w:rsid w:val="00F012C4"/>
    <w:rsid w:val="00F01604"/>
    <w:rsid w:val="00F01B6C"/>
    <w:rsid w:val="00F01CCB"/>
    <w:rsid w:val="00F01EF5"/>
    <w:rsid w:val="00F025CA"/>
    <w:rsid w:val="00F02993"/>
    <w:rsid w:val="00F02EFE"/>
    <w:rsid w:val="00F0326E"/>
    <w:rsid w:val="00F0328C"/>
    <w:rsid w:val="00F03674"/>
    <w:rsid w:val="00F038FD"/>
    <w:rsid w:val="00F03984"/>
    <w:rsid w:val="00F03CCE"/>
    <w:rsid w:val="00F03E6C"/>
    <w:rsid w:val="00F03EA1"/>
    <w:rsid w:val="00F04176"/>
    <w:rsid w:val="00F045D4"/>
    <w:rsid w:val="00F04672"/>
    <w:rsid w:val="00F0499D"/>
    <w:rsid w:val="00F049B8"/>
    <w:rsid w:val="00F04B3A"/>
    <w:rsid w:val="00F04DEF"/>
    <w:rsid w:val="00F05089"/>
    <w:rsid w:val="00F050DC"/>
    <w:rsid w:val="00F051DA"/>
    <w:rsid w:val="00F05371"/>
    <w:rsid w:val="00F0539C"/>
    <w:rsid w:val="00F056ED"/>
    <w:rsid w:val="00F05701"/>
    <w:rsid w:val="00F059F5"/>
    <w:rsid w:val="00F05F8E"/>
    <w:rsid w:val="00F06296"/>
    <w:rsid w:val="00F062DD"/>
    <w:rsid w:val="00F06346"/>
    <w:rsid w:val="00F0659C"/>
    <w:rsid w:val="00F0670F"/>
    <w:rsid w:val="00F06728"/>
    <w:rsid w:val="00F068A3"/>
    <w:rsid w:val="00F06924"/>
    <w:rsid w:val="00F06985"/>
    <w:rsid w:val="00F06A18"/>
    <w:rsid w:val="00F06B61"/>
    <w:rsid w:val="00F06BFF"/>
    <w:rsid w:val="00F06C65"/>
    <w:rsid w:val="00F06C85"/>
    <w:rsid w:val="00F06E3E"/>
    <w:rsid w:val="00F06F37"/>
    <w:rsid w:val="00F06F9F"/>
    <w:rsid w:val="00F070F2"/>
    <w:rsid w:val="00F073C7"/>
    <w:rsid w:val="00F0781F"/>
    <w:rsid w:val="00F078B6"/>
    <w:rsid w:val="00F078C0"/>
    <w:rsid w:val="00F07A91"/>
    <w:rsid w:val="00F07C78"/>
    <w:rsid w:val="00F07C93"/>
    <w:rsid w:val="00F07E1C"/>
    <w:rsid w:val="00F07F25"/>
    <w:rsid w:val="00F10099"/>
    <w:rsid w:val="00F101E9"/>
    <w:rsid w:val="00F106D0"/>
    <w:rsid w:val="00F10775"/>
    <w:rsid w:val="00F107FE"/>
    <w:rsid w:val="00F10C8D"/>
    <w:rsid w:val="00F10D1E"/>
    <w:rsid w:val="00F10F08"/>
    <w:rsid w:val="00F110B7"/>
    <w:rsid w:val="00F116E3"/>
    <w:rsid w:val="00F119E0"/>
    <w:rsid w:val="00F11A63"/>
    <w:rsid w:val="00F120F0"/>
    <w:rsid w:val="00F12490"/>
    <w:rsid w:val="00F125BB"/>
    <w:rsid w:val="00F12C3F"/>
    <w:rsid w:val="00F12D28"/>
    <w:rsid w:val="00F12D2F"/>
    <w:rsid w:val="00F12D45"/>
    <w:rsid w:val="00F12EFB"/>
    <w:rsid w:val="00F12F9F"/>
    <w:rsid w:val="00F137D4"/>
    <w:rsid w:val="00F139B3"/>
    <w:rsid w:val="00F13B41"/>
    <w:rsid w:val="00F13CBD"/>
    <w:rsid w:val="00F14495"/>
    <w:rsid w:val="00F1453C"/>
    <w:rsid w:val="00F14800"/>
    <w:rsid w:val="00F14853"/>
    <w:rsid w:val="00F14B26"/>
    <w:rsid w:val="00F14B7B"/>
    <w:rsid w:val="00F14CE5"/>
    <w:rsid w:val="00F14D29"/>
    <w:rsid w:val="00F15390"/>
    <w:rsid w:val="00F1578F"/>
    <w:rsid w:val="00F1584E"/>
    <w:rsid w:val="00F15872"/>
    <w:rsid w:val="00F1595F"/>
    <w:rsid w:val="00F1598C"/>
    <w:rsid w:val="00F15A7D"/>
    <w:rsid w:val="00F15B04"/>
    <w:rsid w:val="00F16130"/>
    <w:rsid w:val="00F16489"/>
    <w:rsid w:val="00F168FD"/>
    <w:rsid w:val="00F169DC"/>
    <w:rsid w:val="00F169F6"/>
    <w:rsid w:val="00F16A15"/>
    <w:rsid w:val="00F16A75"/>
    <w:rsid w:val="00F16A97"/>
    <w:rsid w:val="00F16B12"/>
    <w:rsid w:val="00F173E9"/>
    <w:rsid w:val="00F17666"/>
    <w:rsid w:val="00F17798"/>
    <w:rsid w:val="00F17C8D"/>
    <w:rsid w:val="00F17D55"/>
    <w:rsid w:val="00F17DDB"/>
    <w:rsid w:val="00F201B5"/>
    <w:rsid w:val="00F20223"/>
    <w:rsid w:val="00F202C5"/>
    <w:rsid w:val="00F20319"/>
    <w:rsid w:val="00F20384"/>
    <w:rsid w:val="00F2040B"/>
    <w:rsid w:val="00F20957"/>
    <w:rsid w:val="00F20B1D"/>
    <w:rsid w:val="00F20BD5"/>
    <w:rsid w:val="00F20DA1"/>
    <w:rsid w:val="00F21209"/>
    <w:rsid w:val="00F21484"/>
    <w:rsid w:val="00F21B18"/>
    <w:rsid w:val="00F21BB9"/>
    <w:rsid w:val="00F21DB6"/>
    <w:rsid w:val="00F21E7D"/>
    <w:rsid w:val="00F2243E"/>
    <w:rsid w:val="00F22460"/>
    <w:rsid w:val="00F2247E"/>
    <w:rsid w:val="00F224D2"/>
    <w:rsid w:val="00F226F0"/>
    <w:rsid w:val="00F227CE"/>
    <w:rsid w:val="00F231FE"/>
    <w:rsid w:val="00F232FF"/>
    <w:rsid w:val="00F23450"/>
    <w:rsid w:val="00F234EF"/>
    <w:rsid w:val="00F23636"/>
    <w:rsid w:val="00F23865"/>
    <w:rsid w:val="00F23954"/>
    <w:rsid w:val="00F23BF8"/>
    <w:rsid w:val="00F23C8F"/>
    <w:rsid w:val="00F23F3A"/>
    <w:rsid w:val="00F23F40"/>
    <w:rsid w:val="00F24006"/>
    <w:rsid w:val="00F24015"/>
    <w:rsid w:val="00F24054"/>
    <w:rsid w:val="00F240BB"/>
    <w:rsid w:val="00F240CB"/>
    <w:rsid w:val="00F24393"/>
    <w:rsid w:val="00F24574"/>
    <w:rsid w:val="00F24741"/>
    <w:rsid w:val="00F2486C"/>
    <w:rsid w:val="00F24CDA"/>
    <w:rsid w:val="00F24CE4"/>
    <w:rsid w:val="00F24F0F"/>
    <w:rsid w:val="00F24F8A"/>
    <w:rsid w:val="00F251D3"/>
    <w:rsid w:val="00F251ED"/>
    <w:rsid w:val="00F2547B"/>
    <w:rsid w:val="00F25582"/>
    <w:rsid w:val="00F256AC"/>
    <w:rsid w:val="00F25BE1"/>
    <w:rsid w:val="00F25F51"/>
    <w:rsid w:val="00F26020"/>
    <w:rsid w:val="00F261BF"/>
    <w:rsid w:val="00F2639F"/>
    <w:rsid w:val="00F26628"/>
    <w:rsid w:val="00F26849"/>
    <w:rsid w:val="00F26AB9"/>
    <w:rsid w:val="00F26B36"/>
    <w:rsid w:val="00F26B7D"/>
    <w:rsid w:val="00F26C0A"/>
    <w:rsid w:val="00F26C1B"/>
    <w:rsid w:val="00F26C34"/>
    <w:rsid w:val="00F26FF4"/>
    <w:rsid w:val="00F273D2"/>
    <w:rsid w:val="00F27610"/>
    <w:rsid w:val="00F2763A"/>
    <w:rsid w:val="00F27785"/>
    <w:rsid w:val="00F277D2"/>
    <w:rsid w:val="00F27879"/>
    <w:rsid w:val="00F278E6"/>
    <w:rsid w:val="00F27B6D"/>
    <w:rsid w:val="00F27BEE"/>
    <w:rsid w:val="00F27F29"/>
    <w:rsid w:val="00F30149"/>
    <w:rsid w:val="00F304E8"/>
    <w:rsid w:val="00F30573"/>
    <w:rsid w:val="00F30857"/>
    <w:rsid w:val="00F30898"/>
    <w:rsid w:val="00F30CD0"/>
    <w:rsid w:val="00F30F95"/>
    <w:rsid w:val="00F3150B"/>
    <w:rsid w:val="00F31934"/>
    <w:rsid w:val="00F31A06"/>
    <w:rsid w:val="00F31A0A"/>
    <w:rsid w:val="00F31AAE"/>
    <w:rsid w:val="00F31D74"/>
    <w:rsid w:val="00F31DEE"/>
    <w:rsid w:val="00F31E5E"/>
    <w:rsid w:val="00F32158"/>
    <w:rsid w:val="00F3239C"/>
    <w:rsid w:val="00F324EB"/>
    <w:rsid w:val="00F32C7C"/>
    <w:rsid w:val="00F32F80"/>
    <w:rsid w:val="00F33105"/>
    <w:rsid w:val="00F33139"/>
    <w:rsid w:val="00F331B4"/>
    <w:rsid w:val="00F3374B"/>
    <w:rsid w:val="00F33830"/>
    <w:rsid w:val="00F338C3"/>
    <w:rsid w:val="00F33902"/>
    <w:rsid w:val="00F33AD2"/>
    <w:rsid w:val="00F33C1A"/>
    <w:rsid w:val="00F33C1F"/>
    <w:rsid w:val="00F33DF7"/>
    <w:rsid w:val="00F3414C"/>
    <w:rsid w:val="00F341EE"/>
    <w:rsid w:val="00F34341"/>
    <w:rsid w:val="00F343B5"/>
    <w:rsid w:val="00F347BF"/>
    <w:rsid w:val="00F34D07"/>
    <w:rsid w:val="00F350ED"/>
    <w:rsid w:val="00F352A0"/>
    <w:rsid w:val="00F3546D"/>
    <w:rsid w:val="00F35484"/>
    <w:rsid w:val="00F355DD"/>
    <w:rsid w:val="00F356AC"/>
    <w:rsid w:val="00F356EE"/>
    <w:rsid w:val="00F35721"/>
    <w:rsid w:val="00F35DE5"/>
    <w:rsid w:val="00F36002"/>
    <w:rsid w:val="00F3607C"/>
    <w:rsid w:val="00F36241"/>
    <w:rsid w:val="00F36290"/>
    <w:rsid w:val="00F3643F"/>
    <w:rsid w:val="00F3650A"/>
    <w:rsid w:val="00F36565"/>
    <w:rsid w:val="00F36926"/>
    <w:rsid w:val="00F36973"/>
    <w:rsid w:val="00F3699D"/>
    <w:rsid w:val="00F36C7B"/>
    <w:rsid w:val="00F36C7D"/>
    <w:rsid w:val="00F3701A"/>
    <w:rsid w:val="00F375BA"/>
    <w:rsid w:val="00F37E10"/>
    <w:rsid w:val="00F37FCD"/>
    <w:rsid w:val="00F37FFA"/>
    <w:rsid w:val="00F400B6"/>
    <w:rsid w:val="00F4016D"/>
    <w:rsid w:val="00F405BC"/>
    <w:rsid w:val="00F409E9"/>
    <w:rsid w:val="00F40B78"/>
    <w:rsid w:val="00F40BD8"/>
    <w:rsid w:val="00F40CC6"/>
    <w:rsid w:val="00F40EE4"/>
    <w:rsid w:val="00F40F12"/>
    <w:rsid w:val="00F40F8E"/>
    <w:rsid w:val="00F41051"/>
    <w:rsid w:val="00F41249"/>
    <w:rsid w:val="00F41370"/>
    <w:rsid w:val="00F41835"/>
    <w:rsid w:val="00F41A0D"/>
    <w:rsid w:val="00F41B94"/>
    <w:rsid w:val="00F41BA9"/>
    <w:rsid w:val="00F420C2"/>
    <w:rsid w:val="00F420CA"/>
    <w:rsid w:val="00F42149"/>
    <w:rsid w:val="00F42263"/>
    <w:rsid w:val="00F42385"/>
    <w:rsid w:val="00F423BA"/>
    <w:rsid w:val="00F42884"/>
    <w:rsid w:val="00F42A7B"/>
    <w:rsid w:val="00F42D6F"/>
    <w:rsid w:val="00F43021"/>
    <w:rsid w:val="00F437C2"/>
    <w:rsid w:val="00F439D1"/>
    <w:rsid w:val="00F43B6B"/>
    <w:rsid w:val="00F43CC7"/>
    <w:rsid w:val="00F441F1"/>
    <w:rsid w:val="00F44734"/>
    <w:rsid w:val="00F449CA"/>
    <w:rsid w:val="00F44AF6"/>
    <w:rsid w:val="00F44EB0"/>
    <w:rsid w:val="00F4561D"/>
    <w:rsid w:val="00F458FE"/>
    <w:rsid w:val="00F45A4D"/>
    <w:rsid w:val="00F45AE6"/>
    <w:rsid w:val="00F45BB5"/>
    <w:rsid w:val="00F45C1F"/>
    <w:rsid w:val="00F45C9E"/>
    <w:rsid w:val="00F45F18"/>
    <w:rsid w:val="00F46170"/>
    <w:rsid w:val="00F4685B"/>
    <w:rsid w:val="00F46D06"/>
    <w:rsid w:val="00F46D78"/>
    <w:rsid w:val="00F46E6F"/>
    <w:rsid w:val="00F470C6"/>
    <w:rsid w:val="00F47115"/>
    <w:rsid w:val="00F4719B"/>
    <w:rsid w:val="00F4749C"/>
    <w:rsid w:val="00F4774F"/>
    <w:rsid w:val="00F4781B"/>
    <w:rsid w:val="00F479BE"/>
    <w:rsid w:val="00F479F2"/>
    <w:rsid w:val="00F47BAF"/>
    <w:rsid w:val="00F47D89"/>
    <w:rsid w:val="00F508E0"/>
    <w:rsid w:val="00F50C5D"/>
    <w:rsid w:val="00F50CC1"/>
    <w:rsid w:val="00F51021"/>
    <w:rsid w:val="00F51199"/>
    <w:rsid w:val="00F511F3"/>
    <w:rsid w:val="00F5121B"/>
    <w:rsid w:val="00F5146D"/>
    <w:rsid w:val="00F517E4"/>
    <w:rsid w:val="00F51BB5"/>
    <w:rsid w:val="00F51C05"/>
    <w:rsid w:val="00F51E40"/>
    <w:rsid w:val="00F51FA6"/>
    <w:rsid w:val="00F521CB"/>
    <w:rsid w:val="00F521D8"/>
    <w:rsid w:val="00F52685"/>
    <w:rsid w:val="00F5268D"/>
    <w:rsid w:val="00F52890"/>
    <w:rsid w:val="00F528B6"/>
    <w:rsid w:val="00F529AA"/>
    <w:rsid w:val="00F52A1B"/>
    <w:rsid w:val="00F52B17"/>
    <w:rsid w:val="00F53571"/>
    <w:rsid w:val="00F5379E"/>
    <w:rsid w:val="00F538C8"/>
    <w:rsid w:val="00F539B9"/>
    <w:rsid w:val="00F53BD0"/>
    <w:rsid w:val="00F53C4E"/>
    <w:rsid w:val="00F53D50"/>
    <w:rsid w:val="00F54137"/>
    <w:rsid w:val="00F54417"/>
    <w:rsid w:val="00F54996"/>
    <w:rsid w:val="00F549E1"/>
    <w:rsid w:val="00F54B36"/>
    <w:rsid w:val="00F54C8B"/>
    <w:rsid w:val="00F54CD0"/>
    <w:rsid w:val="00F54D19"/>
    <w:rsid w:val="00F54E14"/>
    <w:rsid w:val="00F54E93"/>
    <w:rsid w:val="00F54EB1"/>
    <w:rsid w:val="00F5509B"/>
    <w:rsid w:val="00F5591C"/>
    <w:rsid w:val="00F55BE6"/>
    <w:rsid w:val="00F55C2C"/>
    <w:rsid w:val="00F55DD7"/>
    <w:rsid w:val="00F55E58"/>
    <w:rsid w:val="00F55EC4"/>
    <w:rsid w:val="00F561A0"/>
    <w:rsid w:val="00F561D8"/>
    <w:rsid w:val="00F56564"/>
    <w:rsid w:val="00F56589"/>
    <w:rsid w:val="00F56D4D"/>
    <w:rsid w:val="00F56DCB"/>
    <w:rsid w:val="00F56E27"/>
    <w:rsid w:val="00F56E80"/>
    <w:rsid w:val="00F56EE3"/>
    <w:rsid w:val="00F56F47"/>
    <w:rsid w:val="00F57248"/>
    <w:rsid w:val="00F574CF"/>
    <w:rsid w:val="00F57809"/>
    <w:rsid w:val="00F57935"/>
    <w:rsid w:val="00F57A4E"/>
    <w:rsid w:val="00F57B3C"/>
    <w:rsid w:val="00F57D05"/>
    <w:rsid w:val="00F57D64"/>
    <w:rsid w:val="00F57E48"/>
    <w:rsid w:val="00F57EC4"/>
    <w:rsid w:val="00F57FED"/>
    <w:rsid w:val="00F601E2"/>
    <w:rsid w:val="00F60270"/>
    <w:rsid w:val="00F60881"/>
    <w:rsid w:val="00F60ACD"/>
    <w:rsid w:val="00F60B8B"/>
    <w:rsid w:val="00F60C6A"/>
    <w:rsid w:val="00F6124D"/>
    <w:rsid w:val="00F612DA"/>
    <w:rsid w:val="00F613DA"/>
    <w:rsid w:val="00F61515"/>
    <w:rsid w:val="00F615AA"/>
    <w:rsid w:val="00F615E4"/>
    <w:rsid w:val="00F61629"/>
    <w:rsid w:val="00F617AF"/>
    <w:rsid w:val="00F6191B"/>
    <w:rsid w:val="00F619D4"/>
    <w:rsid w:val="00F61A6F"/>
    <w:rsid w:val="00F61B73"/>
    <w:rsid w:val="00F61F28"/>
    <w:rsid w:val="00F62563"/>
    <w:rsid w:val="00F6259E"/>
    <w:rsid w:val="00F629B2"/>
    <w:rsid w:val="00F62C52"/>
    <w:rsid w:val="00F62C81"/>
    <w:rsid w:val="00F62CAB"/>
    <w:rsid w:val="00F62E3F"/>
    <w:rsid w:val="00F62F03"/>
    <w:rsid w:val="00F63124"/>
    <w:rsid w:val="00F6329D"/>
    <w:rsid w:val="00F632AD"/>
    <w:rsid w:val="00F6333C"/>
    <w:rsid w:val="00F63909"/>
    <w:rsid w:val="00F63BAC"/>
    <w:rsid w:val="00F63F80"/>
    <w:rsid w:val="00F64015"/>
    <w:rsid w:val="00F64093"/>
    <w:rsid w:val="00F64237"/>
    <w:rsid w:val="00F64498"/>
    <w:rsid w:val="00F6468C"/>
    <w:rsid w:val="00F647FA"/>
    <w:rsid w:val="00F6486A"/>
    <w:rsid w:val="00F648A5"/>
    <w:rsid w:val="00F64C4E"/>
    <w:rsid w:val="00F64C94"/>
    <w:rsid w:val="00F64E9C"/>
    <w:rsid w:val="00F652C2"/>
    <w:rsid w:val="00F65540"/>
    <w:rsid w:val="00F6574D"/>
    <w:rsid w:val="00F6576E"/>
    <w:rsid w:val="00F6578D"/>
    <w:rsid w:val="00F65982"/>
    <w:rsid w:val="00F65A10"/>
    <w:rsid w:val="00F65F0C"/>
    <w:rsid w:val="00F66044"/>
    <w:rsid w:val="00F6609B"/>
    <w:rsid w:val="00F66305"/>
    <w:rsid w:val="00F6633F"/>
    <w:rsid w:val="00F66832"/>
    <w:rsid w:val="00F66986"/>
    <w:rsid w:val="00F66BE9"/>
    <w:rsid w:val="00F66CF6"/>
    <w:rsid w:val="00F66EA5"/>
    <w:rsid w:val="00F676A4"/>
    <w:rsid w:val="00F679A7"/>
    <w:rsid w:val="00F67AAD"/>
    <w:rsid w:val="00F67B69"/>
    <w:rsid w:val="00F67CFA"/>
    <w:rsid w:val="00F67E39"/>
    <w:rsid w:val="00F67ED2"/>
    <w:rsid w:val="00F7002F"/>
    <w:rsid w:val="00F70181"/>
    <w:rsid w:val="00F701DF"/>
    <w:rsid w:val="00F708A8"/>
    <w:rsid w:val="00F7096B"/>
    <w:rsid w:val="00F70994"/>
    <w:rsid w:val="00F70A4E"/>
    <w:rsid w:val="00F70A70"/>
    <w:rsid w:val="00F70D82"/>
    <w:rsid w:val="00F70DF5"/>
    <w:rsid w:val="00F70F13"/>
    <w:rsid w:val="00F70FC9"/>
    <w:rsid w:val="00F710B9"/>
    <w:rsid w:val="00F71303"/>
    <w:rsid w:val="00F71532"/>
    <w:rsid w:val="00F71786"/>
    <w:rsid w:val="00F719CF"/>
    <w:rsid w:val="00F71D7A"/>
    <w:rsid w:val="00F71DE5"/>
    <w:rsid w:val="00F720D1"/>
    <w:rsid w:val="00F7226F"/>
    <w:rsid w:val="00F72282"/>
    <w:rsid w:val="00F72415"/>
    <w:rsid w:val="00F72472"/>
    <w:rsid w:val="00F72730"/>
    <w:rsid w:val="00F7290A"/>
    <w:rsid w:val="00F72927"/>
    <w:rsid w:val="00F72969"/>
    <w:rsid w:val="00F72E14"/>
    <w:rsid w:val="00F72EB3"/>
    <w:rsid w:val="00F72EDA"/>
    <w:rsid w:val="00F731EC"/>
    <w:rsid w:val="00F7390E"/>
    <w:rsid w:val="00F73D2D"/>
    <w:rsid w:val="00F73DC8"/>
    <w:rsid w:val="00F73E5A"/>
    <w:rsid w:val="00F741C1"/>
    <w:rsid w:val="00F742D2"/>
    <w:rsid w:val="00F743B2"/>
    <w:rsid w:val="00F743F1"/>
    <w:rsid w:val="00F74435"/>
    <w:rsid w:val="00F7457C"/>
    <w:rsid w:val="00F745DC"/>
    <w:rsid w:val="00F74781"/>
    <w:rsid w:val="00F749DB"/>
    <w:rsid w:val="00F74CCE"/>
    <w:rsid w:val="00F74F84"/>
    <w:rsid w:val="00F7552B"/>
    <w:rsid w:val="00F7556C"/>
    <w:rsid w:val="00F75886"/>
    <w:rsid w:val="00F7599F"/>
    <w:rsid w:val="00F75A0D"/>
    <w:rsid w:val="00F75EA5"/>
    <w:rsid w:val="00F76191"/>
    <w:rsid w:val="00F7625F"/>
    <w:rsid w:val="00F7643B"/>
    <w:rsid w:val="00F764CC"/>
    <w:rsid w:val="00F764F7"/>
    <w:rsid w:val="00F76515"/>
    <w:rsid w:val="00F76519"/>
    <w:rsid w:val="00F7659A"/>
    <w:rsid w:val="00F76776"/>
    <w:rsid w:val="00F76C14"/>
    <w:rsid w:val="00F770FB"/>
    <w:rsid w:val="00F771EF"/>
    <w:rsid w:val="00F7746E"/>
    <w:rsid w:val="00F77507"/>
    <w:rsid w:val="00F777E2"/>
    <w:rsid w:val="00F800F9"/>
    <w:rsid w:val="00F80101"/>
    <w:rsid w:val="00F802D7"/>
    <w:rsid w:val="00F805B7"/>
    <w:rsid w:val="00F806FC"/>
    <w:rsid w:val="00F8080E"/>
    <w:rsid w:val="00F80978"/>
    <w:rsid w:val="00F80ABF"/>
    <w:rsid w:val="00F80C66"/>
    <w:rsid w:val="00F80E2D"/>
    <w:rsid w:val="00F81129"/>
    <w:rsid w:val="00F812CF"/>
    <w:rsid w:val="00F813AB"/>
    <w:rsid w:val="00F81501"/>
    <w:rsid w:val="00F81713"/>
    <w:rsid w:val="00F81864"/>
    <w:rsid w:val="00F818C7"/>
    <w:rsid w:val="00F81C68"/>
    <w:rsid w:val="00F81F1A"/>
    <w:rsid w:val="00F821BE"/>
    <w:rsid w:val="00F82261"/>
    <w:rsid w:val="00F8240B"/>
    <w:rsid w:val="00F82542"/>
    <w:rsid w:val="00F825B1"/>
    <w:rsid w:val="00F825BF"/>
    <w:rsid w:val="00F82617"/>
    <w:rsid w:val="00F82A1D"/>
    <w:rsid w:val="00F82CFE"/>
    <w:rsid w:val="00F82EF8"/>
    <w:rsid w:val="00F82F30"/>
    <w:rsid w:val="00F830D6"/>
    <w:rsid w:val="00F8310D"/>
    <w:rsid w:val="00F831F0"/>
    <w:rsid w:val="00F8321C"/>
    <w:rsid w:val="00F832DC"/>
    <w:rsid w:val="00F836D9"/>
    <w:rsid w:val="00F83B48"/>
    <w:rsid w:val="00F83B4E"/>
    <w:rsid w:val="00F83DBF"/>
    <w:rsid w:val="00F84387"/>
    <w:rsid w:val="00F84A8A"/>
    <w:rsid w:val="00F84F5C"/>
    <w:rsid w:val="00F855FD"/>
    <w:rsid w:val="00F85674"/>
    <w:rsid w:val="00F85784"/>
    <w:rsid w:val="00F85899"/>
    <w:rsid w:val="00F85DA9"/>
    <w:rsid w:val="00F85E3C"/>
    <w:rsid w:val="00F85F7D"/>
    <w:rsid w:val="00F86339"/>
    <w:rsid w:val="00F8667E"/>
    <w:rsid w:val="00F867C1"/>
    <w:rsid w:val="00F8691F"/>
    <w:rsid w:val="00F869BC"/>
    <w:rsid w:val="00F86D3A"/>
    <w:rsid w:val="00F86F55"/>
    <w:rsid w:val="00F870AA"/>
    <w:rsid w:val="00F874F3"/>
    <w:rsid w:val="00F87706"/>
    <w:rsid w:val="00F8777C"/>
    <w:rsid w:val="00F878EE"/>
    <w:rsid w:val="00F87C59"/>
    <w:rsid w:val="00F87CB0"/>
    <w:rsid w:val="00F9009B"/>
    <w:rsid w:val="00F90289"/>
    <w:rsid w:val="00F90A89"/>
    <w:rsid w:val="00F90B75"/>
    <w:rsid w:val="00F911C5"/>
    <w:rsid w:val="00F9133C"/>
    <w:rsid w:val="00F91494"/>
    <w:rsid w:val="00F91592"/>
    <w:rsid w:val="00F91660"/>
    <w:rsid w:val="00F916D1"/>
    <w:rsid w:val="00F91820"/>
    <w:rsid w:val="00F9196A"/>
    <w:rsid w:val="00F91B72"/>
    <w:rsid w:val="00F91CA4"/>
    <w:rsid w:val="00F91F15"/>
    <w:rsid w:val="00F9202F"/>
    <w:rsid w:val="00F92047"/>
    <w:rsid w:val="00F921A3"/>
    <w:rsid w:val="00F923DC"/>
    <w:rsid w:val="00F92542"/>
    <w:rsid w:val="00F925FB"/>
    <w:rsid w:val="00F92A03"/>
    <w:rsid w:val="00F92BB5"/>
    <w:rsid w:val="00F92D67"/>
    <w:rsid w:val="00F93008"/>
    <w:rsid w:val="00F93284"/>
    <w:rsid w:val="00F932CA"/>
    <w:rsid w:val="00F9377B"/>
    <w:rsid w:val="00F93896"/>
    <w:rsid w:val="00F938F9"/>
    <w:rsid w:val="00F93A24"/>
    <w:rsid w:val="00F93ADA"/>
    <w:rsid w:val="00F93E7F"/>
    <w:rsid w:val="00F93F05"/>
    <w:rsid w:val="00F94360"/>
    <w:rsid w:val="00F94599"/>
    <w:rsid w:val="00F9472F"/>
    <w:rsid w:val="00F94865"/>
    <w:rsid w:val="00F948A1"/>
    <w:rsid w:val="00F949C4"/>
    <w:rsid w:val="00F94BB8"/>
    <w:rsid w:val="00F94C18"/>
    <w:rsid w:val="00F94F95"/>
    <w:rsid w:val="00F95066"/>
    <w:rsid w:val="00F9515A"/>
    <w:rsid w:val="00F95418"/>
    <w:rsid w:val="00F95466"/>
    <w:rsid w:val="00F9569E"/>
    <w:rsid w:val="00F956FE"/>
    <w:rsid w:val="00F95712"/>
    <w:rsid w:val="00F9584B"/>
    <w:rsid w:val="00F95909"/>
    <w:rsid w:val="00F959A1"/>
    <w:rsid w:val="00F95AD0"/>
    <w:rsid w:val="00F95B1F"/>
    <w:rsid w:val="00F95B46"/>
    <w:rsid w:val="00F9606F"/>
    <w:rsid w:val="00F960F6"/>
    <w:rsid w:val="00F96154"/>
    <w:rsid w:val="00F9624B"/>
    <w:rsid w:val="00F964BD"/>
    <w:rsid w:val="00F96516"/>
    <w:rsid w:val="00F96630"/>
    <w:rsid w:val="00F96674"/>
    <w:rsid w:val="00F96698"/>
    <w:rsid w:val="00F966B5"/>
    <w:rsid w:val="00F966BA"/>
    <w:rsid w:val="00F96739"/>
    <w:rsid w:val="00F968BF"/>
    <w:rsid w:val="00F96A41"/>
    <w:rsid w:val="00F96BBA"/>
    <w:rsid w:val="00F96BFA"/>
    <w:rsid w:val="00F96C6D"/>
    <w:rsid w:val="00F96CFF"/>
    <w:rsid w:val="00F96E2A"/>
    <w:rsid w:val="00F96F21"/>
    <w:rsid w:val="00F9700F"/>
    <w:rsid w:val="00F97028"/>
    <w:rsid w:val="00F975D7"/>
    <w:rsid w:val="00F975FE"/>
    <w:rsid w:val="00F976D1"/>
    <w:rsid w:val="00F977C3"/>
    <w:rsid w:val="00F97903"/>
    <w:rsid w:val="00F97A29"/>
    <w:rsid w:val="00F97AC0"/>
    <w:rsid w:val="00F97B3B"/>
    <w:rsid w:val="00F97D05"/>
    <w:rsid w:val="00F97D77"/>
    <w:rsid w:val="00F97EBB"/>
    <w:rsid w:val="00F97EE5"/>
    <w:rsid w:val="00FA02BA"/>
    <w:rsid w:val="00FA0462"/>
    <w:rsid w:val="00FA052C"/>
    <w:rsid w:val="00FA05DA"/>
    <w:rsid w:val="00FA05EB"/>
    <w:rsid w:val="00FA0820"/>
    <w:rsid w:val="00FA0855"/>
    <w:rsid w:val="00FA0C22"/>
    <w:rsid w:val="00FA0DC3"/>
    <w:rsid w:val="00FA0F18"/>
    <w:rsid w:val="00FA10BF"/>
    <w:rsid w:val="00FA1106"/>
    <w:rsid w:val="00FA137F"/>
    <w:rsid w:val="00FA13B3"/>
    <w:rsid w:val="00FA1636"/>
    <w:rsid w:val="00FA16B0"/>
    <w:rsid w:val="00FA17B1"/>
    <w:rsid w:val="00FA17F6"/>
    <w:rsid w:val="00FA1950"/>
    <w:rsid w:val="00FA1AD9"/>
    <w:rsid w:val="00FA1D67"/>
    <w:rsid w:val="00FA1E6D"/>
    <w:rsid w:val="00FA1FA1"/>
    <w:rsid w:val="00FA2120"/>
    <w:rsid w:val="00FA2195"/>
    <w:rsid w:val="00FA21B6"/>
    <w:rsid w:val="00FA2240"/>
    <w:rsid w:val="00FA2832"/>
    <w:rsid w:val="00FA2858"/>
    <w:rsid w:val="00FA2BA9"/>
    <w:rsid w:val="00FA2D02"/>
    <w:rsid w:val="00FA31E3"/>
    <w:rsid w:val="00FA34ED"/>
    <w:rsid w:val="00FA36DF"/>
    <w:rsid w:val="00FA375D"/>
    <w:rsid w:val="00FA383E"/>
    <w:rsid w:val="00FA38DC"/>
    <w:rsid w:val="00FA3EC6"/>
    <w:rsid w:val="00FA3F4B"/>
    <w:rsid w:val="00FA3F92"/>
    <w:rsid w:val="00FA4716"/>
    <w:rsid w:val="00FA4837"/>
    <w:rsid w:val="00FA4A6E"/>
    <w:rsid w:val="00FA4BBC"/>
    <w:rsid w:val="00FA4C32"/>
    <w:rsid w:val="00FA4D96"/>
    <w:rsid w:val="00FA4F79"/>
    <w:rsid w:val="00FA5009"/>
    <w:rsid w:val="00FA543F"/>
    <w:rsid w:val="00FA548C"/>
    <w:rsid w:val="00FA5645"/>
    <w:rsid w:val="00FA5714"/>
    <w:rsid w:val="00FA5AB5"/>
    <w:rsid w:val="00FA5B94"/>
    <w:rsid w:val="00FA5BED"/>
    <w:rsid w:val="00FA6004"/>
    <w:rsid w:val="00FA61E0"/>
    <w:rsid w:val="00FA6241"/>
    <w:rsid w:val="00FA62AC"/>
    <w:rsid w:val="00FA668A"/>
    <w:rsid w:val="00FA66B7"/>
    <w:rsid w:val="00FA67E7"/>
    <w:rsid w:val="00FA67FE"/>
    <w:rsid w:val="00FA6930"/>
    <w:rsid w:val="00FA69F0"/>
    <w:rsid w:val="00FA6A29"/>
    <w:rsid w:val="00FA6B59"/>
    <w:rsid w:val="00FA6BC8"/>
    <w:rsid w:val="00FA7006"/>
    <w:rsid w:val="00FA7219"/>
    <w:rsid w:val="00FA72E4"/>
    <w:rsid w:val="00FA7309"/>
    <w:rsid w:val="00FA734E"/>
    <w:rsid w:val="00FA7836"/>
    <w:rsid w:val="00FA7B3C"/>
    <w:rsid w:val="00FA7C53"/>
    <w:rsid w:val="00FA7CFE"/>
    <w:rsid w:val="00FA7E61"/>
    <w:rsid w:val="00FB0037"/>
    <w:rsid w:val="00FB050B"/>
    <w:rsid w:val="00FB0826"/>
    <w:rsid w:val="00FB0A42"/>
    <w:rsid w:val="00FB0B3A"/>
    <w:rsid w:val="00FB0DCC"/>
    <w:rsid w:val="00FB1007"/>
    <w:rsid w:val="00FB1008"/>
    <w:rsid w:val="00FB13B2"/>
    <w:rsid w:val="00FB148D"/>
    <w:rsid w:val="00FB14B6"/>
    <w:rsid w:val="00FB182B"/>
    <w:rsid w:val="00FB185D"/>
    <w:rsid w:val="00FB19E1"/>
    <w:rsid w:val="00FB19FC"/>
    <w:rsid w:val="00FB1CAA"/>
    <w:rsid w:val="00FB1E9A"/>
    <w:rsid w:val="00FB1EFB"/>
    <w:rsid w:val="00FB234A"/>
    <w:rsid w:val="00FB2424"/>
    <w:rsid w:val="00FB2544"/>
    <w:rsid w:val="00FB2698"/>
    <w:rsid w:val="00FB26AB"/>
    <w:rsid w:val="00FB2788"/>
    <w:rsid w:val="00FB2954"/>
    <w:rsid w:val="00FB298B"/>
    <w:rsid w:val="00FB2A4A"/>
    <w:rsid w:val="00FB2B9B"/>
    <w:rsid w:val="00FB2FDB"/>
    <w:rsid w:val="00FB3105"/>
    <w:rsid w:val="00FB31F8"/>
    <w:rsid w:val="00FB32B4"/>
    <w:rsid w:val="00FB358E"/>
    <w:rsid w:val="00FB3626"/>
    <w:rsid w:val="00FB363F"/>
    <w:rsid w:val="00FB3681"/>
    <w:rsid w:val="00FB36F4"/>
    <w:rsid w:val="00FB392C"/>
    <w:rsid w:val="00FB3C89"/>
    <w:rsid w:val="00FB3F4F"/>
    <w:rsid w:val="00FB3FC2"/>
    <w:rsid w:val="00FB404B"/>
    <w:rsid w:val="00FB4283"/>
    <w:rsid w:val="00FB436D"/>
    <w:rsid w:val="00FB446D"/>
    <w:rsid w:val="00FB473C"/>
    <w:rsid w:val="00FB4BFB"/>
    <w:rsid w:val="00FB4C7C"/>
    <w:rsid w:val="00FB4D70"/>
    <w:rsid w:val="00FB4FC6"/>
    <w:rsid w:val="00FB50CD"/>
    <w:rsid w:val="00FB5229"/>
    <w:rsid w:val="00FB52EE"/>
    <w:rsid w:val="00FB53F5"/>
    <w:rsid w:val="00FB5410"/>
    <w:rsid w:val="00FB54C7"/>
    <w:rsid w:val="00FB5509"/>
    <w:rsid w:val="00FB5515"/>
    <w:rsid w:val="00FB55BE"/>
    <w:rsid w:val="00FB5834"/>
    <w:rsid w:val="00FB58E0"/>
    <w:rsid w:val="00FB5F29"/>
    <w:rsid w:val="00FB644A"/>
    <w:rsid w:val="00FB64B8"/>
    <w:rsid w:val="00FB65B6"/>
    <w:rsid w:val="00FB6806"/>
    <w:rsid w:val="00FB6AA1"/>
    <w:rsid w:val="00FB6AA4"/>
    <w:rsid w:val="00FB6C23"/>
    <w:rsid w:val="00FB6E8E"/>
    <w:rsid w:val="00FB6F50"/>
    <w:rsid w:val="00FB7398"/>
    <w:rsid w:val="00FB76B6"/>
    <w:rsid w:val="00FB770F"/>
    <w:rsid w:val="00FB77BA"/>
    <w:rsid w:val="00FB7848"/>
    <w:rsid w:val="00FB7BF2"/>
    <w:rsid w:val="00FB7CB5"/>
    <w:rsid w:val="00FB7DAD"/>
    <w:rsid w:val="00FB7E6C"/>
    <w:rsid w:val="00FC01C3"/>
    <w:rsid w:val="00FC01EB"/>
    <w:rsid w:val="00FC0223"/>
    <w:rsid w:val="00FC034F"/>
    <w:rsid w:val="00FC040E"/>
    <w:rsid w:val="00FC0625"/>
    <w:rsid w:val="00FC0C66"/>
    <w:rsid w:val="00FC0CEC"/>
    <w:rsid w:val="00FC0FE4"/>
    <w:rsid w:val="00FC1338"/>
    <w:rsid w:val="00FC145A"/>
    <w:rsid w:val="00FC1776"/>
    <w:rsid w:val="00FC1855"/>
    <w:rsid w:val="00FC1898"/>
    <w:rsid w:val="00FC1963"/>
    <w:rsid w:val="00FC19A0"/>
    <w:rsid w:val="00FC1B06"/>
    <w:rsid w:val="00FC1D50"/>
    <w:rsid w:val="00FC1D91"/>
    <w:rsid w:val="00FC1E2C"/>
    <w:rsid w:val="00FC1EE8"/>
    <w:rsid w:val="00FC204D"/>
    <w:rsid w:val="00FC2542"/>
    <w:rsid w:val="00FC25E8"/>
    <w:rsid w:val="00FC2682"/>
    <w:rsid w:val="00FC2725"/>
    <w:rsid w:val="00FC2795"/>
    <w:rsid w:val="00FC2C43"/>
    <w:rsid w:val="00FC2C87"/>
    <w:rsid w:val="00FC2F22"/>
    <w:rsid w:val="00FC3309"/>
    <w:rsid w:val="00FC36B7"/>
    <w:rsid w:val="00FC43C2"/>
    <w:rsid w:val="00FC45EF"/>
    <w:rsid w:val="00FC4858"/>
    <w:rsid w:val="00FC4906"/>
    <w:rsid w:val="00FC4D7A"/>
    <w:rsid w:val="00FC4E87"/>
    <w:rsid w:val="00FC4FA1"/>
    <w:rsid w:val="00FC4FDF"/>
    <w:rsid w:val="00FC5121"/>
    <w:rsid w:val="00FC51F1"/>
    <w:rsid w:val="00FC5255"/>
    <w:rsid w:val="00FC525E"/>
    <w:rsid w:val="00FC53E8"/>
    <w:rsid w:val="00FC547D"/>
    <w:rsid w:val="00FC54C5"/>
    <w:rsid w:val="00FC5B00"/>
    <w:rsid w:val="00FC5FC0"/>
    <w:rsid w:val="00FC6073"/>
    <w:rsid w:val="00FC609C"/>
    <w:rsid w:val="00FC6358"/>
    <w:rsid w:val="00FC6453"/>
    <w:rsid w:val="00FC65BA"/>
    <w:rsid w:val="00FC65CD"/>
    <w:rsid w:val="00FC6748"/>
    <w:rsid w:val="00FC6ABC"/>
    <w:rsid w:val="00FC6C51"/>
    <w:rsid w:val="00FC6CC1"/>
    <w:rsid w:val="00FC6EB1"/>
    <w:rsid w:val="00FC6F5C"/>
    <w:rsid w:val="00FC737E"/>
    <w:rsid w:val="00FC7662"/>
    <w:rsid w:val="00FC77B9"/>
    <w:rsid w:val="00FC7817"/>
    <w:rsid w:val="00FC790C"/>
    <w:rsid w:val="00FC7A83"/>
    <w:rsid w:val="00FC7AAA"/>
    <w:rsid w:val="00FC7BF3"/>
    <w:rsid w:val="00FC7CCE"/>
    <w:rsid w:val="00FC7D24"/>
    <w:rsid w:val="00FD0176"/>
    <w:rsid w:val="00FD03DE"/>
    <w:rsid w:val="00FD0632"/>
    <w:rsid w:val="00FD08A1"/>
    <w:rsid w:val="00FD0C7B"/>
    <w:rsid w:val="00FD1290"/>
    <w:rsid w:val="00FD12A0"/>
    <w:rsid w:val="00FD143F"/>
    <w:rsid w:val="00FD1976"/>
    <w:rsid w:val="00FD1A8F"/>
    <w:rsid w:val="00FD1B75"/>
    <w:rsid w:val="00FD1BED"/>
    <w:rsid w:val="00FD1E2E"/>
    <w:rsid w:val="00FD1E50"/>
    <w:rsid w:val="00FD1F97"/>
    <w:rsid w:val="00FD2076"/>
    <w:rsid w:val="00FD24D0"/>
    <w:rsid w:val="00FD275C"/>
    <w:rsid w:val="00FD279E"/>
    <w:rsid w:val="00FD27AE"/>
    <w:rsid w:val="00FD2944"/>
    <w:rsid w:val="00FD33F1"/>
    <w:rsid w:val="00FD3559"/>
    <w:rsid w:val="00FD35AB"/>
    <w:rsid w:val="00FD38C9"/>
    <w:rsid w:val="00FD3913"/>
    <w:rsid w:val="00FD39B5"/>
    <w:rsid w:val="00FD3CA4"/>
    <w:rsid w:val="00FD3E78"/>
    <w:rsid w:val="00FD3F01"/>
    <w:rsid w:val="00FD43AA"/>
    <w:rsid w:val="00FD4906"/>
    <w:rsid w:val="00FD4A87"/>
    <w:rsid w:val="00FD4FA2"/>
    <w:rsid w:val="00FD50D7"/>
    <w:rsid w:val="00FD5285"/>
    <w:rsid w:val="00FD5300"/>
    <w:rsid w:val="00FD530F"/>
    <w:rsid w:val="00FD5414"/>
    <w:rsid w:val="00FD559A"/>
    <w:rsid w:val="00FD56DD"/>
    <w:rsid w:val="00FD5896"/>
    <w:rsid w:val="00FD58FE"/>
    <w:rsid w:val="00FD590D"/>
    <w:rsid w:val="00FD5AE0"/>
    <w:rsid w:val="00FD5B8F"/>
    <w:rsid w:val="00FD5D0F"/>
    <w:rsid w:val="00FD5D68"/>
    <w:rsid w:val="00FD5DF9"/>
    <w:rsid w:val="00FD5EDA"/>
    <w:rsid w:val="00FD6344"/>
    <w:rsid w:val="00FD6351"/>
    <w:rsid w:val="00FD639C"/>
    <w:rsid w:val="00FD651E"/>
    <w:rsid w:val="00FD668C"/>
    <w:rsid w:val="00FD66E3"/>
    <w:rsid w:val="00FD6848"/>
    <w:rsid w:val="00FD68A5"/>
    <w:rsid w:val="00FD68CB"/>
    <w:rsid w:val="00FD6AFA"/>
    <w:rsid w:val="00FD736F"/>
    <w:rsid w:val="00FD7382"/>
    <w:rsid w:val="00FD761C"/>
    <w:rsid w:val="00FD7885"/>
    <w:rsid w:val="00FD7962"/>
    <w:rsid w:val="00FD7BF7"/>
    <w:rsid w:val="00FD7E3F"/>
    <w:rsid w:val="00FE01B6"/>
    <w:rsid w:val="00FE0530"/>
    <w:rsid w:val="00FE05BF"/>
    <w:rsid w:val="00FE06EE"/>
    <w:rsid w:val="00FE07DB"/>
    <w:rsid w:val="00FE0812"/>
    <w:rsid w:val="00FE091F"/>
    <w:rsid w:val="00FE096C"/>
    <w:rsid w:val="00FE09CB"/>
    <w:rsid w:val="00FE09EC"/>
    <w:rsid w:val="00FE0A4E"/>
    <w:rsid w:val="00FE0ABF"/>
    <w:rsid w:val="00FE0F8B"/>
    <w:rsid w:val="00FE1168"/>
    <w:rsid w:val="00FE1321"/>
    <w:rsid w:val="00FE13BB"/>
    <w:rsid w:val="00FE151C"/>
    <w:rsid w:val="00FE1B5A"/>
    <w:rsid w:val="00FE1B78"/>
    <w:rsid w:val="00FE1EA7"/>
    <w:rsid w:val="00FE21B2"/>
    <w:rsid w:val="00FE21DD"/>
    <w:rsid w:val="00FE22DA"/>
    <w:rsid w:val="00FE23B7"/>
    <w:rsid w:val="00FE23CF"/>
    <w:rsid w:val="00FE23F7"/>
    <w:rsid w:val="00FE27FE"/>
    <w:rsid w:val="00FE2AAD"/>
    <w:rsid w:val="00FE2DD7"/>
    <w:rsid w:val="00FE3100"/>
    <w:rsid w:val="00FE3151"/>
    <w:rsid w:val="00FE31BF"/>
    <w:rsid w:val="00FE328D"/>
    <w:rsid w:val="00FE35CB"/>
    <w:rsid w:val="00FE3A44"/>
    <w:rsid w:val="00FE3A5B"/>
    <w:rsid w:val="00FE3BB5"/>
    <w:rsid w:val="00FE3CAD"/>
    <w:rsid w:val="00FE3EC8"/>
    <w:rsid w:val="00FE3ED6"/>
    <w:rsid w:val="00FE4059"/>
    <w:rsid w:val="00FE42F9"/>
    <w:rsid w:val="00FE43A8"/>
    <w:rsid w:val="00FE4404"/>
    <w:rsid w:val="00FE4A47"/>
    <w:rsid w:val="00FE4C61"/>
    <w:rsid w:val="00FE4CD6"/>
    <w:rsid w:val="00FE4E99"/>
    <w:rsid w:val="00FE5449"/>
    <w:rsid w:val="00FE55A8"/>
    <w:rsid w:val="00FE5AAE"/>
    <w:rsid w:val="00FE5C25"/>
    <w:rsid w:val="00FE5C62"/>
    <w:rsid w:val="00FE5E2C"/>
    <w:rsid w:val="00FE5EB8"/>
    <w:rsid w:val="00FE61DA"/>
    <w:rsid w:val="00FE6241"/>
    <w:rsid w:val="00FE630C"/>
    <w:rsid w:val="00FE64F3"/>
    <w:rsid w:val="00FE6621"/>
    <w:rsid w:val="00FE6644"/>
    <w:rsid w:val="00FE6700"/>
    <w:rsid w:val="00FE6794"/>
    <w:rsid w:val="00FE690B"/>
    <w:rsid w:val="00FE691E"/>
    <w:rsid w:val="00FE6A8F"/>
    <w:rsid w:val="00FE6AB8"/>
    <w:rsid w:val="00FE6C56"/>
    <w:rsid w:val="00FE6C9D"/>
    <w:rsid w:val="00FE6CE7"/>
    <w:rsid w:val="00FE6E74"/>
    <w:rsid w:val="00FE7204"/>
    <w:rsid w:val="00FE74CC"/>
    <w:rsid w:val="00FE765C"/>
    <w:rsid w:val="00FE7A43"/>
    <w:rsid w:val="00FE7BBF"/>
    <w:rsid w:val="00FF0103"/>
    <w:rsid w:val="00FF02C6"/>
    <w:rsid w:val="00FF03A2"/>
    <w:rsid w:val="00FF0440"/>
    <w:rsid w:val="00FF05A4"/>
    <w:rsid w:val="00FF0626"/>
    <w:rsid w:val="00FF0830"/>
    <w:rsid w:val="00FF0996"/>
    <w:rsid w:val="00FF0B3D"/>
    <w:rsid w:val="00FF0D4D"/>
    <w:rsid w:val="00FF1060"/>
    <w:rsid w:val="00FF11F3"/>
    <w:rsid w:val="00FF1375"/>
    <w:rsid w:val="00FF153F"/>
    <w:rsid w:val="00FF19DC"/>
    <w:rsid w:val="00FF1A52"/>
    <w:rsid w:val="00FF1BC7"/>
    <w:rsid w:val="00FF1CCE"/>
    <w:rsid w:val="00FF1F8B"/>
    <w:rsid w:val="00FF2038"/>
    <w:rsid w:val="00FF209D"/>
    <w:rsid w:val="00FF2600"/>
    <w:rsid w:val="00FF26E4"/>
    <w:rsid w:val="00FF27C5"/>
    <w:rsid w:val="00FF282F"/>
    <w:rsid w:val="00FF299A"/>
    <w:rsid w:val="00FF2A5B"/>
    <w:rsid w:val="00FF2B95"/>
    <w:rsid w:val="00FF2DFA"/>
    <w:rsid w:val="00FF2EBF"/>
    <w:rsid w:val="00FF2F66"/>
    <w:rsid w:val="00FF2F8F"/>
    <w:rsid w:val="00FF2FA1"/>
    <w:rsid w:val="00FF3021"/>
    <w:rsid w:val="00FF32B7"/>
    <w:rsid w:val="00FF33D3"/>
    <w:rsid w:val="00FF34F5"/>
    <w:rsid w:val="00FF355A"/>
    <w:rsid w:val="00FF363C"/>
    <w:rsid w:val="00FF3694"/>
    <w:rsid w:val="00FF38A4"/>
    <w:rsid w:val="00FF396E"/>
    <w:rsid w:val="00FF396F"/>
    <w:rsid w:val="00FF3A8B"/>
    <w:rsid w:val="00FF3EB1"/>
    <w:rsid w:val="00FF41F3"/>
    <w:rsid w:val="00FF4399"/>
    <w:rsid w:val="00FF45FB"/>
    <w:rsid w:val="00FF4A08"/>
    <w:rsid w:val="00FF4E46"/>
    <w:rsid w:val="00FF4F67"/>
    <w:rsid w:val="00FF51DA"/>
    <w:rsid w:val="00FF53DB"/>
    <w:rsid w:val="00FF58FD"/>
    <w:rsid w:val="00FF5CD2"/>
    <w:rsid w:val="00FF63BA"/>
    <w:rsid w:val="00FF67A7"/>
    <w:rsid w:val="00FF689C"/>
    <w:rsid w:val="00FF68BC"/>
    <w:rsid w:val="00FF693C"/>
    <w:rsid w:val="00FF6A55"/>
    <w:rsid w:val="00FF6DCA"/>
    <w:rsid w:val="00FF7121"/>
    <w:rsid w:val="00FF7486"/>
    <w:rsid w:val="00FF7579"/>
    <w:rsid w:val="00FF7795"/>
    <w:rsid w:val="00FF782C"/>
    <w:rsid w:val="00FF79A5"/>
    <w:rsid w:val="00FF79EC"/>
    <w:rsid w:val="00FF7CF6"/>
    <w:rsid w:val="00FF7DC4"/>
    <w:rsid w:val="00FF7FF6"/>
    <w:rsid w:val="0140730A"/>
    <w:rsid w:val="01532CC7"/>
    <w:rsid w:val="019A542C"/>
    <w:rsid w:val="019B0DD2"/>
    <w:rsid w:val="01CC7EF2"/>
    <w:rsid w:val="01E2D3CA"/>
    <w:rsid w:val="020F03C1"/>
    <w:rsid w:val="0274271C"/>
    <w:rsid w:val="0289B3C7"/>
    <w:rsid w:val="028E5EB5"/>
    <w:rsid w:val="02962D1D"/>
    <w:rsid w:val="029A0217"/>
    <w:rsid w:val="02E44B91"/>
    <w:rsid w:val="03067EF6"/>
    <w:rsid w:val="030F7FFF"/>
    <w:rsid w:val="03165F3F"/>
    <w:rsid w:val="031A09A6"/>
    <w:rsid w:val="0365B836"/>
    <w:rsid w:val="037DE624"/>
    <w:rsid w:val="038ACF99"/>
    <w:rsid w:val="0435F50D"/>
    <w:rsid w:val="043818B3"/>
    <w:rsid w:val="0467C8F1"/>
    <w:rsid w:val="047B695F"/>
    <w:rsid w:val="047CCD06"/>
    <w:rsid w:val="04C873D1"/>
    <w:rsid w:val="052DE830"/>
    <w:rsid w:val="052E2DA3"/>
    <w:rsid w:val="05537C0E"/>
    <w:rsid w:val="056B8A0C"/>
    <w:rsid w:val="05BA01FB"/>
    <w:rsid w:val="05C862B7"/>
    <w:rsid w:val="05D3ABF1"/>
    <w:rsid w:val="05F51F18"/>
    <w:rsid w:val="063AC873"/>
    <w:rsid w:val="065AE13C"/>
    <w:rsid w:val="066EB046"/>
    <w:rsid w:val="06800A1D"/>
    <w:rsid w:val="0687C6C1"/>
    <w:rsid w:val="06E73E68"/>
    <w:rsid w:val="074E5BE4"/>
    <w:rsid w:val="0822D99D"/>
    <w:rsid w:val="087443ED"/>
    <w:rsid w:val="0893B3E8"/>
    <w:rsid w:val="0896B85B"/>
    <w:rsid w:val="08AF85CE"/>
    <w:rsid w:val="08FFCA07"/>
    <w:rsid w:val="090E9169"/>
    <w:rsid w:val="09701B66"/>
    <w:rsid w:val="099281FE"/>
    <w:rsid w:val="099C8257"/>
    <w:rsid w:val="09D5888B"/>
    <w:rsid w:val="0A16F4E0"/>
    <w:rsid w:val="0A40E23B"/>
    <w:rsid w:val="0AA4AF3C"/>
    <w:rsid w:val="0ACEEB19"/>
    <w:rsid w:val="0AD4585D"/>
    <w:rsid w:val="0AD4B547"/>
    <w:rsid w:val="0AD66B67"/>
    <w:rsid w:val="0AF1D478"/>
    <w:rsid w:val="0B1F2CE5"/>
    <w:rsid w:val="0B2E525F"/>
    <w:rsid w:val="0B448178"/>
    <w:rsid w:val="0B7BFF98"/>
    <w:rsid w:val="0B83928F"/>
    <w:rsid w:val="0BB9BC33"/>
    <w:rsid w:val="0BBDA94A"/>
    <w:rsid w:val="0BC70A5E"/>
    <w:rsid w:val="0C7222D7"/>
    <w:rsid w:val="0CA98BB3"/>
    <w:rsid w:val="0CC8FC27"/>
    <w:rsid w:val="0D2F74AB"/>
    <w:rsid w:val="0D320298"/>
    <w:rsid w:val="0D6F904F"/>
    <w:rsid w:val="0DA13B93"/>
    <w:rsid w:val="0DCB9EB0"/>
    <w:rsid w:val="0E4B5B8A"/>
    <w:rsid w:val="0EE576F1"/>
    <w:rsid w:val="0F13DEE7"/>
    <w:rsid w:val="0F9B4287"/>
    <w:rsid w:val="0FC15E20"/>
    <w:rsid w:val="1011EB5F"/>
    <w:rsid w:val="10299419"/>
    <w:rsid w:val="1045955C"/>
    <w:rsid w:val="10ABDED3"/>
    <w:rsid w:val="10D028C1"/>
    <w:rsid w:val="10D73168"/>
    <w:rsid w:val="10E78AB6"/>
    <w:rsid w:val="11369E42"/>
    <w:rsid w:val="114897D8"/>
    <w:rsid w:val="11753D16"/>
    <w:rsid w:val="11B3DED2"/>
    <w:rsid w:val="12201C46"/>
    <w:rsid w:val="12214933"/>
    <w:rsid w:val="12FE7446"/>
    <w:rsid w:val="13564DE9"/>
    <w:rsid w:val="13594755"/>
    <w:rsid w:val="13A5B746"/>
    <w:rsid w:val="13EE59D4"/>
    <w:rsid w:val="13F8652C"/>
    <w:rsid w:val="140204C7"/>
    <w:rsid w:val="14AD7550"/>
    <w:rsid w:val="14B34C71"/>
    <w:rsid w:val="14C48E8C"/>
    <w:rsid w:val="14F90512"/>
    <w:rsid w:val="1515839C"/>
    <w:rsid w:val="154C1460"/>
    <w:rsid w:val="159CE6A6"/>
    <w:rsid w:val="15BA0E31"/>
    <w:rsid w:val="15D0FD8E"/>
    <w:rsid w:val="15E65B45"/>
    <w:rsid w:val="1639AFC7"/>
    <w:rsid w:val="1640DED3"/>
    <w:rsid w:val="166C37AF"/>
    <w:rsid w:val="171E9B9F"/>
    <w:rsid w:val="179D34A6"/>
    <w:rsid w:val="17EF3F02"/>
    <w:rsid w:val="18089B30"/>
    <w:rsid w:val="18BD4E81"/>
    <w:rsid w:val="18EE98F7"/>
    <w:rsid w:val="18FAB7FF"/>
    <w:rsid w:val="19119EAE"/>
    <w:rsid w:val="19B74E02"/>
    <w:rsid w:val="19C9469C"/>
    <w:rsid w:val="1A11A7EF"/>
    <w:rsid w:val="1A402126"/>
    <w:rsid w:val="1A496FB9"/>
    <w:rsid w:val="1A569AD0"/>
    <w:rsid w:val="1A7C6C26"/>
    <w:rsid w:val="1AED9F99"/>
    <w:rsid w:val="1AFA9CB1"/>
    <w:rsid w:val="1B0B4612"/>
    <w:rsid w:val="1B43E3EE"/>
    <w:rsid w:val="1B5DCCBD"/>
    <w:rsid w:val="1BFB5990"/>
    <w:rsid w:val="1C1EBEBE"/>
    <w:rsid w:val="1C430C25"/>
    <w:rsid w:val="1C739165"/>
    <w:rsid w:val="1C9A34D4"/>
    <w:rsid w:val="1CC229DB"/>
    <w:rsid w:val="1D0D9AC6"/>
    <w:rsid w:val="1D316C12"/>
    <w:rsid w:val="1D50B062"/>
    <w:rsid w:val="1D6169D8"/>
    <w:rsid w:val="1D90FA00"/>
    <w:rsid w:val="1DB514ED"/>
    <w:rsid w:val="1DBAE120"/>
    <w:rsid w:val="1DC20A3D"/>
    <w:rsid w:val="1DF255A5"/>
    <w:rsid w:val="1DF8876A"/>
    <w:rsid w:val="1E0AB70B"/>
    <w:rsid w:val="1E2CBBD8"/>
    <w:rsid w:val="1E423637"/>
    <w:rsid w:val="1E4914CD"/>
    <w:rsid w:val="1E89465F"/>
    <w:rsid w:val="1E9CA705"/>
    <w:rsid w:val="1F59240B"/>
    <w:rsid w:val="1FC630DB"/>
    <w:rsid w:val="1FF9B8AE"/>
    <w:rsid w:val="202A7692"/>
    <w:rsid w:val="202BC599"/>
    <w:rsid w:val="20553363"/>
    <w:rsid w:val="205E4FF1"/>
    <w:rsid w:val="20AD3FDC"/>
    <w:rsid w:val="20B9F1C0"/>
    <w:rsid w:val="20C6BADE"/>
    <w:rsid w:val="20F33ED9"/>
    <w:rsid w:val="210FC4DF"/>
    <w:rsid w:val="211C1F46"/>
    <w:rsid w:val="21500CA9"/>
    <w:rsid w:val="219A8447"/>
    <w:rsid w:val="219B7868"/>
    <w:rsid w:val="21C2AA49"/>
    <w:rsid w:val="220F8AD4"/>
    <w:rsid w:val="22286EE1"/>
    <w:rsid w:val="22605581"/>
    <w:rsid w:val="226FC01B"/>
    <w:rsid w:val="22A5B9F9"/>
    <w:rsid w:val="22B42778"/>
    <w:rsid w:val="22EDA0ED"/>
    <w:rsid w:val="231E346E"/>
    <w:rsid w:val="2344176E"/>
    <w:rsid w:val="234D8FA0"/>
    <w:rsid w:val="23C577B5"/>
    <w:rsid w:val="23DCEE4F"/>
    <w:rsid w:val="24A34524"/>
    <w:rsid w:val="24AC213D"/>
    <w:rsid w:val="25626957"/>
    <w:rsid w:val="2563387C"/>
    <w:rsid w:val="25C5F305"/>
    <w:rsid w:val="267602D2"/>
    <w:rsid w:val="2684BF57"/>
    <w:rsid w:val="26BF8281"/>
    <w:rsid w:val="276C1F7E"/>
    <w:rsid w:val="278D4F16"/>
    <w:rsid w:val="27B1AF66"/>
    <w:rsid w:val="27DF2259"/>
    <w:rsid w:val="280D199F"/>
    <w:rsid w:val="2815ED69"/>
    <w:rsid w:val="28398B2B"/>
    <w:rsid w:val="284B0263"/>
    <w:rsid w:val="285EEC8F"/>
    <w:rsid w:val="28A2CCBB"/>
    <w:rsid w:val="28CBD7C9"/>
    <w:rsid w:val="29107A83"/>
    <w:rsid w:val="292B8EF9"/>
    <w:rsid w:val="2976D137"/>
    <w:rsid w:val="29928CB1"/>
    <w:rsid w:val="2A2E269E"/>
    <w:rsid w:val="2A53B340"/>
    <w:rsid w:val="2A6CC48C"/>
    <w:rsid w:val="2A887E61"/>
    <w:rsid w:val="2AA003F1"/>
    <w:rsid w:val="2AC5AB8A"/>
    <w:rsid w:val="2AE23F3C"/>
    <w:rsid w:val="2AE79DFC"/>
    <w:rsid w:val="2B3F3D03"/>
    <w:rsid w:val="2C404369"/>
    <w:rsid w:val="2C6B30D3"/>
    <w:rsid w:val="2C775BE2"/>
    <w:rsid w:val="2C80B529"/>
    <w:rsid w:val="2C862EF9"/>
    <w:rsid w:val="2CBC345E"/>
    <w:rsid w:val="2D0E639F"/>
    <w:rsid w:val="2D13F435"/>
    <w:rsid w:val="2D3E7461"/>
    <w:rsid w:val="2D4A42B3"/>
    <w:rsid w:val="2DCD5151"/>
    <w:rsid w:val="2E470B51"/>
    <w:rsid w:val="2E9C67F4"/>
    <w:rsid w:val="2ECE7BA7"/>
    <w:rsid w:val="2F4EE5D2"/>
    <w:rsid w:val="2F7841F1"/>
    <w:rsid w:val="2F7D4958"/>
    <w:rsid w:val="2F9A6C03"/>
    <w:rsid w:val="2FC44BA6"/>
    <w:rsid w:val="2FDD22E0"/>
    <w:rsid w:val="302E1E44"/>
    <w:rsid w:val="307941E1"/>
    <w:rsid w:val="309FC7D5"/>
    <w:rsid w:val="314BA83D"/>
    <w:rsid w:val="31635DAB"/>
    <w:rsid w:val="31710A8E"/>
    <w:rsid w:val="31CB80D8"/>
    <w:rsid w:val="31E2F385"/>
    <w:rsid w:val="32063FE5"/>
    <w:rsid w:val="3216E960"/>
    <w:rsid w:val="325BB346"/>
    <w:rsid w:val="3269DCED"/>
    <w:rsid w:val="32760A73"/>
    <w:rsid w:val="32CEB6F4"/>
    <w:rsid w:val="32E3F5A4"/>
    <w:rsid w:val="32EFB2D4"/>
    <w:rsid w:val="33526837"/>
    <w:rsid w:val="335F0B4E"/>
    <w:rsid w:val="33694D9D"/>
    <w:rsid w:val="33B57BFD"/>
    <w:rsid w:val="3417BCD0"/>
    <w:rsid w:val="34E01F65"/>
    <w:rsid w:val="35478436"/>
    <w:rsid w:val="359A3542"/>
    <w:rsid w:val="35B50D28"/>
    <w:rsid w:val="35BCE039"/>
    <w:rsid w:val="35D76951"/>
    <w:rsid w:val="365AE1CA"/>
    <w:rsid w:val="36925614"/>
    <w:rsid w:val="369B01D0"/>
    <w:rsid w:val="36A60E06"/>
    <w:rsid w:val="36B05068"/>
    <w:rsid w:val="36C1AFA7"/>
    <w:rsid w:val="3714810C"/>
    <w:rsid w:val="374AE18E"/>
    <w:rsid w:val="376A6E0E"/>
    <w:rsid w:val="377C347F"/>
    <w:rsid w:val="37BF666C"/>
    <w:rsid w:val="37C93801"/>
    <w:rsid w:val="380A234F"/>
    <w:rsid w:val="382474E4"/>
    <w:rsid w:val="382C1B16"/>
    <w:rsid w:val="38427B0B"/>
    <w:rsid w:val="38580B4D"/>
    <w:rsid w:val="386E9F8A"/>
    <w:rsid w:val="38E334DB"/>
    <w:rsid w:val="38FC8C67"/>
    <w:rsid w:val="39202A51"/>
    <w:rsid w:val="3930299E"/>
    <w:rsid w:val="395DB23B"/>
    <w:rsid w:val="39A6FFCD"/>
    <w:rsid w:val="3A533F23"/>
    <w:rsid w:val="3A7E3452"/>
    <w:rsid w:val="3AA02E6B"/>
    <w:rsid w:val="3AA581FB"/>
    <w:rsid w:val="3AB2FFB7"/>
    <w:rsid w:val="3ABC5CB0"/>
    <w:rsid w:val="3AD338EF"/>
    <w:rsid w:val="3AF3F03B"/>
    <w:rsid w:val="3B4279E7"/>
    <w:rsid w:val="3B73A2C6"/>
    <w:rsid w:val="3B797F29"/>
    <w:rsid w:val="3BF49A22"/>
    <w:rsid w:val="3C60F1FF"/>
    <w:rsid w:val="3C767C46"/>
    <w:rsid w:val="3CA0AB4C"/>
    <w:rsid w:val="3CE911B6"/>
    <w:rsid w:val="3D06DB5C"/>
    <w:rsid w:val="3D19963B"/>
    <w:rsid w:val="3D9C3BFA"/>
    <w:rsid w:val="3DA6DD36"/>
    <w:rsid w:val="3DB1CE09"/>
    <w:rsid w:val="3DCC74C0"/>
    <w:rsid w:val="3E34EF5C"/>
    <w:rsid w:val="3E5F3CE6"/>
    <w:rsid w:val="3EB6A6A5"/>
    <w:rsid w:val="3EDEA165"/>
    <w:rsid w:val="3EF68F33"/>
    <w:rsid w:val="3EF8827A"/>
    <w:rsid w:val="3F08C6A0"/>
    <w:rsid w:val="3F3AB633"/>
    <w:rsid w:val="3F5AAEA4"/>
    <w:rsid w:val="3F6FA65D"/>
    <w:rsid w:val="3F8447D4"/>
    <w:rsid w:val="3F9D44A2"/>
    <w:rsid w:val="3FC5D808"/>
    <w:rsid w:val="3FEC5CF1"/>
    <w:rsid w:val="3FED07B7"/>
    <w:rsid w:val="3FFBF21B"/>
    <w:rsid w:val="403EDE90"/>
    <w:rsid w:val="406098DB"/>
    <w:rsid w:val="410DA1CD"/>
    <w:rsid w:val="4126AE39"/>
    <w:rsid w:val="418CCA3C"/>
    <w:rsid w:val="41A74C0B"/>
    <w:rsid w:val="4214BACC"/>
    <w:rsid w:val="42D02BF3"/>
    <w:rsid w:val="433D3620"/>
    <w:rsid w:val="43A1D8BC"/>
    <w:rsid w:val="43CF8968"/>
    <w:rsid w:val="43DCC635"/>
    <w:rsid w:val="43EE0D4E"/>
    <w:rsid w:val="440A29F1"/>
    <w:rsid w:val="440F8A91"/>
    <w:rsid w:val="4459C12F"/>
    <w:rsid w:val="44E6B7C4"/>
    <w:rsid w:val="4528AE9D"/>
    <w:rsid w:val="454E47CB"/>
    <w:rsid w:val="45ADBCEE"/>
    <w:rsid w:val="46142462"/>
    <w:rsid w:val="462C7524"/>
    <w:rsid w:val="467AE4F3"/>
    <w:rsid w:val="469BDF27"/>
    <w:rsid w:val="46B4A9EC"/>
    <w:rsid w:val="46C446A2"/>
    <w:rsid w:val="472B0363"/>
    <w:rsid w:val="4746E647"/>
    <w:rsid w:val="4748F033"/>
    <w:rsid w:val="47B40FED"/>
    <w:rsid w:val="485E22D6"/>
    <w:rsid w:val="486AE4C8"/>
    <w:rsid w:val="4885E88D"/>
    <w:rsid w:val="48B8A1C6"/>
    <w:rsid w:val="492BA95B"/>
    <w:rsid w:val="4999B92A"/>
    <w:rsid w:val="49A1D5C4"/>
    <w:rsid w:val="49EC79AD"/>
    <w:rsid w:val="4A28FF3E"/>
    <w:rsid w:val="4A2FBFE8"/>
    <w:rsid w:val="4A6115FC"/>
    <w:rsid w:val="4A78DFC6"/>
    <w:rsid w:val="4AB63FD9"/>
    <w:rsid w:val="4ACF6146"/>
    <w:rsid w:val="4AFDEABE"/>
    <w:rsid w:val="4B168795"/>
    <w:rsid w:val="4B18D87E"/>
    <w:rsid w:val="4B21BAD7"/>
    <w:rsid w:val="4B42D2A7"/>
    <w:rsid w:val="4B881B0F"/>
    <w:rsid w:val="4B9F8C53"/>
    <w:rsid w:val="4BAAF916"/>
    <w:rsid w:val="4BD06F7B"/>
    <w:rsid w:val="4BE0E104"/>
    <w:rsid w:val="4C0E20A2"/>
    <w:rsid w:val="4C49EBD0"/>
    <w:rsid w:val="4C64E24C"/>
    <w:rsid w:val="4C88E14C"/>
    <w:rsid w:val="4CB530E6"/>
    <w:rsid w:val="4CC9C9AB"/>
    <w:rsid w:val="4D24035A"/>
    <w:rsid w:val="4D7DCE24"/>
    <w:rsid w:val="4DA326B0"/>
    <w:rsid w:val="4DB7FD0D"/>
    <w:rsid w:val="4E01D28D"/>
    <w:rsid w:val="4E481A8E"/>
    <w:rsid w:val="4E4D1CA3"/>
    <w:rsid w:val="4E7AD810"/>
    <w:rsid w:val="4E8B055F"/>
    <w:rsid w:val="4E969023"/>
    <w:rsid w:val="4EC208F0"/>
    <w:rsid w:val="4EC52895"/>
    <w:rsid w:val="4F0E642F"/>
    <w:rsid w:val="4F297868"/>
    <w:rsid w:val="4F6F1410"/>
    <w:rsid w:val="4F868AD0"/>
    <w:rsid w:val="4FBAAB0D"/>
    <w:rsid w:val="4FBBFDD2"/>
    <w:rsid w:val="4FCBDDA4"/>
    <w:rsid w:val="4FD881E2"/>
    <w:rsid w:val="500DD160"/>
    <w:rsid w:val="5019ECE4"/>
    <w:rsid w:val="50214192"/>
    <w:rsid w:val="50336BF7"/>
    <w:rsid w:val="5080323D"/>
    <w:rsid w:val="50AA424A"/>
    <w:rsid w:val="50CE0AC9"/>
    <w:rsid w:val="50FD668F"/>
    <w:rsid w:val="51D1753F"/>
    <w:rsid w:val="51FE4CFF"/>
    <w:rsid w:val="52389EEE"/>
    <w:rsid w:val="5286ED63"/>
    <w:rsid w:val="5295ACEF"/>
    <w:rsid w:val="529ADC51"/>
    <w:rsid w:val="52AC92E4"/>
    <w:rsid w:val="52BD9C80"/>
    <w:rsid w:val="532AB26E"/>
    <w:rsid w:val="53433901"/>
    <w:rsid w:val="534E0F99"/>
    <w:rsid w:val="53D218E6"/>
    <w:rsid w:val="541EB390"/>
    <w:rsid w:val="543449F0"/>
    <w:rsid w:val="549945A9"/>
    <w:rsid w:val="54AF06B1"/>
    <w:rsid w:val="54C2F84A"/>
    <w:rsid w:val="550A76F6"/>
    <w:rsid w:val="5535EDC1"/>
    <w:rsid w:val="55361DD8"/>
    <w:rsid w:val="553CC830"/>
    <w:rsid w:val="5585C3AC"/>
    <w:rsid w:val="55E5F540"/>
    <w:rsid w:val="560B2177"/>
    <w:rsid w:val="56111FCF"/>
    <w:rsid w:val="561B504E"/>
    <w:rsid w:val="564219D7"/>
    <w:rsid w:val="56ADDA5C"/>
    <w:rsid w:val="5712B61B"/>
    <w:rsid w:val="57431AE1"/>
    <w:rsid w:val="57B4BB57"/>
    <w:rsid w:val="57EB0E9D"/>
    <w:rsid w:val="580676E0"/>
    <w:rsid w:val="58419CCB"/>
    <w:rsid w:val="5854E211"/>
    <w:rsid w:val="58704E23"/>
    <w:rsid w:val="58F4CA10"/>
    <w:rsid w:val="5909F1C0"/>
    <w:rsid w:val="5911EA9D"/>
    <w:rsid w:val="59253833"/>
    <w:rsid w:val="593AC730"/>
    <w:rsid w:val="5983A6BA"/>
    <w:rsid w:val="598613E7"/>
    <w:rsid w:val="59AF445B"/>
    <w:rsid w:val="59C31A58"/>
    <w:rsid w:val="59DDA41E"/>
    <w:rsid w:val="5A095EE4"/>
    <w:rsid w:val="5A126073"/>
    <w:rsid w:val="5A43B0D3"/>
    <w:rsid w:val="5A696EBA"/>
    <w:rsid w:val="5AA7E0B2"/>
    <w:rsid w:val="5AEC33BD"/>
    <w:rsid w:val="5BAA8A62"/>
    <w:rsid w:val="5BC258EB"/>
    <w:rsid w:val="5C327465"/>
    <w:rsid w:val="5CA14207"/>
    <w:rsid w:val="5D37BA54"/>
    <w:rsid w:val="5D37DFAA"/>
    <w:rsid w:val="5D83A246"/>
    <w:rsid w:val="5DEF414D"/>
    <w:rsid w:val="5DF8C4AB"/>
    <w:rsid w:val="5E557415"/>
    <w:rsid w:val="5E5EFBCC"/>
    <w:rsid w:val="5E8697C6"/>
    <w:rsid w:val="5ED17E1C"/>
    <w:rsid w:val="5FDE7EDF"/>
    <w:rsid w:val="5FE5E871"/>
    <w:rsid w:val="60799030"/>
    <w:rsid w:val="60F4F31D"/>
    <w:rsid w:val="610A550B"/>
    <w:rsid w:val="6114CF98"/>
    <w:rsid w:val="612C1820"/>
    <w:rsid w:val="6142F703"/>
    <w:rsid w:val="6154D37C"/>
    <w:rsid w:val="6173B1D2"/>
    <w:rsid w:val="61C1B462"/>
    <w:rsid w:val="623A910D"/>
    <w:rsid w:val="635E5982"/>
    <w:rsid w:val="63741C40"/>
    <w:rsid w:val="63D4D590"/>
    <w:rsid w:val="63D59CDC"/>
    <w:rsid w:val="63DD923C"/>
    <w:rsid w:val="646653FA"/>
    <w:rsid w:val="64A6C3BD"/>
    <w:rsid w:val="64B27CDA"/>
    <w:rsid w:val="64BAAFF2"/>
    <w:rsid w:val="64F6868F"/>
    <w:rsid w:val="64F734A6"/>
    <w:rsid w:val="65786B62"/>
    <w:rsid w:val="65F09D2D"/>
    <w:rsid w:val="660350A7"/>
    <w:rsid w:val="66A371E2"/>
    <w:rsid w:val="66A8D403"/>
    <w:rsid w:val="6710D998"/>
    <w:rsid w:val="67376ED4"/>
    <w:rsid w:val="673E8800"/>
    <w:rsid w:val="679878E6"/>
    <w:rsid w:val="67BA0218"/>
    <w:rsid w:val="67BB69E0"/>
    <w:rsid w:val="67BD28CD"/>
    <w:rsid w:val="67CB0180"/>
    <w:rsid w:val="67FBE535"/>
    <w:rsid w:val="68266625"/>
    <w:rsid w:val="68529A26"/>
    <w:rsid w:val="685ED268"/>
    <w:rsid w:val="688B84EC"/>
    <w:rsid w:val="688B9FD3"/>
    <w:rsid w:val="68EF401A"/>
    <w:rsid w:val="692ED877"/>
    <w:rsid w:val="693954D1"/>
    <w:rsid w:val="6987FD08"/>
    <w:rsid w:val="69919021"/>
    <w:rsid w:val="6A25C1B6"/>
    <w:rsid w:val="6A3E83C0"/>
    <w:rsid w:val="6AD029C4"/>
    <w:rsid w:val="6AE79885"/>
    <w:rsid w:val="6B255DC0"/>
    <w:rsid w:val="6B955BAC"/>
    <w:rsid w:val="6BADEAE1"/>
    <w:rsid w:val="6BAF9CD0"/>
    <w:rsid w:val="6BB0821A"/>
    <w:rsid w:val="6C346D9D"/>
    <w:rsid w:val="6C409560"/>
    <w:rsid w:val="6C46CA54"/>
    <w:rsid w:val="6C9E72A3"/>
    <w:rsid w:val="6C9FA0E1"/>
    <w:rsid w:val="6CA1A06E"/>
    <w:rsid w:val="6CB864D9"/>
    <w:rsid w:val="6CC5A9AA"/>
    <w:rsid w:val="6CC841DD"/>
    <w:rsid w:val="6D2D6F3B"/>
    <w:rsid w:val="6D4E5F8E"/>
    <w:rsid w:val="6DE07B72"/>
    <w:rsid w:val="6DFA8E21"/>
    <w:rsid w:val="6E43090D"/>
    <w:rsid w:val="6E7DD878"/>
    <w:rsid w:val="6F4C197F"/>
    <w:rsid w:val="6F5E757F"/>
    <w:rsid w:val="6F8E6401"/>
    <w:rsid w:val="6FBDF848"/>
    <w:rsid w:val="712E5D4D"/>
    <w:rsid w:val="719FCA22"/>
    <w:rsid w:val="7201B187"/>
    <w:rsid w:val="72674144"/>
    <w:rsid w:val="7306E6CB"/>
    <w:rsid w:val="73381CF8"/>
    <w:rsid w:val="738FFDAA"/>
    <w:rsid w:val="739C6B80"/>
    <w:rsid w:val="73BCCEB5"/>
    <w:rsid w:val="73E60B8F"/>
    <w:rsid w:val="741079D3"/>
    <w:rsid w:val="7462BC2B"/>
    <w:rsid w:val="74872C8A"/>
    <w:rsid w:val="7531F646"/>
    <w:rsid w:val="7573761C"/>
    <w:rsid w:val="75887E1E"/>
    <w:rsid w:val="75AA7018"/>
    <w:rsid w:val="768521E2"/>
    <w:rsid w:val="76981FA1"/>
    <w:rsid w:val="76A61AC2"/>
    <w:rsid w:val="76DC2F32"/>
    <w:rsid w:val="76EA59BF"/>
    <w:rsid w:val="76ECF05E"/>
    <w:rsid w:val="775EF416"/>
    <w:rsid w:val="77696154"/>
    <w:rsid w:val="77F6AF79"/>
    <w:rsid w:val="7808B85D"/>
    <w:rsid w:val="7853283D"/>
    <w:rsid w:val="78AEB9E0"/>
    <w:rsid w:val="78EE0032"/>
    <w:rsid w:val="790624BD"/>
    <w:rsid w:val="794ACE84"/>
    <w:rsid w:val="79DCC8DB"/>
    <w:rsid w:val="7A5DD14B"/>
    <w:rsid w:val="7A5FD439"/>
    <w:rsid w:val="7A60615D"/>
    <w:rsid w:val="7A9D9D3E"/>
    <w:rsid w:val="7ADD7F29"/>
    <w:rsid w:val="7BA6A4A8"/>
    <w:rsid w:val="7BEB5566"/>
    <w:rsid w:val="7BF360A2"/>
    <w:rsid w:val="7BF3E8AD"/>
    <w:rsid w:val="7C3C5C36"/>
    <w:rsid w:val="7CBE5E0A"/>
    <w:rsid w:val="7CD9A4C0"/>
    <w:rsid w:val="7CEB9C1C"/>
    <w:rsid w:val="7D402395"/>
    <w:rsid w:val="7D4D7C17"/>
    <w:rsid w:val="7D5202D9"/>
    <w:rsid w:val="7DA19582"/>
    <w:rsid w:val="7E082F9E"/>
    <w:rsid w:val="7E2B6C39"/>
    <w:rsid w:val="7E5E05AF"/>
    <w:rsid w:val="7E6A7BDD"/>
    <w:rsid w:val="7E8913FA"/>
    <w:rsid w:val="7E951FA3"/>
    <w:rsid w:val="7F4C2B46"/>
    <w:rsid w:val="7F4D36EF"/>
    <w:rsid w:val="7F877516"/>
    <w:rsid w:val="7F888CE9"/>
    <w:rsid w:val="7FFC38C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527A4BD"/>
  <w15:docId w15:val="{36F012FF-2DF1-4893-8331-D0E91390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B5CAE"/>
    <w:pPr>
      <w:spacing w:line="260" w:lineRule="exact"/>
    </w:pPr>
    <w:rPr>
      <w:rFonts w:ascii="Arial" w:hAnsi="Arial"/>
      <w:szCs w:val="24"/>
      <w:lang w:eastAsia="en-US"/>
    </w:rPr>
  </w:style>
  <w:style w:type="paragraph" w:styleId="Heading1">
    <w:name w:val="heading 1"/>
    <w:aliases w:val="NASLOV"/>
    <w:basedOn w:val="Normal"/>
    <w:next w:val="Normal"/>
    <w:link w:val="Heading1Char"/>
    <w:autoRedefine/>
    <w:qFormat/>
    <w:rsid w:val="00AA0FF3"/>
    <w:pPr>
      <w:framePr w:hSpace="141" w:wrap="around" w:vAnchor="text" w:hAnchor="text" w:y="1"/>
      <w:widowControl w:val="0"/>
      <w:tabs>
        <w:tab w:val="left" w:pos="2340"/>
      </w:tabs>
      <w:ind w:left="142" w:hanging="142"/>
      <w:suppressOverlap/>
      <w:jc w:val="center"/>
      <w:outlineLvl w:val="0"/>
    </w:pPr>
    <w:rPr>
      <w:b/>
      <w:kern w:val="32"/>
      <w:szCs w:val="20"/>
      <w:lang w:eastAsia="sl-SI"/>
    </w:rPr>
  </w:style>
  <w:style w:type="paragraph" w:styleId="Heading2">
    <w:name w:val="heading 2"/>
    <w:basedOn w:val="Normal"/>
    <w:next w:val="Normal"/>
    <w:link w:val="Heading2Char"/>
    <w:semiHidden/>
    <w:unhideWhenUsed/>
    <w:qFormat/>
    <w:rsid w:val="00313D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CD45F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2C2184"/>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ormal"/>
    <w:link w:val="rkovnatokazaodstavkomZnak"/>
    <w:qFormat/>
    <w:rsid w:val="000151E4"/>
    <w:pPr>
      <w:numPr>
        <w:numId w:val="7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
    <w:name w:val="Heading 1 Char"/>
    <w:aliases w:val="NASLOV Char"/>
    <w:link w:val="Heading1"/>
    <w:rsid w:val="00AA0FF3"/>
    <w:rPr>
      <w:rFonts w:ascii="Arial" w:hAnsi="Arial"/>
      <w:b/>
      <w:kern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cs="Tahoma"/>
      <w:sz w:val="16"/>
      <w:szCs w:val="16"/>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customStyle="1" w:styleId="tevilnatoka111">
    <w:name w:val="Številčna točka 1.1.1"/>
    <w:basedOn w:val="Normal"/>
    <w:qFormat/>
    <w:rsid w:val="00A7174F"/>
    <w:pPr>
      <w:widowControl w:val="0"/>
      <w:numPr>
        <w:ilvl w:val="2"/>
        <w:numId w:val="6"/>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A7174F"/>
    <w:pPr>
      <w:numPr>
        <w:numId w:val="6"/>
      </w:numPr>
      <w:spacing w:line="240" w:lineRule="auto"/>
      <w:jc w:val="both"/>
    </w:pPr>
    <w:rPr>
      <w:sz w:val="22"/>
      <w:szCs w:val="22"/>
    </w:rPr>
  </w:style>
  <w:style w:type="character" w:customStyle="1" w:styleId="tevilnatokaZnak">
    <w:name w:val="Številčna točka Znak"/>
    <w:basedOn w:val="DefaultParagraphFont"/>
    <w:link w:val="tevilnatoka"/>
    <w:rsid w:val="00A7174F"/>
    <w:rPr>
      <w:rFonts w:ascii="Arial" w:hAnsi="Arial"/>
      <w:sz w:val="22"/>
      <w:szCs w:val="22"/>
      <w:lang w:eastAsia="en-US"/>
    </w:rPr>
  </w:style>
  <w:style w:type="paragraph" w:customStyle="1" w:styleId="tevilnatoka11Nova">
    <w:name w:val="Številčna točka 1.1 Nova"/>
    <w:basedOn w:val="tevilnatoka"/>
    <w:qFormat/>
    <w:rsid w:val="00A7174F"/>
    <w:pPr>
      <w:numPr>
        <w:ilvl w:val="1"/>
      </w:numPr>
      <w:tabs>
        <w:tab w:val="num" w:pos="1440"/>
      </w:tabs>
    </w:pPr>
  </w:style>
  <w:style w:type="paragraph" w:styleId="ListParagraph">
    <w:name w:val="List Paragraph"/>
    <w:aliases w:val="Bulletpoints,Lista viñetas,List Paragraph compact,Normal bullet 2,Paragraphe de liste 2,Reference list,Bullet list,Numbered List,1st level - Bullet List Paragraph,Lettre d'introduction,Paragraph,Bullet EY,List Paragraph11,Odstavec1"/>
    <w:basedOn w:val="Normal"/>
    <w:link w:val="ListParagraphChar"/>
    <w:uiPriority w:val="34"/>
    <w:qFormat/>
    <w:rsid w:val="00A7174F"/>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 ?????? ????,Текст сноски Знак,Footnote,Footnote Text Char1,Footnote Text Char Char,Footnote Text Char1 Char Char,Footnote Text Char Char Char Char,Footnote Text Char Char1 Char,Char Char,sprotna opoma - besedilo,Fußnote"/>
    <w:basedOn w:val="Normal"/>
    <w:link w:val="FootnoteTextChar"/>
    <w:uiPriority w:val="99"/>
    <w:unhideWhenUsed/>
    <w:qFormat/>
    <w:rsid w:val="00A7174F"/>
    <w:pPr>
      <w:spacing w:line="240" w:lineRule="auto"/>
    </w:pPr>
    <w:rPr>
      <w:rFonts w:asciiTheme="minorHAnsi" w:eastAsiaTheme="minorHAnsi" w:hAnsiTheme="minorHAnsi" w:cstheme="minorBidi"/>
      <w:szCs w:val="20"/>
    </w:rPr>
  </w:style>
  <w:style w:type="character" w:customStyle="1" w:styleId="FootnoteTextChar">
    <w:name w:val="Footnote Text Char"/>
    <w:aliases w:val="????? ?????? ???? Char,Текст сноски Знак Char,Footnote Char,Footnote Text Char1 Char,Footnote Text Char Char Char,Footnote Text Char1 Char Char Char,Footnote Text Char Char Char Char Char,Footnote Text Char Char1 Char Char"/>
    <w:basedOn w:val="DefaultParagraphFont"/>
    <w:link w:val="FootnoteText"/>
    <w:uiPriority w:val="99"/>
    <w:rsid w:val="00A7174F"/>
    <w:rPr>
      <w:rFonts w:asciiTheme="minorHAnsi" w:eastAsiaTheme="minorHAnsi" w:hAnsiTheme="minorHAnsi" w:cstheme="minorBidi"/>
      <w:lang w:eastAsia="en-US"/>
    </w:rPr>
  </w:style>
  <w:style w:type="character" w:styleId="FootnoteReference">
    <w:name w:val="footnote reference"/>
    <w:aliases w:val="Footnotes refss,callout,Footnote Reference Number,Footnote Reference_LVL6,Footnote Reference_LVL61,Footnote Reference_LVL62,Footnote Reference_LVL63,Footnote Reference_LVL64,Fussnota,Footnote symbol,BVI fnr,16 Point"/>
    <w:basedOn w:val="DefaultParagraphFont"/>
    <w:uiPriority w:val="99"/>
    <w:unhideWhenUsed/>
    <w:qFormat/>
    <w:rsid w:val="00A7174F"/>
    <w:rPr>
      <w:vertAlign w:val="superscript"/>
    </w:rPr>
  </w:style>
  <w:style w:type="paragraph" w:styleId="HTMLPreformatted">
    <w:name w:val="HTML Preformatted"/>
    <w:basedOn w:val="Normal"/>
    <w:link w:val="HTMLPreformattedChar"/>
    <w:uiPriority w:val="99"/>
    <w:unhideWhenUsed/>
    <w:rsid w:val="00F2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PreformattedChar">
    <w:name w:val="HTML Preformatted Char"/>
    <w:basedOn w:val="DefaultParagraphFont"/>
    <w:link w:val="HTMLPreformatted"/>
    <w:uiPriority w:val="99"/>
    <w:rsid w:val="00F24741"/>
    <w:rPr>
      <w:rFonts w:ascii="Courier New" w:hAnsi="Courier New" w:cs="Courier New"/>
    </w:rPr>
  </w:style>
  <w:style w:type="paragraph" w:customStyle="1" w:styleId="len">
    <w:name w:val="Člen"/>
    <w:basedOn w:val="Normal"/>
    <w:link w:val="lenZnak"/>
    <w:qFormat/>
    <w:rsid w:val="00A6682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A66826"/>
    <w:rPr>
      <w:rFonts w:ascii="Arial" w:hAnsi="Arial"/>
      <w:b/>
      <w:sz w:val="22"/>
      <w:szCs w:val="22"/>
    </w:rPr>
  </w:style>
  <w:style w:type="paragraph" w:customStyle="1" w:styleId="Odstavek">
    <w:name w:val="Odstavek"/>
    <w:basedOn w:val="Normal"/>
    <w:link w:val="OdstavekZnak"/>
    <w:qFormat/>
    <w:rsid w:val="00A668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66826"/>
    <w:rPr>
      <w:rFonts w:ascii="Arial" w:hAnsi="Arial"/>
      <w:sz w:val="22"/>
      <w:szCs w:val="22"/>
    </w:rPr>
  </w:style>
  <w:style w:type="paragraph" w:customStyle="1" w:styleId="lennaslov">
    <w:name w:val="Člen_naslov"/>
    <w:basedOn w:val="len"/>
    <w:qFormat/>
    <w:rsid w:val="00A66826"/>
    <w:pPr>
      <w:spacing w:before="0"/>
    </w:pPr>
  </w:style>
  <w:style w:type="character" w:customStyle="1" w:styleId="FooterChar">
    <w:name w:val="Footer Char"/>
    <w:basedOn w:val="DefaultParagraphFont"/>
    <w:link w:val="Footer"/>
    <w:uiPriority w:val="99"/>
    <w:rsid w:val="00A66826"/>
    <w:rPr>
      <w:rFonts w:ascii="Arial" w:hAnsi="Arial"/>
      <w:szCs w:val="24"/>
      <w:lang w:eastAsia="en-US"/>
    </w:rPr>
  </w:style>
  <w:style w:type="paragraph" w:styleId="Revision">
    <w:name w:val="Revision"/>
    <w:hidden/>
    <w:uiPriority w:val="99"/>
    <w:semiHidden/>
    <w:rsid w:val="00A66826"/>
    <w:rPr>
      <w:rFonts w:asciiTheme="minorHAnsi" w:eastAsiaTheme="minorHAnsi" w:hAnsiTheme="minorHAnsi" w:cstheme="minorBidi"/>
      <w:sz w:val="22"/>
      <w:szCs w:val="22"/>
      <w:lang w:eastAsia="en-US"/>
    </w:rPr>
  </w:style>
  <w:style w:type="paragraph" w:customStyle="1" w:styleId="odstavek0">
    <w:name w:val="odstavek"/>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 za številčno točko"/>
    <w:basedOn w:val="Alineazaodstavkom"/>
    <w:link w:val="AlineazatevilnotokoZnak"/>
    <w:qFormat/>
    <w:rsid w:val="00A66826"/>
    <w:p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basedOn w:val="DefaultParagraphFont"/>
    <w:link w:val="Alineazatevilnotoko"/>
    <w:rsid w:val="00A66826"/>
    <w:rPr>
      <w:rFonts w:ascii="Arial" w:hAnsi="Arial" w:cs="Arial"/>
      <w:sz w:val="22"/>
      <w:szCs w:val="22"/>
    </w:rPr>
  </w:style>
  <w:style w:type="numbering" w:customStyle="1" w:styleId="Alinejazaodstavkom">
    <w:name w:val="Alineja za odstavkom"/>
    <w:uiPriority w:val="99"/>
    <w:rsid w:val="00A66826"/>
    <w:pPr>
      <w:numPr>
        <w:numId w:val="9"/>
      </w:numPr>
    </w:pPr>
  </w:style>
  <w:style w:type="paragraph" w:customStyle="1" w:styleId="Navaden1">
    <w:name w:val="Navaden1"/>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len1">
    <w:name w:val="len1"/>
    <w:basedOn w:val="Normal"/>
    <w:rsid w:val="00A66826"/>
    <w:pPr>
      <w:spacing w:before="480" w:line="240" w:lineRule="auto"/>
      <w:jc w:val="center"/>
    </w:pPr>
    <w:rPr>
      <w:rFonts w:cs="Arial"/>
      <w:b/>
      <w:bCs/>
      <w:sz w:val="22"/>
      <w:szCs w:val="22"/>
      <w:lang w:eastAsia="sl-SI"/>
    </w:rPr>
  </w:style>
  <w:style w:type="paragraph" w:customStyle="1" w:styleId="odstavek1">
    <w:name w:val="odstavek1"/>
    <w:basedOn w:val="Normal"/>
    <w:rsid w:val="00A66826"/>
    <w:pPr>
      <w:spacing w:before="240" w:line="240" w:lineRule="auto"/>
      <w:ind w:firstLine="1021"/>
      <w:jc w:val="both"/>
    </w:pPr>
    <w:rPr>
      <w:rFonts w:cs="Arial"/>
      <w:sz w:val="22"/>
      <w:szCs w:val="22"/>
      <w:lang w:eastAsia="sl-SI"/>
    </w:rPr>
  </w:style>
  <w:style w:type="paragraph" w:customStyle="1" w:styleId="tevilnatoka1">
    <w:name w:val="tevilnatoka1"/>
    <w:basedOn w:val="Normal"/>
    <w:rsid w:val="00A66826"/>
    <w:pPr>
      <w:spacing w:line="240" w:lineRule="auto"/>
      <w:ind w:left="425" w:hanging="425"/>
      <w:jc w:val="both"/>
    </w:pPr>
    <w:rPr>
      <w:rFonts w:cs="Arial"/>
      <w:sz w:val="22"/>
      <w:szCs w:val="22"/>
      <w:lang w:eastAsia="sl-SI"/>
    </w:rPr>
  </w:style>
  <w:style w:type="paragraph" w:customStyle="1" w:styleId="lennaslov1">
    <w:name w:val="lennaslov1"/>
    <w:basedOn w:val="Normal"/>
    <w:rsid w:val="00A66826"/>
    <w:pPr>
      <w:spacing w:line="240" w:lineRule="auto"/>
      <w:jc w:val="center"/>
    </w:pPr>
    <w:rPr>
      <w:rFonts w:cs="Arial"/>
      <w:b/>
      <w:bCs/>
      <w:sz w:val="22"/>
      <w:szCs w:val="22"/>
      <w:lang w:eastAsia="sl-SI"/>
    </w:rPr>
  </w:style>
  <w:style w:type="paragraph" w:styleId="NoSpacing">
    <w:name w:val="No Spacing"/>
    <w:uiPriority w:val="1"/>
    <w:qFormat/>
    <w:rsid w:val="00A66826"/>
    <w:pPr>
      <w:jc w:val="both"/>
    </w:pPr>
    <w:rPr>
      <w:rFonts w:ascii="Arial" w:eastAsia="Calibri" w:hAnsi="Arial"/>
      <w:szCs w:val="22"/>
      <w:lang w:eastAsia="en-US"/>
    </w:rPr>
  </w:style>
  <w:style w:type="paragraph" w:customStyle="1" w:styleId="len0">
    <w:name w:val="len"/>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A66826"/>
    <w:pPr>
      <w:spacing w:before="100" w:beforeAutospacing="1" w:after="100" w:afterAutospacing="1" w:line="240" w:lineRule="auto"/>
    </w:pPr>
    <w:rPr>
      <w:rFonts w:ascii="Times New Roman" w:hAnsi="Times New Roman"/>
      <w:sz w:val="24"/>
      <w:lang w:eastAsia="sl-SI"/>
    </w:rPr>
  </w:style>
  <w:style w:type="paragraph" w:customStyle="1" w:styleId="rkovnatokazaodstavkomA0">
    <w:name w:val="Črkovna točka za odstavkom A)"/>
    <w:qFormat/>
    <w:rsid w:val="00AB5CAE"/>
    <w:pPr>
      <w:numPr>
        <w:numId w:val="11"/>
      </w:numPr>
      <w:jc w:val="both"/>
    </w:pPr>
    <w:rPr>
      <w:rFonts w:ascii="Arial" w:hAnsi="Arial"/>
      <w:sz w:val="22"/>
      <w:szCs w:val="16"/>
    </w:rPr>
  </w:style>
  <w:style w:type="paragraph" w:customStyle="1" w:styleId="a">
    <w:basedOn w:val="Normal"/>
    <w:next w:val="CommentText"/>
    <w:link w:val="Komentar-besediloZnak"/>
    <w:rsid w:val="00AB5CAE"/>
    <w:pPr>
      <w:spacing w:line="240" w:lineRule="auto"/>
      <w:jc w:val="both"/>
    </w:pPr>
    <w:rPr>
      <w:szCs w:val="20"/>
    </w:rPr>
  </w:style>
  <w:style w:type="character" w:customStyle="1" w:styleId="Komentar-besediloZnak">
    <w:name w:val="Komentar - besedilo Znak"/>
    <w:link w:val="a"/>
    <w:rsid w:val="00AB5CAE"/>
    <w:rPr>
      <w:rFonts w:ascii="Arial" w:hAnsi="Arial"/>
      <w:lang w:eastAsia="en-US"/>
    </w:rPr>
  </w:style>
  <w:style w:type="paragraph" w:customStyle="1" w:styleId="zamaknjenadolobadruginivo">
    <w:name w:val="zamaknjenadolobadruginivo"/>
    <w:basedOn w:val="Normal"/>
    <w:rsid w:val="004D7C0F"/>
    <w:pPr>
      <w:spacing w:before="100" w:beforeAutospacing="1" w:after="100" w:afterAutospacing="1" w:line="240" w:lineRule="auto"/>
    </w:pPr>
    <w:rPr>
      <w:rFonts w:ascii="Times New Roman" w:hAnsi="Times New Roman"/>
      <w:sz w:val="24"/>
      <w:lang w:eastAsia="sl-SI"/>
    </w:rPr>
  </w:style>
  <w:style w:type="character" w:styleId="Emphasis">
    <w:name w:val="Emphasis"/>
    <w:basedOn w:val="DefaultParagraphFont"/>
    <w:uiPriority w:val="20"/>
    <w:qFormat/>
    <w:rsid w:val="00B01F97"/>
    <w:rPr>
      <w:i/>
      <w:iCs/>
    </w:rPr>
  </w:style>
  <w:style w:type="paragraph" w:customStyle="1" w:styleId="title-bold">
    <w:name w:val="title-bold"/>
    <w:basedOn w:val="Normal"/>
    <w:rsid w:val="00D56B81"/>
    <w:pPr>
      <w:spacing w:before="100" w:beforeAutospacing="1" w:after="100" w:afterAutospacing="1" w:line="240" w:lineRule="auto"/>
    </w:pPr>
    <w:rPr>
      <w:rFonts w:ascii="Times New Roman" w:hAnsi="Times New Roman"/>
      <w:sz w:val="24"/>
      <w:lang w:eastAsia="sl-SI"/>
    </w:rPr>
  </w:style>
  <w:style w:type="paragraph" w:styleId="NormalWeb">
    <w:name w:val="Normal (Web)"/>
    <w:basedOn w:val="Normal"/>
    <w:uiPriority w:val="99"/>
    <w:unhideWhenUsed/>
    <w:rsid w:val="00D56B81"/>
    <w:pPr>
      <w:spacing w:before="100" w:beforeAutospacing="1" w:after="100" w:afterAutospacing="1" w:line="240" w:lineRule="auto"/>
    </w:pPr>
    <w:rPr>
      <w:rFonts w:ascii="Times New Roman" w:hAnsi="Times New Roman"/>
      <w:sz w:val="24"/>
      <w:lang w:eastAsia="sl-SI"/>
    </w:rPr>
  </w:style>
  <w:style w:type="paragraph" w:customStyle="1" w:styleId="title-doc-first">
    <w:name w:val="title-doc-first"/>
    <w:basedOn w:val="Normal"/>
    <w:rsid w:val="006770B3"/>
    <w:pPr>
      <w:spacing w:before="100" w:beforeAutospacing="1" w:after="100" w:afterAutospacing="1" w:line="240" w:lineRule="auto"/>
    </w:pPr>
    <w:rPr>
      <w:rFonts w:ascii="Times New Roman" w:hAnsi="Times New Roman"/>
      <w:sz w:val="24"/>
      <w:lang w:eastAsia="sl-SI"/>
    </w:rPr>
  </w:style>
  <w:style w:type="paragraph" w:customStyle="1" w:styleId="title-doc-last">
    <w:name w:val="title-doc-last"/>
    <w:basedOn w:val="Normal"/>
    <w:rsid w:val="006770B3"/>
    <w:pPr>
      <w:spacing w:before="100" w:beforeAutospacing="1" w:after="100" w:afterAutospacing="1" w:line="240" w:lineRule="auto"/>
    </w:pPr>
    <w:rPr>
      <w:rFonts w:ascii="Times New Roman" w:hAnsi="Times New Roman"/>
      <w:sz w:val="24"/>
      <w:lang w:eastAsia="sl-SI"/>
    </w:rPr>
  </w:style>
  <w:style w:type="paragraph" w:customStyle="1" w:styleId="title-doc-oj-reference">
    <w:name w:val="title-doc-oj-reference"/>
    <w:basedOn w:val="Normal"/>
    <w:rsid w:val="006770B3"/>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ormal"/>
    <w:rsid w:val="00BD20A2"/>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DefaultParagraphFont"/>
    <w:rsid w:val="00BD20A2"/>
  </w:style>
  <w:style w:type="paragraph" w:customStyle="1" w:styleId="oj-normal">
    <w:name w:val="oj-normal"/>
    <w:basedOn w:val="Normal"/>
    <w:rsid w:val="006532B5"/>
    <w:pPr>
      <w:spacing w:before="100" w:beforeAutospacing="1" w:after="100" w:afterAutospacing="1" w:line="240" w:lineRule="auto"/>
    </w:pPr>
    <w:rPr>
      <w:rFonts w:ascii="Times New Roman" w:hAnsi="Times New Roman"/>
      <w:sz w:val="24"/>
      <w:lang w:eastAsia="sl-SI"/>
    </w:rPr>
  </w:style>
  <w:style w:type="character" w:customStyle="1" w:styleId="Heading3Char">
    <w:name w:val="Heading 3 Char"/>
    <w:basedOn w:val="DefaultParagraphFont"/>
    <w:link w:val="Heading3"/>
    <w:semiHidden/>
    <w:rsid w:val="00CD45FC"/>
    <w:rPr>
      <w:rFonts w:asciiTheme="majorHAnsi" w:eastAsiaTheme="majorEastAsia" w:hAnsiTheme="majorHAnsi" w:cstheme="majorBidi"/>
      <w:color w:val="1F4D78" w:themeColor="accent1" w:themeShade="7F"/>
      <w:sz w:val="24"/>
      <w:szCs w:val="24"/>
      <w:lang w:eastAsia="en-US"/>
    </w:rPr>
  </w:style>
  <w:style w:type="paragraph" w:customStyle="1" w:styleId="Navaden3">
    <w:name w:val="Navaden3"/>
    <w:basedOn w:val="Normal"/>
    <w:rsid w:val="006C7664"/>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ormal"/>
    <w:rsid w:val="0058567B"/>
    <w:pPr>
      <w:spacing w:before="100" w:beforeAutospacing="1" w:after="100" w:afterAutospacing="1" w:line="240" w:lineRule="auto"/>
    </w:pPr>
    <w:rPr>
      <w:rFonts w:ascii="Times New Roman" w:hAnsi="Times New Roman"/>
      <w:sz w:val="24"/>
      <w:lang w:eastAsia="sl-SI"/>
    </w:rPr>
  </w:style>
  <w:style w:type="paragraph" w:customStyle="1" w:styleId="norm">
    <w:name w:val="norm"/>
    <w:basedOn w:val="Normal"/>
    <w:rsid w:val="00266F50"/>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917239"/>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FD761C"/>
    <w:pPr>
      <w:spacing w:line="240" w:lineRule="auto"/>
      <w:jc w:val="both"/>
    </w:pPr>
    <w:rPr>
      <w:bCs/>
      <w:sz w:val="24"/>
      <w:lang w:eastAsia="sl-SI"/>
    </w:rPr>
  </w:style>
  <w:style w:type="character" w:customStyle="1" w:styleId="BodyTextChar">
    <w:name w:val="Body Text Char"/>
    <w:basedOn w:val="DefaultParagraphFont"/>
    <w:link w:val="BodyText"/>
    <w:rsid w:val="00FD761C"/>
    <w:rPr>
      <w:rFonts w:ascii="Arial" w:hAnsi="Arial"/>
      <w:bCs/>
      <w:sz w:val="24"/>
      <w:szCs w:val="24"/>
    </w:rPr>
  </w:style>
  <w:style w:type="paragraph" w:customStyle="1" w:styleId="Priloga">
    <w:name w:val="Priloga"/>
    <w:basedOn w:val="Normal"/>
    <w:link w:val="PrilogaZnak"/>
    <w:qFormat/>
    <w:rsid w:val="00FD761C"/>
    <w:pPr>
      <w:overflowPunct w:val="0"/>
      <w:autoSpaceDE w:val="0"/>
      <w:autoSpaceDN w:val="0"/>
      <w:adjustRightInd w:val="0"/>
      <w:spacing w:before="380" w:after="60" w:line="200" w:lineRule="exact"/>
      <w:jc w:val="both"/>
      <w:textAlignment w:val="baseline"/>
    </w:pPr>
    <w:rPr>
      <w:b/>
      <w:sz w:val="17"/>
      <w:szCs w:val="17"/>
    </w:rPr>
  </w:style>
  <w:style w:type="character" w:customStyle="1" w:styleId="PrilogaZnak">
    <w:name w:val="Priloga Znak"/>
    <w:link w:val="Priloga"/>
    <w:rsid w:val="00FD761C"/>
    <w:rPr>
      <w:rFonts w:ascii="Arial" w:hAnsi="Arial"/>
      <w:b/>
      <w:sz w:val="17"/>
      <w:szCs w:val="17"/>
    </w:rPr>
  </w:style>
  <w:style w:type="paragraph" w:customStyle="1" w:styleId="Navaden4">
    <w:name w:val="Navaden4"/>
    <w:basedOn w:val="Normal"/>
    <w:rsid w:val="00D04195"/>
    <w:pPr>
      <w:spacing w:before="100" w:beforeAutospacing="1" w:after="100" w:afterAutospacing="1" w:line="240" w:lineRule="auto"/>
    </w:pPr>
    <w:rPr>
      <w:rFonts w:ascii="Times New Roman" w:hAnsi="Times New Roman"/>
      <w:sz w:val="24"/>
      <w:lang w:eastAsia="sl-SI"/>
    </w:rPr>
  </w:style>
  <w:style w:type="paragraph" w:customStyle="1" w:styleId="rkovnatokazaodstavkomA">
    <w:name w:val="Črkovna točka za odstavkom (A)"/>
    <w:qFormat/>
    <w:rsid w:val="00160E94"/>
    <w:pPr>
      <w:numPr>
        <w:numId w:val="13"/>
      </w:numPr>
      <w:jc w:val="both"/>
    </w:pPr>
    <w:rPr>
      <w:rFonts w:ascii="Arial" w:hAnsi="Arial"/>
      <w:sz w:val="22"/>
      <w:szCs w:val="16"/>
    </w:rPr>
  </w:style>
  <w:style w:type="paragraph" w:customStyle="1" w:styleId="zamaknjenadolobaprvinivo">
    <w:name w:val="zamaknjenadolobaprvinivo"/>
    <w:basedOn w:val="Normal"/>
    <w:rsid w:val="00880E5F"/>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ormal"/>
    <w:rsid w:val="009F27CF"/>
    <w:pPr>
      <w:spacing w:before="100" w:beforeAutospacing="1" w:after="100" w:afterAutospacing="1" w:line="240" w:lineRule="auto"/>
    </w:pPr>
    <w:rPr>
      <w:rFonts w:ascii="Times New Roman" w:hAnsi="Times New Roman"/>
      <w:sz w:val="24"/>
      <w:lang w:eastAsia="sl-SI"/>
    </w:rPr>
  </w:style>
  <w:style w:type="character" w:customStyle="1" w:styleId="Heading2Char">
    <w:name w:val="Heading 2 Char"/>
    <w:basedOn w:val="DefaultParagraphFont"/>
    <w:link w:val="Heading2"/>
    <w:semiHidden/>
    <w:rsid w:val="00313DDC"/>
    <w:rPr>
      <w:rFonts w:asciiTheme="majorHAnsi" w:eastAsiaTheme="majorEastAsia" w:hAnsiTheme="majorHAnsi" w:cstheme="majorBidi"/>
      <w:color w:val="2E74B5" w:themeColor="accent1" w:themeShade="BF"/>
      <w:sz w:val="26"/>
      <w:szCs w:val="26"/>
      <w:lang w:eastAsia="en-US"/>
    </w:rPr>
  </w:style>
  <w:style w:type="paragraph" w:customStyle="1" w:styleId="Navaden-MP">
    <w:name w:val="Navaden - MP"/>
    <w:basedOn w:val="Normal"/>
    <w:link w:val="Navaden-MPZnak"/>
    <w:qFormat/>
    <w:rsid w:val="00D84B00"/>
    <w:rPr>
      <w:rFonts w:eastAsia="Calibri" w:cs="Arial"/>
      <w:szCs w:val="20"/>
    </w:rPr>
  </w:style>
  <w:style w:type="character" w:customStyle="1" w:styleId="Navaden-MPZnak">
    <w:name w:val="Navaden - MP Znak"/>
    <w:link w:val="Navaden-MP"/>
    <w:rsid w:val="00D84B00"/>
    <w:rPr>
      <w:rFonts w:ascii="Arial" w:eastAsia="Calibri" w:hAnsi="Arial" w:cs="Arial"/>
      <w:lang w:eastAsia="en-US"/>
    </w:rPr>
  </w:style>
  <w:style w:type="table" w:customStyle="1" w:styleId="Navadnatabela41">
    <w:name w:val="Navadna tabela 41"/>
    <w:basedOn w:val="TableNormal"/>
    <w:uiPriority w:val="44"/>
    <w:rsid w:val="00EA0B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vetlamrea1">
    <w:name w:val="Tabela – svetla mreža1"/>
    <w:basedOn w:val="TableNormal"/>
    <w:uiPriority w:val="40"/>
    <w:rsid w:val="00EA0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Normal"/>
    <w:next w:val="Normal"/>
    <w:uiPriority w:val="99"/>
    <w:rsid w:val="00DB7656"/>
    <w:pPr>
      <w:autoSpaceDE w:val="0"/>
      <w:autoSpaceDN w:val="0"/>
      <w:adjustRightInd w:val="0"/>
      <w:spacing w:line="240" w:lineRule="auto"/>
    </w:pPr>
    <w:rPr>
      <w:rFonts w:ascii="Times New Roman" w:eastAsiaTheme="minorHAnsi" w:hAnsi="Times New Roman"/>
      <w:sz w:val="24"/>
    </w:rPr>
  </w:style>
  <w:style w:type="paragraph" w:customStyle="1" w:styleId="CM3">
    <w:name w:val="CM3"/>
    <w:basedOn w:val="Normal"/>
    <w:next w:val="Normal"/>
    <w:uiPriority w:val="99"/>
    <w:rsid w:val="00DB7656"/>
    <w:pPr>
      <w:autoSpaceDE w:val="0"/>
      <w:autoSpaceDN w:val="0"/>
      <w:adjustRightInd w:val="0"/>
      <w:spacing w:line="240" w:lineRule="auto"/>
    </w:pPr>
    <w:rPr>
      <w:rFonts w:ascii="Times New Roman" w:eastAsiaTheme="minorHAnsi" w:hAnsi="Times New Roman"/>
      <w:sz w:val="24"/>
    </w:rPr>
  </w:style>
  <w:style w:type="character" w:customStyle="1" w:styleId="ListParagraphChar">
    <w:name w:val="List Paragraph Char"/>
    <w:aliases w:val="Bulletpoints Char,Lista viñetas Char,List Paragraph compact Char,Normal bullet 2 Char,Paragraphe de liste 2 Char,Reference list Char,Bullet list Char,Numbered List Char,1st level - Bullet List Paragraph Char,Paragraph Char"/>
    <w:link w:val="ListParagraph"/>
    <w:uiPriority w:val="34"/>
    <w:qFormat/>
    <w:locked/>
    <w:rsid w:val="00DB7656"/>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A7972"/>
  </w:style>
  <w:style w:type="character" w:customStyle="1" w:styleId="eop">
    <w:name w:val="eop"/>
    <w:basedOn w:val="DefaultParagraphFont"/>
    <w:rsid w:val="00CA7972"/>
  </w:style>
  <w:style w:type="table" w:customStyle="1" w:styleId="TableNormal1">
    <w:name w:val="Table Normal1"/>
    <w:rsid w:val="0029572D"/>
    <w:rPr>
      <w:rFonts w:ascii="Calibri" w:eastAsia="Calibri" w:hAnsi="Calibri" w:cs="Calibri"/>
    </w:rPr>
    <w:tblPr>
      <w:tblCellMar>
        <w:top w:w="0" w:type="dxa"/>
        <w:left w:w="0" w:type="dxa"/>
        <w:bottom w:w="0" w:type="dxa"/>
        <w:right w:w="0" w:type="dxa"/>
      </w:tblCellMar>
    </w:tblPr>
  </w:style>
  <w:style w:type="character" w:customStyle="1" w:styleId="Nerazreenaomemba1">
    <w:name w:val="Nerazrešena omemba1"/>
    <w:basedOn w:val="DefaultParagraphFont"/>
    <w:uiPriority w:val="99"/>
    <w:semiHidden/>
    <w:unhideWhenUsed/>
    <w:rsid w:val="00231909"/>
    <w:rPr>
      <w:color w:val="605E5C"/>
      <w:shd w:val="clear" w:color="auto" w:fill="E1DFDD"/>
    </w:rPr>
  </w:style>
  <w:style w:type="character" w:customStyle="1" w:styleId="Bodytext1">
    <w:name w:val="Body text|1_"/>
    <w:link w:val="Bodytext10"/>
    <w:rsid w:val="005B0CA1"/>
    <w:rPr>
      <w:rFonts w:ascii="Arial" w:eastAsia="Arial" w:hAnsi="Arial" w:cs="Arial"/>
      <w:sz w:val="18"/>
    </w:rPr>
  </w:style>
  <w:style w:type="character" w:customStyle="1" w:styleId="Heading31">
    <w:name w:val="Heading #3|1_"/>
    <w:link w:val="Heading310"/>
    <w:rsid w:val="005B0CA1"/>
    <w:rPr>
      <w:rFonts w:ascii="Arial" w:eastAsia="Arial" w:hAnsi="Arial" w:cs="Arial"/>
      <w:b/>
      <w:color w:val="5E4D97"/>
    </w:rPr>
  </w:style>
  <w:style w:type="paragraph" w:customStyle="1" w:styleId="Bodytext10">
    <w:name w:val="Body text|1"/>
    <w:basedOn w:val="Normal"/>
    <w:link w:val="Bodytext1"/>
    <w:rsid w:val="005B0CA1"/>
    <w:pPr>
      <w:widowControl w:val="0"/>
      <w:spacing w:line="290" w:lineRule="auto"/>
    </w:pPr>
    <w:rPr>
      <w:rFonts w:eastAsia="Arial" w:cs="Arial"/>
      <w:sz w:val="18"/>
      <w:szCs w:val="20"/>
      <w:lang w:eastAsia="sl-SI"/>
    </w:rPr>
  </w:style>
  <w:style w:type="paragraph" w:customStyle="1" w:styleId="Heading310">
    <w:name w:val="Heading #3|1"/>
    <w:basedOn w:val="Normal"/>
    <w:link w:val="Heading31"/>
    <w:rsid w:val="005B0CA1"/>
    <w:pPr>
      <w:widowControl w:val="0"/>
      <w:spacing w:after="130" w:line="240" w:lineRule="auto"/>
      <w:outlineLvl w:val="2"/>
    </w:pPr>
    <w:rPr>
      <w:rFonts w:eastAsia="Arial" w:cs="Arial"/>
      <w:b/>
      <w:color w:val="5E4D97"/>
      <w:szCs w:val="20"/>
      <w:lang w:eastAsia="sl-SI"/>
    </w:rPr>
  </w:style>
  <w:style w:type="character" w:styleId="Strong">
    <w:name w:val="Strong"/>
    <w:basedOn w:val="DefaultParagraphFont"/>
    <w:uiPriority w:val="22"/>
    <w:qFormat/>
    <w:rsid w:val="005B0CA1"/>
    <w:rPr>
      <w:b/>
      <w:bCs/>
    </w:rPr>
  </w:style>
  <w:style w:type="paragraph" w:customStyle="1" w:styleId="paragraph">
    <w:name w:val="paragraph"/>
    <w:basedOn w:val="Normal"/>
    <w:rsid w:val="005B0CA1"/>
    <w:pPr>
      <w:spacing w:before="100" w:beforeAutospacing="1" w:after="100" w:afterAutospacing="1" w:line="240" w:lineRule="auto"/>
    </w:pPr>
    <w:rPr>
      <w:rFonts w:ascii="Times New Roman" w:hAnsi="Times New Roman"/>
      <w:sz w:val="24"/>
      <w:lang w:eastAsia="sl-SI"/>
    </w:rPr>
  </w:style>
  <w:style w:type="character" w:customStyle="1" w:styleId="italics">
    <w:name w:val="italics"/>
    <w:basedOn w:val="DefaultParagraphFont"/>
    <w:rsid w:val="00963696"/>
  </w:style>
  <w:style w:type="character" w:customStyle="1" w:styleId="cf01">
    <w:name w:val="cf01"/>
    <w:basedOn w:val="DefaultParagraphFont"/>
    <w:rsid w:val="00F15390"/>
    <w:rPr>
      <w:rFonts w:ascii="Segoe UI" w:hAnsi="Segoe UI" w:cs="Segoe UI" w:hint="default"/>
      <w:sz w:val="18"/>
      <w:szCs w:val="18"/>
    </w:rPr>
  </w:style>
  <w:style w:type="paragraph" w:customStyle="1" w:styleId="doc-ti">
    <w:name w:val="doc-ti"/>
    <w:basedOn w:val="Normal"/>
    <w:rsid w:val="00BA559A"/>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basedOn w:val="DefaultParagraphFont"/>
    <w:uiPriority w:val="99"/>
    <w:semiHidden/>
    <w:unhideWhenUsed/>
    <w:rsid w:val="00592676"/>
    <w:rPr>
      <w:color w:val="605E5C"/>
      <w:shd w:val="clear" w:color="auto" w:fill="E1DFDD"/>
    </w:rPr>
  </w:style>
  <w:style w:type="character" w:styleId="UnresolvedMention">
    <w:name w:val="Unresolved Mention"/>
    <w:basedOn w:val="DefaultParagraphFont"/>
    <w:uiPriority w:val="99"/>
    <w:semiHidden/>
    <w:unhideWhenUsed/>
    <w:rsid w:val="00597D38"/>
    <w:rPr>
      <w:color w:val="605E5C"/>
      <w:shd w:val="clear" w:color="auto" w:fill="E1DFDD"/>
    </w:rPr>
  </w:style>
  <w:style w:type="paragraph" w:customStyle="1" w:styleId="pf0">
    <w:name w:val="pf0"/>
    <w:basedOn w:val="Normal"/>
    <w:rsid w:val="00955EDB"/>
    <w:pPr>
      <w:spacing w:before="100" w:beforeAutospacing="1" w:after="100" w:afterAutospacing="1" w:line="240" w:lineRule="auto"/>
    </w:pPr>
    <w:rPr>
      <w:rFonts w:ascii="Times New Roman" w:hAnsi="Times New Roman"/>
      <w:sz w:val="24"/>
      <w:lang w:eastAsia="sl-SI"/>
    </w:rPr>
  </w:style>
  <w:style w:type="character" w:customStyle="1" w:styleId="cf21">
    <w:name w:val="cf21"/>
    <w:basedOn w:val="DefaultParagraphFont"/>
    <w:rsid w:val="00955EDB"/>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11">
      <w:bodyDiv w:val="1"/>
      <w:marLeft w:val="0"/>
      <w:marRight w:val="0"/>
      <w:marTop w:val="0"/>
      <w:marBottom w:val="0"/>
      <w:divBdr>
        <w:top w:val="none" w:sz="0" w:space="0" w:color="auto"/>
        <w:left w:val="none" w:sz="0" w:space="0" w:color="auto"/>
        <w:bottom w:val="none" w:sz="0" w:space="0" w:color="auto"/>
        <w:right w:val="none" w:sz="0" w:space="0" w:color="auto"/>
      </w:divBdr>
    </w:div>
    <w:div w:id="43872678">
      <w:bodyDiv w:val="1"/>
      <w:marLeft w:val="0"/>
      <w:marRight w:val="0"/>
      <w:marTop w:val="0"/>
      <w:marBottom w:val="0"/>
      <w:divBdr>
        <w:top w:val="none" w:sz="0" w:space="0" w:color="auto"/>
        <w:left w:val="none" w:sz="0" w:space="0" w:color="auto"/>
        <w:bottom w:val="none" w:sz="0" w:space="0" w:color="auto"/>
        <w:right w:val="none" w:sz="0" w:space="0" w:color="auto"/>
      </w:divBdr>
    </w:div>
    <w:div w:id="97259539">
      <w:bodyDiv w:val="1"/>
      <w:marLeft w:val="0"/>
      <w:marRight w:val="0"/>
      <w:marTop w:val="0"/>
      <w:marBottom w:val="0"/>
      <w:divBdr>
        <w:top w:val="none" w:sz="0" w:space="0" w:color="auto"/>
        <w:left w:val="none" w:sz="0" w:space="0" w:color="auto"/>
        <w:bottom w:val="none" w:sz="0" w:space="0" w:color="auto"/>
        <w:right w:val="none" w:sz="0" w:space="0" w:color="auto"/>
      </w:divBdr>
    </w:div>
    <w:div w:id="101732591">
      <w:bodyDiv w:val="1"/>
      <w:marLeft w:val="0"/>
      <w:marRight w:val="0"/>
      <w:marTop w:val="0"/>
      <w:marBottom w:val="0"/>
      <w:divBdr>
        <w:top w:val="none" w:sz="0" w:space="0" w:color="auto"/>
        <w:left w:val="none" w:sz="0" w:space="0" w:color="auto"/>
        <w:bottom w:val="none" w:sz="0" w:space="0" w:color="auto"/>
        <w:right w:val="none" w:sz="0" w:space="0" w:color="auto"/>
      </w:divBdr>
    </w:div>
    <w:div w:id="189299046">
      <w:bodyDiv w:val="1"/>
      <w:marLeft w:val="0"/>
      <w:marRight w:val="0"/>
      <w:marTop w:val="0"/>
      <w:marBottom w:val="0"/>
      <w:divBdr>
        <w:top w:val="none" w:sz="0" w:space="0" w:color="auto"/>
        <w:left w:val="none" w:sz="0" w:space="0" w:color="auto"/>
        <w:bottom w:val="none" w:sz="0" w:space="0" w:color="auto"/>
        <w:right w:val="none" w:sz="0" w:space="0" w:color="auto"/>
      </w:divBdr>
    </w:div>
    <w:div w:id="191305786">
      <w:bodyDiv w:val="1"/>
      <w:marLeft w:val="0"/>
      <w:marRight w:val="0"/>
      <w:marTop w:val="0"/>
      <w:marBottom w:val="0"/>
      <w:divBdr>
        <w:top w:val="none" w:sz="0" w:space="0" w:color="auto"/>
        <w:left w:val="none" w:sz="0" w:space="0" w:color="auto"/>
        <w:bottom w:val="none" w:sz="0" w:space="0" w:color="auto"/>
        <w:right w:val="none" w:sz="0" w:space="0" w:color="auto"/>
      </w:divBdr>
    </w:div>
    <w:div w:id="312879238">
      <w:bodyDiv w:val="1"/>
      <w:marLeft w:val="0"/>
      <w:marRight w:val="0"/>
      <w:marTop w:val="0"/>
      <w:marBottom w:val="0"/>
      <w:divBdr>
        <w:top w:val="none" w:sz="0" w:space="0" w:color="auto"/>
        <w:left w:val="none" w:sz="0" w:space="0" w:color="auto"/>
        <w:bottom w:val="none" w:sz="0" w:space="0" w:color="auto"/>
        <w:right w:val="none" w:sz="0" w:space="0" w:color="auto"/>
      </w:divBdr>
    </w:div>
    <w:div w:id="314573537">
      <w:bodyDiv w:val="1"/>
      <w:marLeft w:val="0"/>
      <w:marRight w:val="0"/>
      <w:marTop w:val="0"/>
      <w:marBottom w:val="0"/>
      <w:divBdr>
        <w:top w:val="none" w:sz="0" w:space="0" w:color="auto"/>
        <w:left w:val="none" w:sz="0" w:space="0" w:color="auto"/>
        <w:bottom w:val="none" w:sz="0" w:space="0" w:color="auto"/>
        <w:right w:val="none" w:sz="0" w:space="0" w:color="auto"/>
      </w:divBdr>
    </w:div>
    <w:div w:id="335234541">
      <w:bodyDiv w:val="1"/>
      <w:marLeft w:val="0"/>
      <w:marRight w:val="0"/>
      <w:marTop w:val="0"/>
      <w:marBottom w:val="0"/>
      <w:divBdr>
        <w:top w:val="none" w:sz="0" w:space="0" w:color="auto"/>
        <w:left w:val="none" w:sz="0" w:space="0" w:color="auto"/>
        <w:bottom w:val="none" w:sz="0" w:space="0" w:color="auto"/>
        <w:right w:val="none" w:sz="0" w:space="0" w:color="auto"/>
      </w:divBdr>
    </w:div>
    <w:div w:id="367535513">
      <w:bodyDiv w:val="1"/>
      <w:marLeft w:val="0"/>
      <w:marRight w:val="0"/>
      <w:marTop w:val="0"/>
      <w:marBottom w:val="0"/>
      <w:divBdr>
        <w:top w:val="none" w:sz="0" w:space="0" w:color="auto"/>
        <w:left w:val="none" w:sz="0" w:space="0" w:color="auto"/>
        <w:bottom w:val="none" w:sz="0" w:space="0" w:color="auto"/>
        <w:right w:val="none" w:sz="0" w:space="0" w:color="auto"/>
      </w:divBdr>
    </w:div>
    <w:div w:id="399593775">
      <w:bodyDiv w:val="1"/>
      <w:marLeft w:val="0"/>
      <w:marRight w:val="0"/>
      <w:marTop w:val="0"/>
      <w:marBottom w:val="0"/>
      <w:divBdr>
        <w:top w:val="none" w:sz="0" w:space="0" w:color="auto"/>
        <w:left w:val="none" w:sz="0" w:space="0" w:color="auto"/>
        <w:bottom w:val="none" w:sz="0" w:space="0" w:color="auto"/>
        <w:right w:val="none" w:sz="0" w:space="0" w:color="auto"/>
      </w:divBdr>
    </w:div>
    <w:div w:id="436290071">
      <w:bodyDiv w:val="1"/>
      <w:marLeft w:val="0"/>
      <w:marRight w:val="0"/>
      <w:marTop w:val="0"/>
      <w:marBottom w:val="0"/>
      <w:divBdr>
        <w:top w:val="none" w:sz="0" w:space="0" w:color="auto"/>
        <w:left w:val="none" w:sz="0" w:space="0" w:color="auto"/>
        <w:bottom w:val="none" w:sz="0" w:space="0" w:color="auto"/>
        <w:right w:val="none" w:sz="0" w:space="0" w:color="auto"/>
      </w:divBdr>
    </w:div>
    <w:div w:id="443617191">
      <w:bodyDiv w:val="1"/>
      <w:marLeft w:val="0"/>
      <w:marRight w:val="0"/>
      <w:marTop w:val="0"/>
      <w:marBottom w:val="0"/>
      <w:divBdr>
        <w:top w:val="none" w:sz="0" w:space="0" w:color="auto"/>
        <w:left w:val="none" w:sz="0" w:space="0" w:color="auto"/>
        <w:bottom w:val="none" w:sz="0" w:space="0" w:color="auto"/>
        <w:right w:val="none" w:sz="0" w:space="0" w:color="auto"/>
      </w:divBdr>
    </w:div>
    <w:div w:id="458499325">
      <w:bodyDiv w:val="1"/>
      <w:marLeft w:val="0"/>
      <w:marRight w:val="0"/>
      <w:marTop w:val="0"/>
      <w:marBottom w:val="0"/>
      <w:divBdr>
        <w:top w:val="none" w:sz="0" w:space="0" w:color="auto"/>
        <w:left w:val="none" w:sz="0" w:space="0" w:color="auto"/>
        <w:bottom w:val="none" w:sz="0" w:space="0" w:color="auto"/>
        <w:right w:val="none" w:sz="0" w:space="0" w:color="auto"/>
      </w:divBdr>
    </w:div>
    <w:div w:id="477456726">
      <w:bodyDiv w:val="1"/>
      <w:marLeft w:val="0"/>
      <w:marRight w:val="0"/>
      <w:marTop w:val="0"/>
      <w:marBottom w:val="0"/>
      <w:divBdr>
        <w:top w:val="none" w:sz="0" w:space="0" w:color="auto"/>
        <w:left w:val="none" w:sz="0" w:space="0" w:color="auto"/>
        <w:bottom w:val="none" w:sz="0" w:space="0" w:color="auto"/>
        <w:right w:val="none" w:sz="0" w:space="0" w:color="auto"/>
      </w:divBdr>
    </w:div>
    <w:div w:id="479730939">
      <w:bodyDiv w:val="1"/>
      <w:marLeft w:val="0"/>
      <w:marRight w:val="0"/>
      <w:marTop w:val="0"/>
      <w:marBottom w:val="0"/>
      <w:divBdr>
        <w:top w:val="none" w:sz="0" w:space="0" w:color="auto"/>
        <w:left w:val="none" w:sz="0" w:space="0" w:color="auto"/>
        <w:bottom w:val="none" w:sz="0" w:space="0" w:color="auto"/>
        <w:right w:val="none" w:sz="0" w:space="0" w:color="auto"/>
      </w:divBdr>
    </w:div>
    <w:div w:id="480583097">
      <w:bodyDiv w:val="1"/>
      <w:marLeft w:val="0"/>
      <w:marRight w:val="0"/>
      <w:marTop w:val="0"/>
      <w:marBottom w:val="0"/>
      <w:divBdr>
        <w:top w:val="none" w:sz="0" w:space="0" w:color="auto"/>
        <w:left w:val="none" w:sz="0" w:space="0" w:color="auto"/>
        <w:bottom w:val="none" w:sz="0" w:space="0" w:color="auto"/>
        <w:right w:val="none" w:sz="0" w:space="0" w:color="auto"/>
      </w:divBdr>
    </w:div>
    <w:div w:id="602345578">
      <w:bodyDiv w:val="1"/>
      <w:marLeft w:val="0"/>
      <w:marRight w:val="0"/>
      <w:marTop w:val="0"/>
      <w:marBottom w:val="0"/>
      <w:divBdr>
        <w:top w:val="none" w:sz="0" w:space="0" w:color="auto"/>
        <w:left w:val="none" w:sz="0" w:space="0" w:color="auto"/>
        <w:bottom w:val="none" w:sz="0" w:space="0" w:color="auto"/>
        <w:right w:val="none" w:sz="0" w:space="0" w:color="auto"/>
      </w:divBdr>
    </w:div>
    <w:div w:id="614335699">
      <w:bodyDiv w:val="1"/>
      <w:marLeft w:val="0"/>
      <w:marRight w:val="0"/>
      <w:marTop w:val="0"/>
      <w:marBottom w:val="0"/>
      <w:divBdr>
        <w:top w:val="none" w:sz="0" w:space="0" w:color="auto"/>
        <w:left w:val="none" w:sz="0" w:space="0" w:color="auto"/>
        <w:bottom w:val="none" w:sz="0" w:space="0" w:color="auto"/>
        <w:right w:val="none" w:sz="0" w:space="0" w:color="auto"/>
      </w:divBdr>
      <w:divsChild>
        <w:div w:id="169103599">
          <w:marLeft w:val="0"/>
          <w:marRight w:val="0"/>
          <w:marTop w:val="0"/>
          <w:marBottom w:val="0"/>
          <w:divBdr>
            <w:top w:val="none" w:sz="0" w:space="0" w:color="auto"/>
            <w:left w:val="none" w:sz="0" w:space="0" w:color="auto"/>
            <w:bottom w:val="none" w:sz="0" w:space="0" w:color="auto"/>
            <w:right w:val="none" w:sz="0" w:space="0" w:color="auto"/>
          </w:divBdr>
          <w:divsChild>
            <w:div w:id="1657537460">
              <w:marLeft w:val="0"/>
              <w:marRight w:val="0"/>
              <w:marTop w:val="0"/>
              <w:marBottom w:val="0"/>
              <w:divBdr>
                <w:top w:val="none" w:sz="0" w:space="0" w:color="auto"/>
                <w:left w:val="none" w:sz="0" w:space="0" w:color="auto"/>
                <w:bottom w:val="none" w:sz="0" w:space="0" w:color="auto"/>
                <w:right w:val="none" w:sz="0" w:space="0" w:color="auto"/>
              </w:divBdr>
              <w:divsChild>
                <w:div w:id="570627474">
                  <w:marLeft w:val="0"/>
                  <w:marRight w:val="0"/>
                  <w:marTop w:val="0"/>
                  <w:marBottom w:val="0"/>
                  <w:divBdr>
                    <w:top w:val="none" w:sz="0" w:space="0" w:color="auto"/>
                    <w:left w:val="none" w:sz="0" w:space="0" w:color="auto"/>
                    <w:bottom w:val="none" w:sz="0" w:space="0" w:color="auto"/>
                    <w:right w:val="none" w:sz="0" w:space="0" w:color="auto"/>
                  </w:divBdr>
                  <w:divsChild>
                    <w:div w:id="307905164">
                      <w:marLeft w:val="0"/>
                      <w:marRight w:val="0"/>
                      <w:marTop w:val="0"/>
                      <w:marBottom w:val="150"/>
                      <w:divBdr>
                        <w:top w:val="none" w:sz="0" w:space="0" w:color="auto"/>
                        <w:left w:val="none" w:sz="0" w:space="0" w:color="auto"/>
                        <w:bottom w:val="none" w:sz="0" w:space="0" w:color="auto"/>
                        <w:right w:val="none" w:sz="0" w:space="0" w:color="auto"/>
                      </w:divBdr>
                      <w:divsChild>
                        <w:div w:id="260845812">
                          <w:marLeft w:val="0"/>
                          <w:marRight w:val="0"/>
                          <w:marTop w:val="0"/>
                          <w:marBottom w:val="0"/>
                          <w:divBdr>
                            <w:top w:val="none" w:sz="0" w:space="0" w:color="auto"/>
                            <w:left w:val="none" w:sz="0" w:space="0" w:color="auto"/>
                            <w:bottom w:val="none" w:sz="0" w:space="0" w:color="auto"/>
                            <w:right w:val="none" w:sz="0" w:space="0" w:color="auto"/>
                          </w:divBdr>
                          <w:divsChild>
                            <w:div w:id="1151367747">
                              <w:marLeft w:val="0"/>
                              <w:marRight w:val="0"/>
                              <w:marTop w:val="0"/>
                              <w:marBottom w:val="0"/>
                              <w:divBdr>
                                <w:top w:val="none" w:sz="0" w:space="0" w:color="auto"/>
                                <w:left w:val="none" w:sz="0" w:space="0" w:color="auto"/>
                                <w:bottom w:val="none" w:sz="0" w:space="0" w:color="auto"/>
                                <w:right w:val="none" w:sz="0" w:space="0" w:color="auto"/>
                              </w:divBdr>
                            </w:div>
                          </w:divsChild>
                        </w:div>
                        <w:div w:id="663093265">
                          <w:marLeft w:val="0"/>
                          <w:marRight w:val="0"/>
                          <w:marTop w:val="0"/>
                          <w:marBottom w:val="0"/>
                          <w:divBdr>
                            <w:top w:val="none" w:sz="0" w:space="0" w:color="auto"/>
                            <w:left w:val="none" w:sz="0" w:space="0" w:color="auto"/>
                            <w:bottom w:val="none" w:sz="0" w:space="0" w:color="auto"/>
                            <w:right w:val="none" w:sz="0" w:space="0" w:color="auto"/>
                          </w:divBdr>
                          <w:divsChild>
                            <w:div w:id="1701781777">
                              <w:marLeft w:val="0"/>
                              <w:marRight w:val="0"/>
                              <w:marTop w:val="0"/>
                              <w:marBottom w:val="0"/>
                              <w:divBdr>
                                <w:top w:val="none" w:sz="0" w:space="0" w:color="auto"/>
                                <w:left w:val="none" w:sz="0" w:space="0" w:color="auto"/>
                                <w:bottom w:val="none" w:sz="0" w:space="0" w:color="auto"/>
                                <w:right w:val="none" w:sz="0" w:space="0" w:color="auto"/>
                              </w:divBdr>
                              <w:divsChild>
                                <w:div w:id="4023693">
                                  <w:marLeft w:val="0"/>
                                  <w:marRight w:val="0"/>
                                  <w:marTop w:val="0"/>
                                  <w:marBottom w:val="0"/>
                                  <w:divBdr>
                                    <w:top w:val="none" w:sz="0" w:space="0" w:color="auto"/>
                                    <w:left w:val="none" w:sz="0" w:space="0" w:color="auto"/>
                                    <w:bottom w:val="none" w:sz="0" w:space="0" w:color="auto"/>
                                    <w:right w:val="none" w:sz="0" w:space="0" w:color="auto"/>
                                  </w:divBdr>
                                  <w:divsChild>
                                    <w:div w:id="1257399937">
                                      <w:marLeft w:val="0"/>
                                      <w:marRight w:val="0"/>
                                      <w:marTop w:val="0"/>
                                      <w:marBottom w:val="0"/>
                                      <w:divBdr>
                                        <w:top w:val="none" w:sz="0" w:space="0" w:color="auto"/>
                                        <w:left w:val="none" w:sz="0" w:space="0" w:color="auto"/>
                                        <w:bottom w:val="none" w:sz="0" w:space="0" w:color="auto"/>
                                        <w:right w:val="none" w:sz="0" w:space="0" w:color="auto"/>
                                      </w:divBdr>
                                    </w:div>
                                  </w:divsChild>
                                </w:div>
                                <w:div w:id="2145538834">
                                  <w:marLeft w:val="0"/>
                                  <w:marRight w:val="120"/>
                                  <w:marTop w:val="0"/>
                                  <w:marBottom w:val="0"/>
                                  <w:divBdr>
                                    <w:top w:val="none" w:sz="0" w:space="0" w:color="auto"/>
                                    <w:left w:val="none" w:sz="0" w:space="0" w:color="auto"/>
                                    <w:bottom w:val="none" w:sz="0" w:space="0" w:color="auto"/>
                                    <w:right w:val="none" w:sz="0" w:space="0" w:color="auto"/>
                                  </w:divBdr>
                                  <w:divsChild>
                                    <w:div w:id="1405833632">
                                      <w:marLeft w:val="0"/>
                                      <w:marRight w:val="0"/>
                                      <w:marTop w:val="0"/>
                                      <w:marBottom w:val="0"/>
                                      <w:divBdr>
                                        <w:top w:val="none" w:sz="0" w:space="0" w:color="auto"/>
                                        <w:left w:val="none" w:sz="0" w:space="0" w:color="auto"/>
                                        <w:bottom w:val="none" w:sz="0" w:space="0" w:color="auto"/>
                                        <w:right w:val="none" w:sz="0" w:space="0" w:color="auto"/>
                                      </w:divBdr>
                                      <w:divsChild>
                                        <w:div w:id="1044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256394">
                      <w:marLeft w:val="0"/>
                      <w:marRight w:val="0"/>
                      <w:marTop w:val="0"/>
                      <w:marBottom w:val="150"/>
                      <w:divBdr>
                        <w:top w:val="none" w:sz="0" w:space="0" w:color="auto"/>
                        <w:left w:val="none" w:sz="0" w:space="0" w:color="auto"/>
                        <w:bottom w:val="none" w:sz="0" w:space="0" w:color="auto"/>
                        <w:right w:val="none" w:sz="0" w:space="0" w:color="auto"/>
                      </w:divBdr>
                      <w:divsChild>
                        <w:div w:id="465926904">
                          <w:marLeft w:val="0"/>
                          <w:marRight w:val="0"/>
                          <w:marTop w:val="0"/>
                          <w:marBottom w:val="0"/>
                          <w:divBdr>
                            <w:top w:val="none" w:sz="0" w:space="0" w:color="auto"/>
                            <w:left w:val="none" w:sz="0" w:space="0" w:color="auto"/>
                            <w:bottom w:val="none" w:sz="0" w:space="0" w:color="auto"/>
                            <w:right w:val="none" w:sz="0" w:space="0" w:color="auto"/>
                          </w:divBdr>
                          <w:divsChild>
                            <w:div w:id="418871862">
                              <w:marLeft w:val="0"/>
                              <w:marRight w:val="0"/>
                              <w:marTop w:val="0"/>
                              <w:marBottom w:val="0"/>
                              <w:divBdr>
                                <w:top w:val="none" w:sz="0" w:space="0" w:color="auto"/>
                                <w:left w:val="none" w:sz="0" w:space="0" w:color="auto"/>
                                <w:bottom w:val="none" w:sz="0" w:space="0" w:color="auto"/>
                                <w:right w:val="none" w:sz="0" w:space="0" w:color="auto"/>
                              </w:divBdr>
                            </w:div>
                          </w:divsChild>
                        </w:div>
                        <w:div w:id="1642072444">
                          <w:marLeft w:val="0"/>
                          <w:marRight w:val="0"/>
                          <w:marTop w:val="0"/>
                          <w:marBottom w:val="0"/>
                          <w:divBdr>
                            <w:top w:val="none" w:sz="0" w:space="0" w:color="auto"/>
                            <w:left w:val="none" w:sz="0" w:space="0" w:color="auto"/>
                            <w:bottom w:val="none" w:sz="0" w:space="0" w:color="auto"/>
                            <w:right w:val="none" w:sz="0" w:space="0" w:color="auto"/>
                          </w:divBdr>
                          <w:divsChild>
                            <w:div w:id="348143660">
                              <w:marLeft w:val="0"/>
                              <w:marRight w:val="0"/>
                              <w:marTop w:val="0"/>
                              <w:marBottom w:val="0"/>
                              <w:divBdr>
                                <w:top w:val="none" w:sz="0" w:space="0" w:color="auto"/>
                                <w:left w:val="none" w:sz="0" w:space="0" w:color="auto"/>
                                <w:bottom w:val="none" w:sz="0" w:space="0" w:color="auto"/>
                                <w:right w:val="none" w:sz="0" w:space="0" w:color="auto"/>
                              </w:divBdr>
                              <w:divsChild>
                                <w:div w:id="1018118566">
                                  <w:marLeft w:val="0"/>
                                  <w:marRight w:val="120"/>
                                  <w:marTop w:val="0"/>
                                  <w:marBottom w:val="0"/>
                                  <w:divBdr>
                                    <w:top w:val="none" w:sz="0" w:space="0" w:color="auto"/>
                                    <w:left w:val="none" w:sz="0" w:space="0" w:color="auto"/>
                                    <w:bottom w:val="none" w:sz="0" w:space="0" w:color="auto"/>
                                    <w:right w:val="none" w:sz="0" w:space="0" w:color="auto"/>
                                  </w:divBdr>
                                  <w:divsChild>
                                    <w:div w:id="1608540936">
                                      <w:marLeft w:val="0"/>
                                      <w:marRight w:val="0"/>
                                      <w:marTop w:val="0"/>
                                      <w:marBottom w:val="0"/>
                                      <w:divBdr>
                                        <w:top w:val="none" w:sz="0" w:space="0" w:color="auto"/>
                                        <w:left w:val="none" w:sz="0" w:space="0" w:color="auto"/>
                                        <w:bottom w:val="none" w:sz="0" w:space="0" w:color="auto"/>
                                        <w:right w:val="none" w:sz="0" w:space="0" w:color="auto"/>
                                      </w:divBdr>
                                      <w:divsChild>
                                        <w:div w:id="12572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1764">
                                  <w:marLeft w:val="0"/>
                                  <w:marRight w:val="0"/>
                                  <w:marTop w:val="0"/>
                                  <w:marBottom w:val="0"/>
                                  <w:divBdr>
                                    <w:top w:val="none" w:sz="0" w:space="0" w:color="auto"/>
                                    <w:left w:val="none" w:sz="0" w:space="0" w:color="auto"/>
                                    <w:bottom w:val="none" w:sz="0" w:space="0" w:color="auto"/>
                                    <w:right w:val="none" w:sz="0" w:space="0" w:color="auto"/>
                                  </w:divBdr>
                                  <w:divsChild>
                                    <w:div w:id="4174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6780">
                      <w:marLeft w:val="0"/>
                      <w:marRight w:val="0"/>
                      <w:marTop w:val="0"/>
                      <w:marBottom w:val="150"/>
                      <w:divBdr>
                        <w:top w:val="none" w:sz="0" w:space="0" w:color="auto"/>
                        <w:left w:val="none" w:sz="0" w:space="0" w:color="auto"/>
                        <w:bottom w:val="none" w:sz="0" w:space="0" w:color="auto"/>
                        <w:right w:val="none" w:sz="0" w:space="0" w:color="auto"/>
                      </w:divBdr>
                      <w:divsChild>
                        <w:div w:id="1513030931">
                          <w:marLeft w:val="0"/>
                          <w:marRight w:val="0"/>
                          <w:marTop w:val="0"/>
                          <w:marBottom w:val="0"/>
                          <w:divBdr>
                            <w:top w:val="none" w:sz="0" w:space="0" w:color="auto"/>
                            <w:left w:val="none" w:sz="0" w:space="0" w:color="auto"/>
                            <w:bottom w:val="none" w:sz="0" w:space="0" w:color="auto"/>
                            <w:right w:val="none" w:sz="0" w:space="0" w:color="auto"/>
                          </w:divBdr>
                          <w:divsChild>
                            <w:div w:id="2032874165">
                              <w:marLeft w:val="0"/>
                              <w:marRight w:val="0"/>
                              <w:marTop w:val="0"/>
                              <w:marBottom w:val="0"/>
                              <w:divBdr>
                                <w:top w:val="none" w:sz="0" w:space="0" w:color="auto"/>
                                <w:left w:val="none" w:sz="0" w:space="0" w:color="auto"/>
                                <w:bottom w:val="none" w:sz="0" w:space="0" w:color="auto"/>
                                <w:right w:val="none" w:sz="0" w:space="0" w:color="auto"/>
                              </w:divBdr>
                            </w:div>
                          </w:divsChild>
                        </w:div>
                        <w:div w:id="1990010304">
                          <w:marLeft w:val="0"/>
                          <w:marRight w:val="0"/>
                          <w:marTop w:val="0"/>
                          <w:marBottom w:val="0"/>
                          <w:divBdr>
                            <w:top w:val="none" w:sz="0" w:space="0" w:color="auto"/>
                            <w:left w:val="none" w:sz="0" w:space="0" w:color="auto"/>
                            <w:bottom w:val="none" w:sz="0" w:space="0" w:color="auto"/>
                            <w:right w:val="none" w:sz="0" w:space="0" w:color="auto"/>
                          </w:divBdr>
                          <w:divsChild>
                            <w:div w:id="1201628554">
                              <w:marLeft w:val="0"/>
                              <w:marRight w:val="0"/>
                              <w:marTop w:val="0"/>
                              <w:marBottom w:val="0"/>
                              <w:divBdr>
                                <w:top w:val="none" w:sz="0" w:space="0" w:color="auto"/>
                                <w:left w:val="none" w:sz="0" w:space="0" w:color="auto"/>
                                <w:bottom w:val="none" w:sz="0" w:space="0" w:color="auto"/>
                                <w:right w:val="none" w:sz="0" w:space="0" w:color="auto"/>
                              </w:divBdr>
                              <w:divsChild>
                                <w:div w:id="321738232">
                                  <w:marLeft w:val="0"/>
                                  <w:marRight w:val="120"/>
                                  <w:marTop w:val="0"/>
                                  <w:marBottom w:val="0"/>
                                  <w:divBdr>
                                    <w:top w:val="none" w:sz="0" w:space="0" w:color="auto"/>
                                    <w:left w:val="none" w:sz="0" w:space="0" w:color="auto"/>
                                    <w:bottom w:val="none" w:sz="0" w:space="0" w:color="auto"/>
                                    <w:right w:val="none" w:sz="0" w:space="0" w:color="auto"/>
                                  </w:divBdr>
                                  <w:divsChild>
                                    <w:div w:id="673731503">
                                      <w:marLeft w:val="0"/>
                                      <w:marRight w:val="0"/>
                                      <w:marTop w:val="0"/>
                                      <w:marBottom w:val="0"/>
                                      <w:divBdr>
                                        <w:top w:val="none" w:sz="0" w:space="0" w:color="auto"/>
                                        <w:left w:val="none" w:sz="0" w:space="0" w:color="auto"/>
                                        <w:bottom w:val="none" w:sz="0" w:space="0" w:color="auto"/>
                                        <w:right w:val="none" w:sz="0" w:space="0" w:color="auto"/>
                                      </w:divBdr>
                                      <w:divsChild>
                                        <w:div w:id="2131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485">
                                  <w:marLeft w:val="0"/>
                                  <w:marRight w:val="0"/>
                                  <w:marTop w:val="0"/>
                                  <w:marBottom w:val="0"/>
                                  <w:divBdr>
                                    <w:top w:val="none" w:sz="0" w:space="0" w:color="auto"/>
                                    <w:left w:val="none" w:sz="0" w:space="0" w:color="auto"/>
                                    <w:bottom w:val="none" w:sz="0" w:space="0" w:color="auto"/>
                                    <w:right w:val="none" w:sz="0" w:space="0" w:color="auto"/>
                                  </w:divBdr>
                                  <w:divsChild>
                                    <w:div w:id="21473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1323">
                      <w:marLeft w:val="0"/>
                      <w:marRight w:val="0"/>
                      <w:marTop w:val="0"/>
                      <w:marBottom w:val="150"/>
                      <w:divBdr>
                        <w:top w:val="none" w:sz="0" w:space="0" w:color="auto"/>
                        <w:left w:val="none" w:sz="0" w:space="0" w:color="auto"/>
                        <w:bottom w:val="none" w:sz="0" w:space="0" w:color="auto"/>
                        <w:right w:val="none" w:sz="0" w:space="0" w:color="auto"/>
                      </w:divBdr>
                      <w:divsChild>
                        <w:div w:id="1256013440">
                          <w:marLeft w:val="0"/>
                          <w:marRight w:val="0"/>
                          <w:marTop w:val="0"/>
                          <w:marBottom w:val="0"/>
                          <w:divBdr>
                            <w:top w:val="none" w:sz="0" w:space="0" w:color="auto"/>
                            <w:left w:val="none" w:sz="0" w:space="0" w:color="auto"/>
                            <w:bottom w:val="none" w:sz="0" w:space="0" w:color="auto"/>
                            <w:right w:val="none" w:sz="0" w:space="0" w:color="auto"/>
                          </w:divBdr>
                          <w:divsChild>
                            <w:div w:id="706106683">
                              <w:marLeft w:val="0"/>
                              <w:marRight w:val="0"/>
                              <w:marTop w:val="0"/>
                              <w:marBottom w:val="0"/>
                              <w:divBdr>
                                <w:top w:val="none" w:sz="0" w:space="0" w:color="auto"/>
                                <w:left w:val="none" w:sz="0" w:space="0" w:color="auto"/>
                                <w:bottom w:val="none" w:sz="0" w:space="0" w:color="auto"/>
                                <w:right w:val="none" w:sz="0" w:space="0" w:color="auto"/>
                              </w:divBdr>
                            </w:div>
                          </w:divsChild>
                        </w:div>
                        <w:div w:id="2017069819">
                          <w:marLeft w:val="0"/>
                          <w:marRight w:val="0"/>
                          <w:marTop w:val="0"/>
                          <w:marBottom w:val="0"/>
                          <w:divBdr>
                            <w:top w:val="none" w:sz="0" w:space="0" w:color="auto"/>
                            <w:left w:val="none" w:sz="0" w:space="0" w:color="auto"/>
                            <w:bottom w:val="none" w:sz="0" w:space="0" w:color="auto"/>
                            <w:right w:val="none" w:sz="0" w:space="0" w:color="auto"/>
                          </w:divBdr>
                          <w:divsChild>
                            <w:div w:id="1756047536">
                              <w:marLeft w:val="0"/>
                              <w:marRight w:val="0"/>
                              <w:marTop w:val="0"/>
                              <w:marBottom w:val="0"/>
                              <w:divBdr>
                                <w:top w:val="none" w:sz="0" w:space="0" w:color="auto"/>
                                <w:left w:val="none" w:sz="0" w:space="0" w:color="auto"/>
                                <w:bottom w:val="none" w:sz="0" w:space="0" w:color="auto"/>
                                <w:right w:val="none" w:sz="0" w:space="0" w:color="auto"/>
                              </w:divBdr>
                              <w:divsChild>
                                <w:div w:id="554195033">
                                  <w:marLeft w:val="0"/>
                                  <w:marRight w:val="0"/>
                                  <w:marTop w:val="0"/>
                                  <w:marBottom w:val="0"/>
                                  <w:divBdr>
                                    <w:top w:val="none" w:sz="0" w:space="0" w:color="auto"/>
                                    <w:left w:val="none" w:sz="0" w:space="0" w:color="auto"/>
                                    <w:bottom w:val="none" w:sz="0" w:space="0" w:color="auto"/>
                                    <w:right w:val="none" w:sz="0" w:space="0" w:color="auto"/>
                                  </w:divBdr>
                                  <w:divsChild>
                                    <w:div w:id="141164822">
                                      <w:marLeft w:val="0"/>
                                      <w:marRight w:val="0"/>
                                      <w:marTop w:val="0"/>
                                      <w:marBottom w:val="0"/>
                                      <w:divBdr>
                                        <w:top w:val="none" w:sz="0" w:space="0" w:color="auto"/>
                                        <w:left w:val="none" w:sz="0" w:space="0" w:color="auto"/>
                                        <w:bottom w:val="none" w:sz="0" w:space="0" w:color="auto"/>
                                        <w:right w:val="none" w:sz="0" w:space="0" w:color="auto"/>
                                      </w:divBdr>
                                    </w:div>
                                  </w:divsChild>
                                </w:div>
                                <w:div w:id="1246183362">
                                  <w:marLeft w:val="0"/>
                                  <w:marRight w:val="120"/>
                                  <w:marTop w:val="0"/>
                                  <w:marBottom w:val="0"/>
                                  <w:divBdr>
                                    <w:top w:val="none" w:sz="0" w:space="0" w:color="auto"/>
                                    <w:left w:val="none" w:sz="0" w:space="0" w:color="auto"/>
                                    <w:bottom w:val="none" w:sz="0" w:space="0" w:color="auto"/>
                                    <w:right w:val="none" w:sz="0" w:space="0" w:color="auto"/>
                                  </w:divBdr>
                                  <w:divsChild>
                                    <w:div w:id="748693288">
                                      <w:marLeft w:val="0"/>
                                      <w:marRight w:val="0"/>
                                      <w:marTop w:val="0"/>
                                      <w:marBottom w:val="0"/>
                                      <w:divBdr>
                                        <w:top w:val="none" w:sz="0" w:space="0" w:color="auto"/>
                                        <w:left w:val="none" w:sz="0" w:space="0" w:color="auto"/>
                                        <w:bottom w:val="none" w:sz="0" w:space="0" w:color="auto"/>
                                        <w:right w:val="none" w:sz="0" w:space="0" w:color="auto"/>
                                      </w:divBdr>
                                      <w:divsChild>
                                        <w:div w:id="14227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35592">
                      <w:marLeft w:val="0"/>
                      <w:marRight w:val="0"/>
                      <w:marTop w:val="0"/>
                      <w:marBottom w:val="150"/>
                      <w:divBdr>
                        <w:top w:val="none" w:sz="0" w:space="0" w:color="auto"/>
                        <w:left w:val="none" w:sz="0" w:space="0" w:color="auto"/>
                        <w:bottom w:val="none" w:sz="0" w:space="0" w:color="auto"/>
                        <w:right w:val="none" w:sz="0" w:space="0" w:color="auto"/>
                      </w:divBdr>
                      <w:divsChild>
                        <w:div w:id="44184362">
                          <w:marLeft w:val="0"/>
                          <w:marRight w:val="0"/>
                          <w:marTop w:val="0"/>
                          <w:marBottom w:val="0"/>
                          <w:divBdr>
                            <w:top w:val="none" w:sz="0" w:space="0" w:color="auto"/>
                            <w:left w:val="none" w:sz="0" w:space="0" w:color="auto"/>
                            <w:bottom w:val="none" w:sz="0" w:space="0" w:color="auto"/>
                            <w:right w:val="none" w:sz="0" w:space="0" w:color="auto"/>
                          </w:divBdr>
                          <w:divsChild>
                            <w:div w:id="1866558995">
                              <w:marLeft w:val="0"/>
                              <w:marRight w:val="0"/>
                              <w:marTop w:val="0"/>
                              <w:marBottom w:val="0"/>
                              <w:divBdr>
                                <w:top w:val="none" w:sz="0" w:space="0" w:color="auto"/>
                                <w:left w:val="none" w:sz="0" w:space="0" w:color="auto"/>
                                <w:bottom w:val="none" w:sz="0" w:space="0" w:color="auto"/>
                                <w:right w:val="none" w:sz="0" w:space="0" w:color="auto"/>
                              </w:divBdr>
                            </w:div>
                          </w:divsChild>
                        </w:div>
                        <w:div w:id="2134053288">
                          <w:marLeft w:val="0"/>
                          <w:marRight w:val="0"/>
                          <w:marTop w:val="0"/>
                          <w:marBottom w:val="0"/>
                          <w:divBdr>
                            <w:top w:val="none" w:sz="0" w:space="0" w:color="auto"/>
                            <w:left w:val="none" w:sz="0" w:space="0" w:color="auto"/>
                            <w:bottom w:val="none" w:sz="0" w:space="0" w:color="auto"/>
                            <w:right w:val="none" w:sz="0" w:space="0" w:color="auto"/>
                          </w:divBdr>
                          <w:divsChild>
                            <w:div w:id="2099329188">
                              <w:marLeft w:val="0"/>
                              <w:marRight w:val="0"/>
                              <w:marTop w:val="0"/>
                              <w:marBottom w:val="0"/>
                              <w:divBdr>
                                <w:top w:val="none" w:sz="0" w:space="0" w:color="auto"/>
                                <w:left w:val="none" w:sz="0" w:space="0" w:color="auto"/>
                                <w:bottom w:val="none" w:sz="0" w:space="0" w:color="auto"/>
                                <w:right w:val="none" w:sz="0" w:space="0" w:color="auto"/>
                              </w:divBdr>
                              <w:divsChild>
                                <w:div w:id="964390769">
                                  <w:marLeft w:val="0"/>
                                  <w:marRight w:val="0"/>
                                  <w:marTop w:val="0"/>
                                  <w:marBottom w:val="0"/>
                                  <w:divBdr>
                                    <w:top w:val="none" w:sz="0" w:space="0" w:color="auto"/>
                                    <w:left w:val="none" w:sz="0" w:space="0" w:color="auto"/>
                                    <w:bottom w:val="none" w:sz="0" w:space="0" w:color="auto"/>
                                    <w:right w:val="none" w:sz="0" w:space="0" w:color="auto"/>
                                  </w:divBdr>
                                  <w:divsChild>
                                    <w:div w:id="1131822199">
                                      <w:marLeft w:val="0"/>
                                      <w:marRight w:val="0"/>
                                      <w:marTop w:val="0"/>
                                      <w:marBottom w:val="0"/>
                                      <w:divBdr>
                                        <w:top w:val="none" w:sz="0" w:space="0" w:color="auto"/>
                                        <w:left w:val="none" w:sz="0" w:space="0" w:color="auto"/>
                                        <w:bottom w:val="none" w:sz="0" w:space="0" w:color="auto"/>
                                        <w:right w:val="none" w:sz="0" w:space="0" w:color="auto"/>
                                      </w:divBdr>
                                    </w:div>
                                  </w:divsChild>
                                </w:div>
                                <w:div w:id="1912932176">
                                  <w:marLeft w:val="0"/>
                                  <w:marRight w:val="120"/>
                                  <w:marTop w:val="0"/>
                                  <w:marBottom w:val="0"/>
                                  <w:divBdr>
                                    <w:top w:val="none" w:sz="0" w:space="0" w:color="auto"/>
                                    <w:left w:val="none" w:sz="0" w:space="0" w:color="auto"/>
                                    <w:bottom w:val="none" w:sz="0" w:space="0" w:color="auto"/>
                                    <w:right w:val="none" w:sz="0" w:space="0" w:color="auto"/>
                                  </w:divBdr>
                                  <w:divsChild>
                                    <w:div w:id="246161390">
                                      <w:marLeft w:val="0"/>
                                      <w:marRight w:val="0"/>
                                      <w:marTop w:val="0"/>
                                      <w:marBottom w:val="0"/>
                                      <w:divBdr>
                                        <w:top w:val="none" w:sz="0" w:space="0" w:color="auto"/>
                                        <w:left w:val="none" w:sz="0" w:space="0" w:color="auto"/>
                                        <w:bottom w:val="none" w:sz="0" w:space="0" w:color="auto"/>
                                        <w:right w:val="none" w:sz="0" w:space="0" w:color="auto"/>
                                      </w:divBdr>
                                      <w:divsChild>
                                        <w:div w:id="2214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1612">
                  <w:marLeft w:val="0"/>
                  <w:marRight w:val="0"/>
                  <w:marTop w:val="30"/>
                  <w:marBottom w:val="315"/>
                  <w:divBdr>
                    <w:top w:val="none" w:sz="0" w:space="0" w:color="auto"/>
                    <w:left w:val="none" w:sz="0" w:space="0" w:color="auto"/>
                    <w:bottom w:val="none" w:sz="0" w:space="0" w:color="auto"/>
                    <w:right w:val="none" w:sz="0" w:space="0" w:color="auto"/>
                  </w:divBdr>
                  <w:divsChild>
                    <w:div w:id="538862287">
                      <w:marLeft w:val="0"/>
                      <w:marRight w:val="0"/>
                      <w:marTop w:val="0"/>
                      <w:marBottom w:val="0"/>
                      <w:divBdr>
                        <w:top w:val="none" w:sz="0" w:space="0" w:color="auto"/>
                        <w:left w:val="none" w:sz="0" w:space="0" w:color="auto"/>
                        <w:bottom w:val="none" w:sz="0" w:space="0" w:color="auto"/>
                        <w:right w:val="none" w:sz="0" w:space="0" w:color="auto"/>
                      </w:divBdr>
                      <w:divsChild>
                        <w:div w:id="5738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657">
          <w:marLeft w:val="0"/>
          <w:marRight w:val="0"/>
          <w:marTop w:val="0"/>
          <w:marBottom w:val="0"/>
          <w:divBdr>
            <w:top w:val="none" w:sz="0" w:space="0" w:color="auto"/>
            <w:left w:val="none" w:sz="0" w:space="0" w:color="auto"/>
            <w:bottom w:val="none" w:sz="0" w:space="0" w:color="auto"/>
            <w:right w:val="none" w:sz="0" w:space="0" w:color="auto"/>
          </w:divBdr>
          <w:divsChild>
            <w:div w:id="1986814854">
              <w:marLeft w:val="0"/>
              <w:marRight w:val="0"/>
              <w:marTop w:val="0"/>
              <w:marBottom w:val="0"/>
              <w:divBdr>
                <w:top w:val="none" w:sz="0" w:space="0" w:color="auto"/>
                <w:left w:val="none" w:sz="0" w:space="0" w:color="auto"/>
                <w:bottom w:val="none" w:sz="0" w:space="0" w:color="auto"/>
                <w:right w:val="none" w:sz="0" w:space="0" w:color="auto"/>
              </w:divBdr>
            </w:div>
          </w:divsChild>
        </w:div>
        <w:div w:id="1378891693">
          <w:marLeft w:val="0"/>
          <w:marRight w:val="0"/>
          <w:marTop w:val="0"/>
          <w:marBottom w:val="0"/>
          <w:divBdr>
            <w:top w:val="none" w:sz="0" w:space="0" w:color="auto"/>
            <w:left w:val="none" w:sz="0" w:space="0" w:color="auto"/>
            <w:bottom w:val="none" w:sz="0" w:space="0" w:color="auto"/>
            <w:right w:val="none" w:sz="0" w:space="0" w:color="auto"/>
          </w:divBdr>
          <w:divsChild>
            <w:div w:id="34551620">
              <w:marLeft w:val="0"/>
              <w:marRight w:val="0"/>
              <w:marTop w:val="0"/>
              <w:marBottom w:val="0"/>
              <w:divBdr>
                <w:top w:val="none" w:sz="0" w:space="0" w:color="auto"/>
                <w:left w:val="none" w:sz="0" w:space="0" w:color="auto"/>
                <w:bottom w:val="none" w:sz="0" w:space="0" w:color="auto"/>
                <w:right w:val="none" w:sz="0" w:space="0" w:color="auto"/>
              </w:divBdr>
            </w:div>
          </w:divsChild>
        </w:div>
        <w:div w:id="2050295872">
          <w:marLeft w:val="0"/>
          <w:marRight w:val="0"/>
          <w:marTop w:val="0"/>
          <w:marBottom w:val="0"/>
          <w:divBdr>
            <w:top w:val="none" w:sz="0" w:space="0" w:color="auto"/>
            <w:left w:val="none" w:sz="0" w:space="0" w:color="auto"/>
            <w:bottom w:val="none" w:sz="0" w:space="0" w:color="auto"/>
            <w:right w:val="none" w:sz="0" w:space="0" w:color="auto"/>
          </w:divBdr>
          <w:divsChild>
            <w:div w:id="683635247">
              <w:marLeft w:val="0"/>
              <w:marRight w:val="0"/>
              <w:marTop w:val="0"/>
              <w:marBottom w:val="0"/>
              <w:divBdr>
                <w:top w:val="none" w:sz="0" w:space="0" w:color="auto"/>
                <w:left w:val="none" w:sz="0" w:space="0" w:color="auto"/>
                <w:bottom w:val="none" w:sz="0" w:space="0" w:color="auto"/>
                <w:right w:val="none" w:sz="0" w:space="0" w:color="auto"/>
              </w:divBdr>
              <w:divsChild>
                <w:div w:id="38943739">
                  <w:marLeft w:val="0"/>
                  <w:marRight w:val="0"/>
                  <w:marTop w:val="0"/>
                  <w:marBottom w:val="0"/>
                  <w:divBdr>
                    <w:top w:val="none" w:sz="0" w:space="0" w:color="auto"/>
                    <w:left w:val="none" w:sz="0" w:space="0" w:color="auto"/>
                    <w:bottom w:val="none" w:sz="0" w:space="0" w:color="auto"/>
                    <w:right w:val="none" w:sz="0" w:space="0" w:color="auto"/>
                  </w:divBdr>
                </w:div>
              </w:divsChild>
            </w:div>
            <w:div w:id="2052412919">
              <w:marLeft w:val="0"/>
              <w:marRight w:val="0"/>
              <w:marTop w:val="0"/>
              <w:marBottom w:val="0"/>
              <w:divBdr>
                <w:top w:val="none" w:sz="0" w:space="0" w:color="auto"/>
                <w:left w:val="none" w:sz="0" w:space="0" w:color="auto"/>
                <w:bottom w:val="none" w:sz="0" w:space="0" w:color="auto"/>
                <w:right w:val="none" w:sz="0" w:space="0" w:color="auto"/>
              </w:divBdr>
              <w:divsChild>
                <w:div w:id="1221090250">
                  <w:marLeft w:val="0"/>
                  <w:marRight w:val="0"/>
                  <w:marTop w:val="0"/>
                  <w:marBottom w:val="0"/>
                  <w:divBdr>
                    <w:top w:val="none" w:sz="0" w:space="0" w:color="auto"/>
                    <w:left w:val="none" w:sz="0" w:space="0" w:color="auto"/>
                    <w:bottom w:val="none" w:sz="0" w:space="0" w:color="auto"/>
                    <w:right w:val="none" w:sz="0" w:space="0" w:color="auto"/>
                  </w:divBdr>
                  <w:divsChild>
                    <w:div w:id="176696468">
                      <w:marLeft w:val="0"/>
                      <w:marRight w:val="0"/>
                      <w:marTop w:val="0"/>
                      <w:marBottom w:val="0"/>
                      <w:divBdr>
                        <w:top w:val="none" w:sz="0" w:space="0" w:color="auto"/>
                        <w:left w:val="none" w:sz="0" w:space="0" w:color="auto"/>
                        <w:bottom w:val="none" w:sz="0" w:space="0" w:color="auto"/>
                        <w:right w:val="none" w:sz="0" w:space="0" w:color="auto"/>
                      </w:divBdr>
                      <w:divsChild>
                        <w:div w:id="338000808">
                          <w:marLeft w:val="0"/>
                          <w:marRight w:val="0"/>
                          <w:marTop w:val="0"/>
                          <w:marBottom w:val="0"/>
                          <w:divBdr>
                            <w:top w:val="none" w:sz="0" w:space="0" w:color="auto"/>
                            <w:left w:val="none" w:sz="0" w:space="0" w:color="auto"/>
                            <w:bottom w:val="none" w:sz="0" w:space="0" w:color="auto"/>
                            <w:right w:val="none" w:sz="0" w:space="0" w:color="auto"/>
                          </w:divBdr>
                        </w:div>
                        <w:div w:id="581528684">
                          <w:marLeft w:val="0"/>
                          <w:marRight w:val="0"/>
                          <w:marTop w:val="0"/>
                          <w:marBottom w:val="0"/>
                          <w:divBdr>
                            <w:top w:val="none" w:sz="0" w:space="0" w:color="auto"/>
                            <w:left w:val="none" w:sz="0" w:space="0" w:color="auto"/>
                            <w:bottom w:val="none" w:sz="0" w:space="0" w:color="auto"/>
                            <w:right w:val="none" w:sz="0" w:space="0" w:color="auto"/>
                          </w:divBdr>
                        </w:div>
                        <w:div w:id="1420759642">
                          <w:marLeft w:val="0"/>
                          <w:marRight w:val="0"/>
                          <w:marTop w:val="0"/>
                          <w:marBottom w:val="0"/>
                          <w:divBdr>
                            <w:top w:val="none" w:sz="0" w:space="0" w:color="auto"/>
                            <w:left w:val="none" w:sz="0" w:space="0" w:color="auto"/>
                            <w:bottom w:val="none" w:sz="0" w:space="0" w:color="auto"/>
                            <w:right w:val="none" w:sz="0" w:space="0" w:color="auto"/>
                          </w:divBdr>
                        </w:div>
                        <w:div w:id="1733577013">
                          <w:marLeft w:val="0"/>
                          <w:marRight w:val="0"/>
                          <w:marTop w:val="0"/>
                          <w:marBottom w:val="0"/>
                          <w:divBdr>
                            <w:top w:val="none" w:sz="0" w:space="0" w:color="auto"/>
                            <w:left w:val="none" w:sz="0" w:space="0" w:color="auto"/>
                            <w:bottom w:val="none" w:sz="0" w:space="0" w:color="auto"/>
                            <w:right w:val="none" w:sz="0" w:space="0" w:color="auto"/>
                          </w:divBdr>
                        </w:div>
                        <w:div w:id="1931960369">
                          <w:marLeft w:val="0"/>
                          <w:marRight w:val="0"/>
                          <w:marTop w:val="0"/>
                          <w:marBottom w:val="0"/>
                          <w:divBdr>
                            <w:top w:val="none" w:sz="0" w:space="0" w:color="auto"/>
                            <w:left w:val="none" w:sz="0" w:space="0" w:color="auto"/>
                            <w:bottom w:val="none" w:sz="0" w:space="0" w:color="auto"/>
                            <w:right w:val="none" w:sz="0" w:space="0" w:color="auto"/>
                          </w:divBdr>
                        </w:div>
                        <w:div w:id="2003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9530">
      <w:bodyDiv w:val="1"/>
      <w:marLeft w:val="0"/>
      <w:marRight w:val="0"/>
      <w:marTop w:val="0"/>
      <w:marBottom w:val="0"/>
      <w:divBdr>
        <w:top w:val="none" w:sz="0" w:space="0" w:color="auto"/>
        <w:left w:val="none" w:sz="0" w:space="0" w:color="auto"/>
        <w:bottom w:val="none" w:sz="0" w:space="0" w:color="auto"/>
        <w:right w:val="none" w:sz="0" w:space="0" w:color="auto"/>
      </w:divBdr>
    </w:div>
    <w:div w:id="686254929">
      <w:bodyDiv w:val="1"/>
      <w:marLeft w:val="0"/>
      <w:marRight w:val="0"/>
      <w:marTop w:val="0"/>
      <w:marBottom w:val="0"/>
      <w:divBdr>
        <w:top w:val="none" w:sz="0" w:space="0" w:color="auto"/>
        <w:left w:val="none" w:sz="0" w:space="0" w:color="auto"/>
        <w:bottom w:val="none" w:sz="0" w:space="0" w:color="auto"/>
        <w:right w:val="none" w:sz="0" w:space="0" w:color="auto"/>
      </w:divBdr>
    </w:div>
    <w:div w:id="701829375">
      <w:bodyDiv w:val="1"/>
      <w:marLeft w:val="0"/>
      <w:marRight w:val="0"/>
      <w:marTop w:val="0"/>
      <w:marBottom w:val="0"/>
      <w:divBdr>
        <w:top w:val="none" w:sz="0" w:space="0" w:color="auto"/>
        <w:left w:val="none" w:sz="0" w:space="0" w:color="auto"/>
        <w:bottom w:val="none" w:sz="0" w:space="0" w:color="auto"/>
        <w:right w:val="none" w:sz="0" w:space="0" w:color="auto"/>
      </w:divBdr>
    </w:div>
    <w:div w:id="707610702">
      <w:bodyDiv w:val="1"/>
      <w:marLeft w:val="0"/>
      <w:marRight w:val="0"/>
      <w:marTop w:val="0"/>
      <w:marBottom w:val="0"/>
      <w:divBdr>
        <w:top w:val="none" w:sz="0" w:space="0" w:color="auto"/>
        <w:left w:val="none" w:sz="0" w:space="0" w:color="auto"/>
        <w:bottom w:val="none" w:sz="0" w:space="0" w:color="auto"/>
        <w:right w:val="none" w:sz="0" w:space="0" w:color="auto"/>
      </w:divBdr>
    </w:div>
    <w:div w:id="748574362">
      <w:bodyDiv w:val="1"/>
      <w:marLeft w:val="0"/>
      <w:marRight w:val="0"/>
      <w:marTop w:val="0"/>
      <w:marBottom w:val="0"/>
      <w:divBdr>
        <w:top w:val="none" w:sz="0" w:space="0" w:color="auto"/>
        <w:left w:val="none" w:sz="0" w:space="0" w:color="auto"/>
        <w:bottom w:val="none" w:sz="0" w:space="0" w:color="auto"/>
        <w:right w:val="none" w:sz="0" w:space="0" w:color="auto"/>
      </w:divBdr>
    </w:div>
    <w:div w:id="764694799">
      <w:bodyDiv w:val="1"/>
      <w:marLeft w:val="0"/>
      <w:marRight w:val="0"/>
      <w:marTop w:val="0"/>
      <w:marBottom w:val="0"/>
      <w:divBdr>
        <w:top w:val="none" w:sz="0" w:space="0" w:color="auto"/>
        <w:left w:val="none" w:sz="0" w:space="0" w:color="auto"/>
        <w:bottom w:val="none" w:sz="0" w:space="0" w:color="auto"/>
        <w:right w:val="none" w:sz="0" w:space="0" w:color="auto"/>
      </w:divBdr>
    </w:div>
    <w:div w:id="766193244">
      <w:bodyDiv w:val="1"/>
      <w:marLeft w:val="0"/>
      <w:marRight w:val="0"/>
      <w:marTop w:val="0"/>
      <w:marBottom w:val="0"/>
      <w:divBdr>
        <w:top w:val="none" w:sz="0" w:space="0" w:color="auto"/>
        <w:left w:val="none" w:sz="0" w:space="0" w:color="auto"/>
        <w:bottom w:val="none" w:sz="0" w:space="0" w:color="auto"/>
        <w:right w:val="none" w:sz="0" w:space="0" w:color="auto"/>
      </w:divBdr>
    </w:div>
    <w:div w:id="782960537">
      <w:bodyDiv w:val="1"/>
      <w:marLeft w:val="0"/>
      <w:marRight w:val="0"/>
      <w:marTop w:val="0"/>
      <w:marBottom w:val="0"/>
      <w:divBdr>
        <w:top w:val="none" w:sz="0" w:space="0" w:color="auto"/>
        <w:left w:val="none" w:sz="0" w:space="0" w:color="auto"/>
        <w:bottom w:val="none" w:sz="0" w:space="0" w:color="auto"/>
        <w:right w:val="none" w:sz="0" w:space="0" w:color="auto"/>
      </w:divBdr>
    </w:div>
    <w:div w:id="793718082">
      <w:bodyDiv w:val="1"/>
      <w:marLeft w:val="0"/>
      <w:marRight w:val="0"/>
      <w:marTop w:val="0"/>
      <w:marBottom w:val="0"/>
      <w:divBdr>
        <w:top w:val="none" w:sz="0" w:space="0" w:color="auto"/>
        <w:left w:val="none" w:sz="0" w:space="0" w:color="auto"/>
        <w:bottom w:val="none" w:sz="0" w:space="0" w:color="auto"/>
        <w:right w:val="none" w:sz="0" w:space="0" w:color="auto"/>
      </w:divBdr>
    </w:div>
    <w:div w:id="817725387">
      <w:bodyDiv w:val="1"/>
      <w:marLeft w:val="0"/>
      <w:marRight w:val="0"/>
      <w:marTop w:val="0"/>
      <w:marBottom w:val="0"/>
      <w:divBdr>
        <w:top w:val="none" w:sz="0" w:space="0" w:color="auto"/>
        <w:left w:val="none" w:sz="0" w:space="0" w:color="auto"/>
        <w:bottom w:val="none" w:sz="0" w:space="0" w:color="auto"/>
        <w:right w:val="none" w:sz="0" w:space="0" w:color="auto"/>
      </w:divBdr>
    </w:div>
    <w:div w:id="819031197">
      <w:bodyDiv w:val="1"/>
      <w:marLeft w:val="0"/>
      <w:marRight w:val="0"/>
      <w:marTop w:val="0"/>
      <w:marBottom w:val="0"/>
      <w:divBdr>
        <w:top w:val="none" w:sz="0" w:space="0" w:color="auto"/>
        <w:left w:val="none" w:sz="0" w:space="0" w:color="auto"/>
        <w:bottom w:val="none" w:sz="0" w:space="0" w:color="auto"/>
        <w:right w:val="none" w:sz="0" w:space="0" w:color="auto"/>
      </w:divBdr>
    </w:div>
    <w:div w:id="835262253">
      <w:bodyDiv w:val="1"/>
      <w:marLeft w:val="0"/>
      <w:marRight w:val="0"/>
      <w:marTop w:val="0"/>
      <w:marBottom w:val="0"/>
      <w:divBdr>
        <w:top w:val="none" w:sz="0" w:space="0" w:color="auto"/>
        <w:left w:val="none" w:sz="0" w:space="0" w:color="auto"/>
        <w:bottom w:val="none" w:sz="0" w:space="0" w:color="auto"/>
        <w:right w:val="none" w:sz="0" w:space="0" w:color="auto"/>
      </w:divBdr>
    </w:div>
    <w:div w:id="878779501">
      <w:bodyDiv w:val="1"/>
      <w:marLeft w:val="0"/>
      <w:marRight w:val="0"/>
      <w:marTop w:val="0"/>
      <w:marBottom w:val="0"/>
      <w:divBdr>
        <w:top w:val="none" w:sz="0" w:space="0" w:color="auto"/>
        <w:left w:val="none" w:sz="0" w:space="0" w:color="auto"/>
        <w:bottom w:val="none" w:sz="0" w:space="0" w:color="auto"/>
        <w:right w:val="none" w:sz="0" w:space="0" w:color="auto"/>
      </w:divBdr>
    </w:div>
    <w:div w:id="886530220">
      <w:bodyDiv w:val="1"/>
      <w:marLeft w:val="0"/>
      <w:marRight w:val="0"/>
      <w:marTop w:val="0"/>
      <w:marBottom w:val="0"/>
      <w:divBdr>
        <w:top w:val="none" w:sz="0" w:space="0" w:color="auto"/>
        <w:left w:val="none" w:sz="0" w:space="0" w:color="auto"/>
        <w:bottom w:val="none" w:sz="0" w:space="0" w:color="auto"/>
        <w:right w:val="none" w:sz="0" w:space="0" w:color="auto"/>
      </w:divBdr>
    </w:div>
    <w:div w:id="918559016">
      <w:bodyDiv w:val="1"/>
      <w:marLeft w:val="0"/>
      <w:marRight w:val="0"/>
      <w:marTop w:val="0"/>
      <w:marBottom w:val="0"/>
      <w:divBdr>
        <w:top w:val="none" w:sz="0" w:space="0" w:color="auto"/>
        <w:left w:val="none" w:sz="0" w:space="0" w:color="auto"/>
        <w:bottom w:val="none" w:sz="0" w:space="0" w:color="auto"/>
        <w:right w:val="none" w:sz="0" w:space="0" w:color="auto"/>
      </w:divBdr>
    </w:div>
    <w:div w:id="926692484">
      <w:bodyDiv w:val="1"/>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240"/>
          <w:marBottom w:val="0"/>
          <w:divBdr>
            <w:top w:val="none" w:sz="0" w:space="0" w:color="auto"/>
            <w:left w:val="none" w:sz="0" w:space="0" w:color="auto"/>
            <w:bottom w:val="none" w:sz="0" w:space="0" w:color="auto"/>
            <w:right w:val="none" w:sz="0" w:space="0" w:color="auto"/>
          </w:divBdr>
        </w:div>
      </w:divsChild>
    </w:div>
    <w:div w:id="972293182">
      <w:bodyDiv w:val="1"/>
      <w:marLeft w:val="0"/>
      <w:marRight w:val="0"/>
      <w:marTop w:val="0"/>
      <w:marBottom w:val="0"/>
      <w:divBdr>
        <w:top w:val="none" w:sz="0" w:space="0" w:color="auto"/>
        <w:left w:val="none" w:sz="0" w:space="0" w:color="auto"/>
        <w:bottom w:val="none" w:sz="0" w:space="0" w:color="auto"/>
        <w:right w:val="none" w:sz="0" w:space="0" w:color="auto"/>
      </w:divBdr>
    </w:div>
    <w:div w:id="1020811929">
      <w:bodyDiv w:val="1"/>
      <w:marLeft w:val="0"/>
      <w:marRight w:val="0"/>
      <w:marTop w:val="0"/>
      <w:marBottom w:val="0"/>
      <w:divBdr>
        <w:top w:val="none" w:sz="0" w:space="0" w:color="auto"/>
        <w:left w:val="none" w:sz="0" w:space="0" w:color="auto"/>
        <w:bottom w:val="none" w:sz="0" w:space="0" w:color="auto"/>
        <w:right w:val="none" w:sz="0" w:space="0" w:color="auto"/>
      </w:divBdr>
    </w:div>
    <w:div w:id="1036197229">
      <w:bodyDiv w:val="1"/>
      <w:marLeft w:val="0"/>
      <w:marRight w:val="0"/>
      <w:marTop w:val="0"/>
      <w:marBottom w:val="0"/>
      <w:divBdr>
        <w:top w:val="none" w:sz="0" w:space="0" w:color="auto"/>
        <w:left w:val="none" w:sz="0" w:space="0" w:color="auto"/>
        <w:bottom w:val="none" w:sz="0" w:space="0" w:color="auto"/>
        <w:right w:val="none" w:sz="0" w:space="0" w:color="auto"/>
      </w:divBdr>
    </w:div>
    <w:div w:id="1036269812">
      <w:bodyDiv w:val="1"/>
      <w:marLeft w:val="0"/>
      <w:marRight w:val="0"/>
      <w:marTop w:val="0"/>
      <w:marBottom w:val="0"/>
      <w:divBdr>
        <w:top w:val="none" w:sz="0" w:space="0" w:color="auto"/>
        <w:left w:val="none" w:sz="0" w:space="0" w:color="auto"/>
        <w:bottom w:val="none" w:sz="0" w:space="0" w:color="auto"/>
        <w:right w:val="none" w:sz="0" w:space="0" w:color="auto"/>
      </w:divBdr>
    </w:div>
    <w:div w:id="1057781197">
      <w:bodyDiv w:val="1"/>
      <w:marLeft w:val="0"/>
      <w:marRight w:val="0"/>
      <w:marTop w:val="0"/>
      <w:marBottom w:val="0"/>
      <w:divBdr>
        <w:top w:val="none" w:sz="0" w:space="0" w:color="auto"/>
        <w:left w:val="none" w:sz="0" w:space="0" w:color="auto"/>
        <w:bottom w:val="none" w:sz="0" w:space="0" w:color="auto"/>
        <w:right w:val="none" w:sz="0" w:space="0" w:color="auto"/>
      </w:divBdr>
    </w:div>
    <w:div w:id="1075904803">
      <w:bodyDiv w:val="1"/>
      <w:marLeft w:val="0"/>
      <w:marRight w:val="0"/>
      <w:marTop w:val="0"/>
      <w:marBottom w:val="0"/>
      <w:divBdr>
        <w:top w:val="none" w:sz="0" w:space="0" w:color="auto"/>
        <w:left w:val="none" w:sz="0" w:space="0" w:color="auto"/>
        <w:bottom w:val="none" w:sz="0" w:space="0" w:color="auto"/>
        <w:right w:val="none" w:sz="0" w:space="0" w:color="auto"/>
      </w:divBdr>
    </w:div>
    <w:div w:id="1080250812">
      <w:bodyDiv w:val="1"/>
      <w:marLeft w:val="0"/>
      <w:marRight w:val="0"/>
      <w:marTop w:val="0"/>
      <w:marBottom w:val="0"/>
      <w:divBdr>
        <w:top w:val="none" w:sz="0" w:space="0" w:color="auto"/>
        <w:left w:val="none" w:sz="0" w:space="0" w:color="auto"/>
        <w:bottom w:val="none" w:sz="0" w:space="0" w:color="auto"/>
        <w:right w:val="none" w:sz="0" w:space="0" w:color="auto"/>
      </w:divBdr>
    </w:div>
    <w:div w:id="1099721158">
      <w:bodyDiv w:val="1"/>
      <w:marLeft w:val="0"/>
      <w:marRight w:val="0"/>
      <w:marTop w:val="0"/>
      <w:marBottom w:val="0"/>
      <w:divBdr>
        <w:top w:val="none" w:sz="0" w:space="0" w:color="auto"/>
        <w:left w:val="none" w:sz="0" w:space="0" w:color="auto"/>
        <w:bottom w:val="none" w:sz="0" w:space="0" w:color="auto"/>
        <w:right w:val="none" w:sz="0" w:space="0" w:color="auto"/>
      </w:divBdr>
    </w:div>
    <w:div w:id="1112551326">
      <w:bodyDiv w:val="1"/>
      <w:marLeft w:val="0"/>
      <w:marRight w:val="0"/>
      <w:marTop w:val="0"/>
      <w:marBottom w:val="0"/>
      <w:divBdr>
        <w:top w:val="none" w:sz="0" w:space="0" w:color="auto"/>
        <w:left w:val="none" w:sz="0" w:space="0" w:color="auto"/>
        <w:bottom w:val="none" w:sz="0" w:space="0" w:color="auto"/>
        <w:right w:val="none" w:sz="0" w:space="0" w:color="auto"/>
      </w:divBdr>
    </w:div>
    <w:div w:id="1152529599">
      <w:bodyDiv w:val="1"/>
      <w:marLeft w:val="0"/>
      <w:marRight w:val="0"/>
      <w:marTop w:val="0"/>
      <w:marBottom w:val="0"/>
      <w:divBdr>
        <w:top w:val="none" w:sz="0" w:space="0" w:color="auto"/>
        <w:left w:val="none" w:sz="0" w:space="0" w:color="auto"/>
        <w:bottom w:val="none" w:sz="0" w:space="0" w:color="auto"/>
        <w:right w:val="none" w:sz="0" w:space="0" w:color="auto"/>
      </w:divBdr>
    </w:div>
    <w:div w:id="1180697344">
      <w:bodyDiv w:val="1"/>
      <w:marLeft w:val="0"/>
      <w:marRight w:val="0"/>
      <w:marTop w:val="0"/>
      <w:marBottom w:val="0"/>
      <w:divBdr>
        <w:top w:val="none" w:sz="0" w:space="0" w:color="auto"/>
        <w:left w:val="none" w:sz="0" w:space="0" w:color="auto"/>
        <w:bottom w:val="none" w:sz="0" w:space="0" w:color="auto"/>
        <w:right w:val="none" w:sz="0" w:space="0" w:color="auto"/>
      </w:divBdr>
    </w:div>
    <w:div w:id="1216310942">
      <w:bodyDiv w:val="1"/>
      <w:marLeft w:val="0"/>
      <w:marRight w:val="0"/>
      <w:marTop w:val="0"/>
      <w:marBottom w:val="0"/>
      <w:divBdr>
        <w:top w:val="none" w:sz="0" w:space="0" w:color="auto"/>
        <w:left w:val="none" w:sz="0" w:space="0" w:color="auto"/>
        <w:bottom w:val="none" w:sz="0" w:space="0" w:color="auto"/>
        <w:right w:val="none" w:sz="0" w:space="0" w:color="auto"/>
      </w:divBdr>
    </w:div>
    <w:div w:id="1227759571">
      <w:bodyDiv w:val="1"/>
      <w:marLeft w:val="0"/>
      <w:marRight w:val="0"/>
      <w:marTop w:val="0"/>
      <w:marBottom w:val="0"/>
      <w:divBdr>
        <w:top w:val="none" w:sz="0" w:space="0" w:color="auto"/>
        <w:left w:val="none" w:sz="0" w:space="0" w:color="auto"/>
        <w:bottom w:val="none" w:sz="0" w:space="0" w:color="auto"/>
        <w:right w:val="none" w:sz="0" w:space="0" w:color="auto"/>
      </w:divBdr>
    </w:div>
    <w:div w:id="1273394709">
      <w:bodyDiv w:val="1"/>
      <w:marLeft w:val="0"/>
      <w:marRight w:val="0"/>
      <w:marTop w:val="0"/>
      <w:marBottom w:val="0"/>
      <w:divBdr>
        <w:top w:val="none" w:sz="0" w:space="0" w:color="auto"/>
        <w:left w:val="none" w:sz="0" w:space="0" w:color="auto"/>
        <w:bottom w:val="none" w:sz="0" w:space="0" w:color="auto"/>
        <w:right w:val="none" w:sz="0" w:space="0" w:color="auto"/>
      </w:divBdr>
    </w:div>
    <w:div w:id="1276596435">
      <w:bodyDiv w:val="1"/>
      <w:marLeft w:val="0"/>
      <w:marRight w:val="0"/>
      <w:marTop w:val="0"/>
      <w:marBottom w:val="0"/>
      <w:divBdr>
        <w:top w:val="none" w:sz="0" w:space="0" w:color="auto"/>
        <w:left w:val="none" w:sz="0" w:space="0" w:color="auto"/>
        <w:bottom w:val="none" w:sz="0" w:space="0" w:color="auto"/>
        <w:right w:val="none" w:sz="0" w:space="0" w:color="auto"/>
      </w:divBdr>
    </w:div>
    <w:div w:id="1282107527">
      <w:bodyDiv w:val="1"/>
      <w:marLeft w:val="0"/>
      <w:marRight w:val="0"/>
      <w:marTop w:val="0"/>
      <w:marBottom w:val="0"/>
      <w:divBdr>
        <w:top w:val="none" w:sz="0" w:space="0" w:color="auto"/>
        <w:left w:val="none" w:sz="0" w:space="0" w:color="auto"/>
        <w:bottom w:val="none" w:sz="0" w:space="0" w:color="auto"/>
        <w:right w:val="none" w:sz="0" w:space="0" w:color="auto"/>
      </w:divBdr>
    </w:div>
    <w:div w:id="1296064467">
      <w:bodyDiv w:val="1"/>
      <w:marLeft w:val="0"/>
      <w:marRight w:val="0"/>
      <w:marTop w:val="0"/>
      <w:marBottom w:val="0"/>
      <w:divBdr>
        <w:top w:val="none" w:sz="0" w:space="0" w:color="auto"/>
        <w:left w:val="none" w:sz="0" w:space="0" w:color="auto"/>
        <w:bottom w:val="none" w:sz="0" w:space="0" w:color="auto"/>
        <w:right w:val="none" w:sz="0" w:space="0" w:color="auto"/>
      </w:divBdr>
      <w:divsChild>
        <w:div w:id="1631011580">
          <w:marLeft w:val="547"/>
          <w:marRight w:val="0"/>
          <w:marTop w:val="0"/>
          <w:marBottom w:val="120"/>
          <w:divBdr>
            <w:top w:val="none" w:sz="0" w:space="0" w:color="auto"/>
            <w:left w:val="none" w:sz="0" w:space="0" w:color="auto"/>
            <w:bottom w:val="none" w:sz="0" w:space="0" w:color="auto"/>
            <w:right w:val="none" w:sz="0" w:space="0" w:color="auto"/>
          </w:divBdr>
        </w:div>
      </w:divsChild>
    </w:div>
    <w:div w:id="1349143515">
      <w:bodyDiv w:val="1"/>
      <w:marLeft w:val="0"/>
      <w:marRight w:val="0"/>
      <w:marTop w:val="0"/>
      <w:marBottom w:val="0"/>
      <w:divBdr>
        <w:top w:val="none" w:sz="0" w:space="0" w:color="auto"/>
        <w:left w:val="none" w:sz="0" w:space="0" w:color="auto"/>
        <w:bottom w:val="none" w:sz="0" w:space="0" w:color="auto"/>
        <w:right w:val="none" w:sz="0" w:space="0" w:color="auto"/>
      </w:divBdr>
    </w:div>
    <w:div w:id="1391925554">
      <w:bodyDiv w:val="1"/>
      <w:marLeft w:val="0"/>
      <w:marRight w:val="0"/>
      <w:marTop w:val="0"/>
      <w:marBottom w:val="0"/>
      <w:divBdr>
        <w:top w:val="none" w:sz="0" w:space="0" w:color="auto"/>
        <w:left w:val="none" w:sz="0" w:space="0" w:color="auto"/>
        <w:bottom w:val="none" w:sz="0" w:space="0" w:color="auto"/>
        <w:right w:val="none" w:sz="0" w:space="0" w:color="auto"/>
      </w:divBdr>
    </w:div>
    <w:div w:id="1402562765">
      <w:bodyDiv w:val="1"/>
      <w:marLeft w:val="0"/>
      <w:marRight w:val="0"/>
      <w:marTop w:val="0"/>
      <w:marBottom w:val="0"/>
      <w:divBdr>
        <w:top w:val="none" w:sz="0" w:space="0" w:color="auto"/>
        <w:left w:val="none" w:sz="0" w:space="0" w:color="auto"/>
        <w:bottom w:val="none" w:sz="0" w:space="0" w:color="auto"/>
        <w:right w:val="none" w:sz="0" w:space="0" w:color="auto"/>
      </w:divBdr>
    </w:div>
    <w:div w:id="1494103366">
      <w:bodyDiv w:val="1"/>
      <w:marLeft w:val="0"/>
      <w:marRight w:val="0"/>
      <w:marTop w:val="0"/>
      <w:marBottom w:val="0"/>
      <w:divBdr>
        <w:top w:val="none" w:sz="0" w:space="0" w:color="auto"/>
        <w:left w:val="none" w:sz="0" w:space="0" w:color="auto"/>
        <w:bottom w:val="none" w:sz="0" w:space="0" w:color="auto"/>
        <w:right w:val="none" w:sz="0" w:space="0" w:color="auto"/>
      </w:divBdr>
    </w:div>
    <w:div w:id="1502353958">
      <w:bodyDiv w:val="1"/>
      <w:marLeft w:val="0"/>
      <w:marRight w:val="0"/>
      <w:marTop w:val="0"/>
      <w:marBottom w:val="0"/>
      <w:divBdr>
        <w:top w:val="none" w:sz="0" w:space="0" w:color="auto"/>
        <w:left w:val="none" w:sz="0" w:space="0" w:color="auto"/>
        <w:bottom w:val="none" w:sz="0" w:space="0" w:color="auto"/>
        <w:right w:val="none" w:sz="0" w:space="0" w:color="auto"/>
      </w:divBdr>
    </w:div>
    <w:div w:id="1544631503">
      <w:bodyDiv w:val="1"/>
      <w:marLeft w:val="0"/>
      <w:marRight w:val="0"/>
      <w:marTop w:val="0"/>
      <w:marBottom w:val="0"/>
      <w:divBdr>
        <w:top w:val="none" w:sz="0" w:space="0" w:color="auto"/>
        <w:left w:val="none" w:sz="0" w:space="0" w:color="auto"/>
        <w:bottom w:val="none" w:sz="0" w:space="0" w:color="auto"/>
        <w:right w:val="none" w:sz="0" w:space="0" w:color="auto"/>
      </w:divBdr>
    </w:div>
    <w:div w:id="1566719666">
      <w:bodyDiv w:val="1"/>
      <w:marLeft w:val="0"/>
      <w:marRight w:val="0"/>
      <w:marTop w:val="0"/>
      <w:marBottom w:val="0"/>
      <w:divBdr>
        <w:top w:val="none" w:sz="0" w:space="0" w:color="auto"/>
        <w:left w:val="none" w:sz="0" w:space="0" w:color="auto"/>
        <w:bottom w:val="none" w:sz="0" w:space="0" w:color="auto"/>
        <w:right w:val="none" w:sz="0" w:space="0" w:color="auto"/>
      </w:divBdr>
    </w:div>
    <w:div w:id="1577206526">
      <w:bodyDiv w:val="1"/>
      <w:marLeft w:val="0"/>
      <w:marRight w:val="0"/>
      <w:marTop w:val="0"/>
      <w:marBottom w:val="0"/>
      <w:divBdr>
        <w:top w:val="none" w:sz="0" w:space="0" w:color="auto"/>
        <w:left w:val="none" w:sz="0" w:space="0" w:color="auto"/>
        <w:bottom w:val="none" w:sz="0" w:space="0" w:color="auto"/>
        <w:right w:val="none" w:sz="0" w:space="0" w:color="auto"/>
      </w:divBdr>
    </w:div>
    <w:div w:id="1626695140">
      <w:bodyDiv w:val="1"/>
      <w:marLeft w:val="0"/>
      <w:marRight w:val="0"/>
      <w:marTop w:val="0"/>
      <w:marBottom w:val="0"/>
      <w:divBdr>
        <w:top w:val="none" w:sz="0" w:space="0" w:color="auto"/>
        <w:left w:val="none" w:sz="0" w:space="0" w:color="auto"/>
        <w:bottom w:val="none" w:sz="0" w:space="0" w:color="auto"/>
        <w:right w:val="none" w:sz="0" w:space="0" w:color="auto"/>
      </w:divBdr>
    </w:div>
    <w:div w:id="1694915652">
      <w:bodyDiv w:val="1"/>
      <w:marLeft w:val="0"/>
      <w:marRight w:val="0"/>
      <w:marTop w:val="0"/>
      <w:marBottom w:val="0"/>
      <w:divBdr>
        <w:top w:val="none" w:sz="0" w:space="0" w:color="auto"/>
        <w:left w:val="none" w:sz="0" w:space="0" w:color="auto"/>
        <w:bottom w:val="none" w:sz="0" w:space="0" w:color="auto"/>
        <w:right w:val="none" w:sz="0" w:space="0" w:color="auto"/>
      </w:divBdr>
    </w:div>
    <w:div w:id="1727878685">
      <w:bodyDiv w:val="1"/>
      <w:marLeft w:val="0"/>
      <w:marRight w:val="0"/>
      <w:marTop w:val="0"/>
      <w:marBottom w:val="0"/>
      <w:divBdr>
        <w:top w:val="none" w:sz="0" w:space="0" w:color="auto"/>
        <w:left w:val="none" w:sz="0" w:space="0" w:color="auto"/>
        <w:bottom w:val="none" w:sz="0" w:space="0" w:color="auto"/>
        <w:right w:val="none" w:sz="0" w:space="0" w:color="auto"/>
      </w:divBdr>
    </w:div>
    <w:div w:id="1731734203">
      <w:bodyDiv w:val="1"/>
      <w:marLeft w:val="0"/>
      <w:marRight w:val="0"/>
      <w:marTop w:val="0"/>
      <w:marBottom w:val="0"/>
      <w:divBdr>
        <w:top w:val="none" w:sz="0" w:space="0" w:color="auto"/>
        <w:left w:val="none" w:sz="0" w:space="0" w:color="auto"/>
        <w:bottom w:val="none" w:sz="0" w:space="0" w:color="auto"/>
        <w:right w:val="none" w:sz="0" w:space="0" w:color="auto"/>
      </w:divBdr>
    </w:div>
    <w:div w:id="1734426192">
      <w:bodyDiv w:val="1"/>
      <w:marLeft w:val="0"/>
      <w:marRight w:val="0"/>
      <w:marTop w:val="0"/>
      <w:marBottom w:val="0"/>
      <w:divBdr>
        <w:top w:val="none" w:sz="0" w:space="0" w:color="auto"/>
        <w:left w:val="none" w:sz="0" w:space="0" w:color="auto"/>
        <w:bottom w:val="none" w:sz="0" w:space="0" w:color="auto"/>
        <w:right w:val="none" w:sz="0" w:space="0" w:color="auto"/>
      </w:divBdr>
    </w:div>
    <w:div w:id="1744378070">
      <w:bodyDiv w:val="1"/>
      <w:marLeft w:val="0"/>
      <w:marRight w:val="0"/>
      <w:marTop w:val="0"/>
      <w:marBottom w:val="0"/>
      <w:divBdr>
        <w:top w:val="none" w:sz="0" w:space="0" w:color="auto"/>
        <w:left w:val="none" w:sz="0" w:space="0" w:color="auto"/>
        <w:bottom w:val="none" w:sz="0" w:space="0" w:color="auto"/>
        <w:right w:val="none" w:sz="0" w:space="0" w:color="auto"/>
      </w:divBdr>
      <w:divsChild>
        <w:div w:id="1124894">
          <w:marLeft w:val="0"/>
          <w:marRight w:val="0"/>
          <w:marTop w:val="240"/>
          <w:marBottom w:val="0"/>
          <w:divBdr>
            <w:top w:val="none" w:sz="0" w:space="0" w:color="auto"/>
            <w:left w:val="none" w:sz="0" w:space="0" w:color="auto"/>
            <w:bottom w:val="none" w:sz="0" w:space="0" w:color="auto"/>
            <w:right w:val="none" w:sz="0" w:space="0" w:color="auto"/>
          </w:divBdr>
        </w:div>
        <w:div w:id="30493924">
          <w:marLeft w:val="425"/>
          <w:marRight w:val="0"/>
          <w:marTop w:val="0"/>
          <w:marBottom w:val="0"/>
          <w:divBdr>
            <w:top w:val="none" w:sz="0" w:space="0" w:color="auto"/>
            <w:left w:val="none" w:sz="0" w:space="0" w:color="auto"/>
            <w:bottom w:val="none" w:sz="0" w:space="0" w:color="auto"/>
            <w:right w:val="none" w:sz="0" w:space="0" w:color="auto"/>
          </w:divBdr>
        </w:div>
        <w:div w:id="52395166">
          <w:marLeft w:val="0"/>
          <w:marRight w:val="0"/>
          <w:marTop w:val="240"/>
          <w:marBottom w:val="0"/>
          <w:divBdr>
            <w:top w:val="none" w:sz="0" w:space="0" w:color="auto"/>
            <w:left w:val="none" w:sz="0" w:space="0" w:color="auto"/>
            <w:bottom w:val="none" w:sz="0" w:space="0" w:color="auto"/>
            <w:right w:val="none" w:sz="0" w:space="0" w:color="auto"/>
          </w:divBdr>
        </w:div>
        <w:div w:id="53352463">
          <w:marLeft w:val="425"/>
          <w:marRight w:val="0"/>
          <w:marTop w:val="0"/>
          <w:marBottom w:val="0"/>
          <w:divBdr>
            <w:top w:val="none" w:sz="0" w:space="0" w:color="auto"/>
            <w:left w:val="none" w:sz="0" w:space="0" w:color="auto"/>
            <w:bottom w:val="none" w:sz="0" w:space="0" w:color="auto"/>
            <w:right w:val="none" w:sz="0" w:space="0" w:color="auto"/>
          </w:divBdr>
        </w:div>
        <w:div w:id="61416000">
          <w:marLeft w:val="425"/>
          <w:marRight w:val="0"/>
          <w:marTop w:val="0"/>
          <w:marBottom w:val="0"/>
          <w:divBdr>
            <w:top w:val="none" w:sz="0" w:space="0" w:color="auto"/>
            <w:left w:val="none" w:sz="0" w:space="0" w:color="auto"/>
            <w:bottom w:val="none" w:sz="0" w:space="0" w:color="auto"/>
            <w:right w:val="none" w:sz="0" w:space="0" w:color="auto"/>
          </w:divBdr>
        </w:div>
        <w:div w:id="116528766">
          <w:marLeft w:val="0"/>
          <w:marRight w:val="0"/>
          <w:marTop w:val="240"/>
          <w:marBottom w:val="0"/>
          <w:divBdr>
            <w:top w:val="none" w:sz="0" w:space="0" w:color="auto"/>
            <w:left w:val="none" w:sz="0" w:space="0" w:color="auto"/>
            <w:bottom w:val="none" w:sz="0" w:space="0" w:color="auto"/>
            <w:right w:val="none" w:sz="0" w:space="0" w:color="auto"/>
          </w:divBdr>
        </w:div>
        <w:div w:id="118692127">
          <w:marLeft w:val="425"/>
          <w:marRight w:val="0"/>
          <w:marTop w:val="0"/>
          <w:marBottom w:val="0"/>
          <w:divBdr>
            <w:top w:val="none" w:sz="0" w:space="0" w:color="auto"/>
            <w:left w:val="none" w:sz="0" w:space="0" w:color="auto"/>
            <w:bottom w:val="none" w:sz="0" w:space="0" w:color="auto"/>
            <w:right w:val="none" w:sz="0" w:space="0" w:color="auto"/>
          </w:divBdr>
        </w:div>
        <w:div w:id="160124468">
          <w:marLeft w:val="425"/>
          <w:marRight w:val="0"/>
          <w:marTop w:val="0"/>
          <w:marBottom w:val="0"/>
          <w:divBdr>
            <w:top w:val="none" w:sz="0" w:space="0" w:color="auto"/>
            <w:left w:val="none" w:sz="0" w:space="0" w:color="auto"/>
            <w:bottom w:val="none" w:sz="0" w:space="0" w:color="auto"/>
            <w:right w:val="none" w:sz="0" w:space="0" w:color="auto"/>
          </w:divBdr>
        </w:div>
        <w:div w:id="177432098">
          <w:marLeft w:val="0"/>
          <w:marRight w:val="0"/>
          <w:marTop w:val="240"/>
          <w:marBottom w:val="0"/>
          <w:divBdr>
            <w:top w:val="none" w:sz="0" w:space="0" w:color="auto"/>
            <w:left w:val="none" w:sz="0" w:space="0" w:color="auto"/>
            <w:bottom w:val="none" w:sz="0" w:space="0" w:color="auto"/>
            <w:right w:val="none" w:sz="0" w:space="0" w:color="auto"/>
          </w:divBdr>
        </w:div>
        <w:div w:id="232207393">
          <w:marLeft w:val="0"/>
          <w:marRight w:val="0"/>
          <w:marTop w:val="240"/>
          <w:marBottom w:val="0"/>
          <w:divBdr>
            <w:top w:val="none" w:sz="0" w:space="0" w:color="auto"/>
            <w:left w:val="none" w:sz="0" w:space="0" w:color="auto"/>
            <w:bottom w:val="none" w:sz="0" w:space="0" w:color="auto"/>
            <w:right w:val="none" w:sz="0" w:space="0" w:color="auto"/>
          </w:divBdr>
        </w:div>
        <w:div w:id="272716457">
          <w:marLeft w:val="0"/>
          <w:marRight w:val="0"/>
          <w:marTop w:val="480"/>
          <w:marBottom w:val="0"/>
          <w:divBdr>
            <w:top w:val="none" w:sz="0" w:space="0" w:color="auto"/>
            <w:left w:val="none" w:sz="0" w:space="0" w:color="auto"/>
            <w:bottom w:val="none" w:sz="0" w:space="0" w:color="auto"/>
            <w:right w:val="none" w:sz="0" w:space="0" w:color="auto"/>
          </w:divBdr>
        </w:div>
        <w:div w:id="313529035">
          <w:marLeft w:val="0"/>
          <w:marRight w:val="0"/>
          <w:marTop w:val="480"/>
          <w:marBottom w:val="0"/>
          <w:divBdr>
            <w:top w:val="none" w:sz="0" w:space="0" w:color="auto"/>
            <w:left w:val="none" w:sz="0" w:space="0" w:color="auto"/>
            <w:bottom w:val="none" w:sz="0" w:space="0" w:color="auto"/>
            <w:right w:val="none" w:sz="0" w:space="0" w:color="auto"/>
          </w:divBdr>
        </w:div>
        <w:div w:id="361982330">
          <w:marLeft w:val="425"/>
          <w:marRight w:val="0"/>
          <w:marTop w:val="0"/>
          <w:marBottom w:val="0"/>
          <w:divBdr>
            <w:top w:val="none" w:sz="0" w:space="0" w:color="auto"/>
            <w:left w:val="none" w:sz="0" w:space="0" w:color="auto"/>
            <w:bottom w:val="none" w:sz="0" w:space="0" w:color="auto"/>
            <w:right w:val="none" w:sz="0" w:space="0" w:color="auto"/>
          </w:divBdr>
        </w:div>
        <w:div w:id="447162643">
          <w:marLeft w:val="425"/>
          <w:marRight w:val="0"/>
          <w:marTop w:val="0"/>
          <w:marBottom w:val="0"/>
          <w:divBdr>
            <w:top w:val="none" w:sz="0" w:space="0" w:color="auto"/>
            <w:left w:val="none" w:sz="0" w:space="0" w:color="auto"/>
            <w:bottom w:val="none" w:sz="0" w:space="0" w:color="auto"/>
            <w:right w:val="none" w:sz="0" w:space="0" w:color="auto"/>
          </w:divBdr>
        </w:div>
        <w:div w:id="483591216">
          <w:marLeft w:val="425"/>
          <w:marRight w:val="0"/>
          <w:marTop w:val="0"/>
          <w:marBottom w:val="0"/>
          <w:divBdr>
            <w:top w:val="none" w:sz="0" w:space="0" w:color="auto"/>
            <w:left w:val="none" w:sz="0" w:space="0" w:color="auto"/>
            <w:bottom w:val="none" w:sz="0" w:space="0" w:color="auto"/>
            <w:right w:val="none" w:sz="0" w:space="0" w:color="auto"/>
          </w:divBdr>
        </w:div>
        <w:div w:id="558243888">
          <w:marLeft w:val="425"/>
          <w:marRight w:val="0"/>
          <w:marTop w:val="0"/>
          <w:marBottom w:val="0"/>
          <w:divBdr>
            <w:top w:val="none" w:sz="0" w:space="0" w:color="auto"/>
            <w:left w:val="none" w:sz="0" w:space="0" w:color="auto"/>
            <w:bottom w:val="none" w:sz="0" w:space="0" w:color="auto"/>
            <w:right w:val="none" w:sz="0" w:space="0" w:color="auto"/>
          </w:divBdr>
        </w:div>
        <w:div w:id="604046009">
          <w:marLeft w:val="0"/>
          <w:marRight w:val="0"/>
          <w:marTop w:val="240"/>
          <w:marBottom w:val="0"/>
          <w:divBdr>
            <w:top w:val="none" w:sz="0" w:space="0" w:color="auto"/>
            <w:left w:val="none" w:sz="0" w:space="0" w:color="auto"/>
            <w:bottom w:val="none" w:sz="0" w:space="0" w:color="auto"/>
            <w:right w:val="none" w:sz="0" w:space="0" w:color="auto"/>
          </w:divBdr>
        </w:div>
        <w:div w:id="626202357">
          <w:marLeft w:val="0"/>
          <w:marRight w:val="0"/>
          <w:marTop w:val="240"/>
          <w:marBottom w:val="0"/>
          <w:divBdr>
            <w:top w:val="none" w:sz="0" w:space="0" w:color="auto"/>
            <w:left w:val="none" w:sz="0" w:space="0" w:color="auto"/>
            <w:bottom w:val="none" w:sz="0" w:space="0" w:color="auto"/>
            <w:right w:val="none" w:sz="0" w:space="0" w:color="auto"/>
          </w:divBdr>
        </w:div>
        <w:div w:id="683673943">
          <w:marLeft w:val="0"/>
          <w:marRight w:val="0"/>
          <w:marTop w:val="240"/>
          <w:marBottom w:val="0"/>
          <w:divBdr>
            <w:top w:val="none" w:sz="0" w:space="0" w:color="auto"/>
            <w:left w:val="none" w:sz="0" w:space="0" w:color="auto"/>
            <w:bottom w:val="none" w:sz="0" w:space="0" w:color="auto"/>
            <w:right w:val="none" w:sz="0" w:space="0" w:color="auto"/>
          </w:divBdr>
        </w:div>
        <w:div w:id="696128203">
          <w:marLeft w:val="425"/>
          <w:marRight w:val="0"/>
          <w:marTop w:val="0"/>
          <w:marBottom w:val="0"/>
          <w:divBdr>
            <w:top w:val="none" w:sz="0" w:space="0" w:color="auto"/>
            <w:left w:val="none" w:sz="0" w:space="0" w:color="auto"/>
            <w:bottom w:val="none" w:sz="0" w:space="0" w:color="auto"/>
            <w:right w:val="none" w:sz="0" w:space="0" w:color="auto"/>
          </w:divBdr>
        </w:div>
        <w:div w:id="799417575">
          <w:marLeft w:val="425"/>
          <w:marRight w:val="0"/>
          <w:marTop w:val="0"/>
          <w:marBottom w:val="0"/>
          <w:divBdr>
            <w:top w:val="none" w:sz="0" w:space="0" w:color="auto"/>
            <w:left w:val="none" w:sz="0" w:space="0" w:color="auto"/>
            <w:bottom w:val="none" w:sz="0" w:space="0" w:color="auto"/>
            <w:right w:val="none" w:sz="0" w:space="0" w:color="auto"/>
          </w:divBdr>
        </w:div>
        <w:div w:id="800806369">
          <w:marLeft w:val="425"/>
          <w:marRight w:val="0"/>
          <w:marTop w:val="0"/>
          <w:marBottom w:val="0"/>
          <w:divBdr>
            <w:top w:val="none" w:sz="0" w:space="0" w:color="auto"/>
            <w:left w:val="none" w:sz="0" w:space="0" w:color="auto"/>
            <w:bottom w:val="none" w:sz="0" w:space="0" w:color="auto"/>
            <w:right w:val="none" w:sz="0" w:space="0" w:color="auto"/>
          </w:divBdr>
        </w:div>
        <w:div w:id="803549964">
          <w:marLeft w:val="425"/>
          <w:marRight w:val="0"/>
          <w:marTop w:val="0"/>
          <w:marBottom w:val="0"/>
          <w:divBdr>
            <w:top w:val="none" w:sz="0" w:space="0" w:color="auto"/>
            <w:left w:val="none" w:sz="0" w:space="0" w:color="auto"/>
            <w:bottom w:val="none" w:sz="0" w:space="0" w:color="auto"/>
            <w:right w:val="none" w:sz="0" w:space="0" w:color="auto"/>
          </w:divBdr>
        </w:div>
        <w:div w:id="854423151">
          <w:marLeft w:val="425"/>
          <w:marRight w:val="0"/>
          <w:marTop w:val="0"/>
          <w:marBottom w:val="0"/>
          <w:divBdr>
            <w:top w:val="none" w:sz="0" w:space="0" w:color="auto"/>
            <w:left w:val="none" w:sz="0" w:space="0" w:color="auto"/>
            <w:bottom w:val="none" w:sz="0" w:space="0" w:color="auto"/>
            <w:right w:val="none" w:sz="0" w:space="0" w:color="auto"/>
          </w:divBdr>
        </w:div>
        <w:div w:id="874149880">
          <w:marLeft w:val="0"/>
          <w:marRight w:val="0"/>
          <w:marTop w:val="240"/>
          <w:marBottom w:val="0"/>
          <w:divBdr>
            <w:top w:val="none" w:sz="0" w:space="0" w:color="auto"/>
            <w:left w:val="none" w:sz="0" w:space="0" w:color="auto"/>
            <w:bottom w:val="none" w:sz="0" w:space="0" w:color="auto"/>
            <w:right w:val="none" w:sz="0" w:space="0" w:color="auto"/>
          </w:divBdr>
        </w:div>
        <w:div w:id="951789376">
          <w:marLeft w:val="425"/>
          <w:marRight w:val="0"/>
          <w:marTop w:val="0"/>
          <w:marBottom w:val="0"/>
          <w:divBdr>
            <w:top w:val="none" w:sz="0" w:space="0" w:color="auto"/>
            <w:left w:val="none" w:sz="0" w:space="0" w:color="auto"/>
            <w:bottom w:val="none" w:sz="0" w:space="0" w:color="auto"/>
            <w:right w:val="none" w:sz="0" w:space="0" w:color="auto"/>
          </w:divBdr>
        </w:div>
        <w:div w:id="1062798899">
          <w:marLeft w:val="0"/>
          <w:marRight w:val="0"/>
          <w:marTop w:val="240"/>
          <w:marBottom w:val="0"/>
          <w:divBdr>
            <w:top w:val="none" w:sz="0" w:space="0" w:color="auto"/>
            <w:left w:val="none" w:sz="0" w:space="0" w:color="auto"/>
            <w:bottom w:val="none" w:sz="0" w:space="0" w:color="auto"/>
            <w:right w:val="none" w:sz="0" w:space="0" w:color="auto"/>
          </w:divBdr>
        </w:div>
        <w:div w:id="1145784020">
          <w:marLeft w:val="0"/>
          <w:marRight w:val="0"/>
          <w:marTop w:val="240"/>
          <w:marBottom w:val="0"/>
          <w:divBdr>
            <w:top w:val="none" w:sz="0" w:space="0" w:color="auto"/>
            <w:left w:val="none" w:sz="0" w:space="0" w:color="auto"/>
            <w:bottom w:val="none" w:sz="0" w:space="0" w:color="auto"/>
            <w:right w:val="none" w:sz="0" w:space="0" w:color="auto"/>
          </w:divBdr>
        </w:div>
        <w:div w:id="1230310271">
          <w:marLeft w:val="0"/>
          <w:marRight w:val="0"/>
          <w:marTop w:val="240"/>
          <w:marBottom w:val="0"/>
          <w:divBdr>
            <w:top w:val="none" w:sz="0" w:space="0" w:color="auto"/>
            <w:left w:val="none" w:sz="0" w:space="0" w:color="auto"/>
            <w:bottom w:val="none" w:sz="0" w:space="0" w:color="auto"/>
            <w:right w:val="none" w:sz="0" w:space="0" w:color="auto"/>
          </w:divBdr>
        </w:div>
        <w:div w:id="1246763010">
          <w:marLeft w:val="425"/>
          <w:marRight w:val="0"/>
          <w:marTop w:val="0"/>
          <w:marBottom w:val="0"/>
          <w:divBdr>
            <w:top w:val="none" w:sz="0" w:space="0" w:color="auto"/>
            <w:left w:val="none" w:sz="0" w:space="0" w:color="auto"/>
            <w:bottom w:val="none" w:sz="0" w:space="0" w:color="auto"/>
            <w:right w:val="none" w:sz="0" w:space="0" w:color="auto"/>
          </w:divBdr>
        </w:div>
        <w:div w:id="1296181008">
          <w:marLeft w:val="425"/>
          <w:marRight w:val="0"/>
          <w:marTop w:val="0"/>
          <w:marBottom w:val="0"/>
          <w:divBdr>
            <w:top w:val="none" w:sz="0" w:space="0" w:color="auto"/>
            <w:left w:val="none" w:sz="0" w:space="0" w:color="auto"/>
            <w:bottom w:val="none" w:sz="0" w:space="0" w:color="auto"/>
            <w:right w:val="none" w:sz="0" w:space="0" w:color="auto"/>
          </w:divBdr>
        </w:div>
        <w:div w:id="1309629291">
          <w:marLeft w:val="425"/>
          <w:marRight w:val="0"/>
          <w:marTop w:val="0"/>
          <w:marBottom w:val="0"/>
          <w:divBdr>
            <w:top w:val="none" w:sz="0" w:space="0" w:color="auto"/>
            <w:left w:val="none" w:sz="0" w:space="0" w:color="auto"/>
            <w:bottom w:val="none" w:sz="0" w:space="0" w:color="auto"/>
            <w:right w:val="none" w:sz="0" w:space="0" w:color="auto"/>
          </w:divBdr>
        </w:div>
        <w:div w:id="1359508665">
          <w:marLeft w:val="425"/>
          <w:marRight w:val="0"/>
          <w:marTop w:val="0"/>
          <w:marBottom w:val="0"/>
          <w:divBdr>
            <w:top w:val="none" w:sz="0" w:space="0" w:color="auto"/>
            <w:left w:val="none" w:sz="0" w:space="0" w:color="auto"/>
            <w:bottom w:val="none" w:sz="0" w:space="0" w:color="auto"/>
            <w:right w:val="none" w:sz="0" w:space="0" w:color="auto"/>
          </w:divBdr>
        </w:div>
        <w:div w:id="1377005323">
          <w:marLeft w:val="0"/>
          <w:marRight w:val="0"/>
          <w:marTop w:val="240"/>
          <w:marBottom w:val="0"/>
          <w:divBdr>
            <w:top w:val="none" w:sz="0" w:space="0" w:color="auto"/>
            <w:left w:val="none" w:sz="0" w:space="0" w:color="auto"/>
            <w:bottom w:val="none" w:sz="0" w:space="0" w:color="auto"/>
            <w:right w:val="none" w:sz="0" w:space="0" w:color="auto"/>
          </w:divBdr>
        </w:div>
        <w:div w:id="1513488663">
          <w:marLeft w:val="425"/>
          <w:marRight w:val="0"/>
          <w:marTop w:val="0"/>
          <w:marBottom w:val="0"/>
          <w:divBdr>
            <w:top w:val="none" w:sz="0" w:space="0" w:color="auto"/>
            <w:left w:val="none" w:sz="0" w:space="0" w:color="auto"/>
            <w:bottom w:val="none" w:sz="0" w:space="0" w:color="auto"/>
            <w:right w:val="none" w:sz="0" w:space="0" w:color="auto"/>
          </w:divBdr>
        </w:div>
        <w:div w:id="1542591446">
          <w:marLeft w:val="425"/>
          <w:marRight w:val="0"/>
          <w:marTop w:val="0"/>
          <w:marBottom w:val="0"/>
          <w:divBdr>
            <w:top w:val="none" w:sz="0" w:space="0" w:color="auto"/>
            <w:left w:val="none" w:sz="0" w:space="0" w:color="auto"/>
            <w:bottom w:val="none" w:sz="0" w:space="0" w:color="auto"/>
            <w:right w:val="none" w:sz="0" w:space="0" w:color="auto"/>
          </w:divBdr>
        </w:div>
        <w:div w:id="1563059161">
          <w:marLeft w:val="425"/>
          <w:marRight w:val="0"/>
          <w:marTop w:val="0"/>
          <w:marBottom w:val="0"/>
          <w:divBdr>
            <w:top w:val="none" w:sz="0" w:space="0" w:color="auto"/>
            <w:left w:val="none" w:sz="0" w:space="0" w:color="auto"/>
            <w:bottom w:val="none" w:sz="0" w:space="0" w:color="auto"/>
            <w:right w:val="none" w:sz="0" w:space="0" w:color="auto"/>
          </w:divBdr>
        </w:div>
        <w:div w:id="1574316929">
          <w:marLeft w:val="425"/>
          <w:marRight w:val="0"/>
          <w:marTop w:val="0"/>
          <w:marBottom w:val="0"/>
          <w:divBdr>
            <w:top w:val="none" w:sz="0" w:space="0" w:color="auto"/>
            <w:left w:val="none" w:sz="0" w:space="0" w:color="auto"/>
            <w:bottom w:val="none" w:sz="0" w:space="0" w:color="auto"/>
            <w:right w:val="none" w:sz="0" w:space="0" w:color="auto"/>
          </w:divBdr>
        </w:div>
        <w:div w:id="1585647150">
          <w:marLeft w:val="0"/>
          <w:marRight w:val="0"/>
          <w:marTop w:val="240"/>
          <w:marBottom w:val="0"/>
          <w:divBdr>
            <w:top w:val="none" w:sz="0" w:space="0" w:color="auto"/>
            <w:left w:val="none" w:sz="0" w:space="0" w:color="auto"/>
            <w:bottom w:val="none" w:sz="0" w:space="0" w:color="auto"/>
            <w:right w:val="none" w:sz="0" w:space="0" w:color="auto"/>
          </w:divBdr>
        </w:div>
        <w:div w:id="1587420140">
          <w:marLeft w:val="425"/>
          <w:marRight w:val="0"/>
          <w:marTop w:val="0"/>
          <w:marBottom w:val="0"/>
          <w:divBdr>
            <w:top w:val="none" w:sz="0" w:space="0" w:color="auto"/>
            <w:left w:val="none" w:sz="0" w:space="0" w:color="auto"/>
            <w:bottom w:val="none" w:sz="0" w:space="0" w:color="auto"/>
            <w:right w:val="none" w:sz="0" w:space="0" w:color="auto"/>
          </w:divBdr>
        </w:div>
        <w:div w:id="1601915615">
          <w:marLeft w:val="0"/>
          <w:marRight w:val="0"/>
          <w:marTop w:val="0"/>
          <w:marBottom w:val="0"/>
          <w:divBdr>
            <w:top w:val="none" w:sz="0" w:space="0" w:color="auto"/>
            <w:left w:val="none" w:sz="0" w:space="0" w:color="auto"/>
            <w:bottom w:val="none" w:sz="0" w:space="0" w:color="auto"/>
            <w:right w:val="none" w:sz="0" w:space="0" w:color="auto"/>
          </w:divBdr>
        </w:div>
        <w:div w:id="1610890004">
          <w:marLeft w:val="0"/>
          <w:marRight w:val="0"/>
          <w:marTop w:val="240"/>
          <w:marBottom w:val="0"/>
          <w:divBdr>
            <w:top w:val="none" w:sz="0" w:space="0" w:color="auto"/>
            <w:left w:val="none" w:sz="0" w:space="0" w:color="auto"/>
            <w:bottom w:val="none" w:sz="0" w:space="0" w:color="auto"/>
            <w:right w:val="none" w:sz="0" w:space="0" w:color="auto"/>
          </w:divBdr>
        </w:div>
        <w:div w:id="1668630762">
          <w:marLeft w:val="425"/>
          <w:marRight w:val="0"/>
          <w:marTop w:val="0"/>
          <w:marBottom w:val="0"/>
          <w:divBdr>
            <w:top w:val="none" w:sz="0" w:space="0" w:color="auto"/>
            <w:left w:val="none" w:sz="0" w:space="0" w:color="auto"/>
            <w:bottom w:val="none" w:sz="0" w:space="0" w:color="auto"/>
            <w:right w:val="none" w:sz="0" w:space="0" w:color="auto"/>
          </w:divBdr>
        </w:div>
        <w:div w:id="1669675837">
          <w:marLeft w:val="0"/>
          <w:marRight w:val="0"/>
          <w:marTop w:val="240"/>
          <w:marBottom w:val="0"/>
          <w:divBdr>
            <w:top w:val="none" w:sz="0" w:space="0" w:color="auto"/>
            <w:left w:val="none" w:sz="0" w:space="0" w:color="auto"/>
            <w:bottom w:val="none" w:sz="0" w:space="0" w:color="auto"/>
            <w:right w:val="none" w:sz="0" w:space="0" w:color="auto"/>
          </w:divBdr>
        </w:div>
        <w:div w:id="1761676056">
          <w:marLeft w:val="425"/>
          <w:marRight w:val="0"/>
          <w:marTop w:val="0"/>
          <w:marBottom w:val="0"/>
          <w:divBdr>
            <w:top w:val="none" w:sz="0" w:space="0" w:color="auto"/>
            <w:left w:val="none" w:sz="0" w:space="0" w:color="auto"/>
            <w:bottom w:val="none" w:sz="0" w:space="0" w:color="auto"/>
            <w:right w:val="none" w:sz="0" w:space="0" w:color="auto"/>
          </w:divBdr>
        </w:div>
        <w:div w:id="1826776981">
          <w:marLeft w:val="0"/>
          <w:marRight w:val="0"/>
          <w:marTop w:val="240"/>
          <w:marBottom w:val="0"/>
          <w:divBdr>
            <w:top w:val="none" w:sz="0" w:space="0" w:color="auto"/>
            <w:left w:val="none" w:sz="0" w:space="0" w:color="auto"/>
            <w:bottom w:val="none" w:sz="0" w:space="0" w:color="auto"/>
            <w:right w:val="none" w:sz="0" w:space="0" w:color="auto"/>
          </w:divBdr>
        </w:div>
        <w:div w:id="1868790535">
          <w:marLeft w:val="0"/>
          <w:marRight w:val="0"/>
          <w:marTop w:val="240"/>
          <w:marBottom w:val="0"/>
          <w:divBdr>
            <w:top w:val="none" w:sz="0" w:space="0" w:color="auto"/>
            <w:left w:val="none" w:sz="0" w:space="0" w:color="auto"/>
            <w:bottom w:val="none" w:sz="0" w:space="0" w:color="auto"/>
            <w:right w:val="none" w:sz="0" w:space="0" w:color="auto"/>
          </w:divBdr>
        </w:div>
        <w:div w:id="1887109349">
          <w:marLeft w:val="425"/>
          <w:marRight w:val="0"/>
          <w:marTop w:val="0"/>
          <w:marBottom w:val="0"/>
          <w:divBdr>
            <w:top w:val="none" w:sz="0" w:space="0" w:color="auto"/>
            <w:left w:val="none" w:sz="0" w:space="0" w:color="auto"/>
            <w:bottom w:val="none" w:sz="0" w:space="0" w:color="auto"/>
            <w:right w:val="none" w:sz="0" w:space="0" w:color="auto"/>
          </w:divBdr>
        </w:div>
        <w:div w:id="1967735338">
          <w:marLeft w:val="425"/>
          <w:marRight w:val="0"/>
          <w:marTop w:val="0"/>
          <w:marBottom w:val="0"/>
          <w:divBdr>
            <w:top w:val="none" w:sz="0" w:space="0" w:color="auto"/>
            <w:left w:val="none" w:sz="0" w:space="0" w:color="auto"/>
            <w:bottom w:val="none" w:sz="0" w:space="0" w:color="auto"/>
            <w:right w:val="none" w:sz="0" w:space="0" w:color="auto"/>
          </w:divBdr>
        </w:div>
        <w:div w:id="1996571313">
          <w:marLeft w:val="0"/>
          <w:marRight w:val="0"/>
          <w:marTop w:val="240"/>
          <w:marBottom w:val="0"/>
          <w:divBdr>
            <w:top w:val="none" w:sz="0" w:space="0" w:color="auto"/>
            <w:left w:val="none" w:sz="0" w:space="0" w:color="auto"/>
            <w:bottom w:val="none" w:sz="0" w:space="0" w:color="auto"/>
            <w:right w:val="none" w:sz="0" w:space="0" w:color="auto"/>
          </w:divBdr>
        </w:div>
        <w:div w:id="2002848901">
          <w:marLeft w:val="425"/>
          <w:marRight w:val="0"/>
          <w:marTop w:val="0"/>
          <w:marBottom w:val="0"/>
          <w:divBdr>
            <w:top w:val="none" w:sz="0" w:space="0" w:color="auto"/>
            <w:left w:val="none" w:sz="0" w:space="0" w:color="auto"/>
            <w:bottom w:val="none" w:sz="0" w:space="0" w:color="auto"/>
            <w:right w:val="none" w:sz="0" w:space="0" w:color="auto"/>
          </w:divBdr>
        </w:div>
        <w:div w:id="2040201942">
          <w:marLeft w:val="0"/>
          <w:marRight w:val="0"/>
          <w:marTop w:val="240"/>
          <w:marBottom w:val="0"/>
          <w:divBdr>
            <w:top w:val="none" w:sz="0" w:space="0" w:color="auto"/>
            <w:left w:val="none" w:sz="0" w:space="0" w:color="auto"/>
            <w:bottom w:val="none" w:sz="0" w:space="0" w:color="auto"/>
            <w:right w:val="none" w:sz="0" w:space="0" w:color="auto"/>
          </w:divBdr>
        </w:div>
      </w:divsChild>
    </w:div>
    <w:div w:id="1756122880">
      <w:bodyDiv w:val="1"/>
      <w:marLeft w:val="0"/>
      <w:marRight w:val="0"/>
      <w:marTop w:val="0"/>
      <w:marBottom w:val="0"/>
      <w:divBdr>
        <w:top w:val="none" w:sz="0" w:space="0" w:color="auto"/>
        <w:left w:val="none" w:sz="0" w:space="0" w:color="auto"/>
        <w:bottom w:val="none" w:sz="0" w:space="0" w:color="auto"/>
        <w:right w:val="none" w:sz="0" w:space="0" w:color="auto"/>
      </w:divBdr>
    </w:div>
    <w:div w:id="1759671645">
      <w:bodyDiv w:val="1"/>
      <w:marLeft w:val="0"/>
      <w:marRight w:val="0"/>
      <w:marTop w:val="0"/>
      <w:marBottom w:val="0"/>
      <w:divBdr>
        <w:top w:val="none" w:sz="0" w:space="0" w:color="auto"/>
        <w:left w:val="none" w:sz="0" w:space="0" w:color="auto"/>
        <w:bottom w:val="none" w:sz="0" w:space="0" w:color="auto"/>
        <w:right w:val="none" w:sz="0" w:space="0" w:color="auto"/>
      </w:divBdr>
    </w:div>
    <w:div w:id="1785731462">
      <w:bodyDiv w:val="1"/>
      <w:marLeft w:val="0"/>
      <w:marRight w:val="0"/>
      <w:marTop w:val="0"/>
      <w:marBottom w:val="0"/>
      <w:divBdr>
        <w:top w:val="none" w:sz="0" w:space="0" w:color="auto"/>
        <w:left w:val="none" w:sz="0" w:space="0" w:color="auto"/>
        <w:bottom w:val="none" w:sz="0" w:space="0" w:color="auto"/>
        <w:right w:val="none" w:sz="0" w:space="0" w:color="auto"/>
      </w:divBdr>
    </w:div>
    <w:div w:id="1794244969">
      <w:bodyDiv w:val="1"/>
      <w:marLeft w:val="0"/>
      <w:marRight w:val="0"/>
      <w:marTop w:val="0"/>
      <w:marBottom w:val="0"/>
      <w:divBdr>
        <w:top w:val="none" w:sz="0" w:space="0" w:color="auto"/>
        <w:left w:val="none" w:sz="0" w:space="0" w:color="auto"/>
        <w:bottom w:val="none" w:sz="0" w:space="0" w:color="auto"/>
        <w:right w:val="none" w:sz="0" w:space="0" w:color="auto"/>
      </w:divBdr>
    </w:div>
    <w:div w:id="1835098121">
      <w:bodyDiv w:val="1"/>
      <w:marLeft w:val="0"/>
      <w:marRight w:val="0"/>
      <w:marTop w:val="0"/>
      <w:marBottom w:val="0"/>
      <w:divBdr>
        <w:top w:val="none" w:sz="0" w:space="0" w:color="auto"/>
        <w:left w:val="none" w:sz="0" w:space="0" w:color="auto"/>
        <w:bottom w:val="none" w:sz="0" w:space="0" w:color="auto"/>
        <w:right w:val="none" w:sz="0" w:space="0" w:color="auto"/>
      </w:divBdr>
    </w:div>
    <w:div w:id="1858889610">
      <w:bodyDiv w:val="1"/>
      <w:marLeft w:val="0"/>
      <w:marRight w:val="0"/>
      <w:marTop w:val="0"/>
      <w:marBottom w:val="0"/>
      <w:divBdr>
        <w:top w:val="none" w:sz="0" w:space="0" w:color="auto"/>
        <w:left w:val="none" w:sz="0" w:space="0" w:color="auto"/>
        <w:bottom w:val="none" w:sz="0" w:space="0" w:color="auto"/>
        <w:right w:val="none" w:sz="0" w:space="0" w:color="auto"/>
      </w:divBdr>
    </w:div>
    <w:div w:id="1859854704">
      <w:bodyDiv w:val="1"/>
      <w:marLeft w:val="0"/>
      <w:marRight w:val="0"/>
      <w:marTop w:val="0"/>
      <w:marBottom w:val="0"/>
      <w:divBdr>
        <w:top w:val="none" w:sz="0" w:space="0" w:color="auto"/>
        <w:left w:val="none" w:sz="0" w:space="0" w:color="auto"/>
        <w:bottom w:val="none" w:sz="0" w:space="0" w:color="auto"/>
        <w:right w:val="none" w:sz="0" w:space="0" w:color="auto"/>
      </w:divBdr>
    </w:div>
    <w:div w:id="1882397534">
      <w:bodyDiv w:val="1"/>
      <w:marLeft w:val="0"/>
      <w:marRight w:val="0"/>
      <w:marTop w:val="0"/>
      <w:marBottom w:val="0"/>
      <w:divBdr>
        <w:top w:val="none" w:sz="0" w:space="0" w:color="auto"/>
        <w:left w:val="none" w:sz="0" w:space="0" w:color="auto"/>
        <w:bottom w:val="none" w:sz="0" w:space="0" w:color="auto"/>
        <w:right w:val="none" w:sz="0" w:space="0" w:color="auto"/>
      </w:divBdr>
    </w:div>
    <w:div w:id="1899708561">
      <w:bodyDiv w:val="1"/>
      <w:marLeft w:val="0"/>
      <w:marRight w:val="0"/>
      <w:marTop w:val="0"/>
      <w:marBottom w:val="0"/>
      <w:divBdr>
        <w:top w:val="none" w:sz="0" w:space="0" w:color="auto"/>
        <w:left w:val="none" w:sz="0" w:space="0" w:color="auto"/>
        <w:bottom w:val="none" w:sz="0" w:space="0" w:color="auto"/>
        <w:right w:val="none" w:sz="0" w:space="0" w:color="auto"/>
      </w:divBdr>
    </w:div>
    <w:div w:id="1914852201">
      <w:bodyDiv w:val="1"/>
      <w:marLeft w:val="0"/>
      <w:marRight w:val="0"/>
      <w:marTop w:val="0"/>
      <w:marBottom w:val="0"/>
      <w:divBdr>
        <w:top w:val="none" w:sz="0" w:space="0" w:color="auto"/>
        <w:left w:val="none" w:sz="0" w:space="0" w:color="auto"/>
        <w:bottom w:val="none" w:sz="0" w:space="0" w:color="auto"/>
        <w:right w:val="none" w:sz="0" w:space="0" w:color="auto"/>
      </w:divBdr>
    </w:div>
    <w:div w:id="1918589089">
      <w:bodyDiv w:val="1"/>
      <w:marLeft w:val="0"/>
      <w:marRight w:val="0"/>
      <w:marTop w:val="0"/>
      <w:marBottom w:val="0"/>
      <w:divBdr>
        <w:top w:val="none" w:sz="0" w:space="0" w:color="auto"/>
        <w:left w:val="none" w:sz="0" w:space="0" w:color="auto"/>
        <w:bottom w:val="none" w:sz="0" w:space="0" w:color="auto"/>
        <w:right w:val="none" w:sz="0" w:space="0" w:color="auto"/>
      </w:divBdr>
      <w:divsChild>
        <w:div w:id="433407266">
          <w:marLeft w:val="425"/>
          <w:marRight w:val="0"/>
          <w:marTop w:val="0"/>
          <w:marBottom w:val="0"/>
          <w:divBdr>
            <w:top w:val="none" w:sz="0" w:space="0" w:color="auto"/>
            <w:left w:val="none" w:sz="0" w:space="0" w:color="auto"/>
            <w:bottom w:val="none" w:sz="0" w:space="0" w:color="auto"/>
            <w:right w:val="none" w:sz="0" w:space="0" w:color="auto"/>
          </w:divBdr>
        </w:div>
        <w:div w:id="536771112">
          <w:marLeft w:val="0"/>
          <w:marRight w:val="0"/>
          <w:marTop w:val="240"/>
          <w:marBottom w:val="0"/>
          <w:divBdr>
            <w:top w:val="none" w:sz="0" w:space="0" w:color="auto"/>
            <w:left w:val="none" w:sz="0" w:space="0" w:color="auto"/>
            <w:bottom w:val="none" w:sz="0" w:space="0" w:color="auto"/>
            <w:right w:val="none" w:sz="0" w:space="0" w:color="auto"/>
          </w:divBdr>
        </w:div>
        <w:div w:id="720592756">
          <w:marLeft w:val="0"/>
          <w:marRight w:val="0"/>
          <w:marTop w:val="240"/>
          <w:marBottom w:val="0"/>
          <w:divBdr>
            <w:top w:val="none" w:sz="0" w:space="0" w:color="auto"/>
            <w:left w:val="none" w:sz="0" w:space="0" w:color="auto"/>
            <w:bottom w:val="none" w:sz="0" w:space="0" w:color="auto"/>
            <w:right w:val="none" w:sz="0" w:space="0" w:color="auto"/>
          </w:divBdr>
        </w:div>
        <w:div w:id="841164120">
          <w:marLeft w:val="567"/>
          <w:marRight w:val="0"/>
          <w:marTop w:val="0"/>
          <w:marBottom w:val="0"/>
          <w:divBdr>
            <w:top w:val="none" w:sz="0" w:space="0" w:color="auto"/>
            <w:left w:val="none" w:sz="0" w:space="0" w:color="auto"/>
            <w:bottom w:val="none" w:sz="0" w:space="0" w:color="auto"/>
            <w:right w:val="none" w:sz="0" w:space="0" w:color="auto"/>
          </w:divBdr>
        </w:div>
        <w:div w:id="1021013106">
          <w:marLeft w:val="425"/>
          <w:marRight w:val="0"/>
          <w:marTop w:val="0"/>
          <w:marBottom w:val="0"/>
          <w:divBdr>
            <w:top w:val="none" w:sz="0" w:space="0" w:color="auto"/>
            <w:left w:val="none" w:sz="0" w:space="0" w:color="auto"/>
            <w:bottom w:val="none" w:sz="0" w:space="0" w:color="auto"/>
            <w:right w:val="none" w:sz="0" w:space="0" w:color="auto"/>
          </w:divBdr>
        </w:div>
        <w:div w:id="1061177343">
          <w:marLeft w:val="425"/>
          <w:marRight w:val="0"/>
          <w:marTop w:val="0"/>
          <w:marBottom w:val="0"/>
          <w:divBdr>
            <w:top w:val="none" w:sz="0" w:space="0" w:color="auto"/>
            <w:left w:val="none" w:sz="0" w:space="0" w:color="auto"/>
            <w:bottom w:val="none" w:sz="0" w:space="0" w:color="auto"/>
            <w:right w:val="none" w:sz="0" w:space="0" w:color="auto"/>
          </w:divBdr>
        </w:div>
        <w:div w:id="1174029513">
          <w:marLeft w:val="567"/>
          <w:marRight w:val="0"/>
          <w:marTop w:val="0"/>
          <w:marBottom w:val="0"/>
          <w:divBdr>
            <w:top w:val="none" w:sz="0" w:space="0" w:color="auto"/>
            <w:left w:val="none" w:sz="0" w:space="0" w:color="auto"/>
            <w:bottom w:val="none" w:sz="0" w:space="0" w:color="auto"/>
            <w:right w:val="none" w:sz="0" w:space="0" w:color="auto"/>
          </w:divBdr>
        </w:div>
        <w:div w:id="1314676831">
          <w:marLeft w:val="567"/>
          <w:marRight w:val="0"/>
          <w:marTop w:val="0"/>
          <w:marBottom w:val="0"/>
          <w:divBdr>
            <w:top w:val="none" w:sz="0" w:space="0" w:color="auto"/>
            <w:left w:val="none" w:sz="0" w:space="0" w:color="auto"/>
            <w:bottom w:val="none" w:sz="0" w:space="0" w:color="auto"/>
            <w:right w:val="none" w:sz="0" w:space="0" w:color="auto"/>
          </w:divBdr>
        </w:div>
        <w:div w:id="1746414215">
          <w:marLeft w:val="0"/>
          <w:marRight w:val="0"/>
          <w:marTop w:val="480"/>
          <w:marBottom w:val="0"/>
          <w:divBdr>
            <w:top w:val="none" w:sz="0" w:space="0" w:color="auto"/>
            <w:left w:val="none" w:sz="0" w:space="0" w:color="auto"/>
            <w:bottom w:val="none" w:sz="0" w:space="0" w:color="auto"/>
            <w:right w:val="none" w:sz="0" w:space="0" w:color="auto"/>
          </w:divBdr>
        </w:div>
        <w:div w:id="1800342928">
          <w:marLeft w:val="425"/>
          <w:marRight w:val="0"/>
          <w:marTop w:val="0"/>
          <w:marBottom w:val="0"/>
          <w:divBdr>
            <w:top w:val="none" w:sz="0" w:space="0" w:color="auto"/>
            <w:left w:val="none" w:sz="0" w:space="0" w:color="auto"/>
            <w:bottom w:val="none" w:sz="0" w:space="0" w:color="auto"/>
            <w:right w:val="none" w:sz="0" w:space="0" w:color="auto"/>
          </w:divBdr>
        </w:div>
        <w:div w:id="1862668734">
          <w:marLeft w:val="0"/>
          <w:marRight w:val="0"/>
          <w:marTop w:val="0"/>
          <w:marBottom w:val="0"/>
          <w:divBdr>
            <w:top w:val="none" w:sz="0" w:space="0" w:color="auto"/>
            <w:left w:val="none" w:sz="0" w:space="0" w:color="auto"/>
            <w:bottom w:val="none" w:sz="0" w:space="0" w:color="auto"/>
            <w:right w:val="none" w:sz="0" w:space="0" w:color="auto"/>
          </w:divBdr>
        </w:div>
        <w:div w:id="2049180431">
          <w:marLeft w:val="0"/>
          <w:marRight w:val="0"/>
          <w:marTop w:val="480"/>
          <w:marBottom w:val="0"/>
          <w:divBdr>
            <w:top w:val="none" w:sz="0" w:space="0" w:color="auto"/>
            <w:left w:val="none" w:sz="0" w:space="0" w:color="auto"/>
            <w:bottom w:val="none" w:sz="0" w:space="0" w:color="auto"/>
            <w:right w:val="none" w:sz="0" w:space="0" w:color="auto"/>
          </w:divBdr>
        </w:div>
      </w:divsChild>
    </w:div>
    <w:div w:id="1920822527">
      <w:bodyDiv w:val="1"/>
      <w:marLeft w:val="0"/>
      <w:marRight w:val="0"/>
      <w:marTop w:val="0"/>
      <w:marBottom w:val="0"/>
      <w:divBdr>
        <w:top w:val="none" w:sz="0" w:space="0" w:color="auto"/>
        <w:left w:val="none" w:sz="0" w:space="0" w:color="auto"/>
        <w:bottom w:val="none" w:sz="0" w:space="0" w:color="auto"/>
        <w:right w:val="none" w:sz="0" w:space="0" w:color="auto"/>
      </w:divBdr>
    </w:div>
    <w:div w:id="1968244682">
      <w:bodyDiv w:val="1"/>
      <w:marLeft w:val="0"/>
      <w:marRight w:val="0"/>
      <w:marTop w:val="0"/>
      <w:marBottom w:val="0"/>
      <w:divBdr>
        <w:top w:val="none" w:sz="0" w:space="0" w:color="auto"/>
        <w:left w:val="none" w:sz="0" w:space="0" w:color="auto"/>
        <w:bottom w:val="none" w:sz="0" w:space="0" w:color="auto"/>
        <w:right w:val="none" w:sz="0" w:space="0" w:color="auto"/>
      </w:divBdr>
    </w:div>
    <w:div w:id="1976835619">
      <w:bodyDiv w:val="1"/>
      <w:marLeft w:val="0"/>
      <w:marRight w:val="0"/>
      <w:marTop w:val="0"/>
      <w:marBottom w:val="0"/>
      <w:divBdr>
        <w:top w:val="none" w:sz="0" w:space="0" w:color="auto"/>
        <w:left w:val="none" w:sz="0" w:space="0" w:color="auto"/>
        <w:bottom w:val="none" w:sz="0" w:space="0" w:color="auto"/>
        <w:right w:val="none" w:sz="0" w:space="0" w:color="auto"/>
      </w:divBdr>
    </w:div>
    <w:div w:id="2023969402">
      <w:bodyDiv w:val="1"/>
      <w:marLeft w:val="0"/>
      <w:marRight w:val="0"/>
      <w:marTop w:val="0"/>
      <w:marBottom w:val="0"/>
      <w:divBdr>
        <w:top w:val="none" w:sz="0" w:space="0" w:color="auto"/>
        <w:left w:val="none" w:sz="0" w:space="0" w:color="auto"/>
        <w:bottom w:val="none" w:sz="0" w:space="0" w:color="auto"/>
        <w:right w:val="none" w:sz="0" w:space="0" w:color="auto"/>
      </w:divBdr>
    </w:div>
    <w:div w:id="2059160354">
      <w:bodyDiv w:val="1"/>
      <w:marLeft w:val="0"/>
      <w:marRight w:val="0"/>
      <w:marTop w:val="0"/>
      <w:marBottom w:val="0"/>
      <w:divBdr>
        <w:top w:val="none" w:sz="0" w:space="0" w:color="auto"/>
        <w:left w:val="none" w:sz="0" w:space="0" w:color="auto"/>
        <w:bottom w:val="none" w:sz="0" w:space="0" w:color="auto"/>
        <w:right w:val="none" w:sz="0" w:space="0" w:color="auto"/>
      </w:divBdr>
    </w:div>
    <w:div w:id="2084831318">
      <w:bodyDiv w:val="1"/>
      <w:marLeft w:val="0"/>
      <w:marRight w:val="0"/>
      <w:marTop w:val="0"/>
      <w:marBottom w:val="0"/>
      <w:divBdr>
        <w:top w:val="none" w:sz="0" w:space="0" w:color="auto"/>
        <w:left w:val="none" w:sz="0" w:space="0" w:color="auto"/>
        <w:bottom w:val="none" w:sz="0" w:space="0" w:color="auto"/>
        <w:right w:val="none" w:sz="0" w:space="0" w:color="auto"/>
      </w:divBdr>
    </w:div>
    <w:div w:id="2118326305">
      <w:bodyDiv w:val="1"/>
      <w:marLeft w:val="0"/>
      <w:marRight w:val="0"/>
      <w:marTop w:val="0"/>
      <w:marBottom w:val="0"/>
      <w:divBdr>
        <w:top w:val="none" w:sz="0" w:space="0" w:color="auto"/>
        <w:left w:val="none" w:sz="0" w:space="0" w:color="auto"/>
        <w:bottom w:val="none" w:sz="0" w:space="0" w:color="auto"/>
        <w:right w:val="none" w:sz="0" w:space="0" w:color="auto"/>
      </w:divBdr>
      <w:divsChild>
        <w:div w:id="1091001647">
          <w:marLeft w:val="0"/>
          <w:marRight w:val="0"/>
          <w:marTop w:val="0"/>
          <w:marBottom w:val="0"/>
          <w:divBdr>
            <w:top w:val="none" w:sz="0" w:space="0" w:color="auto"/>
            <w:left w:val="none" w:sz="0" w:space="0" w:color="auto"/>
            <w:bottom w:val="none" w:sz="0" w:space="0" w:color="auto"/>
            <w:right w:val="none" w:sz="0" w:space="0" w:color="auto"/>
          </w:divBdr>
          <w:divsChild>
            <w:div w:id="1165248857">
              <w:marLeft w:val="0"/>
              <w:marRight w:val="0"/>
              <w:marTop w:val="120"/>
              <w:marBottom w:val="0"/>
              <w:divBdr>
                <w:top w:val="none" w:sz="0" w:space="0" w:color="auto"/>
                <w:left w:val="none" w:sz="0" w:space="0" w:color="auto"/>
                <w:bottom w:val="none" w:sz="0" w:space="0" w:color="auto"/>
                <w:right w:val="none" w:sz="0" w:space="0" w:color="auto"/>
              </w:divBdr>
            </w:div>
            <w:div w:id="1807310386">
              <w:marLeft w:val="0"/>
              <w:marRight w:val="0"/>
              <w:marTop w:val="0"/>
              <w:marBottom w:val="0"/>
              <w:divBdr>
                <w:top w:val="none" w:sz="0" w:space="0" w:color="auto"/>
                <w:left w:val="none" w:sz="0" w:space="0" w:color="auto"/>
                <w:bottom w:val="none" w:sz="0" w:space="0" w:color="auto"/>
                <w:right w:val="none" w:sz="0" w:space="0" w:color="auto"/>
              </w:divBdr>
            </w:div>
          </w:divsChild>
        </w:div>
        <w:div w:id="1292634254">
          <w:marLeft w:val="0"/>
          <w:marRight w:val="0"/>
          <w:marTop w:val="0"/>
          <w:marBottom w:val="0"/>
          <w:divBdr>
            <w:top w:val="none" w:sz="0" w:space="0" w:color="auto"/>
            <w:left w:val="none" w:sz="0" w:space="0" w:color="auto"/>
            <w:bottom w:val="none" w:sz="0" w:space="0" w:color="auto"/>
            <w:right w:val="none" w:sz="0" w:space="0" w:color="auto"/>
          </w:divBdr>
          <w:divsChild>
            <w:div w:id="522593568">
              <w:marLeft w:val="0"/>
              <w:marRight w:val="0"/>
              <w:marTop w:val="0"/>
              <w:marBottom w:val="0"/>
              <w:divBdr>
                <w:top w:val="none" w:sz="0" w:space="0" w:color="auto"/>
                <w:left w:val="none" w:sz="0" w:space="0" w:color="auto"/>
                <w:bottom w:val="none" w:sz="0" w:space="0" w:color="auto"/>
                <w:right w:val="none" w:sz="0" w:space="0" w:color="auto"/>
              </w:divBdr>
            </w:div>
            <w:div w:id="1897430733">
              <w:marLeft w:val="0"/>
              <w:marRight w:val="0"/>
              <w:marTop w:val="120"/>
              <w:marBottom w:val="0"/>
              <w:divBdr>
                <w:top w:val="none" w:sz="0" w:space="0" w:color="auto"/>
                <w:left w:val="none" w:sz="0" w:space="0" w:color="auto"/>
                <w:bottom w:val="none" w:sz="0" w:space="0" w:color="auto"/>
                <w:right w:val="none" w:sz="0" w:space="0" w:color="auto"/>
              </w:divBdr>
            </w:div>
          </w:divsChild>
        </w:div>
        <w:div w:id="1450933286">
          <w:marLeft w:val="0"/>
          <w:marRight w:val="0"/>
          <w:marTop w:val="0"/>
          <w:marBottom w:val="0"/>
          <w:divBdr>
            <w:top w:val="none" w:sz="0" w:space="0" w:color="auto"/>
            <w:left w:val="none" w:sz="0" w:space="0" w:color="auto"/>
            <w:bottom w:val="none" w:sz="0" w:space="0" w:color="auto"/>
            <w:right w:val="none" w:sz="0" w:space="0" w:color="auto"/>
          </w:divBdr>
          <w:divsChild>
            <w:div w:id="1337415738">
              <w:marLeft w:val="0"/>
              <w:marRight w:val="0"/>
              <w:marTop w:val="120"/>
              <w:marBottom w:val="0"/>
              <w:divBdr>
                <w:top w:val="none" w:sz="0" w:space="0" w:color="auto"/>
                <w:left w:val="none" w:sz="0" w:space="0" w:color="auto"/>
                <w:bottom w:val="none" w:sz="0" w:space="0" w:color="auto"/>
                <w:right w:val="none" w:sz="0" w:space="0" w:color="auto"/>
              </w:divBdr>
            </w:div>
            <w:div w:id="14831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0880" TargetMode="External"/><Relationship Id="rId18" Type="http://schemas.openxmlformats.org/officeDocument/2006/relationships/header" Target="header2.xml"/><Relationship Id="rId26" Type="http://schemas.openxmlformats.org/officeDocument/2006/relationships/hyperlink" Target="http://www.uradni-list.si/1/objava.jsp?sop=2010-01-0880" TargetMode="External"/><Relationship Id="rId39" Type="http://schemas.openxmlformats.org/officeDocument/2006/relationships/fontTable" Target="fontTable.xml"/><Relationship Id="rId21" Type="http://schemas.openxmlformats.org/officeDocument/2006/relationships/hyperlink" Target="https://www.uradni-list.si/glasilo-uradni-list-rs/vsebina/2013-01-2514" TargetMode="External"/><Relationship Id="rId34" Type="http://schemas.openxmlformats.org/officeDocument/2006/relationships/hyperlink" Target="https://www.uradni-list.si/glasilo-uradni-list-rs/vsebina/2008-01-2813" TargetMode="External"/><Relationship Id="rId7" Type="http://schemas.openxmlformats.org/officeDocument/2006/relationships/settings" Target="settings.xml"/><Relationship Id="rId12" Type="http://schemas.openxmlformats.org/officeDocument/2006/relationships/hyperlink" Target="http://www.uradni-list.si/1/objava.jsp?sop=2022-01-3442" TargetMode="External"/><Relationship Id="rId17" Type="http://schemas.openxmlformats.org/officeDocument/2006/relationships/footer" Target="footer1.xml"/><Relationship Id="rId25" Type="http://schemas.openxmlformats.org/officeDocument/2006/relationships/hyperlink" Target="http://www.uradni-list.si/1/objava.jsp?sop=2022-01-3442" TargetMode="External"/><Relationship Id="rId33" Type="http://schemas.openxmlformats.org/officeDocument/2006/relationships/hyperlink" Target="https://www.uradni-list.si/glasilo-uradni-list-rs/vsebina/2008-01-2057"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radni-list.si/glasilo-uradni-list-rs/vsebina/2008-01-28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4-01-0960" TargetMode="External"/><Relationship Id="rId24" Type="http://schemas.openxmlformats.org/officeDocument/2006/relationships/hyperlink" Target="http://www.uradni-list.si/1/objava.jsp?sop=2014-01-0960" TargetMode="External"/><Relationship Id="rId32" Type="http://schemas.openxmlformats.org/officeDocument/2006/relationships/footer" Target="footer4.xml"/><Relationship Id="rId37" Type="http://schemas.openxmlformats.org/officeDocument/2006/relationships/hyperlink" Target="https://www.uradni-list.si/glasilo-uradni-list-rs/vsebina/2021-01-2466"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4-01-0876" TargetMode="External"/><Relationship Id="rId23" Type="http://schemas.openxmlformats.org/officeDocument/2006/relationships/hyperlink" Target="https://www.uradni-list.si/glasilo-uradni-list-rs/vsebina/2021-01-2466" TargetMode="External"/><Relationship Id="rId28" Type="http://schemas.openxmlformats.org/officeDocument/2006/relationships/hyperlink" Target="http://www.uradni-list.si/1/objava.jsp?sop=2014-01-0876" TargetMode="External"/><Relationship Id="rId36" Type="http://schemas.openxmlformats.org/officeDocument/2006/relationships/hyperlink" Target="https://www.uradni-list.si/glasilo-uradni-list-rs/vsebina/2018-01-4121"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0279" TargetMode="External"/><Relationship Id="rId22" Type="http://schemas.openxmlformats.org/officeDocument/2006/relationships/hyperlink" Target="https://www.uradni-list.si/glasilo-uradni-list-rs/vsebina/2018-01-4121" TargetMode="External"/><Relationship Id="rId27" Type="http://schemas.openxmlformats.org/officeDocument/2006/relationships/hyperlink" Target="http://www.uradni-list.si/1/objava.jsp?sop=2011-01-0279" TargetMode="External"/><Relationship Id="rId30" Type="http://schemas.openxmlformats.org/officeDocument/2006/relationships/footer" Target="footer3.xml"/><Relationship Id="rId35" Type="http://schemas.openxmlformats.org/officeDocument/2006/relationships/hyperlink" Target="https://www.uradni-list.si/glasilo-uradni-list-rs/vsebina/2013-01-251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zdruzenje-ns.si/knjiznica/1838" TargetMode="External"/><Relationship Id="rId13" Type="http://schemas.openxmlformats.org/officeDocument/2006/relationships/hyperlink" Target="https://www.zdruzenje-ns.si/aktualno/novice/porocilo-o-napredku-za-doseganje-ciljne-spolne-raznolikosti-iz-pobude-40-33-2026-2023-05-10" TargetMode="External"/><Relationship Id="rId18" Type="http://schemas.openxmlformats.org/officeDocument/2006/relationships/hyperlink" Target="http://www.uradni-list.si/1/objava.jsp?sop=2013-01-4126" TargetMode="External"/><Relationship Id="rId26" Type="http://schemas.openxmlformats.org/officeDocument/2006/relationships/hyperlink" Target="https://insights.issgovernance.com/posts/france-pushes-forward-on-gender-diversity-within-french-corporate-management-bodies-via-the-rixain-act/" TargetMode="External"/><Relationship Id="rId3" Type="http://schemas.openxmlformats.org/officeDocument/2006/relationships/hyperlink" Target="https://eur-lex.europa.eu/legal-content/SL/AUTO/?uri=OJ:L:1996:319:TOC" TargetMode="External"/><Relationship Id="rId21" Type="http://schemas.openxmlformats.org/officeDocument/2006/relationships/hyperlink" Target="http://www.uradni-list.si/1/objava.jsp?sop=2016-01-1364" TargetMode="External"/><Relationship Id="rId7" Type="http://schemas.openxmlformats.org/officeDocument/2006/relationships/hyperlink" Target="https://eur-lex.europa.eu/legal-content/SL/AUTO/?uri=OJ:L:2006:204:TOC" TargetMode="External"/><Relationship Id="rId12" Type="http://schemas.openxmlformats.org/officeDocument/2006/relationships/hyperlink" Target="https://www.zdruzenje-ns.si/knjiznica/1781" TargetMode="External"/><Relationship Id="rId17" Type="http://schemas.openxmlformats.org/officeDocument/2006/relationships/hyperlink" Target="http://www.uradni-list.si/1/objava.jsp?sop=2013-01-0786" TargetMode="External"/><Relationship Id="rId25" Type="http://schemas.openxmlformats.org/officeDocument/2006/relationships/hyperlink" Target="http://www.uradni-list.si/1/objava.jsp?sop=2021-01-0110" TargetMode="External"/><Relationship Id="rId2" Type="http://schemas.openxmlformats.org/officeDocument/2006/relationships/hyperlink" Target="https://eur-lex.europa.eu/legal-content/SL/AUTO/?uri=OJ:L:1984:331:TOC" TargetMode="External"/><Relationship Id="rId16" Type="http://schemas.openxmlformats.org/officeDocument/2006/relationships/hyperlink" Target="http://www.uradni-list.si/1/objava.jsp?sop=2011-01-1376" TargetMode="External"/><Relationship Id="rId20" Type="http://schemas.openxmlformats.org/officeDocument/2006/relationships/hyperlink" Target="http://www.uradni-list.si/1/objava.jsp?sop=2014-01-3705" TargetMode="External"/><Relationship Id="rId29" Type="http://schemas.openxmlformats.org/officeDocument/2006/relationships/hyperlink" Target="https://www.lexology.com/library/detail.aspx?g=67a644f5-6bba-4033-a24d-62774df63e30" TargetMode="External"/><Relationship Id="rId1" Type="http://schemas.openxmlformats.org/officeDocument/2006/relationships/hyperlink" Target="https://eur-lex.europa.eu/legal-content/SL/TXT/?uri=CELEX%3A12012P%2FTXT" TargetMode="External"/><Relationship Id="rId6" Type="http://schemas.openxmlformats.org/officeDocument/2006/relationships/hyperlink" Target="https://eige.europa.eu/gender-statistics/dgs/indicator/wmidm_bus_bus__wmid_comp_compb" TargetMode="External"/><Relationship Id="rId11" Type="http://schemas.openxmlformats.org/officeDocument/2006/relationships/hyperlink" Target="https://www.zdruzenje-ns.si/knjiznica/1945" TargetMode="External"/><Relationship Id="rId24" Type="http://schemas.openxmlformats.org/officeDocument/2006/relationships/hyperlink" Target="http://www.uradni-list.si/1/objava.jsp?sop=2020-01-3096" TargetMode="External"/><Relationship Id="rId5" Type="http://schemas.openxmlformats.org/officeDocument/2006/relationships/hyperlink" Target="https://eige.europa.eu/publications-resources/publications/gender-balance-business-and-finance-december-2022" TargetMode="External"/><Relationship Id="rId15" Type="http://schemas.openxmlformats.org/officeDocument/2006/relationships/hyperlink" Target="https://www.a-tvp.si/drugi-seznami/seznam-javnih-druzb" TargetMode="External"/><Relationship Id="rId23" Type="http://schemas.openxmlformats.org/officeDocument/2006/relationships/hyperlink" Target="http://www.uradni-list.si/1/objava.jsp?sop=2019-01-3233" TargetMode="External"/><Relationship Id="rId28" Type="http://schemas.openxmlformats.org/officeDocument/2006/relationships/hyperlink" Target="https://www.dentons.com/en/insights/alerts/2021/december/9/new-dutch-law-mandates-greater-gender-balance-on-management-and-supervisory-boards" TargetMode="External"/><Relationship Id="rId10" Type="http://schemas.openxmlformats.org/officeDocument/2006/relationships/hyperlink" Target="https://www.sdh.si/Data/Documents/pravni-akti/Kodeks%20upravljanja%20dru%C5%BEb%20s%20kapitalsko%20nalo%C5%BEbo%20dr%C5%BEave_junij_2022.pdf" TargetMode="External"/><Relationship Id="rId19" Type="http://schemas.openxmlformats.org/officeDocument/2006/relationships/hyperlink" Target="http://www.uradni-list.si/1/objava.jsp?sop=2014-01-3062" TargetMode="External"/><Relationship Id="rId31" Type="http://schemas.openxmlformats.org/officeDocument/2006/relationships/hyperlink" Target="https://www.zdruzenje-ns.si/knjiznica/1838" TargetMode="External"/><Relationship Id="rId4" Type="http://schemas.openxmlformats.org/officeDocument/2006/relationships/hyperlink" Target="https://eige.europa.eu/publications-resources/publications/gender-balance-business-and-finance-december-2022" TargetMode="External"/><Relationship Id="rId9" Type="http://schemas.openxmlformats.org/officeDocument/2006/relationships/hyperlink" Target="https://www.gzs.si/skupne_naloge/pravni_portal/vsebina/Kodeks" TargetMode="External"/><Relationship Id="rId14" Type="http://schemas.openxmlformats.org/officeDocument/2006/relationships/hyperlink" Target="https://eige.europa.eu/gender-statistics/dgs" TargetMode="External"/><Relationship Id="rId22" Type="http://schemas.openxmlformats.org/officeDocument/2006/relationships/hyperlink" Target="http://www.uradni-list.si/1/objava.jsp?sop=2017-01-0740" TargetMode="External"/><Relationship Id="rId27" Type="http://schemas.openxmlformats.org/officeDocument/2006/relationships/hyperlink" Target="https://www.bundeskanzleramt.gv.at/en/agenda/women-and-equality/gender_equality_in_the_labour_market/women-in-leadership-positions.html" TargetMode="External"/><Relationship Id="rId30" Type="http://schemas.openxmlformats.org/officeDocument/2006/relationships/hyperlink" Target="https://eur-lex.europa.eu/legal-content/SL/TXT/PDF/?uri=CELEX:52020XG0227(01)&amp;from=S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gts.gov.si" TargetMode="External"/><Relationship Id="rId1" Type="http://schemas.openxmlformats.org/officeDocument/2006/relationships/hyperlink" Target="mailto:gp.mgts@gov.si" TargetMode="External"/></Relationships>
</file>

<file path=word/_rels/header4.xml.rels><?xml version="1.0" encoding="UTF-8" standalone="yes"?>
<Relationships xmlns="http://schemas.openxmlformats.org/package/2006/relationships"><Relationship Id="rId2" Type="http://schemas.openxmlformats.org/officeDocument/2006/relationships/hyperlink" Target="http://www.mgts.gov.si" TargetMode="External"/><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7FAEBD94534E82B7F09C59812A28" ma:contentTypeVersion="7" ma:contentTypeDescription="Create a new document." ma:contentTypeScope="" ma:versionID="d9935731971bcfc3f33f6747661297bc">
  <xsd:schema xmlns:xsd="http://www.w3.org/2001/XMLSchema" xmlns:xs="http://www.w3.org/2001/XMLSchema" xmlns:p="http://schemas.microsoft.com/office/2006/metadata/properties" xmlns:ns3="f3d074bf-3cd1-4fde-b519-cf8a40d7c9e0" xmlns:ns4="e0547274-212a-4088-b979-8e10eb07e368" targetNamespace="http://schemas.microsoft.com/office/2006/metadata/properties" ma:root="true" ma:fieldsID="e987dc0f2933ea4e62d9e213bed5b8c3" ns3:_="" ns4:_="">
    <xsd:import namespace="f3d074bf-3cd1-4fde-b519-cf8a40d7c9e0"/>
    <xsd:import namespace="e0547274-212a-4088-b979-8e10eb07e36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074bf-3cd1-4fde-b519-cf8a40d7c9e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47274-212a-4088-b979-8e10eb07e36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3d074bf-3cd1-4fde-b519-cf8a40d7c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BC0021-EDBD-4AA9-86A4-DD2D8F579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074bf-3cd1-4fde-b519-cf8a40d7c9e0"/>
    <ds:schemaRef ds:uri="e0547274-212a-4088-b979-8e10eb07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05B50-F227-4A29-800D-A8F25FF874A1}">
  <ds:schemaRefs>
    <ds:schemaRef ds:uri="http://schemas.microsoft.com/office/2006/metadata/properties"/>
    <ds:schemaRef ds:uri="e0547274-212a-4088-b979-8e10eb07e368"/>
    <ds:schemaRef ds:uri="http://schemas.openxmlformats.org/package/2006/metadata/core-properties"/>
    <ds:schemaRef ds:uri="http://purl.org/dc/terms/"/>
    <ds:schemaRef ds:uri="http://www.w3.org/XML/1998/namespace"/>
    <ds:schemaRef ds:uri="http://schemas.microsoft.com/office/2006/documentManagement/types"/>
    <ds:schemaRef ds:uri="f3d074bf-3cd1-4fde-b519-cf8a40d7c9e0"/>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82D3C856-9207-40AE-9289-1DDE81D9482B}">
  <ds:schemaRefs>
    <ds:schemaRef ds:uri="http://schemas.microsoft.com/sharepoint/v3/contenttype/forms"/>
  </ds:schemaRefs>
</ds:datastoreItem>
</file>

<file path=customXml/itemProps4.xml><?xml version="1.0" encoding="utf-8"?>
<ds:datastoreItem xmlns:ds="http://schemas.openxmlformats.org/officeDocument/2006/customXml" ds:itemID="{6F171BCC-8C62-4265-ABFD-2AA6CE81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171</Pages>
  <Words>94176</Words>
  <Characters>628830</Characters>
  <Application>Microsoft Office Word</Application>
  <DocSecurity>0</DocSecurity>
  <Lines>5240</Lines>
  <Paragraphs>1443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721563</CharactersWithSpaces>
  <SharedDoc>false</SharedDoc>
  <HLinks>
    <vt:vector size="324" baseType="variant">
      <vt:variant>
        <vt:i4>3538997</vt:i4>
      </vt:variant>
      <vt:variant>
        <vt:i4>54</vt:i4>
      </vt:variant>
      <vt:variant>
        <vt:i4>0</vt:i4>
      </vt:variant>
      <vt:variant>
        <vt:i4>5</vt:i4>
      </vt:variant>
      <vt:variant>
        <vt:lpwstr>https://www.uradni-list.si/glasilo-uradni-list-rs/vsebina/2021-01-2466</vt:lpwstr>
      </vt:variant>
      <vt:variant>
        <vt:lpwstr/>
      </vt:variant>
      <vt:variant>
        <vt:i4>3997748</vt:i4>
      </vt:variant>
      <vt:variant>
        <vt:i4>51</vt:i4>
      </vt:variant>
      <vt:variant>
        <vt:i4>0</vt:i4>
      </vt:variant>
      <vt:variant>
        <vt:i4>5</vt:i4>
      </vt:variant>
      <vt:variant>
        <vt:lpwstr>https://www.uradni-list.si/glasilo-uradni-list-rs/vsebina/2018-01-4121</vt:lpwstr>
      </vt:variant>
      <vt:variant>
        <vt:lpwstr/>
      </vt:variant>
      <vt:variant>
        <vt:i4>3604529</vt:i4>
      </vt:variant>
      <vt:variant>
        <vt:i4>48</vt:i4>
      </vt:variant>
      <vt:variant>
        <vt:i4>0</vt:i4>
      </vt:variant>
      <vt:variant>
        <vt:i4>5</vt:i4>
      </vt:variant>
      <vt:variant>
        <vt:lpwstr>https://www.uradni-list.si/glasilo-uradni-list-rs/vsebina/2013-01-2514</vt:lpwstr>
      </vt:variant>
      <vt:variant>
        <vt:lpwstr/>
      </vt:variant>
      <vt:variant>
        <vt:i4>3538992</vt:i4>
      </vt:variant>
      <vt:variant>
        <vt:i4>45</vt:i4>
      </vt:variant>
      <vt:variant>
        <vt:i4>0</vt:i4>
      </vt:variant>
      <vt:variant>
        <vt:i4>5</vt:i4>
      </vt:variant>
      <vt:variant>
        <vt:lpwstr>https://www.uradni-list.si/glasilo-uradni-list-rs/vsebina/2008-01-2813</vt:lpwstr>
      </vt:variant>
      <vt:variant>
        <vt:lpwstr/>
      </vt:variant>
      <vt:variant>
        <vt:i4>3801140</vt:i4>
      </vt:variant>
      <vt:variant>
        <vt:i4>42</vt:i4>
      </vt:variant>
      <vt:variant>
        <vt:i4>0</vt:i4>
      </vt:variant>
      <vt:variant>
        <vt:i4>5</vt:i4>
      </vt:variant>
      <vt:variant>
        <vt:lpwstr>https://www.uradni-list.si/glasilo-uradni-list-rs/vsebina/2008-01-2057</vt:lpwstr>
      </vt:variant>
      <vt:variant>
        <vt:lpwstr/>
      </vt:variant>
      <vt:variant>
        <vt:i4>7405604</vt:i4>
      </vt:variant>
      <vt:variant>
        <vt:i4>39</vt:i4>
      </vt:variant>
      <vt:variant>
        <vt:i4>0</vt:i4>
      </vt:variant>
      <vt:variant>
        <vt:i4>5</vt:i4>
      </vt:variant>
      <vt:variant>
        <vt:lpwstr>http://www.uradni-list.si/1/objava.jsp?sop=2014-01-0876</vt:lpwstr>
      </vt:variant>
      <vt:variant>
        <vt:lpwstr/>
      </vt:variant>
      <vt:variant>
        <vt:i4>7405611</vt:i4>
      </vt:variant>
      <vt:variant>
        <vt:i4>36</vt:i4>
      </vt:variant>
      <vt:variant>
        <vt:i4>0</vt:i4>
      </vt:variant>
      <vt:variant>
        <vt:i4>5</vt:i4>
      </vt:variant>
      <vt:variant>
        <vt:lpwstr>http://www.uradni-list.si/1/objava.jsp?sop=2011-01-0279</vt:lpwstr>
      </vt:variant>
      <vt:variant>
        <vt:lpwstr/>
      </vt:variant>
      <vt:variant>
        <vt:i4>8257568</vt:i4>
      </vt:variant>
      <vt:variant>
        <vt:i4>33</vt:i4>
      </vt:variant>
      <vt:variant>
        <vt:i4>0</vt:i4>
      </vt:variant>
      <vt:variant>
        <vt:i4>5</vt:i4>
      </vt:variant>
      <vt:variant>
        <vt:lpwstr>http://www.uradni-list.si/1/objava.jsp?sop=2010-01-0880</vt:lpwstr>
      </vt:variant>
      <vt:variant>
        <vt:lpwstr/>
      </vt:variant>
      <vt:variant>
        <vt:i4>7471150</vt:i4>
      </vt:variant>
      <vt:variant>
        <vt:i4>30</vt:i4>
      </vt:variant>
      <vt:variant>
        <vt:i4>0</vt:i4>
      </vt:variant>
      <vt:variant>
        <vt:i4>5</vt:i4>
      </vt:variant>
      <vt:variant>
        <vt:lpwstr>http://www.uradni-list.si/1/objava.jsp?sop=2022-01-3442</vt:lpwstr>
      </vt:variant>
      <vt:variant>
        <vt:lpwstr/>
      </vt:variant>
      <vt:variant>
        <vt:i4>7340069</vt:i4>
      </vt:variant>
      <vt:variant>
        <vt:i4>27</vt:i4>
      </vt:variant>
      <vt:variant>
        <vt:i4>0</vt:i4>
      </vt:variant>
      <vt:variant>
        <vt:i4>5</vt:i4>
      </vt:variant>
      <vt:variant>
        <vt:lpwstr>http://www.uradni-list.si/1/objava.jsp?sop=2014-01-0960</vt:lpwstr>
      </vt:variant>
      <vt:variant>
        <vt:lpwstr/>
      </vt:variant>
      <vt:variant>
        <vt:i4>3538997</vt:i4>
      </vt:variant>
      <vt:variant>
        <vt:i4>24</vt:i4>
      </vt:variant>
      <vt:variant>
        <vt:i4>0</vt:i4>
      </vt:variant>
      <vt:variant>
        <vt:i4>5</vt:i4>
      </vt:variant>
      <vt:variant>
        <vt:lpwstr>https://www.uradni-list.si/glasilo-uradni-list-rs/vsebina/2021-01-2466</vt:lpwstr>
      </vt:variant>
      <vt:variant>
        <vt:lpwstr/>
      </vt:variant>
      <vt:variant>
        <vt:i4>3997748</vt:i4>
      </vt:variant>
      <vt:variant>
        <vt:i4>21</vt:i4>
      </vt:variant>
      <vt:variant>
        <vt:i4>0</vt:i4>
      </vt:variant>
      <vt:variant>
        <vt:i4>5</vt:i4>
      </vt:variant>
      <vt:variant>
        <vt:lpwstr>https://www.uradni-list.si/glasilo-uradni-list-rs/vsebina/2018-01-4121</vt:lpwstr>
      </vt:variant>
      <vt:variant>
        <vt:lpwstr/>
      </vt:variant>
      <vt:variant>
        <vt:i4>3604529</vt:i4>
      </vt:variant>
      <vt:variant>
        <vt:i4>18</vt:i4>
      </vt:variant>
      <vt:variant>
        <vt:i4>0</vt:i4>
      </vt:variant>
      <vt:variant>
        <vt:i4>5</vt:i4>
      </vt:variant>
      <vt:variant>
        <vt:lpwstr>https://www.uradni-list.si/glasilo-uradni-list-rs/vsebina/2013-01-2514</vt:lpwstr>
      </vt:variant>
      <vt:variant>
        <vt:lpwstr/>
      </vt:variant>
      <vt:variant>
        <vt:i4>3538992</vt:i4>
      </vt:variant>
      <vt:variant>
        <vt:i4>15</vt:i4>
      </vt:variant>
      <vt:variant>
        <vt:i4>0</vt:i4>
      </vt:variant>
      <vt:variant>
        <vt:i4>5</vt:i4>
      </vt:variant>
      <vt:variant>
        <vt:lpwstr>https://www.uradni-list.si/glasilo-uradni-list-rs/vsebina/2008-01-2813</vt:lpwstr>
      </vt:variant>
      <vt:variant>
        <vt:lpwstr/>
      </vt:variant>
      <vt:variant>
        <vt:i4>7405604</vt:i4>
      </vt:variant>
      <vt:variant>
        <vt:i4>12</vt:i4>
      </vt:variant>
      <vt:variant>
        <vt:i4>0</vt:i4>
      </vt:variant>
      <vt:variant>
        <vt:i4>5</vt:i4>
      </vt:variant>
      <vt:variant>
        <vt:lpwstr>http://www.uradni-list.si/1/objava.jsp?sop=2014-01-0876</vt:lpwstr>
      </vt:variant>
      <vt:variant>
        <vt:lpwstr/>
      </vt:variant>
      <vt:variant>
        <vt:i4>7405611</vt:i4>
      </vt:variant>
      <vt:variant>
        <vt:i4>9</vt:i4>
      </vt:variant>
      <vt:variant>
        <vt:i4>0</vt:i4>
      </vt:variant>
      <vt:variant>
        <vt:i4>5</vt:i4>
      </vt:variant>
      <vt:variant>
        <vt:lpwstr>http://www.uradni-list.si/1/objava.jsp?sop=2011-01-0279</vt:lpwstr>
      </vt:variant>
      <vt:variant>
        <vt:lpwstr/>
      </vt:variant>
      <vt:variant>
        <vt:i4>8257568</vt:i4>
      </vt:variant>
      <vt:variant>
        <vt:i4>6</vt:i4>
      </vt:variant>
      <vt:variant>
        <vt:i4>0</vt:i4>
      </vt:variant>
      <vt:variant>
        <vt:i4>5</vt:i4>
      </vt:variant>
      <vt:variant>
        <vt:lpwstr>http://www.uradni-list.si/1/objava.jsp?sop=2010-01-0880</vt:lpwstr>
      </vt:variant>
      <vt:variant>
        <vt:lpwstr/>
      </vt:variant>
      <vt:variant>
        <vt:i4>7471150</vt:i4>
      </vt:variant>
      <vt:variant>
        <vt:i4>3</vt:i4>
      </vt:variant>
      <vt:variant>
        <vt:i4>0</vt:i4>
      </vt:variant>
      <vt:variant>
        <vt:i4>5</vt:i4>
      </vt:variant>
      <vt:variant>
        <vt:lpwstr>http://www.uradni-list.si/1/objava.jsp?sop=2022-01-3442</vt:lpwstr>
      </vt:variant>
      <vt:variant>
        <vt:lpwstr/>
      </vt:variant>
      <vt:variant>
        <vt:i4>7340069</vt:i4>
      </vt:variant>
      <vt:variant>
        <vt:i4>0</vt:i4>
      </vt:variant>
      <vt:variant>
        <vt:i4>0</vt:i4>
      </vt:variant>
      <vt:variant>
        <vt:i4>5</vt:i4>
      </vt:variant>
      <vt:variant>
        <vt:lpwstr>http://www.uradni-list.si/1/objava.jsp?sop=2014-01-0960</vt:lpwstr>
      </vt:variant>
      <vt:variant>
        <vt:lpwstr/>
      </vt:variant>
      <vt:variant>
        <vt:i4>7405665</vt:i4>
      </vt:variant>
      <vt:variant>
        <vt:i4>90</vt:i4>
      </vt:variant>
      <vt:variant>
        <vt:i4>0</vt:i4>
      </vt:variant>
      <vt:variant>
        <vt:i4>5</vt:i4>
      </vt:variant>
      <vt:variant>
        <vt:lpwstr>https://www.zdruzenje-ns.si/knjiznica/1838</vt:lpwstr>
      </vt:variant>
      <vt:variant>
        <vt:lpwstr/>
      </vt:variant>
      <vt:variant>
        <vt:i4>5832789</vt:i4>
      </vt:variant>
      <vt:variant>
        <vt:i4>87</vt:i4>
      </vt:variant>
      <vt:variant>
        <vt:i4>0</vt:i4>
      </vt:variant>
      <vt:variant>
        <vt:i4>5</vt:i4>
      </vt:variant>
      <vt:variant>
        <vt:lpwstr>https://eur-lex.europa.eu/legal-content/SL/TXT/PDF/?uri=CELEX:52020XG0227(01)&amp;from=SL</vt:lpwstr>
      </vt:variant>
      <vt:variant>
        <vt:lpwstr/>
      </vt:variant>
      <vt:variant>
        <vt:i4>7536700</vt:i4>
      </vt:variant>
      <vt:variant>
        <vt:i4>84</vt:i4>
      </vt:variant>
      <vt:variant>
        <vt:i4>0</vt:i4>
      </vt:variant>
      <vt:variant>
        <vt:i4>5</vt:i4>
      </vt:variant>
      <vt:variant>
        <vt:lpwstr>https://www.lexology.com/library/detail.aspx?g=67a644f5-6bba-4033-a24d-62774df63e30</vt:lpwstr>
      </vt:variant>
      <vt:variant>
        <vt:lpwstr/>
      </vt:variant>
      <vt:variant>
        <vt:i4>6094937</vt:i4>
      </vt:variant>
      <vt:variant>
        <vt:i4>81</vt:i4>
      </vt:variant>
      <vt:variant>
        <vt:i4>0</vt:i4>
      </vt:variant>
      <vt:variant>
        <vt:i4>5</vt:i4>
      </vt:variant>
      <vt:variant>
        <vt:lpwstr>https://www.dentons.com/en/insights/alerts/2021/december/9/new-dutch-law-mandates-greater-gender-balance-on-management-and-supervisory-boards</vt:lpwstr>
      </vt:variant>
      <vt:variant>
        <vt:lpwstr/>
      </vt:variant>
      <vt:variant>
        <vt:i4>3932250</vt:i4>
      </vt:variant>
      <vt:variant>
        <vt:i4>78</vt:i4>
      </vt:variant>
      <vt:variant>
        <vt:i4>0</vt:i4>
      </vt:variant>
      <vt:variant>
        <vt:i4>5</vt:i4>
      </vt:variant>
      <vt:variant>
        <vt:lpwstr>https://www.bundeskanzleramt.gv.at/en/agenda/women-and-equality/gender_equality_in_the_labour_market/women-in-leadership-positions.html</vt:lpwstr>
      </vt:variant>
      <vt:variant>
        <vt:lpwstr/>
      </vt:variant>
      <vt:variant>
        <vt:i4>196621</vt:i4>
      </vt:variant>
      <vt:variant>
        <vt:i4>75</vt:i4>
      </vt:variant>
      <vt:variant>
        <vt:i4>0</vt:i4>
      </vt:variant>
      <vt:variant>
        <vt:i4>5</vt:i4>
      </vt:variant>
      <vt:variant>
        <vt:lpwstr>https://insights.issgovernance.com/posts/france-pushes-forward-on-gender-diversity-within-french-corporate-management-bodies-via-the-rixain-act/</vt:lpwstr>
      </vt:variant>
      <vt:variant>
        <vt:lpwstr/>
      </vt:variant>
      <vt:variant>
        <vt:i4>7602216</vt:i4>
      </vt:variant>
      <vt:variant>
        <vt:i4>72</vt:i4>
      </vt:variant>
      <vt:variant>
        <vt:i4>0</vt:i4>
      </vt:variant>
      <vt:variant>
        <vt:i4>5</vt:i4>
      </vt:variant>
      <vt:variant>
        <vt:lpwstr>http://www.uradni-list.si/1/objava.jsp?sop=2021-01-0110</vt:lpwstr>
      </vt:variant>
      <vt:variant>
        <vt:lpwstr/>
      </vt:variant>
      <vt:variant>
        <vt:i4>8323112</vt:i4>
      </vt:variant>
      <vt:variant>
        <vt:i4>69</vt:i4>
      </vt:variant>
      <vt:variant>
        <vt:i4>0</vt:i4>
      </vt:variant>
      <vt:variant>
        <vt:i4>5</vt:i4>
      </vt:variant>
      <vt:variant>
        <vt:lpwstr>http://www.uradni-list.si/1/objava.jsp?sop=2020-01-3096</vt:lpwstr>
      </vt:variant>
      <vt:variant>
        <vt:lpwstr/>
      </vt:variant>
      <vt:variant>
        <vt:i4>7733283</vt:i4>
      </vt:variant>
      <vt:variant>
        <vt:i4>66</vt:i4>
      </vt:variant>
      <vt:variant>
        <vt:i4>0</vt:i4>
      </vt:variant>
      <vt:variant>
        <vt:i4>5</vt:i4>
      </vt:variant>
      <vt:variant>
        <vt:lpwstr>http://www.uradni-list.si/1/objava.jsp?sop=2019-01-3233</vt:lpwstr>
      </vt:variant>
      <vt:variant>
        <vt:lpwstr/>
      </vt:variant>
      <vt:variant>
        <vt:i4>7471144</vt:i4>
      </vt:variant>
      <vt:variant>
        <vt:i4>63</vt:i4>
      </vt:variant>
      <vt:variant>
        <vt:i4>0</vt:i4>
      </vt:variant>
      <vt:variant>
        <vt:i4>5</vt:i4>
      </vt:variant>
      <vt:variant>
        <vt:lpwstr>http://www.uradni-list.si/1/objava.jsp?sop=2017-01-0740</vt:lpwstr>
      </vt:variant>
      <vt:variant>
        <vt:lpwstr/>
      </vt:variant>
      <vt:variant>
        <vt:i4>7405613</vt:i4>
      </vt:variant>
      <vt:variant>
        <vt:i4>60</vt:i4>
      </vt:variant>
      <vt:variant>
        <vt:i4>0</vt:i4>
      </vt:variant>
      <vt:variant>
        <vt:i4>5</vt:i4>
      </vt:variant>
      <vt:variant>
        <vt:lpwstr>http://www.uradni-list.si/1/objava.jsp?sop=2016-01-1364</vt:lpwstr>
      </vt:variant>
      <vt:variant>
        <vt:lpwstr/>
      </vt:variant>
      <vt:variant>
        <vt:i4>7667755</vt:i4>
      </vt:variant>
      <vt:variant>
        <vt:i4>57</vt:i4>
      </vt:variant>
      <vt:variant>
        <vt:i4>0</vt:i4>
      </vt:variant>
      <vt:variant>
        <vt:i4>5</vt:i4>
      </vt:variant>
      <vt:variant>
        <vt:lpwstr>http://www.uradni-list.si/1/objava.jsp?sop=2014-01-3705</vt:lpwstr>
      </vt:variant>
      <vt:variant>
        <vt:lpwstr/>
      </vt:variant>
      <vt:variant>
        <vt:i4>7536684</vt:i4>
      </vt:variant>
      <vt:variant>
        <vt:i4>54</vt:i4>
      </vt:variant>
      <vt:variant>
        <vt:i4>0</vt:i4>
      </vt:variant>
      <vt:variant>
        <vt:i4>5</vt:i4>
      </vt:variant>
      <vt:variant>
        <vt:lpwstr>http://www.uradni-list.si/1/objava.jsp?sop=2014-01-3062</vt:lpwstr>
      </vt:variant>
      <vt:variant>
        <vt:lpwstr/>
      </vt:variant>
      <vt:variant>
        <vt:i4>7340074</vt:i4>
      </vt:variant>
      <vt:variant>
        <vt:i4>51</vt:i4>
      </vt:variant>
      <vt:variant>
        <vt:i4>0</vt:i4>
      </vt:variant>
      <vt:variant>
        <vt:i4>5</vt:i4>
      </vt:variant>
      <vt:variant>
        <vt:lpwstr>http://www.uradni-list.si/1/objava.jsp?sop=2013-01-4126</vt:lpwstr>
      </vt:variant>
      <vt:variant>
        <vt:lpwstr/>
      </vt:variant>
      <vt:variant>
        <vt:i4>8257580</vt:i4>
      </vt:variant>
      <vt:variant>
        <vt:i4>48</vt:i4>
      </vt:variant>
      <vt:variant>
        <vt:i4>0</vt:i4>
      </vt:variant>
      <vt:variant>
        <vt:i4>5</vt:i4>
      </vt:variant>
      <vt:variant>
        <vt:lpwstr>http://www.uradni-list.si/1/objava.jsp?sop=2013-01-0786</vt:lpwstr>
      </vt:variant>
      <vt:variant>
        <vt:lpwstr/>
      </vt:variant>
      <vt:variant>
        <vt:i4>7340074</vt:i4>
      </vt:variant>
      <vt:variant>
        <vt:i4>45</vt:i4>
      </vt:variant>
      <vt:variant>
        <vt:i4>0</vt:i4>
      </vt:variant>
      <vt:variant>
        <vt:i4>5</vt:i4>
      </vt:variant>
      <vt:variant>
        <vt:lpwstr>http://www.uradni-list.si/1/objava.jsp?sop=2011-01-1376</vt:lpwstr>
      </vt:variant>
      <vt:variant>
        <vt:lpwstr/>
      </vt:variant>
      <vt:variant>
        <vt:i4>8126526</vt:i4>
      </vt:variant>
      <vt:variant>
        <vt:i4>42</vt:i4>
      </vt:variant>
      <vt:variant>
        <vt:i4>0</vt:i4>
      </vt:variant>
      <vt:variant>
        <vt:i4>5</vt:i4>
      </vt:variant>
      <vt:variant>
        <vt:lpwstr>https://www.a-tvp.si/drugi-seznami/seznam-javnih-druzb</vt:lpwstr>
      </vt:variant>
      <vt:variant>
        <vt:lpwstr/>
      </vt:variant>
      <vt:variant>
        <vt:i4>1966090</vt:i4>
      </vt:variant>
      <vt:variant>
        <vt:i4>39</vt:i4>
      </vt:variant>
      <vt:variant>
        <vt:i4>0</vt:i4>
      </vt:variant>
      <vt:variant>
        <vt:i4>5</vt:i4>
      </vt:variant>
      <vt:variant>
        <vt:lpwstr>https://eige.europa.eu/gender-statistics/dgs</vt:lpwstr>
      </vt:variant>
      <vt:variant>
        <vt:lpwstr/>
      </vt:variant>
      <vt:variant>
        <vt:i4>8257595</vt:i4>
      </vt:variant>
      <vt:variant>
        <vt:i4>36</vt:i4>
      </vt:variant>
      <vt:variant>
        <vt:i4>0</vt:i4>
      </vt:variant>
      <vt:variant>
        <vt:i4>5</vt:i4>
      </vt:variant>
      <vt:variant>
        <vt:lpwstr>https://www.zdruzenje-ns.si/aktualno/novice/porocilo-o-napredku-za-doseganje-ciljne-spolne-raznolikosti-iz-pobude-40-33-2026-2023-05-10</vt:lpwstr>
      </vt:variant>
      <vt:variant>
        <vt:lpwstr/>
      </vt:variant>
      <vt:variant>
        <vt:i4>7798890</vt:i4>
      </vt:variant>
      <vt:variant>
        <vt:i4>33</vt:i4>
      </vt:variant>
      <vt:variant>
        <vt:i4>0</vt:i4>
      </vt:variant>
      <vt:variant>
        <vt:i4>5</vt:i4>
      </vt:variant>
      <vt:variant>
        <vt:lpwstr>https://www.zdruzenje-ns.si/knjiznica/1781</vt:lpwstr>
      </vt:variant>
      <vt:variant>
        <vt:lpwstr/>
      </vt:variant>
      <vt:variant>
        <vt:i4>8192102</vt:i4>
      </vt:variant>
      <vt:variant>
        <vt:i4>30</vt:i4>
      </vt:variant>
      <vt:variant>
        <vt:i4>0</vt:i4>
      </vt:variant>
      <vt:variant>
        <vt:i4>5</vt:i4>
      </vt:variant>
      <vt:variant>
        <vt:lpwstr>https://www.zdruzenje-ns.si/knjiznica/1945</vt:lpwstr>
      </vt:variant>
      <vt:variant>
        <vt:lpwstr/>
      </vt:variant>
      <vt:variant>
        <vt:i4>1048607</vt:i4>
      </vt:variant>
      <vt:variant>
        <vt:i4>27</vt:i4>
      </vt:variant>
      <vt:variant>
        <vt:i4>0</vt:i4>
      </vt:variant>
      <vt:variant>
        <vt:i4>5</vt:i4>
      </vt:variant>
      <vt:variant>
        <vt:lpwstr>https://www.sdh.si/Data/Documents/pravni-akti/Kodeks upravljanja dru%C5%BEb s kapitalsko nalo%C5%BEbo dr%C5%BEave_junij_2022.pdf</vt:lpwstr>
      </vt:variant>
      <vt:variant>
        <vt:lpwstr/>
      </vt:variant>
      <vt:variant>
        <vt:i4>65607</vt:i4>
      </vt:variant>
      <vt:variant>
        <vt:i4>24</vt:i4>
      </vt:variant>
      <vt:variant>
        <vt:i4>0</vt:i4>
      </vt:variant>
      <vt:variant>
        <vt:i4>5</vt:i4>
      </vt:variant>
      <vt:variant>
        <vt:lpwstr>https://www.gzs.si/skupne_naloge/pravni_portal/vsebina/Kodeks</vt:lpwstr>
      </vt:variant>
      <vt:variant>
        <vt:lpwstr/>
      </vt:variant>
      <vt:variant>
        <vt:i4>7405665</vt:i4>
      </vt:variant>
      <vt:variant>
        <vt:i4>21</vt:i4>
      </vt:variant>
      <vt:variant>
        <vt:i4>0</vt:i4>
      </vt:variant>
      <vt:variant>
        <vt:i4>5</vt:i4>
      </vt:variant>
      <vt:variant>
        <vt:lpwstr>https://www.zdruzenje-ns.si/knjiznica/1838</vt:lpwstr>
      </vt:variant>
      <vt:variant>
        <vt:lpwstr/>
      </vt:variant>
      <vt:variant>
        <vt:i4>7471209</vt:i4>
      </vt:variant>
      <vt:variant>
        <vt:i4>18</vt:i4>
      </vt:variant>
      <vt:variant>
        <vt:i4>0</vt:i4>
      </vt:variant>
      <vt:variant>
        <vt:i4>5</vt:i4>
      </vt:variant>
      <vt:variant>
        <vt:lpwstr>https://eur-lex.europa.eu/legal-content/SL/AUTO/?uri=OJ:L:2006:204:TOC</vt:lpwstr>
      </vt:variant>
      <vt:variant>
        <vt:lpwstr/>
      </vt:variant>
      <vt:variant>
        <vt:i4>1900549</vt:i4>
      </vt:variant>
      <vt:variant>
        <vt:i4>15</vt:i4>
      </vt:variant>
      <vt:variant>
        <vt:i4>0</vt:i4>
      </vt:variant>
      <vt:variant>
        <vt:i4>5</vt:i4>
      </vt:variant>
      <vt:variant>
        <vt:lpwstr>https://eige.europa.eu/gender-statistics/dgs/indicator/wmidm_bus_bus__wmid_comp_compb</vt:lpwstr>
      </vt:variant>
      <vt:variant>
        <vt:lpwstr/>
      </vt:variant>
      <vt:variant>
        <vt:i4>1179739</vt:i4>
      </vt:variant>
      <vt:variant>
        <vt:i4>12</vt:i4>
      </vt:variant>
      <vt:variant>
        <vt:i4>0</vt:i4>
      </vt:variant>
      <vt:variant>
        <vt:i4>5</vt:i4>
      </vt:variant>
      <vt:variant>
        <vt:lpwstr>https://eige.europa.eu/publications-resources/publications/gender-balance-business-and-finance-december-2022</vt:lpwstr>
      </vt:variant>
      <vt:variant>
        <vt:lpwstr/>
      </vt:variant>
      <vt:variant>
        <vt:i4>1179739</vt:i4>
      </vt:variant>
      <vt:variant>
        <vt:i4>9</vt:i4>
      </vt:variant>
      <vt:variant>
        <vt:i4>0</vt:i4>
      </vt:variant>
      <vt:variant>
        <vt:i4>5</vt:i4>
      </vt:variant>
      <vt:variant>
        <vt:lpwstr>https://eige.europa.eu/publications-resources/publications/gender-balance-business-and-finance-december-2022</vt:lpwstr>
      </vt:variant>
      <vt:variant>
        <vt:lpwstr/>
      </vt:variant>
      <vt:variant>
        <vt:i4>7798882</vt:i4>
      </vt:variant>
      <vt:variant>
        <vt:i4>6</vt:i4>
      </vt:variant>
      <vt:variant>
        <vt:i4>0</vt:i4>
      </vt:variant>
      <vt:variant>
        <vt:i4>5</vt:i4>
      </vt:variant>
      <vt:variant>
        <vt:lpwstr>https://eur-lex.europa.eu/legal-content/SL/AUTO/?uri=OJ:L:1996:319:TOC</vt:lpwstr>
      </vt:variant>
      <vt:variant>
        <vt:lpwstr/>
      </vt:variant>
      <vt:variant>
        <vt:i4>8192097</vt:i4>
      </vt:variant>
      <vt:variant>
        <vt:i4>3</vt:i4>
      </vt:variant>
      <vt:variant>
        <vt:i4>0</vt:i4>
      </vt:variant>
      <vt:variant>
        <vt:i4>5</vt:i4>
      </vt:variant>
      <vt:variant>
        <vt:lpwstr>https://eur-lex.europa.eu/legal-content/SL/AUTO/?uri=OJ:L:1984:331:TOC</vt:lpwstr>
      </vt:variant>
      <vt:variant>
        <vt:lpwstr/>
      </vt:variant>
      <vt:variant>
        <vt:i4>5832799</vt:i4>
      </vt:variant>
      <vt:variant>
        <vt:i4>0</vt:i4>
      </vt:variant>
      <vt:variant>
        <vt:i4>0</vt:i4>
      </vt:variant>
      <vt:variant>
        <vt:i4>5</vt:i4>
      </vt:variant>
      <vt:variant>
        <vt:lpwstr>https://eur-lex.europa.eu/legal-content/SL/TXT/?uri=CELEX%3A12012P%2FTXT</vt:lpwstr>
      </vt:variant>
      <vt:variant>
        <vt:lpwstr/>
      </vt:variant>
      <vt:variant>
        <vt:i4>3407910</vt:i4>
      </vt:variant>
      <vt:variant>
        <vt:i4>18</vt:i4>
      </vt:variant>
      <vt:variant>
        <vt:i4>0</vt:i4>
      </vt:variant>
      <vt:variant>
        <vt:i4>5</vt:i4>
      </vt:variant>
      <vt:variant>
        <vt:lpwstr>http://www.mgts.gov.si/</vt:lpwstr>
      </vt:variant>
      <vt:variant>
        <vt:lpwstr/>
      </vt:variant>
      <vt:variant>
        <vt:i4>6094882</vt:i4>
      </vt:variant>
      <vt:variant>
        <vt:i4>15</vt:i4>
      </vt:variant>
      <vt:variant>
        <vt:i4>0</vt:i4>
      </vt:variant>
      <vt:variant>
        <vt:i4>5</vt:i4>
      </vt:variant>
      <vt:variant>
        <vt:lpwstr>mailto:gp.mgts@gov.si</vt:lpwstr>
      </vt:variant>
      <vt:variant>
        <vt:lpwstr/>
      </vt:variant>
      <vt:variant>
        <vt:i4>3407910</vt:i4>
      </vt:variant>
      <vt:variant>
        <vt:i4>6</vt:i4>
      </vt:variant>
      <vt:variant>
        <vt:i4>0</vt:i4>
      </vt:variant>
      <vt:variant>
        <vt:i4>5</vt:i4>
      </vt:variant>
      <vt:variant>
        <vt:lpwstr>http://www.mgts.gov.si/</vt:lpwstr>
      </vt:variant>
      <vt:variant>
        <vt:lpwstr/>
      </vt:variant>
      <vt:variant>
        <vt:i4>6094882</vt:i4>
      </vt:variant>
      <vt:variant>
        <vt:i4>3</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Sabina Trokić</cp:lastModifiedBy>
  <cp:revision>6</cp:revision>
  <cp:lastPrinted>2024-06-17T13:21:00Z</cp:lastPrinted>
  <dcterms:created xsi:type="dcterms:W3CDTF">2024-06-18T10:09:00Z</dcterms:created>
  <dcterms:modified xsi:type="dcterms:W3CDTF">2024-06-18T10:55:00Z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0x0101006A067FAEBD94534E82B7F09C59812A28</vt:lpwstr>
  </property>
  <property fmtid="{D5CDD505-2E9C-101B-9397-08002B2CF9AE}" pid="3" name="GrammarlyDocumentId">
    <vt:lpwstr>208da71fd8202d07ef836200c999b2e023a9295828836aa6cbcee52ac3017c09</vt:lpwstr>
  </property>
</Properties>
</file>