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007CB0" w14:paraId="71DCB2BE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F19E40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2E00722" w14:textId="77777777" w:rsidR="00566144" w:rsidRPr="00007CB0" w:rsidRDefault="00566144" w:rsidP="00566144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7961501" wp14:editId="06D23E79">
                  <wp:extent cx="2974793" cy="11144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763" cy="113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9331D" w14:textId="50D78077" w:rsidR="00D10410" w:rsidRPr="00007CB0" w:rsidRDefault="0056614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007CB0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</w:t>
            </w:r>
            <w:hyperlink r:id="rId12" w:history="1">
              <w:r w:rsidRPr="00007CB0">
                <w:rPr>
                  <w:rStyle w:val="Hiperpovezava"/>
                  <w:rFonts w:ascii="Arial" w:eastAsia="Calibri" w:hAnsi="Arial" w:cs="Arial"/>
                  <w:color w:val="0070C0"/>
                  <w:sz w:val="20"/>
                  <w:szCs w:val="20"/>
                  <w:u w:val="none"/>
                </w:rPr>
                <w:t>gp.mvzi@gov.si</w:t>
              </w:r>
            </w:hyperlink>
          </w:p>
          <w:p w14:paraId="7F5819A4" w14:textId="6A00EFEB" w:rsidR="00D10410" w:rsidRPr="00007CB0" w:rsidRDefault="00D1041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007CB0" w14:paraId="447DBD70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AC22121" w14:textId="2F22964F" w:rsidR="00AE1F83" w:rsidRPr="009F2B06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2B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E55F55" w:rsidRPr="009F2B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0070-23/2025/</w:t>
            </w:r>
            <w:r w:rsidR="002E3D9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</w:p>
        </w:tc>
      </w:tr>
      <w:tr w:rsidR="00AE1F83" w:rsidRPr="00007CB0" w14:paraId="7A38DFF1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D95259" w14:textId="080EE67B" w:rsidR="00AE1F83" w:rsidRPr="009F2B06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2B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913D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  <w:r w:rsidR="004769F8" w:rsidRPr="009F2B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1</w:t>
            </w:r>
            <w:r w:rsidR="002E3D9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4769F8" w:rsidRPr="009F2B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2025</w:t>
            </w:r>
          </w:p>
        </w:tc>
      </w:tr>
      <w:tr w:rsidR="00AE1F83" w:rsidRPr="00007CB0" w14:paraId="1BD2AFB1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F428EB" w14:textId="5869ACC7" w:rsidR="00AE1F83" w:rsidRPr="00E55F55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55F5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  <w:r w:rsidR="00E55F55" w:rsidRPr="00E55F5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2025-3360-0027</w:t>
            </w:r>
          </w:p>
        </w:tc>
      </w:tr>
      <w:tr w:rsidR="00AE1F83" w:rsidRPr="00007CB0" w14:paraId="5B8F8714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AAD790" w14:textId="77777777" w:rsidR="00AE1F83" w:rsidRPr="00E55F55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1CAD58" w14:textId="77777777" w:rsidR="00AE1F83" w:rsidRPr="00E55F55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55F55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432D087" w14:textId="77777777" w:rsidR="00AE1F83" w:rsidRPr="00E55F55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E55F5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C76906E" w14:textId="77777777" w:rsidR="00AE1F83" w:rsidRPr="00E55F55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5F337CA8" w14:textId="77777777" w:rsidTr="00DA6942">
        <w:tc>
          <w:tcPr>
            <w:tcW w:w="9163" w:type="dxa"/>
            <w:gridSpan w:val="4"/>
          </w:tcPr>
          <w:p w14:paraId="2C3DF02B" w14:textId="30785F1A" w:rsidR="00AE1F83" w:rsidRPr="00E55F55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141837"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Sklep o spremembah in dopolnitvah </w:t>
            </w:r>
            <w:r w:rsidR="001E0051"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Sklepa o ustanovitvi javnega raziskovalnega zavoda </w:t>
            </w:r>
            <w:r w:rsidR="00CB10B7"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Pedagoški inštitut</w:t>
            </w:r>
            <w:r w:rsidR="00141837"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(EVA </w:t>
            </w:r>
            <w:r w:rsidR="00E55F55"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2025-3360-0027</w:t>
            </w:r>
            <w:r w:rsidR="00141837"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)</w:t>
            </w:r>
            <w:r w:rsidRPr="00E55F5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 </w:t>
            </w:r>
          </w:p>
        </w:tc>
      </w:tr>
      <w:tr w:rsidR="00AE1F83" w:rsidRPr="00007CB0" w14:paraId="66D738C5" w14:textId="77777777" w:rsidTr="00DA6942">
        <w:tc>
          <w:tcPr>
            <w:tcW w:w="9163" w:type="dxa"/>
            <w:gridSpan w:val="4"/>
          </w:tcPr>
          <w:p w14:paraId="55422D78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007CB0" w14:paraId="796B5666" w14:textId="77777777" w:rsidTr="00DA6942">
        <w:tc>
          <w:tcPr>
            <w:tcW w:w="9163" w:type="dxa"/>
            <w:gridSpan w:val="4"/>
          </w:tcPr>
          <w:p w14:paraId="05D3402A" w14:textId="2B012422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podlagi 6. člena in šestega odstavka 21. člena Zakona o Vladi Republike Slovenije (Uradni list RS, št. 24/05 – uradno prečiščeno besedilo, 109/08, 38/10 – ZUKN, 8/12, 21/13, 47/13 – ZDU-1G, 65/14, 55/17</w:t>
            </w:r>
            <w:r w:rsidR="00A2727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163/22</w:t>
            </w:r>
            <w:r w:rsidR="00A2727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57/25 – ZF</w:t>
            </w: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), 3. in 8. člena Zakona o zavodih (Uradni list RS, št. 12/91, 8/96, 36/00 – ZPDZC in 127/06 – ZJZP) in prvega odstavka 67. člena Zakona o znanstvenoraziskovalni in inovacijski dejavnosti (Uradni list RS, št. 186/21, 40/23, 102/24 in 40/25) </w:t>
            </w:r>
            <w:r w:rsidRPr="00007CB0">
              <w:rPr>
                <w:rFonts w:ascii="Arial" w:hAnsi="Arial" w:cs="Arial"/>
                <w:sz w:val="20"/>
                <w:szCs w:val="20"/>
              </w:rPr>
              <w:t>je Vlada Republike Slovenije na svoji .. seji dne … sprejela</w:t>
            </w:r>
          </w:p>
          <w:p w14:paraId="14513A8A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</w:p>
          <w:p w14:paraId="0B3F8B37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1FCC709C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108C9EC" w14:textId="36B8144F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sz w:val="20"/>
                <w:szCs w:val="20"/>
              </w:rPr>
              <w:t>Vlada Republike Slovenije je sprejela</w:t>
            </w:r>
            <w:r w:rsidRPr="00007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7CB0">
              <w:rPr>
                <w:rFonts w:ascii="Arial" w:hAnsi="Arial" w:cs="Arial"/>
                <w:sz w:val="20"/>
                <w:szCs w:val="20"/>
              </w:rPr>
              <w:t>Sklep o spremembah in dopolnit</w:t>
            </w:r>
            <w:r w:rsidR="004735DC">
              <w:rPr>
                <w:rFonts w:ascii="Arial" w:hAnsi="Arial" w:cs="Arial"/>
                <w:sz w:val="20"/>
                <w:szCs w:val="20"/>
              </w:rPr>
              <w:t>vah</w:t>
            </w:r>
            <w:r w:rsidRPr="00007C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3FC" w:rsidRPr="001E53FC">
              <w:rPr>
                <w:rFonts w:ascii="Arial" w:hAnsi="Arial" w:cs="Arial"/>
                <w:sz w:val="20"/>
                <w:szCs w:val="20"/>
              </w:rPr>
              <w:t>Sklep</w:t>
            </w:r>
            <w:r w:rsidR="001E53FC">
              <w:rPr>
                <w:rFonts w:ascii="Arial" w:hAnsi="Arial" w:cs="Arial"/>
                <w:sz w:val="20"/>
                <w:szCs w:val="20"/>
              </w:rPr>
              <w:t>a</w:t>
            </w:r>
            <w:r w:rsidR="001E53FC" w:rsidRPr="001E53FC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1E0051">
              <w:rPr>
                <w:rFonts w:ascii="Arial" w:hAnsi="Arial" w:cs="Arial"/>
                <w:sz w:val="20"/>
                <w:szCs w:val="20"/>
              </w:rPr>
              <w:t xml:space="preserve">ustanovitvi javnega raziskovalnega zavoda </w:t>
            </w:r>
            <w:r w:rsidR="00CB10B7">
              <w:rPr>
                <w:rFonts w:ascii="Arial" w:hAnsi="Arial" w:cs="Arial"/>
                <w:sz w:val="20"/>
                <w:szCs w:val="20"/>
              </w:rPr>
              <w:t>Pedagoški inštitut</w:t>
            </w:r>
            <w:r w:rsidR="00473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CB0">
              <w:rPr>
                <w:rFonts w:ascii="Arial" w:hAnsi="Arial" w:cs="Arial"/>
                <w:sz w:val="20"/>
                <w:szCs w:val="20"/>
              </w:rPr>
              <w:t>in ga objavi v Uradnem listu Republike Slovenije.</w:t>
            </w:r>
          </w:p>
          <w:p w14:paraId="49370D85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</w:p>
          <w:p w14:paraId="27404F59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930DD40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12A4CAE0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visoko šolstvo, znanost in inovacije</w:t>
            </w:r>
          </w:p>
          <w:p w14:paraId="5707B90F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javno upravo</w:t>
            </w:r>
          </w:p>
          <w:p w14:paraId="5E534B70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3C820378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</w:t>
            </w:r>
          </w:p>
          <w:p w14:paraId="795A8D64" w14:textId="77777777" w:rsidR="00D27FBA" w:rsidRDefault="00CB10B7" w:rsidP="001E53F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vzgojo in izobraževanje</w:t>
            </w:r>
          </w:p>
          <w:p w14:paraId="5E3D86DB" w14:textId="16D625CC" w:rsidR="009F2B06" w:rsidRPr="004735DC" w:rsidRDefault="009F2B06" w:rsidP="001E53F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Pedagoški inštitut</w:t>
            </w:r>
          </w:p>
        </w:tc>
      </w:tr>
      <w:tr w:rsidR="00AE1F83" w:rsidRPr="00007CB0" w14:paraId="6237807B" w14:textId="77777777" w:rsidTr="00DA6942">
        <w:tc>
          <w:tcPr>
            <w:tcW w:w="9163" w:type="dxa"/>
            <w:gridSpan w:val="4"/>
          </w:tcPr>
          <w:p w14:paraId="25DE74E7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007CB0" w14:paraId="351B81FE" w14:textId="77777777" w:rsidTr="00DA6942">
        <w:tc>
          <w:tcPr>
            <w:tcW w:w="9163" w:type="dxa"/>
            <w:gridSpan w:val="4"/>
          </w:tcPr>
          <w:p w14:paraId="0648E23A" w14:textId="41B592BC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4BF34BC4" w14:textId="77777777" w:rsidTr="00DA6942">
        <w:tc>
          <w:tcPr>
            <w:tcW w:w="9163" w:type="dxa"/>
            <w:gridSpan w:val="4"/>
          </w:tcPr>
          <w:p w14:paraId="7B56CC9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007CB0" w14:paraId="741A85D6" w14:textId="77777777" w:rsidTr="00DA6942">
        <w:tc>
          <w:tcPr>
            <w:tcW w:w="9163" w:type="dxa"/>
            <w:gridSpan w:val="4"/>
          </w:tcPr>
          <w:p w14:paraId="286ED001" w14:textId="58B99CAE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Jure Gašparič, državni sekretar, Ministrstvo za visoko šolstvo, znanost in inovacije</w:t>
            </w:r>
          </w:p>
          <w:p w14:paraId="0E8520DD" w14:textId="67CE2CC8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Tomaž Boh, generalni direktor, Direktorat za znanost in inovacije</w:t>
            </w:r>
          </w:p>
          <w:p w14:paraId="381DF4A1" w14:textId="4BD4931D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Tanja Vertelj, namestnica generalnega direktorja, Direktorat za znanost in inovacije</w:t>
            </w:r>
          </w:p>
          <w:p w14:paraId="4FAE7DBC" w14:textId="57838C90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Marjetič, Sektor za znanost</w:t>
            </w:r>
          </w:p>
        </w:tc>
      </w:tr>
      <w:tr w:rsidR="00AE1F83" w:rsidRPr="00007CB0" w14:paraId="2216FB4D" w14:textId="77777777" w:rsidTr="00DA6942">
        <w:tc>
          <w:tcPr>
            <w:tcW w:w="9163" w:type="dxa"/>
            <w:gridSpan w:val="4"/>
          </w:tcPr>
          <w:p w14:paraId="388D5C3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007CB0" w14:paraId="64920D42" w14:textId="77777777" w:rsidTr="00DA6942">
        <w:tc>
          <w:tcPr>
            <w:tcW w:w="9163" w:type="dxa"/>
            <w:gridSpan w:val="4"/>
          </w:tcPr>
          <w:p w14:paraId="66B38C97" w14:textId="5625AF6F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112571F9" w14:textId="7EC82AA9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54DB06E2" w14:textId="77777777" w:rsidTr="00DA6942">
        <w:tc>
          <w:tcPr>
            <w:tcW w:w="9163" w:type="dxa"/>
            <w:gridSpan w:val="4"/>
          </w:tcPr>
          <w:p w14:paraId="521398D5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007CB0" w14:paraId="38FB11BD" w14:textId="77777777" w:rsidTr="00DA6942">
        <w:tc>
          <w:tcPr>
            <w:tcW w:w="9163" w:type="dxa"/>
            <w:gridSpan w:val="4"/>
          </w:tcPr>
          <w:p w14:paraId="71A3EE54" w14:textId="4D6244CC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5D10D7C2" w14:textId="77777777" w:rsidTr="00DA6942">
        <w:tc>
          <w:tcPr>
            <w:tcW w:w="9163" w:type="dxa"/>
            <w:gridSpan w:val="4"/>
          </w:tcPr>
          <w:p w14:paraId="12E45801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AE1F83" w:rsidRPr="00007CB0" w14:paraId="1D18B70C" w14:textId="77777777" w:rsidTr="00DA6942">
        <w:tc>
          <w:tcPr>
            <w:tcW w:w="9163" w:type="dxa"/>
            <w:gridSpan w:val="4"/>
          </w:tcPr>
          <w:p w14:paraId="0E6B0BCB" w14:textId="77777777" w:rsidR="00A27276" w:rsidRPr="00A27276" w:rsidRDefault="00C04CDF" w:rsidP="00A272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Sklep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om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spremembah in dopolnitv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ah </w:t>
            </w:r>
            <w:r w:rsidR="001E00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Sklepa o ustanovitvi javnega raziskovalnega zavoda </w:t>
            </w:r>
            <w:r w:rsidR="00CB10B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Pedagoški inštitut</w:t>
            </w:r>
            <w:r w:rsidR="001E53F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</w:t>
            </w:r>
            <w:r w:rsidR="001E0051" w:rsidRPr="001E00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Sklep o ustanovitvi javnega raziskovalnega zavoda </w:t>
            </w:r>
            <w:r w:rsidR="00CB10B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Pedagoški inštitut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(Uradni list RS, št. </w:t>
            </w:r>
            <w:r w:rsidR="002007E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114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/22) </w:t>
            </w:r>
            <w:r w:rsidR="00A27276"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predvsem uskladi s spremembami Zakona o znanstvenoraziskovalni in inovacijski dejavnosti (Uradni list RS, št. 186/21, 40/23, 102/24 in 40/25; v nadaljnjem besedilu: ZZrID) in drugimi predpisi. Vključene so naslednje spremembe: </w:t>
            </w:r>
          </w:p>
          <w:p w14:paraId="2C7C6921" w14:textId="50F3C3C0" w:rsidR="00597CE9" w:rsidRPr="00597CE9" w:rsidRDefault="00597CE9" w:rsidP="00597CE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1. členu se pri citiranju ZZrID naštejejo vse številke uradnih listov, v katerih so bile objavljene spremembe ZZrID,</w:t>
            </w:r>
          </w:p>
          <w:p w14:paraId="3BB02AE3" w14:textId="6F441195" w:rsidR="00A27276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 ZZrID se uskladi poimenovanje agencije, pristojne za znanstvenoraziskovalno dejavnost 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in 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10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člen), </w:t>
            </w:r>
          </w:p>
          <w:p w14:paraId="706A0C85" w14:textId="7F04070A" w:rsidR="00A27276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dejavnosti po standardni klasifikaciji dejavnosti (v nadaljnjem besedilu: SKD) se prevedejo v skladu z Uredbo o standardni klasifikaciji dejavnosti (Uradni list RS, št. 27/24 in 45/25)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2F6F4427" w14:textId="024C2952" w:rsidR="00A27276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67.b členom Zakona o javnih financah se uskladi določitev elementov tržne cene (dopiše se amortizacija) 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5A964D21" w14:textId="44B95FAF" w:rsidR="00A27276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dopolni se postopek izbire predstavnikov ustanovitelja v upravnem odboru 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5319D755" w14:textId="0E896940" w:rsidR="00A27276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., 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8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in 1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členu se besedilo uskladi z besedilom ZZrID, in sicer se: odgovornost članov upravnega odbora dopolni z možnostjo sklenitve ustreznega zavarovanja odgovornosti članov upravnega odbora 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 dopiše možnost dopolnilne zaposlitve za znanstvenoraziskovalno delo za namestnika in pomočnike direktorja 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8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 in obvezni pregled letnega poročila s strani pooblaščenega revizorja v skladu z zakonom, ki ureja revidiranje (1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2166CABF" w14:textId="74CAE3B2" w:rsidR="00A27276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spreminja oziroma dopolnjuje se pogoje za zasedbo delovnega mesta direktorja z obveznim znanjem angleškega jezika (do sedaj se je zahtevalo znanje svetovnega jezika, s prednostjo znanja angleškega jezika) in z izkušnjami z vodenjem </w:t>
            </w:r>
            <w:r w:rsidR="00920C5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aktivnosti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znanstvenoraziskovalne dejavnosti 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7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7F7CC651" w14:textId="6733025C" w:rsidR="00A27276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sestavi znanstvenega sveta se možnost imenovanja v znanstveni svet razširi na primerljiva razvojna naziva, to sta razvojni svetnik in višji razvojni sodelavec (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9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6A320C8F" w14:textId="39FFB3FD" w:rsidR="00AE1F83" w:rsidRPr="00A27276" w:rsidRDefault="00A27276" w:rsidP="00A27276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prehodnih določbah (1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in 1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 se določa, da se mandati organov nadaljujejo do njihovega izteka, ter da je treba statut inštituta uskladiti s tem sklepom najkasneje v štirih mesecih od uveljavitve tega sklepa, končna določba (1</w:t>
            </w:r>
            <w:r w:rsidR="00597CE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</w:t>
            </w:r>
            <w:r w:rsidRPr="00A272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 pa določa, da sklep začne veljati petnajsti dan po objavi.</w:t>
            </w:r>
          </w:p>
        </w:tc>
      </w:tr>
      <w:tr w:rsidR="00AE1F83" w:rsidRPr="00007CB0" w14:paraId="397F9660" w14:textId="77777777" w:rsidTr="00DA6942">
        <w:tc>
          <w:tcPr>
            <w:tcW w:w="9163" w:type="dxa"/>
            <w:gridSpan w:val="4"/>
          </w:tcPr>
          <w:p w14:paraId="58330CD1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007CB0" w14:paraId="28160EAB" w14:textId="77777777" w:rsidTr="00DA6942">
        <w:tc>
          <w:tcPr>
            <w:tcW w:w="1448" w:type="dxa"/>
          </w:tcPr>
          <w:p w14:paraId="6EB8C2A7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1108272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16919F8" w14:textId="4DF631B5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2FB39145" w14:textId="77777777" w:rsidTr="00DA6942">
        <w:tc>
          <w:tcPr>
            <w:tcW w:w="1448" w:type="dxa"/>
          </w:tcPr>
          <w:p w14:paraId="713D8C36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138E881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F3C847D" w14:textId="78DDC04C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5B5A206E" w14:textId="77777777" w:rsidTr="00DA6942">
        <w:tc>
          <w:tcPr>
            <w:tcW w:w="1448" w:type="dxa"/>
          </w:tcPr>
          <w:p w14:paraId="16D8C016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44DD26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88E6F8D" w14:textId="6E2711C0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0FD6221F" w14:textId="77777777" w:rsidTr="00DA6942">
        <w:tc>
          <w:tcPr>
            <w:tcW w:w="1448" w:type="dxa"/>
          </w:tcPr>
          <w:p w14:paraId="2B9AFC3F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3CBC005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A92766D" w14:textId="6BE0F38D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38E588FB" w14:textId="77777777" w:rsidTr="00DA6942">
        <w:tc>
          <w:tcPr>
            <w:tcW w:w="1448" w:type="dxa"/>
          </w:tcPr>
          <w:p w14:paraId="24E7AFAB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74AF3A2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17176C0" w14:textId="672865BF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</w:t>
            </w:r>
            <w:r w:rsidR="00AE1F83"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</w:p>
        </w:tc>
      </w:tr>
      <w:tr w:rsidR="00AE1F83" w:rsidRPr="00007CB0" w14:paraId="7F17780F" w14:textId="77777777" w:rsidTr="00DA6942">
        <w:tc>
          <w:tcPr>
            <w:tcW w:w="1448" w:type="dxa"/>
          </w:tcPr>
          <w:p w14:paraId="58C4C7D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103482D1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98B465F" w14:textId="13D448F3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1A778D37" w14:textId="77777777" w:rsidTr="00DA6942">
        <w:tc>
          <w:tcPr>
            <w:tcW w:w="1448" w:type="dxa"/>
            <w:tcBorders>
              <w:bottom w:val="single" w:sz="4" w:space="0" w:color="auto"/>
            </w:tcBorders>
          </w:tcPr>
          <w:p w14:paraId="4265D79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80C139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62597FD8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E8A6D71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F955813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F60AA71" w14:textId="51FF4FB8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4F2EC857" w14:textId="77777777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A7D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4DDDC080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50C88347" w14:textId="77777777" w:rsidR="00AE1F83" w:rsidRPr="00007CB0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007CB0" w14:paraId="22501D4D" w14:textId="77777777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61142F" w14:textId="77777777" w:rsidR="00AE1F83" w:rsidRPr="00007CB0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007CB0" w14:paraId="617F6F8F" w14:textId="77777777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EB9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8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E4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54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EE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007CB0" w14:paraId="471CFF33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A41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2B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1B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672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1E5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1F1426D6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574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6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11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25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A83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0CB8CA66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203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7DD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CE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F0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C12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7FDC0FD7" w14:textId="77777777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833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865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98E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E6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A55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3F58FDAC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774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9C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39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32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D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6785FB71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88FEB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007CB0" w14:paraId="5B455410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C0C6C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E1F83" w:rsidRPr="00007CB0" w14:paraId="7B31F409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D8EF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A9D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EF2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F73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7D6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007CB0" w14:paraId="3FBC1D1C" w14:textId="77777777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F6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995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86E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62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D4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710E7C66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B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46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99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9A7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8E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1AFCD138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5BB3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B9A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A2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D59AC6D" w14:textId="77777777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32184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AE1F83" w:rsidRPr="00007CB0" w14:paraId="27365917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BF4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13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C5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CC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34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007CB0" w14:paraId="1FC6E6A4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937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63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A45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06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43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388FA901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7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ED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5E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BCD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7F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15C07CA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44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AC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B6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6DF3C54A" w14:textId="77777777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3B8C2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AE1F83" w:rsidRPr="00007CB0" w14:paraId="07658585" w14:textId="77777777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76B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DE20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BB1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007CB0" w14:paraId="08F2FEE5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5F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D8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51F5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76A61B13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75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DE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3B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08E3E73D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88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4C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44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3C6E1A50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62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2C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6B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A72270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6F4551D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722282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7AB059CE" w14:textId="6717B5FB" w:rsidR="00AE1F83" w:rsidRPr="00007CB0" w:rsidRDefault="00E60850" w:rsidP="00E6085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3138D7E9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E1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3B87B19F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5FB5F667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62BABEDC" w14:textId="415472A3" w:rsidR="00AE1F83" w:rsidRPr="00007CB0" w:rsidRDefault="00E60850" w:rsidP="00AE1F83">
            <w:pPr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Sprememba sklepa o ustanovitvi nima finančnih posledic za proračun RS.</w:t>
            </w:r>
          </w:p>
        </w:tc>
      </w:tr>
      <w:tr w:rsidR="00AE1F83" w:rsidRPr="00007CB0" w14:paraId="18CABFC3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540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007CB0" w14:paraId="3C68CFF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52B6AE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DB07881" w14:textId="77777777" w:rsidR="00AE1F83" w:rsidRPr="00007CB0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60BD83C" w14:textId="77777777" w:rsidR="00AE1F83" w:rsidRPr="00007CB0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F735ACD" w14:textId="77777777" w:rsidR="00AE1F83" w:rsidRPr="00007CB0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76F3E9E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1C20C8F" w14:textId="3C8F250D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1CC65A8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C0041D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0EA33D6" w14:textId="5A8D2EF3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43D38012" w14:textId="754F0833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23E4F886" w14:textId="73FA8A41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221EF92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4A4503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51463BC3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0E6F801C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66926499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192A24CA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00D21FB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8188502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7FB34E0E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5EAF374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08A8F7C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007CB0" w14:paraId="334605E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E77CBA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5A8AEC9" w14:textId="6D96D805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0DA99DB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5C3D55" w14:textId="6FF6C59E" w:rsidR="00AE1F83" w:rsidRPr="00007CB0" w:rsidRDefault="00E60850" w:rsidP="00E608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Sedmi odstavek 9. člena Poslovnika Vlade Republike Slovenije (Uradni list RS, št. 43/01, 23/02 – popr., 54/03, 103/03, 114/04, 26/06, 21/07, 32/10, 73/10, 95/11, 64/12, 10/14, 164/20, 35/21, 51/21 in 114/21) določa, da se</w:t>
            </w:r>
            <w:r w:rsidR="00007CB0"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med drugim,</w:t>
            </w: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javnost </w:t>
            </w:r>
            <w:r w:rsidR="00007CB0"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 pripravi sklepa </w:t>
            </w: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 povabi k sodelovanju.</w:t>
            </w:r>
          </w:p>
        </w:tc>
      </w:tr>
      <w:tr w:rsidR="00AE1F83" w:rsidRPr="00007CB0" w14:paraId="79C6D4B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24765B1" w14:textId="47212A1F" w:rsidR="00AE1F83" w:rsidRPr="00007CB0" w:rsidRDefault="00A27276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1815075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75A4537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BDA6676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6499A6E4" w14:textId="2871C17F" w:rsidR="00AE1F83" w:rsidRPr="00007CB0" w:rsidRDefault="00A27276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007CB0" w14:paraId="4E33C30A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C23DA5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67D4102" w14:textId="72A7B000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70806B7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441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E1D417D" w14:textId="083555AD" w:rsidR="00AE1F83" w:rsidRPr="00007CB0" w:rsidRDefault="00007CB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Igor Papič</w:t>
            </w:r>
          </w:p>
          <w:p w14:paraId="70B2FC9F" w14:textId="5DA2CDF1" w:rsidR="00007CB0" w:rsidRDefault="00007CB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MINISTER</w:t>
            </w:r>
          </w:p>
          <w:p w14:paraId="08EF9C34" w14:textId="77777777" w:rsidR="00D27FBA" w:rsidRDefault="00D27FB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4BB5E084" w14:textId="6F97E1C9" w:rsidR="00D27FBA" w:rsidRDefault="00D27FBA" w:rsidP="00D27FB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22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Priloga:</w:t>
            </w:r>
          </w:p>
          <w:p w14:paraId="7F09A4A0" w14:textId="0E0A504A" w:rsidR="00D27FBA" w:rsidRDefault="008F1C2E" w:rsidP="00CB10B7">
            <w:pPr>
              <w:pStyle w:val="Odstavekseznama"/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B10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Sklep o spremembah in dopolnitvah Sklepa o ustanovitvi javnega raziskovalnega zavoda </w:t>
            </w:r>
            <w:r w:rsidR="00CB10B7" w:rsidRPr="00CB10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Pedagoški inštitut</w:t>
            </w:r>
            <w:r w:rsidRPr="00CB10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13D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– predlog</w:t>
            </w:r>
          </w:p>
          <w:p w14:paraId="50E285BD" w14:textId="5FFF2E58" w:rsidR="00913DB0" w:rsidRPr="00CB10B7" w:rsidRDefault="00913DB0" w:rsidP="00CB10B7">
            <w:pPr>
              <w:pStyle w:val="Odstavekseznama"/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Obrazložitev</w:t>
            </w:r>
          </w:p>
          <w:p w14:paraId="33662404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09A8A9E7" w14:textId="77777777" w:rsidR="00FB397B" w:rsidRPr="00007CB0" w:rsidRDefault="00FB397B">
      <w:pPr>
        <w:rPr>
          <w:rFonts w:ascii="Arial" w:hAnsi="Arial" w:cs="Arial"/>
          <w:sz w:val="20"/>
          <w:szCs w:val="20"/>
        </w:rPr>
      </w:pPr>
    </w:p>
    <w:p w14:paraId="6AE0B0CE" w14:textId="19A08250" w:rsidR="00007CB0" w:rsidRPr="00007CB0" w:rsidRDefault="00007CB0">
      <w:pPr>
        <w:rPr>
          <w:rFonts w:ascii="Arial" w:hAnsi="Arial" w:cs="Arial"/>
          <w:sz w:val="20"/>
          <w:szCs w:val="20"/>
        </w:rPr>
      </w:pPr>
      <w:r w:rsidRPr="00007CB0">
        <w:rPr>
          <w:rFonts w:ascii="Arial" w:hAnsi="Arial" w:cs="Arial"/>
          <w:sz w:val="20"/>
          <w:szCs w:val="20"/>
        </w:rPr>
        <w:br w:type="page"/>
      </w:r>
    </w:p>
    <w:p w14:paraId="549105F6" w14:textId="77777777" w:rsidR="00913DB0" w:rsidRDefault="00913DB0" w:rsidP="00913DB0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PREDLOG</w:t>
      </w:r>
    </w:p>
    <w:p w14:paraId="5E2A1448" w14:textId="128820A4" w:rsidR="00007CB0" w:rsidRPr="00007CB0" w:rsidRDefault="00913DB0" w:rsidP="00913DB0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55F55">
        <w:rPr>
          <w:rFonts w:ascii="Arial" w:eastAsia="Times New Roman" w:hAnsi="Arial" w:cs="Arial"/>
          <w:b/>
          <w:sz w:val="20"/>
          <w:szCs w:val="20"/>
          <w:lang w:eastAsia="sl-SI"/>
        </w:rPr>
        <w:t>2025-3360-0027</w:t>
      </w:r>
    </w:p>
    <w:p w14:paraId="0F58F064" w14:textId="77777777" w:rsidR="00007CB0" w:rsidRPr="00007CB0" w:rsidRDefault="00007CB0" w:rsidP="00007CB0">
      <w:pPr>
        <w:overflowPunct w:val="0"/>
        <w:autoSpaceDE w:val="0"/>
        <w:autoSpaceDN w:val="0"/>
        <w:adjustRightInd w:val="0"/>
        <w:ind w:right="-426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20AE4D3" w14:textId="387DE41F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  <w:r w:rsidRPr="00007CB0">
        <w:rPr>
          <w:rFonts w:ascii="Arial" w:hAnsi="Arial" w:cs="Arial"/>
          <w:sz w:val="20"/>
          <w:szCs w:val="20"/>
        </w:rPr>
        <w:t>Na podlagi 3. in 8. člena Zakona o zavodih (Uradni list RS, št. 12/91, 8/96, 36/00 – ZPDZC in 127/06 – ZJZP) in prvega odstavka 67. člena Zakona o znanstvenoraziskovalni in inovacijski dejavnosti (Uradni list RS, št. 186/21, 40/23, 102/24 in 40/25) je Vlada Republike Slovenije sprejela</w:t>
      </w:r>
    </w:p>
    <w:p w14:paraId="4FD8B1E5" w14:textId="77777777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</w:p>
    <w:p w14:paraId="49F0A7DB" w14:textId="27BC309E" w:rsidR="00007CB0" w:rsidRDefault="004735DC" w:rsidP="00007C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735DC">
        <w:rPr>
          <w:rFonts w:ascii="Arial" w:hAnsi="Arial" w:cs="Arial"/>
          <w:b/>
          <w:bCs/>
          <w:sz w:val="20"/>
          <w:szCs w:val="20"/>
        </w:rPr>
        <w:t xml:space="preserve">Sklep o spremembah in dopolnitvah </w:t>
      </w:r>
      <w:r w:rsidR="00A04C82" w:rsidRPr="00A04C82">
        <w:rPr>
          <w:rFonts w:ascii="Arial" w:hAnsi="Arial" w:cs="Arial"/>
          <w:b/>
          <w:bCs/>
          <w:sz w:val="20"/>
          <w:szCs w:val="20"/>
        </w:rPr>
        <w:t>Sklep</w:t>
      </w:r>
      <w:r w:rsidR="00A04C82">
        <w:rPr>
          <w:rFonts w:ascii="Arial" w:hAnsi="Arial" w:cs="Arial"/>
          <w:b/>
          <w:bCs/>
          <w:sz w:val="20"/>
          <w:szCs w:val="20"/>
        </w:rPr>
        <w:t>a</w:t>
      </w:r>
      <w:r w:rsidR="00A04C82" w:rsidRPr="00A04C82">
        <w:rPr>
          <w:rFonts w:ascii="Arial" w:hAnsi="Arial" w:cs="Arial"/>
          <w:b/>
          <w:bCs/>
          <w:sz w:val="20"/>
          <w:szCs w:val="20"/>
        </w:rPr>
        <w:t xml:space="preserve"> o ustanovitvi javnega raziskovalnega zavoda </w:t>
      </w:r>
      <w:r w:rsidR="00CB10B7">
        <w:rPr>
          <w:rFonts w:ascii="Arial" w:hAnsi="Arial" w:cs="Arial"/>
          <w:b/>
          <w:bCs/>
          <w:sz w:val="20"/>
          <w:szCs w:val="20"/>
        </w:rPr>
        <w:t>Pedagoški inštitut</w:t>
      </w:r>
    </w:p>
    <w:p w14:paraId="50B61E5E" w14:textId="77777777" w:rsidR="004735DC" w:rsidRPr="00007CB0" w:rsidRDefault="004735DC" w:rsidP="00007CB0">
      <w:pPr>
        <w:jc w:val="center"/>
        <w:rPr>
          <w:rFonts w:ascii="Arial" w:hAnsi="Arial" w:cs="Arial"/>
          <w:sz w:val="20"/>
          <w:szCs w:val="20"/>
        </w:rPr>
      </w:pPr>
    </w:p>
    <w:p w14:paraId="2B186D58" w14:textId="1C3F43C5" w:rsidR="00007CB0" w:rsidRDefault="00597CE9" w:rsidP="00007CB0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007CB0" w:rsidRPr="00007CB0">
        <w:rPr>
          <w:rFonts w:ascii="Arial" w:hAnsi="Arial" w:cs="Arial"/>
          <w:sz w:val="20"/>
          <w:szCs w:val="20"/>
        </w:rPr>
        <w:t>len</w:t>
      </w:r>
    </w:p>
    <w:p w14:paraId="057B8176" w14:textId="5DCE92C0" w:rsidR="00597CE9" w:rsidRDefault="00597CE9" w:rsidP="00597CE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V </w:t>
      </w:r>
      <w:r w:rsidRPr="00A04C82">
        <w:rPr>
          <w:rFonts w:ascii="Arial" w:hAnsi="Arial" w:cs="Arial"/>
          <w:sz w:val="20"/>
          <w:szCs w:val="20"/>
          <w:shd w:val="clear" w:color="auto" w:fill="FFFFFF"/>
        </w:rPr>
        <w:t>Sklep</w:t>
      </w:r>
      <w:r>
        <w:rPr>
          <w:rFonts w:ascii="Arial" w:hAnsi="Arial" w:cs="Arial"/>
          <w:sz w:val="20"/>
          <w:szCs w:val="20"/>
          <w:shd w:val="clear" w:color="auto" w:fill="FFFFFF"/>
        </w:rPr>
        <w:t>u</w:t>
      </w:r>
      <w:r w:rsidRPr="00A04C82">
        <w:rPr>
          <w:rFonts w:ascii="Arial" w:hAnsi="Arial" w:cs="Arial"/>
          <w:sz w:val="20"/>
          <w:szCs w:val="20"/>
          <w:shd w:val="clear" w:color="auto" w:fill="FFFFFF"/>
        </w:rPr>
        <w:t xml:space="preserve"> o ustanovitvi javnega raziskovalnega zavoda </w:t>
      </w:r>
      <w:r>
        <w:rPr>
          <w:rFonts w:ascii="Arial" w:hAnsi="Arial" w:cs="Arial"/>
          <w:sz w:val="20"/>
          <w:szCs w:val="20"/>
          <w:shd w:val="clear" w:color="auto" w:fill="FFFFFF"/>
        </w:rPr>
        <w:t>Pedagoški inštitut</w:t>
      </w:r>
      <w:r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 (Uradni list RS, št. 114/22) se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97CE9">
        <w:rPr>
          <w:rFonts w:ascii="Arial" w:hAnsi="Arial" w:cs="Arial"/>
          <w:sz w:val="20"/>
          <w:szCs w:val="20"/>
          <w:shd w:val="clear" w:color="auto" w:fill="FFFFFF"/>
        </w:rPr>
        <w:t>v 1. členu v prvem odstavku besedilo »Uradni list RS, št. 186/21« nadomesti z besedilom »Uradni list RS, št. 186/21, 40/23, 102/24 in 40/25«.</w:t>
      </w:r>
    </w:p>
    <w:p w14:paraId="154000A5" w14:textId="77777777" w:rsidR="00597CE9" w:rsidRPr="00597CE9" w:rsidRDefault="00597CE9" w:rsidP="00597CE9">
      <w:pPr>
        <w:jc w:val="both"/>
        <w:rPr>
          <w:rFonts w:ascii="Arial" w:hAnsi="Arial" w:cs="Arial"/>
          <w:sz w:val="20"/>
          <w:szCs w:val="20"/>
        </w:rPr>
      </w:pPr>
    </w:p>
    <w:p w14:paraId="63AD96F6" w14:textId="6583E4B1" w:rsidR="00597CE9" w:rsidRPr="00007CB0" w:rsidRDefault="00597CE9" w:rsidP="00007CB0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</w:p>
    <w:p w14:paraId="134804C2" w14:textId="0EF39ADC" w:rsidR="00007CB0" w:rsidRPr="00C720B2" w:rsidRDefault="00597CE9" w:rsidP="00007CB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007CB0"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 2. členu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se </w:t>
      </w:r>
      <w:r w:rsidR="00007CB0" w:rsidRPr="00C720B2">
        <w:rPr>
          <w:rFonts w:ascii="Arial" w:hAnsi="Arial" w:cs="Arial"/>
          <w:sz w:val="20"/>
          <w:szCs w:val="20"/>
          <w:shd w:val="clear" w:color="auto" w:fill="FFFFFF"/>
        </w:rPr>
        <w:t>v 4. točki besedilo »Javne agencije za raziskovalno dejavnost Republike Slovenije (v nadaljnjem besedilu: ARRS)« nadomesti z besedilom »Javne agencije za znanstvenoraziskovalno in inovacijsko dejavnost Republike Slovenije (v nadaljnjem besedilu: ARIS)«.</w:t>
      </w:r>
    </w:p>
    <w:p w14:paraId="02B5236A" w14:textId="77777777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</w:p>
    <w:p w14:paraId="607CB38C" w14:textId="77777777" w:rsidR="00007CB0" w:rsidRPr="005E3438" w:rsidRDefault="00007CB0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B00F567" w14:textId="77777777" w:rsidR="00007CB0" w:rsidRPr="009463AA" w:rsidRDefault="00007CB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63AA">
        <w:rPr>
          <w:rFonts w:ascii="Arial" w:hAnsi="Arial" w:cs="Arial"/>
          <w:color w:val="000000"/>
          <w:sz w:val="20"/>
          <w:szCs w:val="20"/>
          <w:shd w:val="clear" w:color="auto" w:fill="FFFFFF"/>
        </w:rPr>
        <w:t>V 4. členu se prvi odstavek spremeni tako, da se glasi:</w:t>
      </w:r>
    </w:p>
    <w:p w14:paraId="738EF97B" w14:textId="79DC9B34" w:rsidR="00821C09" w:rsidRPr="009463AA" w:rsidRDefault="00B736F4" w:rsidP="00821C09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63AA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="00C07E53" w:rsidRPr="009463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(1) </w:t>
      </w:r>
      <w:r w:rsidRPr="009463AA">
        <w:rPr>
          <w:rFonts w:ascii="Arial" w:hAnsi="Arial" w:cs="Arial"/>
          <w:color w:val="000000"/>
          <w:sz w:val="20"/>
          <w:szCs w:val="20"/>
          <w:shd w:val="clear" w:color="auto" w:fill="FFFFFF"/>
        </w:rPr>
        <w:t>Dejavnosti inštituta v skladu z Uredbo o standardni klasifikaciji dejavnosti (Uradni list RS, št. 27/24</w:t>
      </w:r>
      <w:r w:rsidR="00A272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</w:t>
      </w:r>
      <w:r w:rsidRPr="009463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45/25) so:</w:t>
      </w:r>
    </w:p>
    <w:p w14:paraId="243F1E99" w14:textId="723DA9BE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C 18.130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Priprava za tisk in objavo,</w:t>
      </w:r>
    </w:p>
    <w:p w14:paraId="39C05D9D" w14:textId="42A5C93F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C 18.200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Razmnoževanje posnetih nosilcev zapisa,</w:t>
      </w:r>
    </w:p>
    <w:p w14:paraId="08A56A27" w14:textId="58E0A5FE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G 47.610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Trgovina na drobno s knjigami, </w:t>
      </w:r>
    </w:p>
    <w:p w14:paraId="722B1683" w14:textId="3D4CDDBC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J 58.110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Izdajanje knjig,</w:t>
      </w:r>
    </w:p>
    <w:p w14:paraId="1DE0E11F" w14:textId="48E354AE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J 58.130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Izdajanje revij in druge periodike,</w:t>
      </w:r>
    </w:p>
    <w:p w14:paraId="27F5A744" w14:textId="543479D1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M 68.200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Oddajanje in obratovanje lastnih ali najetih nepremičnin,</w:t>
      </w:r>
    </w:p>
    <w:p w14:paraId="3ABE1E27" w14:textId="6C0D91DF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N 70.200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Drugo podjetniško in poslovno svetovanje,</w:t>
      </w:r>
    </w:p>
    <w:p w14:paraId="59160700" w14:textId="5FA214FE" w:rsidR="00D80A72" w:rsidRPr="00A27276" w:rsidRDefault="00D80A7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N 72</w:t>
      </w:r>
      <w:r w:rsidR="00862E9E" w:rsidRPr="00A27276">
        <w:rPr>
          <w:rFonts w:ascii="Arial" w:hAnsi="Arial" w:cs="Arial"/>
          <w:sz w:val="20"/>
          <w:szCs w:val="20"/>
          <w:lang w:eastAsia="sl-SI"/>
        </w:rPr>
        <w:tab/>
        <w:t>Znanstvena raziskovalna in razvojna dejavnost,</w:t>
      </w:r>
    </w:p>
    <w:p w14:paraId="43071A06" w14:textId="680C2D36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N 72.200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Raziskovalna in razvojna dejavnost na področju družboslovja in humanistike,</w:t>
      </w:r>
    </w:p>
    <w:p w14:paraId="39C5FC50" w14:textId="530954AD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O 82.300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Organiziranje razstav, sejmov</w:t>
      </w:r>
      <w:r w:rsidR="002E3D93">
        <w:rPr>
          <w:rFonts w:ascii="Arial" w:hAnsi="Arial" w:cs="Arial"/>
          <w:sz w:val="20"/>
          <w:szCs w:val="20"/>
          <w:lang w:eastAsia="sl-SI"/>
        </w:rPr>
        <w:t>,</w:t>
      </w:r>
      <w:r w:rsidRPr="00A27276">
        <w:rPr>
          <w:rFonts w:ascii="Arial" w:hAnsi="Arial" w:cs="Arial"/>
          <w:sz w:val="20"/>
          <w:szCs w:val="20"/>
          <w:lang w:eastAsia="sl-SI"/>
        </w:rPr>
        <w:t xml:space="preserve"> srečanj,</w:t>
      </w:r>
    </w:p>
    <w:p w14:paraId="30B96DE8" w14:textId="52C633F4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Q 85.402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Visokošolsko izobraževanje,</w:t>
      </w:r>
    </w:p>
    <w:p w14:paraId="0A99D1D4" w14:textId="18C407BC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Q 85.590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Drugo izobraževanje, izpopolnjevanje in usposabljanje, d. n., </w:t>
      </w:r>
    </w:p>
    <w:p w14:paraId="01965A2B" w14:textId="1FD742D7" w:rsidR="00571388" w:rsidRPr="00A27276" w:rsidRDefault="00571388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Q 85.690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Pomožne dejavnosti za izobraževanje, d. n.</w:t>
      </w:r>
      <w:r w:rsidR="002E3D93">
        <w:rPr>
          <w:rFonts w:ascii="Arial" w:hAnsi="Arial" w:cs="Arial"/>
          <w:sz w:val="20"/>
          <w:szCs w:val="20"/>
          <w:lang w:eastAsia="sl-SI"/>
        </w:rPr>
        <w:t>,</w:t>
      </w:r>
    </w:p>
    <w:p w14:paraId="2F74C4EE" w14:textId="726ACEF9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S 90.310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Obratovanje objektov za kulturne prireditve,</w:t>
      </w:r>
    </w:p>
    <w:p w14:paraId="392FC481" w14:textId="0693173A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S 91.110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Dejavnost knjižnic,</w:t>
      </w:r>
    </w:p>
    <w:p w14:paraId="2F473374" w14:textId="490CFA2E" w:rsidR="00DC5E62" w:rsidRPr="00A27276" w:rsidRDefault="00DC5E62" w:rsidP="009463AA">
      <w:pPr>
        <w:shd w:val="clear" w:color="auto" w:fill="FFFFFF"/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A27276">
        <w:rPr>
          <w:rFonts w:ascii="Arial" w:hAnsi="Arial" w:cs="Arial"/>
          <w:sz w:val="20"/>
          <w:szCs w:val="20"/>
          <w:lang w:eastAsia="sl-SI"/>
        </w:rPr>
        <w:t>S 91.</w:t>
      </w:r>
      <w:r w:rsidR="00E56007">
        <w:rPr>
          <w:rFonts w:ascii="Arial" w:hAnsi="Arial" w:cs="Arial"/>
          <w:sz w:val="20"/>
          <w:szCs w:val="20"/>
          <w:lang w:eastAsia="sl-SI"/>
        </w:rPr>
        <w:t>21</w:t>
      </w:r>
      <w:r w:rsidRPr="00A27276">
        <w:rPr>
          <w:rFonts w:ascii="Arial" w:hAnsi="Arial" w:cs="Arial"/>
          <w:sz w:val="20"/>
          <w:szCs w:val="20"/>
          <w:lang w:eastAsia="sl-SI"/>
        </w:rPr>
        <w:t>0</w:t>
      </w:r>
      <w:r w:rsidRPr="00A27276">
        <w:rPr>
          <w:rFonts w:ascii="Arial" w:hAnsi="Arial" w:cs="Arial"/>
          <w:sz w:val="20"/>
          <w:szCs w:val="20"/>
          <w:lang w:eastAsia="sl-SI"/>
        </w:rPr>
        <w:tab/>
        <w:t>Dejavnost muzejev in dejavnosti v zvezi z zbirkami,</w:t>
      </w:r>
    </w:p>
    <w:p w14:paraId="56C62CB3" w14:textId="782FDC40" w:rsidR="00591D1F" w:rsidRPr="00A27276" w:rsidRDefault="00DC5E62" w:rsidP="006250E2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27276">
        <w:rPr>
          <w:rFonts w:ascii="Arial" w:hAnsi="Arial" w:cs="Arial"/>
          <w:sz w:val="20"/>
          <w:szCs w:val="20"/>
          <w:shd w:val="clear" w:color="auto" w:fill="FFFFFF"/>
        </w:rPr>
        <w:t>T 94.120</w:t>
      </w:r>
      <w:r w:rsidRPr="00A27276">
        <w:rPr>
          <w:rFonts w:ascii="Arial" w:hAnsi="Arial" w:cs="Arial"/>
          <w:sz w:val="20"/>
          <w:szCs w:val="20"/>
          <w:shd w:val="clear" w:color="auto" w:fill="FFFFFF"/>
        </w:rPr>
        <w:tab/>
        <w:t>Dejavnost strokovnih združenj.«.</w:t>
      </w:r>
    </w:p>
    <w:p w14:paraId="506E2177" w14:textId="77777777" w:rsidR="00323EA0" w:rsidRPr="00007CB0" w:rsidRDefault="00323EA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D821F08" w14:textId="77777777" w:rsidR="00007CB0" w:rsidRPr="005E3438" w:rsidRDefault="00007CB0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53ED23C3" w14:textId="19832ABC" w:rsidR="00007CB0" w:rsidRDefault="00007CB0" w:rsidP="00007CB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5. členu se v</w:t>
      </w:r>
      <w:r w:rsidR="001418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prvem odstavku 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tretjem stavku za besed</w:t>
      </w:r>
      <w:r w:rsidR="00C07E53">
        <w:rPr>
          <w:rFonts w:ascii="Arial" w:hAnsi="Arial" w:cs="Arial"/>
          <w:color w:val="000000"/>
          <w:sz w:val="20"/>
          <w:szCs w:val="20"/>
          <w:shd w:val="clear" w:color="auto" w:fill="FFFFFF"/>
        </w:rPr>
        <w:t>ama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»investicijsko vzdrževanje« dodata vejica in beseda »amortizacijo«.</w:t>
      </w:r>
    </w:p>
    <w:p w14:paraId="17C7776B" w14:textId="288CA492" w:rsidR="00323EA0" w:rsidRDefault="00862E9E" w:rsidP="00862E9E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</w:p>
    <w:p w14:paraId="36DC7577" w14:textId="77777777" w:rsidR="00E0652A" w:rsidRPr="00E0652A" w:rsidRDefault="00E0652A" w:rsidP="00E065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652A">
        <w:rPr>
          <w:rFonts w:ascii="Arial" w:hAnsi="Arial" w:cs="Arial"/>
          <w:sz w:val="20"/>
          <w:szCs w:val="20"/>
        </w:rPr>
        <w:t xml:space="preserve">V 10. členu se tretji odstavek spremeni tako, da se glasi:  </w:t>
      </w:r>
    </w:p>
    <w:p w14:paraId="75897E88" w14:textId="3C6D6733" w:rsidR="00862E9E" w:rsidRPr="00862E9E" w:rsidRDefault="00E0652A" w:rsidP="00E0652A">
      <w:pPr>
        <w:jc w:val="both"/>
        <w:rPr>
          <w:rFonts w:ascii="Arial" w:hAnsi="Arial" w:cs="Arial"/>
          <w:sz w:val="20"/>
          <w:szCs w:val="20"/>
        </w:rPr>
      </w:pPr>
      <w:r w:rsidRPr="00E0652A">
        <w:rPr>
          <w:rFonts w:ascii="Arial" w:hAnsi="Arial" w:cs="Arial"/>
          <w:sz w:val="20"/>
          <w:szCs w:val="20"/>
        </w:rPr>
        <w:lastRenderedPageBreak/>
        <w:t>»(3) Ministrstvi iz prve alineje prvega odstavka tega člena izbereta predstavnika ustanovitelja, ki ju imenuje vlada, z javnim pozivom. Če se na javni poziv ne prijavi zadost</w:t>
      </w:r>
      <w:r w:rsidR="00242232">
        <w:rPr>
          <w:rFonts w:ascii="Arial" w:hAnsi="Arial" w:cs="Arial"/>
          <w:sz w:val="20"/>
          <w:szCs w:val="20"/>
        </w:rPr>
        <w:t>i</w:t>
      </w:r>
      <w:r w:rsidRPr="00E0652A">
        <w:rPr>
          <w:rFonts w:ascii="Arial" w:hAnsi="Arial" w:cs="Arial"/>
          <w:sz w:val="20"/>
          <w:szCs w:val="20"/>
        </w:rPr>
        <w:t xml:space="preserve"> kandidatov, ki izpolnjujejo pogoje iz javnega poziva, in je treba zagotoviti nemoteno delovanje upravnega odbora inštituta ali v primeru odstopa ali razrešitve predstavnika ustanovitelja v ene</w:t>
      </w:r>
      <w:r w:rsidR="00242232">
        <w:rPr>
          <w:rFonts w:ascii="Arial" w:hAnsi="Arial" w:cs="Arial"/>
          <w:sz w:val="20"/>
          <w:szCs w:val="20"/>
        </w:rPr>
        <w:t>m</w:t>
      </w:r>
      <w:r w:rsidRPr="00E0652A">
        <w:rPr>
          <w:rFonts w:ascii="Arial" w:hAnsi="Arial" w:cs="Arial"/>
          <w:sz w:val="20"/>
          <w:szCs w:val="20"/>
        </w:rPr>
        <w:t xml:space="preserve"> let</w:t>
      </w:r>
      <w:r w:rsidR="00242232">
        <w:rPr>
          <w:rFonts w:ascii="Arial" w:hAnsi="Arial" w:cs="Arial"/>
          <w:sz w:val="20"/>
          <w:szCs w:val="20"/>
        </w:rPr>
        <w:t>u</w:t>
      </w:r>
      <w:r w:rsidRPr="00E0652A">
        <w:rPr>
          <w:rFonts w:ascii="Arial" w:hAnsi="Arial" w:cs="Arial"/>
          <w:sz w:val="20"/>
          <w:szCs w:val="20"/>
        </w:rPr>
        <w:t xml:space="preserve"> pred iztekom mandata upravnega odbora inštituta, lahko ministrstvi iz prve alineje prvega odstavka tega člena predlagata kandidata, ki izpolnjuje pogoje iz javnega poziva, brez ponovljenega javnega poziva.«. </w:t>
      </w:r>
    </w:p>
    <w:p w14:paraId="4B81CFF9" w14:textId="77777777" w:rsidR="00007CB0" w:rsidRDefault="00007CB0" w:rsidP="00007CB0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6CEFFD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593FA4AF" w14:textId="35A4C1FA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12. členu se </w:t>
      </w:r>
      <w:r w:rsidR="001418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tretjem odstavku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koncu drugega stavka </w:t>
      </w:r>
      <w:r w:rsidR="00A337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pika nadomesti z vejico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r w:rsidR="00A337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doda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besedilo »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 čemer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sklene tudi ustrezno zavarovanje odgovornosti članov upravnega odbora.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0C579D20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CE5815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81D54C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61E0B48D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14. členu se tretji odstavek spremeni tako, da se glasi:</w:t>
      </w:r>
    </w:p>
    <w:p w14:paraId="047B6D74" w14:textId="60EBD0B2" w:rsidR="009F595F" w:rsidRPr="001A70A5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(3) Za direktorja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 lahko imenovan raziskovalec, ki ima izobrazbo, pridobljeno po študijskem programu tretje stopnje, oziroma izobrazbo, ki ustreza ravni izobrazbe, pridobljene po študijskih programih tretje stopnje in je v skladu z zakonom, ki ureja slovensko ogrodje kvalifikacij, uvrščena na 10. raven, s področja dejavnosti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>, ter izpolnjuje naslednje pogoje:</w:t>
      </w:r>
    </w:p>
    <w:p w14:paraId="5F9E6317" w14:textId="77777777" w:rsidR="00A27276" w:rsidRPr="001C5568" w:rsidRDefault="00A27276" w:rsidP="00A27276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C5568">
        <w:rPr>
          <w:rFonts w:ascii="Arial" w:hAnsi="Arial" w:cs="Arial"/>
          <w:color w:val="000000"/>
          <w:sz w:val="20"/>
          <w:szCs w:val="20"/>
          <w:shd w:val="clear" w:color="auto" w:fill="FFFFFF"/>
        </w:rPr>
        <w:t>aktivno obvlada slovenski in angleški jezik;</w:t>
      </w:r>
    </w:p>
    <w:p w14:paraId="5A4C63A3" w14:textId="1A43AA74" w:rsidR="00A27276" w:rsidRPr="001C5568" w:rsidRDefault="00920C54" w:rsidP="00A27276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C54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izkušnje z vodenjem aktivnosti znanstvenoraziskovalne dejavnosti</w:t>
      </w:r>
      <w:r w:rsidR="00A27276" w:rsidRPr="001C5568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246BDD8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izkušnje pri opravljanju zahtevnejših vodstvenih nalog;</w:t>
      </w:r>
    </w:p>
    <w:p w14:paraId="4EEDE19B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sposobnosti za organiziranje in vodenje znanstvenoraziskovalne dejavnosti;</w:t>
      </w:r>
    </w:p>
    <w:p w14:paraId="16F4E4DB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izpolnjuje kriterije za vodjo temeljnega raziskovalnega projekta;</w:t>
      </w:r>
    </w:p>
    <w:p w14:paraId="4BFC6E77" w14:textId="0E72078F" w:rsidR="009F595F" w:rsidRPr="001A70A5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pripravi vizijo razvoja </w:t>
      </w:r>
      <w:r w:rsidR="001E53FC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pet let;</w:t>
      </w:r>
    </w:p>
    <w:p w14:paraId="2E269AF5" w14:textId="181CA4DC" w:rsidR="009F595F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>izpolnjuje druge pogoje, ki jih določajo veljavni predpisi.</w:t>
      </w:r>
      <w:r w:rsidR="00540795"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1A1366AC" w14:textId="77777777" w:rsidR="009F595F" w:rsidRPr="001A70A5" w:rsidRDefault="009F595F" w:rsidP="009F595F">
      <w:pPr>
        <w:pStyle w:val="Odstavekseznama"/>
        <w:spacing w:after="0"/>
        <w:ind w:left="495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569AC4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67C3995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36B9BDA8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15. členu se besedilo spremeni tako, da se glasi: </w:t>
      </w:r>
    </w:p>
    <w:p w14:paraId="0EAD962C" w14:textId="1478A6F9" w:rsidR="009F595F" w:rsidRDefault="009F595F" w:rsidP="009F595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Direktor, namestnik direktorj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pomočniki direktor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ja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inštituta 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>lahko opravljajo znanstvenoraziskovalno obveznost kot dopolnilno zaposlitev pri istem ali drugem delodajalcu v obsegu, ki ne presega 20 % polnega delovnega časa na teden. Dopolnilna zaposlitev se lahko financira iz sredstev ARIS ali drugih sredstev.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55010B36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417F853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17. členu se peti odstavek spremeni tako, da se glasi:</w:t>
      </w:r>
    </w:p>
    <w:p w14:paraId="44532842" w14:textId="09A22A4F" w:rsidR="009F595F" w:rsidRDefault="009F595F" w:rsidP="006E1C56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>(5) Za člana znanstvenega sveta je lahko imenovan znanstveni svetnik, strokovno</w:t>
      </w:r>
      <w:r w:rsidR="00242232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>raziskovalni svetnik, višji znanstveni sodelavec, višji strokovno-raziskovalni sodelavec, razvojni svetnik, višji razvojni s</w:t>
      </w:r>
      <w:r w:rsidR="00AE35C5">
        <w:rPr>
          <w:rFonts w:ascii="Arial" w:hAnsi="Arial" w:cs="Arial"/>
          <w:color w:val="000000"/>
          <w:sz w:val="20"/>
          <w:szCs w:val="20"/>
          <w:shd w:val="clear" w:color="auto" w:fill="FFFFFF"/>
        </w:rPr>
        <w:t>odelavec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>, vodja notranje organizacijske enote in vodja programa.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28B1EA4A" w14:textId="77777777" w:rsidR="009F595F" w:rsidRPr="0097182A" w:rsidRDefault="009F595F" w:rsidP="009F59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45223B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23EF94B" w14:textId="00825300" w:rsidR="009F595F" w:rsidRDefault="009F595F" w:rsidP="009F595F">
      <w:pPr>
        <w:jc w:val="both"/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20. členu </w:t>
      </w:r>
      <w:r w:rsidR="00DB3A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drugem odstavku kratica »ARRS</w:t>
      </w:r>
      <w:r w:rsidRPr="00C228BA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« nadomesti </w:t>
      </w:r>
      <w:r>
        <w:rPr>
          <w:rFonts w:ascii="Arial" w:hAnsi="Arial" w:cs="Arial"/>
          <w:color w:val="292B2C"/>
          <w:sz w:val="20"/>
          <w:szCs w:val="20"/>
          <w:shd w:val="clear" w:color="auto" w:fill="FFFFFF"/>
        </w:rPr>
        <w:t>s kratico »ARIS«.</w:t>
      </w:r>
    </w:p>
    <w:p w14:paraId="435E026C" w14:textId="77777777" w:rsidR="0072464C" w:rsidRDefault="0072464C" w:rsidP="009F595F">
      <w:pPr>
        <w:jc w:val="both"/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</w:p>
    <w:p w14:paraId="29DDCF14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3D5DF34E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23. členu se peti odstavek spremeni tako, da se glasi:</w:t>
      </w:r>
    </w:p>
    <w:p w14:paraId="584BC449" w14:textId="2D690CA0" w:rsidR="009F595F" w:rsidRPr="00624BFC" w:rsidRDefault="009F595F" w:rsidP="009F595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="00410C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(5) </w:t>
      </w:r>
      <w:r w:rsidRPr="00E51B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Letno poročilo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E51B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mora pregledati pooblaščeni revizor v skladu z zakonom, ki ureja revidiranje.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4BECB116" w14:textId="77777777" w:rsidR="005961A5" w:rsidRDefault="005961A5" w:rsidP="005961A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2019AC" w14:textId="258331FE" w:rsidR="005961A5" w:rsidRDefault="005961A5" w:rsidP="005961A5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PREHODN</w:t>
      </w:r>
      <w:r w:rsidR="00A555E4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KONČNA DOLOČBA</w:t>
      </w:r>
      <w:r>
        <w:tab/>
      </w:r>
    </w:p>
    <w:p w14:paraId="6F85BF70" w14:textId="77777777" w:rsidR="005961A5" w:rsidRDefault="005961A5" w:rsidP="005961A5">
      <w:pPr>
        <w:pStyle w:val="Odstavekseznama"/>
        <w:spacing w:after="0" w:line="257" w:lineRule="auto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0E115D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BBD095C" w14:textId="77777777" w:rsidR="005961A5" w:rsidRPr="0097182A" w:rsidRDefault="005961A5" w:rsidP="005961A5">
      <w:pPr>
        <w:pStyle w:val="Odstavekseznama"/>
        <w:spacing w:after="0" w:line="257" w:lineRule="auto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1CC98B" w14:textId="020586EC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Mandat direktorja </w:t>
      </w:r>
      <w:r w:rsidR="00B736F4"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ter mandat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upravnega odbora in znanstvenega sveta </w:t>
      </w:r>
      <w:r w:rsidR="00B736F4"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se nadaljujejo do njihovega izteka.</w:t>
      </w:r>
    </w:p>
    <w:p w14:paraId="016C990A" w14:textId="77777777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3E37C94F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7D32A9C6" w14:textId="77777777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1BA80093" w14:textId="34C61C71" w:rsidR="005961A5" w:rsidRPr="0097182A" w:rsidRDefault="00B736F4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</w:t>
      </w:r>
      <w:r w:rsidR="005961A5"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uskladi statut in druge splošne akte s tem sklepom najpozneje v štirih mesecih od uveljavitve tega sklepa.</w:t>
      </w:r>
    </w:p>
    <w:p w14:paraId="172AD3C2" w14:textId="77777777" w:rsidR="005961A5" w:rsidRPr="0097182A" w:rsidRDefault="005961A5" w:rsidP="005961A5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10A7079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6889B83B" w14:textId="77777777" w:rsidR="005961A5" w:rsidRDefault="005961A5" w:rsidP="005961A5">
      <w:pPr>
        <w:pStyle w:val="Odstavekseznama"/>
        <w:spacing w:after="0" w:line="257" w:lineRule="auto"/>
        <w:ind w:left="36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6DAD51" w14:textId="77777777" w:rsidR="005961A5" w:rsidRDefault="005961A5" w:rsidP="005961A5">
      <w:pPr>
        <w:jc w:val="both"/>
        <w:rPr>
          <w:rFonts w:ascii="Arial" w:eastAsia="Arial" w:hAnsi="Arial" w:cs="Arial"/>
          <w:sz w:val="20"/>
          <w:szCs w:val="20"/>
        </w:rPr>
      </w:pPr>
      <w:r w:rsidRPr="345324C1">
        <w:rPr>
          <w:rFonts w:ascii="Arial" w:eastAsia="Arial" w:hAnsi="Arial" w:cs="Arial"/>
          <w:color w:val="000000" w:themeColor="text1"/>
          <w:sz w:val="20"/>
          <w:szCs w:val="20"/>
        </w:rPr>
        <w:t>Ta sklep začne veljati petnajsti dan po objavi v Uradnem listu Republike Slovenije.</w:t>
      </w:r>
    </w:p>
    <w:p w14:paraId="389EB5E6" w14:textId="77777777" w:rsidR="005961A5" w:rsidRDefault="005961A5" w:rsidP="005961A5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BB4F83F" w14:textId="77777777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 xml:space="preserve">Št. </w:t>
      </w:r>
    </w:p>
    <w:p w14:paraId="28A44B80" w14:textId="77777777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>Ljubljana, dne … 202</w:t>
      </w:r>
      <w:r>
        <w:rPr>
          <w:rFonts w:ascii="Arial" w:hAnsi="Arial" w:cs="Arial"/>
          <w:sz w:val="20"/>
          <w:szCs w:val="20"/>
        </w:rPr>
        <w:t>5</w:t>
      </w:r>
    </w:p>
    <w:p w14:paraId="41F13355" w14:textId="6170F188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DB3AF8">
        <w:rPr>
          <w:rFonts w:ascii="Arial" w:hAnsi="Arial" w:cs="Arial"/>
          <w:sz w:val="20"/>
          <w:szCs w:val="20"/>
        </w:rPr>
        <w:t xml:space="preserve">EVA </w:t>
      </w:r>
      <w:r w:rsidR="00DB3AF8" w:rsidRPr="00DB3AF8">
        <w:rPr>
          <w:rFonts w:ascii="Arial" w:hAnsi="Arial" w:cs="Arial"/>
          <w:sz w:val="20"/>
          <w:szCs w:val="20"/>
        </w:rPr>
        <w:t>2025-3360</w:t>
      </w:r>
      <w:r w:rsidR="00DB3AF8">
        <w:rPr>
          <w:rFonts w:ascii="Arial" w:hAnsi="Arial" w:cs="Arial"/>
          <w:sz w:val="20"/>
          <w:szCs w:val="20"/>
        </w:rPr>
        <w:t>-0027</w:t>
      </w:r>
    </w:p>
    <w:p w14:paraId="5D4B28CE" w14:textId="77777777" w:rsidR="005961A5" w:rsidRDefault="005961A5" w:rsidP="005961A5">
      <w:pPr>
        <w:jc w:val="center"/>
        <w:rPr>
          <w:rFonts w:ascii="Arial" w:hAnsi="Arial" w:cs="Arial"/>
          <w:sz w:val="20"/>
          <w:szCs w:val="20"/>
        </w:rPr>
      </w:pPr>
    </w:p>
    <w:p w14:paraId="27695A61" w14:textId="77777777" w:rsidR="005961A5" w:rsidRPr="003F713E" w:rsidRDefault="005961A5" w:rsidP="005961A5">
      <w:pPr>
        <w:jc w:val="center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 xml:space="preserve">Vlada Republike Slovenije </w:t>
      </w:r>
    </w:p>
    <w:p w14:paraId="0FBCF22A" w14:textId="02122EA4" w:rsidR="005961A5" w:rsidRPr="003F713E" w:rsidRDefault="00511F9C" w:rsidP="005961A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961A5" w:rsidRPr="003F713E">
        <w:rPr>
          <w:rFonts w:ascii="Arial" w:hAnsi="Arial" w:cs="Arial"/>
          <w:sz w:val="20"/>
          <w:szCs w:val="20"/>
        </w:rPr>
        <w:t>r. Robert Golob</w:t>
      </w:r>
    </w:p>
    <w:p w14:paraId="5EA2EE34" w14:textId="77777777" w:rsidR="005961A5" w:rsidRPr="003F713E" w:rsidRDefault="005961A5" w:rsidP="005961A5">
      <w:pPr>
        <w:jc w:val="center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>predsednik</w:t>
      </w:r>
    </w:p>
    <w:p w14:paraId="2B991C88" w14:textId="77777777" w:rsidR="005961A5" w:rsidRPr="00DD0A66" w:rsidRDefault="005961A5" w:rsidP="005961A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E84681" w14:textId="4B247E03" w:rsidR="00237E1C" w:rsidRDefault="00237E1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520303F1" w14:textId="7F661180" w:rsidR="005961A5" w:rsidRDefault="00237E1C" w:rsidP="005961A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Obrazložitev</w:t>
      </w:r>
    </w:p>
    <w:p w14:paraId="65CF2850" w14:textId="1DF19526" w:rsidR="00237E1C" w:rsidRPr="00E82228" w:rsidRDefault="00A27276" w:rsidP="00E82228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  <w:r w:rsidRPr="00E82228">
        <w:rPr>
          <w:rFonts w:ascii="Arial" w:hAnsi="Arial" w:cs="Arial"/>
          <w:color w:val="000000"/>
          <w:sz w:val="20"/>
          <w:szCs w:val="20"/>
        </w:rPr>
        <w:t>Na podlagi Zakona o Vladi Republike Slovenije (Uradni list RS, št. 24/05 – uradno prečiščeno besedilo, 109/08, 38/10 – ZUKN, 8/12, 21/13, 47/13 – ZDU-1G, 65/14, 55/17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163/22</w:t>
      </w:r>
      <w:r>
        <w:rPr>
          <w:rFonts w:ascii="Arial" w:hAnsi="Arial" w:cs="Arial"/>
          <w:color w:val="000000"/>
          <w:sz w:val="20"/>
          <w:szCs w:val="20"/>
        </w:rPr>
        <w:t xml:space="preserve"> in 57/25 – ZF</w:t>
      </w:r>
      <w:r w:rsidRPr="00E82228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, in sicer </w:t>
      </w:r>
      <w:r w:rsidRPr="00E82228">
        <w:rPr>
          <w:rFonts w:ascii="Arial" w:hAnsi="Arial" w:cs="Arial"/>
          <w:color w:val="000000"/>
          <w:sz w:val="20"/>
          <w:szCs w:val="20"/>
        </w:rPr>
        <w:t>6. člena</w:t>
      </w:r>
      <w:r>
        <w:rPr>
          <w:rFonts w:ascii="Arial" w:hAnsi="Arial" w:cs="Arial"/>
          <w:color w:val="000000"/>
          <w:sz w:val="20"/>
          <w:szCs w:val="20"/>
        </w:rPr>
        <w:t>, ki določa,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da 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Vlada </w:t>
      </w:r>
      <w:r>
        <w:rPr>
          <w:rFonts w:ascii="Arial" w:hAnsi="Arial" w:cs="Arial"/>
          <w:color w:val="000000"/>
          <w:sz w:val="20"/>
          <w:szCs w:val="20"/>
        </w:rPr>
        <w:t xml:space="preserve">Republike Slovenije (v nadaljnjem besedilu: vlada) </w:t>
      </w:r>
      <w:r w:rsidRPr="00E82228">
        <w:rPr>
          <w:rFonts w:ascii="Arial" w:hAnsi="Arial" w:cs="Arial"/>
          <w:color w:val="000000"/>
          <w:sz w:val="20"/>
          <w:szCs w:val="20"/>
        </w:rPr>
        <w:t>izvršuje pravice in dolžnosti, ki pripadajo Republiki Sloveniji kot ustanoviteljici zavodov, gospodarskih družb in drugih organizacij, če s posebnim zakonom ni drugače določeno</w:t>
      </w:r>
      <w:r>
        <w:rPr>
          <w:rFonts w:ascii="Arial" w:hAnsi="Arial" w:cs="Arial"/>
          <w:color w:val="000000"/>
          <w:sz w:val="20"/>
          <w:szCs w:val="20"/>
        </w:rPr>
        <w:t>, in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šestega odstavka 21. člena</w:t>
      </w:r>
      <w:r>
        <w:rPr>
          <w:rFonts w:ascii="Arial" w:hAnsi="Arial" w:cs="Arial"/>
          <w:color w:val="000000"/>
          <w:sz w:val="20"/>
          <w:szCs w:val="20"/>
        </w:rPr>
        <w:t>, ki določa, da k</w:t>
      </w:r>
      <w:r w:rsidRPr="00E82228">
        <w:rPr>
          <w:rFonts w:ascii="Arial" w:hAnsi="Arial" w:cs="Arial"/>
          <w:color w:val="000000"/>
          <w:sz w:val="20"/>
          <w:szCs w:val="20"/>
        </w:rPr>
        <w:t>adar ne odloči z drugim aktom, sprejme vlada sklep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Zakona o zavodih (Uradni list RS, št. 12/91, 8/96, 36/00 – ZPDZC in 127/06 – ZJZP),</w:t>
      </w:r>
      <w:r>
        <w:rPr>
          <w:rFonts w:ascii="Arial" w:hAnsi="Arial" w:cs="Arial"/>
          <w:color w:val="000000"/>
          <w:sz w:val="20"/>
          <w:szCs w:val="20"/>
        </w:rPr>
        <w:t xml:space="preserve"> in sicer 3. člena, ki določa, da se za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opravljanje javnih služb ustanovijo javni zavodi</w:t>
      </w:r>
      <w:r>
        <w:rPr>
          <w:rFonts w:ascii="Arial" w:hAnsi="Arial" w:cs="Arial"/>
          <w:color w:val="000000"/>
          <w:sz w:val="20"/>
          <w:szCs w:val="20"/>
        </w:rPr>
        <w:t>, da se j</w:t>
      </w:r>
      <w:r w:rsidRPr="00E82228">
        <w:rPr>
          <w:rFonts w:ascii="Arial" w:hAnsi="Arial" w:cs="Arial"/>
          <w:color w:val="000000"/>
          <w:sz w:val="20"/>
          <w:szCs w:val="20"/>
        </w:rPr>
        <w:t>avni zavodi lahko ustanovijo tudi za opravljanje dejavnosti, ki niso opredeljene kot javne službe, če se opravljanje dejavnosti zagotavlja na način in pod pogoji, ki veljajo za javno službo</w:t>
      </w:r>
      <w:r w:rsidR="00914C6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ter da j</w:t>
      </w:r>
      <w:r w:rsidRPr="00E82228">
        <w:rPr>
          <w:rFonts w:ascii="Arial" w:hAnsi="Arial" w:cs="Arial"/>
          <w:color w:val="000000"/>
          <w:sz w:val="20"/>
          <w:szCs w:val="20"/>
        </w:rPr>
        <w:t>avne zavode ustanovijo republika, občine, mesto in druge z zakonom pooblaščene javne pravne osebe</w:t>
      </w:r>
      <w:r>
        <w:rPr>
          <w:rFonts w:ascii="Arial" w:hAnsi="Arial" w:cs="Arial"/>
          <w:color w:val="000000"/>
          <w:sz w:val="20"/>
          <w:szCs w:val="20"/>
        </w:rPr>
        <w:t>, da ima s</w:t>
      </w:r>
      <w:r w:rsidRPr="00E82228">
        <w:rPr>
          <w:rFonts w:ascii="Arial" w:hAnsi="Arial" w:cs="Arial"/>
          <w:color w:val="000000"/>
          <w:sz w:val="20"/>
          <w:szCs w:val="20"/>
        </w:rPr>
        <w:t>amoupravna narodnostna skupnost pravico soustanoviti ali tudi sama ustanoviti javni zavod, ki opravlja dejavnost, pomembno za uresničevanje pravic narodnosti</w:t>
      </w:r>
      <w:r w:rsidR="00914C6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ter da so s</w:t>
      </w:r>
      <w:r w:rsidRPr="00E82228">
        <w:rPr>
          <w:rFonts w:ascii="Arial" w:hAnsi="Arial" w:cs="Arial"/>
          <w:color w:val="000000"/>
          <w:sz w:val="20"/>
          <w:szCs w:val="20"/>
        </w:rPr>
        <w:t>oustanovitelji javnega zavoda lahko tudi druge pravne in fizične osebe</w:t>
      </w:r>
      <w:r>
        <w:rPr>
          <w:rFonts w:ascii="Arial" w:hAnsi="Arial" w:cs="Arial"/>
          <w:color w:val="000000"/>
          <w:sz w:val="20"/>
          <w:szCs w:val="20"/>
        </w:rPr>
        <w:t>, in 8. člena, ki določa sestavine akta o ustanovitvi javnega zavoda,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ter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prvega odstavka 67. člena Zakona o znanstvenoraziskovalni in inovacijski dejavnosti (Uradni list RS, št. 186/21, 40/23, 102/24 in 40/25</w:t>
      </w:r>
      <w:r>
        <w:rPr>
          <w:rFonts w:ascii="Arial" w:hAnsi="Arial" w:cs="Arial"/>
          <w:color w:val="000000"/>
          <w:sz w:val="20"/>
          <w:szCs w:val="20"/>
        </w:rPr>
        <w:t>; v nadaljnjem besedilu: ZZrID</w:t>
      </w:r>
      <w:r w:rsidRPr="00E82228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 ki določa, da je j</w:t>
      </w:r>
      <w:r w:rsidRPr="000D3793">
        <w:rPr>
          <w:rFonts w:ascii="Arial" w:hAnsi="Arial" w:cs="Arial"/>
          <w:color w:val="000000"/>
          <w:sz w:val="20"/>
          <w:szCs w:val="20"/>
        </w:rPr>
        <w:t>avni raziskovalni zavod zavod, ki ga za namen neodvisnega izvajanja znanstvenoraziskovalne dejavnosti ustanovi Republika Slovenija na predlog ministrstva, pristojnega za znanost, ali SAZU na podlagi veljavnega zakona, ki ureja SAZU</w:t>
      </w:r>
      <w:r>
        <w:rPr>
          <w:rFonts w:ascii="Arial" w:hAnsi="Arial" w:cs="Arial"/>
          <w:color w:val="000000"/>
          <w:sz w:val="20"/>
          <w:szCs w:val="20"/>
        </w:rPr>
        <w:t xml:space="preserve">, ter </w:t>
      </w:r>
      <w:r w:rsidRPr="000D3793">
        <w:rPr>
          <w:rFonts w:ascii="Arial" w:hAnsi="Arial" w:cs="Arial"/>
          <w:color w:val="000000"/>
          <w:sz w:val="20"/>
          <w:szCs w:val="20"/>
        </w:rPr>
        <w:t xml:space="preserve">je ustanovljen za izvajanje javne službe po </w:t>
      </w:r>
      <w:r>
        <w:rPr>
          <w:rFonts w:ascii="Arial" w:hAnsi="Arial" w:cs="Arial"/>
          <w:color w:val="000000"/>
          <w:sz w:val="20"/>
          <w:szCs w:val="20"/>
        </w:rPr>
        <w:t>tem zakonu</w:t>
      </w:r>
      <w:r w:rsidRPr="000D3793">
        <w:rPr>
          <w:rFonts w:ascii="Arial" w:hAnsi="Arial" w:cs="Arial"/>
          <w:color w:val="000000"/>
          <w:sz w:val="20"/>
          <w:szCs w:val="20"/>
        </w:rPr>
        <w:t xml:space="preserve"> in je v aktu o ustanovitvi opredeljen kot javni raziskovalni zavo</w:t>
      </w:r>
      <w:r>
        <w:rPr>
          <w:rFonts w:ascii="Arial" w:hAnsi="Arial" w:cs="Arial"/>
          <w:color w:val="000000"/>
          <w:sz w:val="20"/>
          <w:szCs w:val="20"/>
        </w:rPr>
        <w:t xml:space="preserve">d, 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je </w:t>
      </w:r>
      <w:r>
        <w:rPr>
          <w:rFonts w:ascii="Arial" w:hAnsi="Arial" w:cs="Arial"/>
          <w:color w:val="000000"/>
          <w:sz w:val="20"/>
          <w:szCs w:val="20"/>
        </w:rPr>
        <w:t>vlada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sprejela </w:t>
      </w:r>
      <w:r w:rsidR="001E53FC" w:rsidRPr="001E53FC">
        <w:rPr>
          <w:rFonts w:ascii="Arial" w:hAnsi="Arial" w:cs="Arial"/>
          <w:color w:val="000000"/>
          <w:sz w:val="20"/>
          <w:szCs w:val="20"/>
        </w:rPr>
        <w:t xml:space="preserve">Sklep o spremembah in dopolnitvah Sklepa </w:t>
      </w:r>
      <w:r w:rsidR="001E0051">
        <w:rPr>
          <w:rFonts w:ascii="Arial" w:hAnsi="Arial" w:cs="Arial"/>
          <w:color w:val="000000"/>
          <w:sz w:val="20"/>
          <w:szCs w:val="20"/>
        </w:rPr>
        <w:t xml:space="preserve">o ustanovitvi javnega raziskovalnega zavoda </w:t>
      </w:r>
      <w:r w:rsidR="00D17095">
        <w:rPr>
          <w:rFonts w:ascii="Arial" w:hAnsi="Arial" w:cs="Arial"/>
          <w:color w:val="000000"/>
          <w:sz w:val="20"/>
          <w:szCs w:val="20"/>
        </w:rPr>
        <w:t>Pedagoški inštitut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 xml:space="preserve"> (v nadalj</w:t>
      </w:r>
      <w:r w:rsidR="00914C60">
        <w:rPr>
          <w:rFonts w:ascii="Arial" w:hAnsi="Arial" w:cs="Arial"/>
          <w:color w:val="000000"/>
          <w:sz w:val="20"/>
          <w:szCs w:val="20"/>
        </w:rPr>
        <w:t>njem besedilu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>: sprememba sklepa o ustanovitvi).</w:t>
      </w:r>
    </w:p>
    <w:p w14:paraId="494C8302" w14:textId="0D0A75CA" w:rsidR="006E1C56" w:rsidRDefault="000D3793" w:rsidP="006E1C56">
      <w:pPr>
        <w:pStyle w:val="Navadensplet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E1C56">
        <w:rPr>
          <w:rFonts w:ascii="Arial" w:hAnsi="Arial" w:cs="Arial"/>
          <w:color w:val="000000"/>
          <w:sz w:val="20"/>
          <w:szCs w:val="20"/>
        </w:rPr>
        <w:t>S sklepom o spremembi sklepa</w:t>
      </w:r>
      <w:r w:rsidR="001E0051">
        <w:rPr>
          <w:rFonts w:ascii="Arial" w:hAnsi="Arial" w:cs="Arial"/>
          <w:color w:val="000000"/>
          <w:sz w:val="20"/>
          <w:szCs w:val="20"/>
        </w:rPr>
        <w:t xml:space="preserve"> o</w:t>
      </w:r>
      <w:r w:rsidRPr="006E1C56">
        <w:rPr>
          <w:rFonts w:ascii="Arial" w:hAnsi="Arial" w:cs="Arial"/>
          <w:color w:val="000000"/>
          <w:sz w:val="20"/>
          <w:szCs w:val="20"/>
        </w:rPr>
        <w:t xml:space="preserve"> ustanovitvi se besedilo </w:t>
      </w:r>
      <w:r w:rsidR="001E53FC" w:rsidRPr="001E53FC">
        <w:rPr>
          <w:rFonts w:ascii="Arial" w:hAnsi="Arial" w:cs="Arial"/>
          <w:color w:val="000000"/>
          <w:sz w:val="20"/>
          <w:szCs w:val="20"/>
        </w:rPr>
        <w:t xml:space="preserve">Sklepa o </w:t>
      </w:r>
      <w:r w:rsidR="001E0051">
        <w:rPr>
          <w:rFonts w:ascii="Arial" w:hAnsi="Arial" w:cs="Arial"/>
          <w:color w:val="000000"/>
          <w:sz w:val="20"/>
          <w:szCs w:val="20"/>
        </w:rPr>
        <w:t>ustanovitvi</w:t>
      </w:r>
      <w:r w:rsidR="001E53FC" w:rsidRPr="001E53FC">
        <w:rPr>
          <w:rFonts w:ascii="Arial" w:hAnsi="Arial" w:cs="Arial"/>
          <w:color w:val="000000"/>
          <w:sz w:val="20"/>
          <w:szCs w:val="20"/>
        </w:rPr>
        <w:t xml:space="preserve"> javnega raziskovaln</w:t>
      </w:r>
      <w:r w:rsidR="001E0051">
        <w:rPr>
          <w:rFonts w:ascii="Arial" w:hAnsi="Arial" w:cs="Arial"/>
          <w:color w:val="000000"/>
          <w:sz w:val="20"/>
          <w:szCs w:val="20"/>
        </w:rPr>
        <w:t xml:space="preserve">ega </w:t>
      </w:r>
      <w:r w:rsidR="001E53FC" w:rsidRPr="001E53FC">
        <w:rPr>
          <w:rFonts w:ascii="Arial" w:hAnsi="Arial" w:cs="Arial"/>
          <w:color w:val="000000"/>
          <w:sz w:val="20"/>
          <w:szCs w:val="20"/>
        </w:rPr>
        <w:t>zavod</w:t>
      </w:r>
      <w:r w:rsidR="001E0051">
        <w:rPr>
          <w:rFonts w:ascii="Arial" w:hAnsi="Arial" w:cs="Arial"/>
          <w:color w:val="000000"/>
          <w:sz w:val="20"/>
          <w:szCs w:val="20"/>
        </w:rPr>
        <w:t>a</w:t>
      </w:r>
      <w:r w:rsidR="006E1C56" w:rsidRPr="006E1C56">
        <w:rPr>
          <w:rFonts w:ascii="Arial" w:hAnsi="Arial" w:cs="Arial"/>
          <w:color w:val="000000"/>
          <w:sz w:val="20"/>
          <w:szCs w:val="20"/>
        </w:rPr>
        <w:t xml:space="preserve"> </w:t>
      </w:r>
      <w:r w:rsidR="00D17095">
        <w:rPr>
          <w:rFonts w:ascii="Arial" w:hAnsi="Arial" w:cs="Arial"/>
          <w:color w:val="000000"/>
          <w:sz w:val="20"/>
          <w:szCs w:val="20"/>
        </w:rPr>
        <w:t>Pedagoški inštitut</w:t>
      </w:r>
      <w:r w:rsidR="001E0051">
        <w:rPr>
          <w:rFonts w:ascii="Arial" w:hAnsi="Arial" w:cs="Arial"/>
          <w:color w:val="000000"/>
          <w:sz w:val="20"/>
          <w:szCs w:val="20"/>
        </w:rPr>
        <w:t xml:space="preserve"> </w:t>
      </w:r>
      <w:r w:rsidR="006E1C56" w:rsidRPr="006E1C56">
        <w:rPr>
          <w:rFonts w:ascii="Arial" w:hAnsi="Arial" w:cs="Arial"/>
          <w:color w:val="000000"/>
          <w:sz w:val="20"/>
          <w:szCs w:val="20"/>
        </w:rPr>
        <w:t xml:space="preserve">(Uradni list RS, št. </w:t>
      </w:r>
      <w:r w:rsidR="001E0051">
        <w:rPr>
          <w:rFonts w:ascii="Arial" w:hAnsi="Arial" w:cs="Arial"/>
          <w:color w:val="000000"/>
          <w:sz w:val="20"/>
          <w:szCs w:val="20"/>
        </w:rPr>
        <w:t>114</w:t>
      </w:r>
      <w:r w:rsidR="006E1C56" w:rsidRPr="006E1C56">
        <w:rPr>
          <w:rFonts w:ascii="Arial" w:hAnsi="Arial" w:cs="Arial"/>
          <w:color w:val="000000"/>
          <w:sz w:val="20"/>
          <w:szCs w:val="20"/>
        </w:rPr>
        <w:t>/22</w:t>
      </w:r>
      <w:r w:rsidR="00A27276" w:rsidRPr="00A27276">
        <w:rPr>
          <w:rFonts w:ascii="Arial" w:hAnsi="Arial" w:cs="Arial"/>
          <w:color w:val="000000"/>
          <w:sz w:val="20"/>
          <w:szCs w:val="20"/>
        </w:rPr>
        <w:t>; v nadaljnjem besedilu: sklep o ustanovitvi) uskladi s spremembami ZZrID in drugimi predpisi, in sicer:</w:t>
      </w:r>
    </w:p>
    <w:p w14:paraId="456E2C42" w14:textId="57F3975D" w:rsidR="00597CE9" w:rsidRDefault="00597CE9" w:rsidP="006E1C56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97CE9">
        <w:rPr>
          <w:rFonts w:ascii="Arial" w:hAnsi="Arial" w:cs="Arial"/>
          <w:color w:val="000000"/>
          <w:sz w:val="20"/>
          <w:szCs w:val="20"/>
        </w:rPr>
        <w:t>v 1. členu (1. člen sklepa o ustanovitvi) se pri citiranju ZZrID naštejejo vsi uradni listi RS</w:t>
      </w:r>
      <w:r w:rsidR="00914C60">
        <w:rPr>
          <w:rFonts w:ascii="Arial" w:hAnsi="Arial" w:cs="Arial"/>
          <w:color w:val="000000"/>
          <w:sz w:val="20"/>
          <w:szCs w:val="20"/>
        </w:rPr>
        <w:t>,</w:t>
      </w:r>
      <w:r w:rsidRPr="00597CE9">
        <w:rPr>
          <w:rFonts w:ascii="Arial" w:hAnsi="Arial" w:cs="Arial"/>
          <w:color w:val="000000"/>
          <w:sz w:val="20"/>
          <w:szCs w:val="20"/>
        </w:rPr>
        <w:t xml:space="preserve"> v katerih so bile objavljene spremembe ZZrID;</w:t>
      </w:r>
    </w:p>
    <w:p w14:paraId="71E18319" w14:textId="3702AC58" w:rsidR="006E1C56" w:rsidRDefault="006E1C56" w:rsidP="006E1C56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. členu (2. člen sklepa o ustanovitvi)</w:t>
      </w:r>
      <w:r w:rsidR="00A27276">
        <w:rPr>
          <w:rFonts w:ascii="Arial" w:hAnsi="Arial" w:cs="Arial"/>
          <w:color w:val="000000"/>
          <w:sz w:val="20"/>
          <w:szCs w:val="20"/>
        </w:rPr>
        <w:t xml:space="preserve"> se</w:t>
      </w:r>
      <w:r>
        <w:rPr>
          <w:rFonts w:ascii="Arial" w:hAnsi="Arial" w:cs="Arial"/>
          <w:color w:val="000000"/>
          <w:sz w:val="20"/>
          <w:szCs w:val="20"/>
        </w:rPr>
        <w:t xml:space="preserve"> besedilo </w:t>
      </w:r>
      <w:r w:rsidRPr="006E1C56">
        <w:rPr>
          <w:rFonts w:ascii="Arial" w:hAnsi="Arial" w:cs="Arial"/>
          <w:color w:val="000000"/>
          <w:sz w:val="20"/>
          <w:szCs w:val="20"/>
        </w:rPr>
        <w:t>»Javne agencije za raziskovalno dejavnost Republike Slovenije (v nadaljnjem besedilu: ARRS)« nadomesti z besedilom »Javne agencije za znanstvenoraziskovalno in inovacijsko dejavnost Republike Slovenije (v nadaljnjem besedilu: ARIS)«</w:t>
      </w:r>
      <w:r w:rsidR="009B0064">
        <w:rPr>
          <w:rFonts w:ascii="Arial" w:hAnsi="Arial" w:cs="Arial"/>
          <w:color w:val="000000"/>
          <w:sz w:val="20"/>
          <w:szCs w:val="20"/>
        </w:rPr>
        <w:t>,</w:t>
      </w:r>
      <w:r w:rsidR="009B0064" w:rsidRPr="009B0064">
        <w:t xml:space="preserve"> </w:t>
      </w:r>
      <w:r w:rsidR="009B0064" w:rsidRPr="009B0064">
        <w:rPr>
          <w:rFonts w:ascii="Arial" w:hAnsi="Arial" w:cs="Arial"/>
          <w:color w:val="000000"/>
          <w:sz w:val="20"/>
          <w:szCs w:val="20"/>
        </w:rPr>
        <w:t>kar je povezano z Zakonom o spremembah in dopolnitvah Zakona o znanstvenoraziskovalni in inovacijski dejavnosti (Uradni list RS, št. 40/23), s katerim je bila ustanovljena Javna agencija za znanstvenoraziskovalno in inovacijsko dejavnost Republike Slovenije</w:t>
      </w:r>
      <w:r w:rsidR="009B0064">
        <w:rPr>
          <w:rFonts w:ascii="Arial" w:hAnsi="Arial" w:cs="Arial"/>
          <w:color w:val="000000"/>
          <w:sz w:val="20"/>
          <w:szCs w:val="20"/>
        </w:rPr>
        <w:t xml:space="preserve"> kot pravn</w:t>
      </w:r>
      <w:r w:rsidR="00A27276">
        <w:rPr>
          <w:rFonts w:ascii="Arial" w:hAnsi="Arial" w:cs="Arial"/>
          <w:color w:val="000000"/>
          <w:sz w:val="20"/>
          <w:szCs w:val="20"/>
        </w:rPr>
        <w:t>a</w:t>
      </w:r>
      <w:r w:rsidR="009B0064">
        <w:rPr>
          <w:rFonts w:ascii="Arial" w:hAnsi="Arial" w:cs="Arial"/>
          <w:color w:val="000000"/>
          <w:sz w:val="20"/>
          <w:szCs w:val="20"/>
        </w:rPr>
        <w:t xml:space="preserve"> nasledni</w:t>
      </w:r>
      <w:r w:rsidR="00A27276">
        <w:rPr>
          <w:rFonts w:ascii="Arial" w:hAnsi="Arial" w:cs="Arial"/>
          <w:color w:val="000000"/>
          <w:sz w:val="20"/>
          <w:szCs w:val="20"/>
        </w:rPr>
        <w:t>ca</w:t>
      </w:r>
      <w:r w:rsidR="00DB3AF8">
        <w:rPr>
          <w:rFonts w:ascii="Arial" w:hAnsi="Arial" w:cs="Arial"/>
          <w:color w:val="000000"/>
          <w:sz w:val="20"/>
          <w:szCs w:val="20"/>
        </w:rPr>
        <w:t xml:space="preserve"> ARRS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D6119FE" w14:textId="286FBC55" w:rsidR="00237E1C" w:rsidRDefault="006E1C56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E3438"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3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. členu (prvi odstavek 4. člena sklepa o ustanovitvi) 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seznam dejavnosti po standardni klasifikaciji dejavnosti, ki jo izvaja </w:t>
      </w:r>
      <w:r w:rsidR="008E20A9">
        <w:rPr>
          <w:rFonts w:ascii="Arial" w:hAnsi="Arial" w:cs="Arial"/>
          <w:color w:val="000000"/>
          <w:sz w:val="20"/>
          <w:szCs w:val="20"/>
        </w:rPr>
        <w:t>inštitut,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 uskladi z novo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 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>Uredbo o standardni klasifikaciji dejavnosti (Uradni list RS, št. 27/24 in 45/25)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. V </w:t>
      </w:r>
      <w:r w:rsidR="00DB3AF8">
        <w:rPr>
          <w:rFonts w:ascii="Arial" w:hAnsi="Arial" w:cs="Arial"/>
          <w:color w:val="000000"/>
          <w:sz w:val="20"/>
          <w:szCs w:val="20"/>
        </w:rPr>
        <w:t>uredbi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 je med drugim določeno, da se seznam dejavnosti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, </w:t>
      </w:r>
      <w:r w:rsidR="005E3438">
        <w:rPr>
          <w:rFonts w:ascii="Arial" w:hAnsi="Arial" w:cs="Arial"/>
          <w:color w:val="000000"/>
          <w:sz w:val="20"/>
          <w:szCs w:val="20"/>
        </w:rPr>
        <w:t>opredeljen</w:t>
      </w:r>
      <w:r w:rsidR="00914C60">
        <w:rPr>
          <w:rFonts w:ascii="Arial" w:hAnsi="Arial" w:cs="Arial"/>
          <w:color w:val="000000"/>
          <w:sz w:val="20"/>
          <w:szCs w:val="20"/>
        </w:rPr>
        <w:t>ih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 v aktih o ustanovitvi, </w:t>
      </w:r>
      <w:r w:rsidR="005E3438">
        <w:rPr>
          <w:rFonts w:ascii="Arial" w:hAnsi="Arial" w:cs="Arial"/>
          <w:color w:val="000000"/>
          <w:sz w:val="20"/>
          <w:szCs w:val="20"/>
        </w:rPr>
        <w:t>uskladi z uredbo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 ob prvi spremembi navedenih aktov</w:t>
      </w:r>
      <w:r w:rsidR="005E3438">
        <w:rPr>
          <w:rFonts w:ascii="Arial" w:hAnsi="Arial" w:cs="Arial"/>
          <w:color w:val="000000"/>
          <w:sz w:val="20"/>
          <w:szCs w:val="20"/>
        </w:rPr>
        <w:t>;</w:t>
      </w:r>
    </w:p>
    <w:p w14:paraId="079FBE77" w14:textId="364DF69B" w:rsidR="005E3438" w:rsidRDefault="005E3438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 členu (5. člen sklepa o ustanovitvi) se besedilo </w:t>
      </w:r>
      <w:r w:rsidR="00DB3AF8">
        <w:rPr>
          <w:rFonts w:ascii="Arial" w:hAnsi="Arial" w:cs="Arial"/>
          <w:color w:val="000000"/>
          <w:sz w:val="20"/>
          <w:szCs w:val="20"/>
        </w:rPr>
        <w:t>uskladi</w:t>
      </w:r>
      <w:r>
        <w:rPr>
          <w:rFonts w:ascii="Arial" w:hAnsi="Arial" w:cs="Arial"/>
          <w:color w:val="000000"/>
          <w:sz w:val="20"/>
          <w:szCs w:val="20"/>
        </w:rPr>
        <w:t xml:space="preserve"> s 67.b členom Zakona o javnih financah (</w:t>
      </w:r>
      <w:r w:rsidRPr="005E3438">
        <w:rPr>
          <w:rFonts w:ascii="Arial" w:hAnsi="Arial" w:cs="Arial"/>
          <w:color w:val="000000"/>
          <w:sz w:val="20"/>
          <w:szCs w:val="20"/>
        </w:rPr>
        <w:t>Uradni list RS, št. 11/11 – uradno prečiščeno besedilo, 14/13 – popr., 101/13, 55/15 – ZFisP, 96/15 – ZIPRS1617, 13/18, 195/20 – odl. US, 18/23 – ZDU-1O, 76/23, 24/25 – ZFisP-1 in 39/25</w:t>
      </w:r>
      <w:r>
        <w:rPr>
          <w:rFonts w:ascii="Arial" w:hAnsi="Arial" w:cs="Arial"/>
          <w:color w:val="000000"/>
          <w:sz w:val="20"/>
          <w:szCs w:val="20"/>
        </w:rPr>
        <w:t>), ki določa da če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 javni zavod opravlja prodajo blaga in storitev na trgu, mora biti cena teh storitev in blaga določena tako, da so vanjo všteti vsi stroški, ki so povezani s prodajo blaga in storitev na trgu ter se nanašajo na izdatke za blago in storitve, investicije in investicijsko vzdrževanje, amortizacijo ter stroške dela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5CC35EFF" w14:textId="237D4568" w:rsidR="00DB3AF8" w:rsidRPr="00A27276" w:rsidRDefault="00A15E83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15E83"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5</w:t>
      </w:r>
      <w:r w:rsidRPr="00A15E83">
        <w:rPr>
          <w:rFonts w:ascii="Arial" w:hAnsi="Arial" w:cs="Arial"/>
          <w:color w:val="000000"/>
          <w:sz w:val="20"/>
          <w:szCs w:val="20"/>
        </w:rPr>
        <w:t>. členu (10. člen sklepa o ustanovitvi) s predlagano spremembo določbe, ki ureja postopek izbora predstavnikov ustanovitelja, ostaja obveznost, da ministrstvi iz prve alineje prvega odstavka 10. člena sklepa o ustanovitvi izbereta predstavnika ustanovitelja, ki ju imenuje vlada, z izvedbo postopka javnega poziva. Določba pa ne vsebuje več obveznosti, da se izvede »skupni« javni poziv, s čimer je ministrstvoma prepuščena možnost izbire</w:t>
      </w:r>
      <w:r w:rsidR="00914C60">
        <w:rPr>
          <w:rFonts w:ascii="Arial" w:hAnsi="Arial" w:cs="Arial"/>
          <w:color w:val="000000"/>
          <w:sz w:val="20"/>
          <w:szCs w:val="20"/>
        </w:rPr>
        <w:t>,</w:t>
      </w:r>
      <w:r w:rsidRPr="00A15E83">
        <w:rPr>
          <w:rFonts w:ascii="Arial" w:hAnsi="Arial" w:cs="Arial"/>
          <w:color w:val="000000"/>
          <w:sz w:val="20"/>
          <w:szCs w:val="20"/>
        </w:rPr>
        <w:t xml:space="preserve"> ali javni poziv izvedeta skupaj ali ločeno. Nadalje je predlagana dopolnitev, da lahko ministrstvi iz prve alineje prvega odstavka 10. člena sklepa o ustanovitvi v primeru odstopa ali razrešitve predstavnika v ene</w:t>
      </w:r>
      <w:r w:rsidR="00914C60">
        <w:rPr>
          <w:rFonts w:ascii="Arial" w:hAnsi="Arial" w:cs="Arial"/>
          <w:color w:val="000000"/>
          <w:sz w:val="20"/>
          <w:szCs w:val="20"/>
        </w:rPr>
        <w:t>m</w:t>
      </w:r>
      <w:r w:rsidRPr="00A15E83">
        <w:rPr>
          <w:rFonts w:ascii="Arial" w:hAnsi="Arial" w:cs="Arial"/>
          <w:color w:val="000000"/>
          <w:sz w:val="20"/>
          <w:szCs w:val="20"/>
        </w:rPr>
        <w:t xml:space="preserve"> let</w:t>
      </w:r>
      <w:r w:rsidR="00914C60">
        <w:rPr>
          <w:rFonts w:ascii="Arial" w:hAnsi="Arial" w:cs="Arial"/>
          <w:color w:val="000000"/>
          <w:sz w:val="20"/>
          <w:szCs w:val="20"/>
        </w:rPr>
        <w:t>u</w:t>
      </w:r>
      <w:r w:rsidRPr="00A15E83">
        <w:rPr>
          <w:rFonts w:ascii="Arial" w:hAnsi="Arial" w:cs="Arial"/>
          <w:color w:val="000000"/>
          <w:sz w:val="20"/>
          <w:szCs w:val="20"/>
        </w:rPr>
        <w:t xml:space="preserve"> pred iztekom mandata predlagata kandidata za predstavnika ustanovitelja brez ponovljenega javnega poziva. Glede na kratek preostanek mandata upravnega odbora je nujno, da se mesto predstavnika ustanovitelja zapolni v najkrajšem </w:t>
      </w:r>
      <w:r w:rsidR="00914C60">
        <w:rPr>
          <w:rFonts w:ascii="Arial" w:hAnsi="Arial" w:cs="Arial"/>
          <w:color w:val="000000"/>
          <w:sz w:val="20"/>
          <w:szCs w:val="20"/>
        </w:rPr>
        <w:t>mogočem</w:t>
      </w:r>
      <w:r w:rsidRPr="00A15E83">
        <w:rPr>
          <w:rFonts w:ascii="Arial" w:hAnsi="Arial" w:cs="Arial"/>
          <w:color w:val="000000"/>
          <w:sz w:val="20"/>
          <w:szCs w:val="20"/>
        </w:rPr>
        <w:t xml:space="preserve"> času, zato izvedba ponovnega javnega poziva časovno ni smotrna. Imenovanje nadomestnega predstavnika ustanovitelja, ki izpolnjuje pogoje iz prvotnega javnega poziva, brez ponovljenega javnega </w:t>
      </w:r>
      <w:r w:rsidRPr="00A15E83">
        <w:rPr>
          <w:rFonts w:ascii="Arial" w:hAnsi="Arial" w:cs="Arial"/>
          <w:color w:val="000000"/>
          <w:sz w:val="20"/>
          <w:szCs w:val="20"/>
        </w:rPr>
        <w:lastRenderedPageBreak/>
        <w:t xml:space="preserve">poziva, omogoča učinkovito in hitro zapolnitev mesta predstavnika ustanovitelja, kar preprečuje </w:t>
      </w:r>
      <w:r w:rsidRPr="00A27276">
        <w:rPr>
          <w:rFonts w:ascii="Arial" w:hAnsi="Arial" w:cs="Arial"/>
          <w:color w:val="000000"/>
          <w:sz w:val="20"/>
          <w:szCs w:val="20"/>
        </w:rPr>
        <w:t>morebitne vrzeli v sestavi upravnega odbora inštituta in zagotavlja njegovo nemoteno delovanje do zaključka mandata;</w:t>
      </w:r>
    </w:p>
    <w:p w14:paraId="72B2F1FE" w14:textId="54DF05E6" w:rsidR="005E3438" w:rsidRPr="00A27276" w:rsidRDefault="005E3438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27276"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6</w:t>
      </w:r>
      <w:r w:rsidRPr="00A27276">
        <w:rPr>
          <w:rFonts w:ascii="Arial" w:hAnsi="Arial" w:cs="Arial"/>
          <w:color w:val="000000"/>
          <w:sz w:val="20"/>
          <w:szCs w:val="20"/>
        </w:rPr>
        <w:t xml:space="preserve">. členu (12. člen sklepa o ustanovitvi) se besedilo </w:t>
      </w:r>
      <w:r w:rsidR="000F0DF3" w:rsidRPr="00A27276">
        <w:rPr>
          <w:rFonts w:ascii="Arial" w:hAnsi="Arial" w:cs="Arial"/>
          <w:color w:val="000000"/>
          <w:sz w:val="20"/>
          <w:szCs w:val="20"/>
        </w:rPr>
        <w:t>uskladi</w:t>
      </w:r>
      <w:r w:rsidRPr="00A27276">
        <w:rPr>
          <w:rFonts w:ascii="Arial" w:hAnsi="Arial" w:cs="Arial"/>
          <w:color w:val="000000"/>
          <w:sz w:val="20"/>
          <w:szCs w:val="20"/>
        </w:rPr>
        <w:t xml:space="preserve"> </w:t>
      </w:r>
      <w:r w:rsidR="007D17D1" w:rsidRPr="00A27276">
        <w:rPr>
          <w:rFonts w:ascii="Arial" w:hAnsi="Arial" w:cs="Arial"/>
          <w:color w:val="000000"/>
          <w:sz w:val="20"/>
          <w:szCs w:val="20"/>
        </w:rPr>
        <w:t>s spremembo, ki je bila sprejeta z Zakonom o spremembah in dopolnitvah Zakona o znanstvenoraziskovalni in inovacijski dejavnosti (Uradni list RS, 40/25), kar pomeni, da se določba dopolni z možnostjo zavarovanja odgovornosti članov upravnega odbora;</w:t>
      </w:r>
    </w:p>
    <w:p w14:paraId="1C04C6DF" w14:textId="7C14E0EC" w:rsidR="007D17D1" w:rsidRPr="00A27276" w:rsidRDefault="007D17D1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27276"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7</w:t>
      </w:r>
      <w:r w:rsidRPr="00A27276">
        <w:rPr>
          <w:rFonts w:ascii="Arial" w:hAnsi="Arial" w:cs="Arial"/>
          <w:color w:val="000000"/>
          <w:sz w:val="20"/>
          <w:szCs w:val="20"/>
        </w:rPr>
        <w:t xml:space="preserve">. členu </w:t>
      </w:r>
      <w:r w:rsidR="009463AA" w:rsidRPr="00A27276">
        <w:rPr>
          <w:rFonts w:ascii="Arial" w:hAnsi="Arial" w:cs="Arial"/>
          <w:color w:val="000000"/>
          <w:sz w:val="20"/>
          <w:szCs w:val="20"/>
        </w:rPr>
        <w:t xml:space="preserve">(14. člen sklepa o ustanovitvi) </w:t>
      </w:r>
      <w:r w:rsidR="00A27276" w:rsidRPr="00A27276">
        <w:rPr>
          <w:rFonts w:ascii="Arial" w:hAnsi="Arial" w:cs="Arial"/>
          <w:color w:val="000000" w:themeColor="text1"/>
          <w:sz w:val="20"/>
          <w:szCs w:val="20"/>
        </w:rPr>
        <w:t xml:space="preserve">so zaradi spremembe pogojev za vodje raziskovalnega programa in raziskovalnega projekta v 63. členu ZZrID, ki </w:t>
      </w:r>
      <w:r w:rsidR="00914C60">
        <w:rPr>
          <w:rFonts w:ascii="Arial" w:hAnsi="Arial" w:cs="Arial"/>
          <w:color w:val="000000" w:themeColor="text1"/>
          <w:sz w:val="20"/>
          <w:szCs w:val="20"/>
        </w:rPr>
        <w:t>z</w:t>
      </w:r>
      <w:r w:rsidR="00A27276" w:rsidRPr="00A27276">
        <w:rPr>
          <w:rFonts w:ascii="Arial" w:hAnsi="Arial" w:cs="Arial"/>
          <w:color w:val="000000" w:themeColor="text1"/>
          <w:sz w:val="20"/>
          <w:szCs w:val="20"/>
        </w:rPr>
        <w:t>daj kot pogoj postavlja samo izobrazbo, pridobljeno po študijskem programu tretje stopnje, oziroma izobrazbo, ki ustreza ravni izobrazbe, pridobljene po študijskih programih tretje stopnje, in je v skladu z zakonom, ki ureja slovensko ogrodje kvalifikacij, uvrščena na 10. raven, dopolnjeni pogoji za zasedbo delovnega mesta direktorja, ki se v skladu s prvim odstavkom 71. člena ZZrID določijo v sklepu o ustanovitvi. Dodana je nova druga točka, ki se glasi: »</w:t>
      </w:r>
      <w:r w:rsidR="00920C54" w:rsidRPr="00920C54">
        <w:rPr>
          <w:rFonts w:ascii="Arial" w:hAnsi="Arial" w:cs="Arial"/>
          <w:color w:val="000000" w:themeColor="text1"/>
          <w:sz w:val="20"/>
          <w:szCs w:val="20"/>
        </w:rPr>
        <w:t>ima izkušnje z vodenjem aktivnosti znanstvenoraziskovalne dejavnost</w:t>
      </w:r>
      <w:r w:rsidR="00A27276" w:rsidRPr="00A27276">
        <w:rPr>
          <w:rFonts w:ascii="Arial" w:hAnsi="Arial" w:cs="Arial"/>
          <w:color w:val="000000" w:themeColor="text1"/>
          <w:sz w:val="20"/>
          <w:szCs w:val="20"/>
        </w:rPr>
        <w:t>i«. Spreminja se tudi zahteva glede znanja tujega jezika, in sicer se pogoj znanja svetovnega jezika, s prednostjo znanja angleškega jezika, nadomešča z obveznim znanjem angleškega jezika;</w:t>
      </w:r>
    </w:p>
    <w:p w14:paraId="5F0FDA00" w14:textId="35792BA4" w:rsidR="007D17D1" w:rsidRDefault="007D17D1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D17D1"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8</w:t>
      </w:r>
      <w:r w:rsidRPr="007D17D1">
        <w:rPr>
          <w:rFonts w:ascii="Arial" w:hAnsi="Arial" w:cs="Arial"/>
          <w:color w:val="000000"/>
          <w:sz w:val="20"/>
          <w:szCs w:val="20"/>
        </w:rPr>
        <w:t>. členu (1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. člen sklepa o ustanovitvi) se besedilo </w:t>
      </w:r>
      <w:r w:rsidR="000F0DF3">
        <w:rPr>
          <w:rFonts w:ascii="Arial" w:hAnsi="Arial" w:cs="Arial"/>
          <w:color w:val="000000"/>
          <w:sz w:val="20"/>
          <w:szCs w:val="20"/>
        </w:rPr>
        <w:t>uskladi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 s spremembo, sprejet</w:t>
      </w:r>
      <w:r w:rsidR="00914C60">
        <w:rPr>
          <w:rFonts w:ascii="Arial" w:hAnsi="Arial" w:cs="Arial"/>
          <w:color w:val="000000"/>
          <w:sz w:val="20"/>
          <w:szCs w:val="20"/>
        </w:rPr>
        <w:t>o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 z Zakonom o spremembah in dopolnitvah Zakona o znanstvenoraziskovalni in inovacijski dejavnosti (Uradni list RS, 40/25),</w:t>
      </w:r>
      <w:r>
        <w:rPr>
          <w:rFonts w:ascii="Arial" w:hAnsi="Arial" w:cs="Arial"/>
          <w:color w:val="000000"/>
          <w:sz w:val="20"/>
          <w:szCs w:val="20"/>
        </w:rPr>
        <w:t xml:space="preserve"> in sicer </w:t>
      </w:r>
      <w:r w:rsidR="000F0DF3"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z w:val="20"/>
          <w:szCs w:val="20"/>
        </w:rPr>
        <w:t xml:space="preserve"> zapiše da določba glede sklenitve dopolnilne zaposlitve za opravljanje znanstvenoraziskovalne obveznosti na istem </w:t>
      </w:r>
      <w:r w:rsidR="001E53FC">
        <w:rPr>
          <w:rFonts w:ascii="Arial" w:hAnsi="Arial" w:cs="Arial"/>
          <w:color w:val="000000"/>
          <w:sz w:val="20"/>
          <w:szCs w:val="20"/>
        </w:rPr>
        <w:t>inštitutu</w:t>
      </w:r>
      <w:r>
        <w:rPr>
          <w:rFonts w:ascii="Arial" w:hAnsi="Arial" w:cs="Arial"/>
          <w:color w:val="000000"/>
          <w:sz w:val="20"/>
          <w:szCs w:val="20"/>
        </w:rPr>
        <w:t xml:space="preserve"> velja tudi za namestnika in pomočnike direktorja;</w:t>
      </w:r>
    </w:p>
    <w:p w14:paraId="1BF90B0A" w14:textId="097AD0EE" w:rsidR="0059326C" w:rsidRDefault="007D17D1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. členu (17. člen sklepa o ustanovitvi) </w:t>
      </w:r>
      <w:r w:rsidR="000F0DF3">
        <w:rPr>
          <w:rFonts w:ascii="Arial" w:hAnsi="Arial" w:cs="Arial"/>
          <w:color w:val="000000"/>
          <w:sz w:val="20"/>
          <w:szCs w:val="20"/>
        </w:rPr>
        <w:t xml:space="preserve">se </w:t>
      </w:r>
      <w:r w:rsidR="0059326C">
        <w:rPr>
          <w:rFonts w:ascii="Arial" w:hAnsi="Arial" w:cs="Arial"/>
          <w:color w:val="000000"/>
          <w:sz w:val="20"/>
          <w:szCs w:val="20"/>
        </w:rPr>
        <w:t>besedilo uskladi z ZZrID na način, da se upošteva</w:t>
      </w:r>
      <w:r w:rsidR="00914C60">
        <w:rPr>
          <w:rFonts w:ascii="Arial" w:hAnsi="Arial" w:cs="Arial"/>
          <w:color w:val="000000"/>
          <w:sz w:val="20"/>
          <w:szCs w:val="20"/>
        </w:rPr>
        <w:t>jo</w:t>
      </w:r>
      <w:r w:rsidR="0059326C">
        <w:rPr>
          <w:rFonts w:ascii="Arial" w:hAnsi="Arial" w:cs="Arial"/>
          <w:color w:val="000000"/>
          <w:sz w:val="20"/>
          <w:szCs w:val="20"/>
        </w:rPr>
        <w:t xml:space="preserve"> primerljivosti 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>znanstveni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>, strokovno-raziskovalni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 in razvojni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 naziv</w:t>
      </w:r>
      <w:r w:rsidR="0059326C">
        <w:rPr>
          <w:rFonts w:ascii="Arial" w:hAnsi="Arial" w:cs="Arial"/>
          <w:color w:val="000000"/>
          <w:sz w:val="20"/>
          <w:szCs w:val="20"/>
        </w:rPr>
        <w:t>ov. To pomeni, da se m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ožnost imenovanja v znanstveni svet razširi še na primerljiva razvojna naziva, to sta razvojni svetnik in višji razvojni </w:t>
      </w:r>
      <w:r w:rsidR="00AE35C5">
        <w:rPr>
          <w:rFonts w:ascii="Arial" w:hAnsi="Arial" w:cs="Arial"/>
          <w:color w:val="000000"/>
          <w:sz w:val="20"/>
          <w:szCs w:val="20"/>
        </w:rPr>
        <w:t>sodelavec;</w:t>
      </w:r>
    </w:p>
    <w:p w14:paraId="53EFC88E" w14:textId="0A0F4A44" w:rsidR="007D17D1" w:rsidRDefault="009B0064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597CE9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 xml:space="preserve">. členu </w:t>
      </w:r>
      <w:r w:rsidR="00A04C82">
        <w:rPr>
          <w:rFonts w:ascii="Arial" w:hAnsi="Arial" w:cs="Arial"/>
          <w:color w:val="000000"/>
          <w:sz w:val="20"/>
          <w:szCs w:val="20"/>
        </w:rPr>
        <w:t xml:space="preserve">(20. člen sklepa o ustanovitvi) </w:t>
      </w:r>
      <w:r>
        <w:rPr>
          <w:rFonts w:ascii="Arial" w:hAnsi="Arial" w:cs="Arial"/>
          <w:color w:val="000000"/>
          <w:sz w:val="20"/>
          <w:szCs w:val="20"/>
        </w:rPr>
        <w:t xml:space="preserve">se kratica ARRS nadomesti s kratico ARIS, kar je povezano z </w:t>
      </w:r>
      <w:r w:rsidRPr="009B0064">
        <w:rPr>
          <w:rFonts w:ascii="Arial" w:hAnsi="Arial" w:cs="Arial"/>
          <w:color w:val="000000"/>
          <w:sz w:val="20"/>
          <w:szCs w:val="20"/>
        </w:rPr>
        <w:t>Zakon</w:t>
      </w:r>
      <w:r>
        <w:rPr>
          <w:rFonts w:ascii="Arial" w:hAnsi="Arial" w:cs="Arial"/>
          <w:color w:val="000000"/>
          <w:sz w:val="20"/>
          <w:szCs w:val="20"/>
        </w:rPr>
        <w:t>om</w:t>
      </w:r>
      <w:r w:rsidRPr="009B0064">
        <w:rPr>
          <w:rFonts w:ascii="Arial" w:hAnsi="Arial" w:cs="Arial"/>
          <w:color w:val="000000"/>
          <w:sz w:val="20"/>
          <w:szCs w:val="20"/>
        </w:rPr>
        <w:t xml:space="preserve"> o spremembah in dopolnitvah Zakona o znanstvenoraziskovalni in inovacijski dejavnosti</w:t>
      </w:r>
      <w:r>
        <w:rPr>
          <w:rFonts w:ascii="Arial" w:hAnsi="Arial" w:cs="Arial"/>
          <w:color w:val="000000"/>
          <w:sz w:val="20"/>
          <w:szCs w:val="20"/>
        </w:rPr>
        <w:t xml:space="preserve"> (Uradni list RS, št. 40/23), s katerim je bila ustanovljena </w:t>
      </w:r>
      <w:r w:rsidRPr="009B0064">
        <w:rPr>
          <w:rFonts w:ascii="Arial" w:hAnsi="Arial" w:cs="Arial"/>
          <w:color w:val="000000"/>
          <w:sz w:val="20"/>
          <w:szCs w:val="20"/>
        </w:rPr>
        <w:t>Javna agencija za znanstvenoraziskovalno in inovacijsko dejavnost Republike Slovenije</w:t>
      </w:r>
      <w:r>
        <w:rPr>
          <w:rFonts w:ascii="Arial" w:hAnsi="Arial" w:cs="Arial"/>
          <w:color w:val="000000"/>
          <w:sz w:val="20"/>
          <w:szCs w:val="20"/>
        </w:rPr>
        <w:t xml:space="preserve"> kot pravn</w:t>
      </w:r>
      <w:r w:rsidR="00A27276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nasledni</w:t>
      </w:r>
      <w:r w:rsidR="00A27276">
        <w:rPr>
          <w:rFonts w:ascii="Arial" w:hAnsi="Arial" w:cs="Arial"/>
          <w:color w:val="000000"/>
          <w:sz w:val="20"/>
          <w:szCs w:val="20"/>
        </w:rPr>
        <w:t>ca</w:t>
      </w:r>
      <w:r w:rsidR="00AE35C5">
        <w:rPr>
          <w:rFonts w:ascii="Arial" w:hAnsi="Arial" w:cs="Arial"/>
          <w:color w:val="000000"/>
          <w:sz w:val="20"/>
          <w:szCs w:val="20"/>
        </w:rPr>
        <w:t xml:space="preserve"> ARRS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E535572" w14:textId="6C792A23" w:rsidR="009B0064" w:rsidRDefault="009B0064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323EA0">
        <w:rPr>
          <w:rFonts w:ascii="Arial" w:hAnsi="Arial" w:cs="Arial"/>
          <w:color w:val="000000"/>
          <w:sz w:val="20"/>
          <w:szCs w:val="20"/>
        </w:rPr>
        <w:t xml:space="preserve"> </w:t>
      </w:r>
      <w:r w:rsidR="00AE35C5">
        <w:rPr>
          <w:rFonts w:ascii="Arial" w:hAnsi="Arial" w:cs="Arial"/>
          <w:color w:val="000000"/>
          <w:sz w:val="20"/>
          <w:szCs w:val="20"/>
        </w:rPr>
        <w:t>1</w:t>
      </w:r>
      <w:r w:rsidR="00597CE9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. členu (23. člen sklepa o ustanovitvi) se besedilo petega odstavka</w:t>
      </w:r>
      <w:r w:rsidR="00A27276">
        <w:rPr>
          <w:rFonts w:ascii="Arial" w:hAnsi="Arial" w:cs="Arial"/>
          <w:color w:val="000000"/>
          <w:sz w:val="20"/>
          <w:szCs w:val="20"/>
        </w:rPr>
        <w:t xml:space="preserve"> 23. člena sklepa o ustanovitvi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E35C5">
        <w:rPr>
          <w:rFonts w:ascii="Arial" w:hAnsi="Arial" w:cs="Arial"/>
          <w:color w:val="000000"/>
          <w:sz w:val="20"/>
          <w:szCs w:val="20"/>
        </w:rPr>
        <w:t>uskladi</w:t>
      </w:r>
      <w:r>
        <w:rPr>
          <w:rFonts w:ascii="Arial" w:hAnsi="Arial" w:cs="Arial"/>
          <w:color w:val="000000"/>
          <w:sz w:val="20"/>
          <w:szCs w:val="20"/>
        </w:rPr>
        <w:t xml:space="preserve"> s </w:t>
      </w:r>
      <w:r w:rsidR="00A555E4">
        <w:rPr>
          <w:rFonts w:ascii="Arial" w:hAnsi="Arial" w:cs="Arial"/>
          <w:color w:val="000000"/>
          <w:sz w:val="20"/>
          <w:szCs w:val="20"/>
        </w:rPr>
        <w:t>spremembo šestnajstega odstavka 79. člena ZZrID, ki uvaja obvezen pregled letnih poročil javnih raziskovalnih zavodov s strani pooblaščenega revizorja v skladu z zakonom, ki ureja revidiranje</w:t>
      </w:r>
      <w:r w:rsidR="00AE35C5">
        <w:rPr>
          <w:rFonts w:ascii="Arial" w:hAnsi="Arial" w:cs="Arial"/>
          <w:color w:val="000000"/>
          <w:sz w:val="20"/>
          <w:szCs w:val="20"/>
        </w:rPr>
        <w:t>;</w:t>
      </w:r>
    </w:p>
    <w:p w14:paraId="3F309C46" w14:textId="555CFCE4" w:rsidR="00A555E4" w:rsidRDefault="00A555E4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prehodnih določbah (1</w:t>
      </w:r>
      <w:r w:rsidR="00597CE9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A27276"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z w:val="20"/>
          <w:szCs w:val="20"/>
        </w:rPr>
        <w:t xml:space="preserve"> 1</w:t>
      </w:r>
      <w:r w:rsidR="00597CE9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 člen) se določa, da se mandati organov nadaljujejo do njihovega izte</w:t>
      </w:r>
      <w:r w:rsidR="00AE35C5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 xml:space="preserve">a, ter da je treba statut </w:t>
      </w:r>
      <w:r w:rsidR="001E53FC">
        <w:rPr>
          <w:rFonts w:ascii="Arial" w:hAnsi="Arial" w:cs="Arial"/>
          <w:color w:val="000000"/>
          <w:sz w:val="20"/>
          <w:szCs w:val="20"/>
        </w:rPr>
        <w:t>inštituta</w:t>
      </w:r>
      <w:r>
        <w:rPr>
          <w:rFonts w:ascii="Arial" w:hAnsi="Arial" w:cs="Arial"/>
          <w:color w:val="000000"/>
          <w:sz w:val="20"/>
          <w:szCs w:val="20"/>
        </w:rPr>
        <w:t xml:space="preserve"> uskladiti s tem sklepom </w:t>
      </w:r>
      <w:r w:rsidR="00914C60">
        <w:rPr>
          <w:rFonts w:ascii="Arial" w:hAnsi="Arial" w:cs="Arial"/>
          <w:color w:val="000000"/>
          <w:sz w:val="20"/>
          <w:szCs w:val="20"/>
        </w:rPr>
        <w:t>najpozneje</w:t>
      </w:r>
      <w:r>
        <w:rPr>
          <w:rFonts w:ascii="Arial" w:hAnsi="Arial" w:cs="Arial"/>
          <w:color w:val="000000"/>
          <w:sz w:val="20"/>
          <w:szCs w:val="20"/>
        </w:rPr>
        <w:t xml:space="preserve"> v štirih mesecih od uveljavitve tega sklepa</w:t>
      </w:r>
      <w:r w:rsidR="00AE35C5">
        <w:rPr>
          <w:rFonts w:ascii="Arial" w:hAnsi="Arial" w:cs="Arial"/>
          <w:color w:val="000000"/>
          <w:sz w:val="20"/>
          <w:szCs w:val="20"/>
        </w:rPr>
        <w:t>;</w:t>
      </w:r>
    </w:p>
    <w:p w14:paraId="00D7EF20" w14:textId="627EED2F" w:rsidR="00A555E4" w:rsidRPr="005E3438" w:rsidRDefault="00AE35C5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A555E4">
        <w:rPr>
          <w:rFonts w:ascii="Arial" w:hAnsi="Arial" w:cs="Arial"/>
          <w:color w:val="000000"/>
          <w:sz w:val="20"/>
          <w:szCs w:val="20"/>
        </w:rPr>
        <w:t>ončna določba (1</w:t>
      </w:r>
      <w:r w:rsidR="00597CE9">
        <w:rPr>
          <w:rFonts w:ascii="Arial" w:hAnsi="Arial" w:cs="Arial"/>
          <w:color w:val="000000"/>
          <w:sz w:val="20"/>
          <w:szCs w:val="20"/>
        </w:rPr>
        <w:t>4</w:t>
      </w:r>
      <w:r w:rsidR="00A555E4">
        <w:rPr>
          <w:rFonts w:ascii="Arial" w:hAnsi="Arial" w:cs="Arial"/>
          <w:color w:val="000000"/>
          <w:sz w:val="20"/>
          <w:szCs w:val="20"/>
        </w:rPr>
        <w:t>. člen) določa, da začne sklep o spremembi sklepa o ustanovitvi veljati petnajsti (15) dan po objavi v Uradnem listu Republike Slovenije.</w:t>
      </w:r>
    </w:p>
    <w:p w14:paraId="07D8BF16" w14:textId="3A63D698" w:rsidR="00007CB0" w:rsidRPr="00007CB0" w:rsidRDefault="00A555E4" w:rsidP="00AE35C5">
      <w:pPr>
        <w:jc w:val="both"/>
        <w:rPr>
          <w:rFonts w:ascii="Arial" w:hAnsi="Arial" w:cs="Arial"/>
          <w:sz w:val="20"/>
          <w:szCs w:val="20"/>
        </w:rPr>
      </w:pPr>
      <w:r w:rsidRPr="00A555E4">
        <w:rPr>
          <w:rFonts w:ascii="Arial" w:hAnsi="Arial" w:cs="Arial"/>
          <w:color w:val="000000" w:themeColor="text1"/>
          <w:sz w:val="20"/>
          <w:szCs w:val="20"/>
        </w:rPr>
        <w:t>Sprememba sklepa o ustanovitvi nima dodatnih finančnih posledic</w:t>
      </w:r>
      <w:r w:rsidR="00AE35C5">
        <w:rPr>
          <w:rFonts w:ascii="Arial" w:hAnsi="Arial" w:cs="Arial"/>
          <w:color w:val="000000" w:themeColor="text1"/>
          <w:sz w:val="20"/>
          <w:szCs w:val="20"/>
        </w:rPr>
        <w:t xml:space="preserve"> za proračun RS.</w:t>
      </w:r>
    </w:p>
    <w:sectPr w:rsidR="00007CB0" w:rsidRPr="00007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5994" w14:textId="77777777" w:rsidR="00CE748B" w:rsidRDefault="00CE748B" w:rsidP="00007CB0">
      <w:pPr>
        <w:spacing w:after="0" w:line="240" w:lineRule="auto"/>
      </w:pPr>
      <w:r>
        <w:separator/>
      </w:r>
    </w:p>
  </w:endnote>
  <w:endnote w:type="continuationSeparator" w:id="0">
    <w:p w14:paraId="665CCDDA" w14:textId="77777777" w:rsidR="00CE748B" w:rsidRDefault="00CE748B" w:rsidP="0000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AB9C" w14:textId="77777777" w:rsidR="00CE748B" w:rsidRDefault="00CE748B" w:rsidP="00007CB0">
      <w:pPr>
        <w:spacing w:after="0" w:line="240" w:lineRule="auto"/>
      </w:pPr>
      <w:r>
        <w:separator/>
      </w:r>
    </w:p>
  </w:footnote>
  <w:footnote w:type="continuationSeparator" w:id="0">
    <w:p w14:paraId="4E806CFD" w14:textId="77777777" w:rsidR="00CE748B" w:rsidRDefault="00CE748B" w:rsidP="0000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F7D"/>
    <w:multiLevelType w:val="hybridMultilevel"/>
    <w:tmpl w:val="7FB6FDCE"/>
    <w:lvl w:ilvl="0" w:tplc="EFAC35DC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C81D43"/>
    <w:multiLevelType w:val="hybridMultilevel"/>
    <w:tmpl w:val="6D3AC9BE"/>
    <w:lvl w:ilvl="0" w:tplc="76AC1A70">
      <w:start w:val="49"/>
      <w:numFmt w:val="bullet"/>
      <w:lvlText w:val=""/>
      <w:lvlJc w:val="left"/>
      <w:pPr>
        <w:ind w:left="742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3312B"/>
    <w:multiLevelType w:val="hybridMultilevel"/>
    <w:tmpl w:val="F53EEBC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A764A"/>
    <w:multiLevelType w:val="hybridMultilevel"/>
    <w:tmpl w:val="A5100106"/>
    <w:lvl w:ilvl="0" w:tplc="836EA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EE7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269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88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10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8A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DC5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A5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02F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97B3D02"/>
    <w:multiLevelType w:val="hybridMultilevel"/>
    <w:tmpl w:val="DC1A5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F1AF2"/>
    <w:multiLevelType w:val="hybridMultilevel"/>
    <w:tmpl w:val="DD825D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64542C"/>
    <w:multiLevelType w:val="hybridMultilevel"/>
    <w:tmpl w:val="D7CA0D62"/>
    <w:lvl w:ilvl="0" w:tplc="76AC1A70">
      <w:start w:val="49"/>
      <w:numFmt w:val="bullet"/>
      <w:lvlText w:val=""/>
      <w:lvlJc w:val="left"/>
      <w:pPr>
        <w:ind w:left="742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7AAA1DA5"/>
    <w:multiLevelType w:val="hybridMultilevel"/>
    <w:tmpl w:val="4A6CA6C4"/>
    <w:lvl w:ilvl="0" w:tplc="ED9AD1F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45ECD"/>
    <w:multiLevelType w:val="hybridMultilevel"/>
    <w:tmpl w:val="6A64F13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0427">
    <w:abstractNumId w:val="0"/>
  </w:num>
  <w:num w:numId="2" w16cid:durableId="1504474484">
    <w:abstractNumId w:val="10"/>
  </w:num>
  <w:num w:numId="3" w16cid:durableId="1612930382">
    <w:abstractNumId w:val="9"/>
  </w:num>
  <w:num w:numId="4" w16cid:durableId="1236163725">
    <w:abstractNumId w:val="11"/>
  </w:num>
  <w:num w:numId="5" w16cid:durableId="88623941">
    <w:abstractNumId w:val="16"/>
  </w:num>
  <w:num w:numId="6" w16cid:durableId="1492603346">
    <w:abstractNumId w:val="4"/>
  </w:num>
  <w:num w:numId="7" w16cid:durableId="112483890">
    <w:abstractNumId w:val="2"/>
  </w:num>
  <w:num w:numId="8" w16cid:durableId="1309746885">
    <w:abstractNumId w:val="6"/>
  </w:num>
  <w:num w:numId="9" w16cid:durableId="118033484">
    <w:abstractNumId w:val="8"/>
  </w:num>
  <w:num w:numId="10" w16cid:durableId="567346453">
    <w:abstractNumId w:val="12"/>
  </w:num>
  <w:num w:numId="11" w16cid:durableId="677737846">
    <w:abstractNumId w:val="1"/>
  </w:num>
  <w:num w:numId="12" w16cid:durableId="706098789">
    <w:abstractNumId w:val="15"/>
  </w:num>
  <w:num w:numId="13" w16cid:durableId="101650309">
    <w:abstractNumId w:val="7"/>
  </w:num>
  <w:num w:numId="14" w16cid:durableId="225839207">
    <w:abstractNumId w:val="13"/>
  </w:num>
  <w:num w:numId="15" w16cid:durableId="1565752466">
    <w:abstractNumId w:val="3"/>
  </w:num>
  <w:num w:numId="16" w16cid:durableId="1237209168">
    <w:abstractNumId w:val="5"/>
  </w:num>
  <w:num w:numId="17" w16cid:durableId="1635672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7CB0"/>
    <w:rsid w:val="000D3793"/>
    <w:rsid w:val="000F0DF3"/>
    <w:rsid w:val="000F4C60"/>
    <w:rsid w:val="001174E5"/>
    <w:rsid w:val="00141837"/>
    <w:rsid w:val="0014757E"/>
    <w:rsid w:val="00161408"/>
    <w:rsid w:val="00184CF6"/>
    <w:rsid w:val="001973E4"/>
    <w:rsid w:val="001A3F31"/>
    <w:rsid w:val="001E0051"/>
    <w:rsid w:val="001E53FC"/>
    <w:rsid w:val="001F016A"/>
    <w:rsid w:val="001F77F5"/>
    <w:rsid w:val="002007ED"/>
    <w:rsid w:val="00237E1C"/>
    <w:rsid w:val="00242232"/>
    <w:rsid w:val="002437F7"/>
    <w:rsid w:val="00254BAB"/>
    <w:rsid w:val="002E3D93"/>
    <w:rsid w:val="00321A64"/>
    <w:rsid w:val="00323EA0"/>
    <w:rsid w:val="00330DA7"/>
    <w:rsid w:val="00363D88"/>
    <w:rsid w:val="00410CC4"/>
    <w:rsid w:val="004325B7"/>
    <w:rsid w:val="004735DC"/>
    <w:rsid w:val="004769F8"/>
    <w:rsid w:val="004A0DDF"/>
    <w:rsid w:val="004B6837"/>
    <w:rsid w:val="00511F9C"/>
    <w:rsid w:val="00540795"/>
    <w:rsid w:val="00566144"/>
    <w:rsid w:val="00571388"/>
    <w:rsid w:val="00591D1F"/>
    <w:rsid w:val="0059326C"/>
    <w:rsid w:val="005961A5"/>
    <w:rsid w:val="00597BDE"/>
    <w:rsid w:val="00597CE9"/>
    <w:rsid w:val="005C2C73"/>
    <w:rsid w:val="005E3438"/>
    <w:rsid w:val="005F694B"/>
    <w:rsid w:val="006250E2"/>
    <w:rsid w:val="00646ADA"/>
    <w:rsid w:val="00695EC3"/>
    <w:rsid w:val="006C64A1"/>
    <w:rsid w:val="006D5600"/>
    <w:rsid w:val="006E1C56"/>
    <w:rsid w:val="0072464C"/>
    <w:rsid w:val="0075333C"/>
    <w:rsid w:val="00755D9D"/>
    <w:rsid w:val="007D17D1"/>
    <w:rsid w:val="00821C09"/>
    <w:rsid w:val="00851501"/>
    <w:rsid w:val="0085652F"/>
    <w:rsid w:val="00862E9E"/>
    <w:rsid w:val="008E20A9"/>
    <w:rsid w:val="008F1C2E"/>
    <w:rsid w:val="008F210F"/>
    <w:rsid w:val="00913DB0"/>
    <w:rsid w:val="00914C60"/>
    <w:rsid w:val="00920C54"/>
    <w:rsid w:val="00933AF0"/>
    <w:rsid w:val="009463AA"/>
    <w:rsid w:val="00967909"/>
    <w:rsid w:val="00990888"/>
    <w:rsid w:val="009B0064"/>
    <w:rsid w:val="009B0E15"/>
    <w:rsid w:val="009E6990"/>
    <w:rsid w:val="009F0E30"/>
    <w:rsid w:val="009F2B06"/>
    <w:rsid w:val="009F5463"/>
    <w:rsid w:val="009F595F"/>
    <w:rsid w:val="00A0330C"/>
    <w:rsid w:val="00A04C82"/>
    <w:rsid w:val="00A110AA"/>
    <w:rsid w:val="00A15E83"/>
    <w:rsid w:val="00A27276"/>
    <w:rsid w:val="00A33718"/>
    <w:rsid w:val="00A555E4"/>
    <w:rsid w:val="00AE1F83"/>
    <w:rsid w:val="00AE35C5"/>
    <w:rsid w:val="00B379A0"/>
    <w:rsid w:val="00B530BA"/>
    <w:rsid w:val="00B736F4"/>
    <w:rsid w:val="00BC1355"/>
    <w:rsid w:val="00BC577E"/>
    <w:rsid w:val="00C04CDF"/>
    <w:rsid w:val="00C07E53"/>
    <w:rsid w:val="00C24B2C"/>
    <w:rsid w:val="00C44C5F"/>
    <w:rsid w:val="00C709D5"/>
    <w:rsid w:val="00C720B2"/>
    <w:rsid w:val="00C805BB"/>
    <w:rsid w:val="00CA78F6"/>
    <w:rsid w:val="00CB10B7"/>
    <w:rsid w:val="00CC0B09"/>
    <w:rsid w:val="00CE748B"/>
    <w:rsid w:val="00D10410"/>
    <w:rsid w:val="00D17095"/>
    <w:rsid w:val="00D27FBA"/>
    <w:rsid w:val="00D712FD"/>
    <w:rsid w:val="00D80A72"/>
    <w:rsid w:val="00D9578A"/>
    <w:rsid w:val="00DA4E65"/>
    <w:rsid w:val="00DB3AF8"/>
    <w:rsid w:val="00DC5E62"/>
    <w:rsid w:val="00DF105B"/>
    <w:rsid w:val="00E0652A"/>
    <w:rsid w:val="00E3080A"/>
    <w:rsid w:val="00E55F55"/>
    <w:rsid w:val="00E56007"/>
    <w:rsid w:val="00E60850"/>
    <w:rsid w:val="00E82228"/>
    <w:rsid w:val="00EA211F"/>
    <w:rsid w:val="00F07727"/>
    <w:rsid w:val="00F5768B"/>
    <w:rsid w:val="00F57FE0"/>
    <w:rsid w:val="00F949AF"/>
    <w:rsid w:val="00FB397B"/>
    <w:rsid w:val="00FC75E3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CB6"/>
  <w15:docId w15:val="{15E26531-9317-4318-8E69-49F830CB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614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7CB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07C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07C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07CB0"/>
    <w:rPr>
      <w:sz w:val="20"/>
      <w:szCs w:val="20"/>
    </w:rPr>
  </w:style>
  <w:style w:type="paragraph" w:customStyle="1" w:styleId="pf0">
    <w:name w:val="pf0"/>
    <w:basedOn w:val="Navaden"/>
    <w:rsid w:val="000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7CB0"/>
  </w:style>
  <w:style w:type="paragraph" w:styleId="Noga">
    <w:name w:val="footer"/>
    <w:basedOn w:val="Navaden"/>
    <w:link w:val="NogaZnak"/>
    <w:uiPriority w:val="99"/>
    <w:unhideWhenUsed/>
    <w:rsid w:val="000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7CB0"/>
  </w:style>
  <w:style w:type="paragraph" w:styleId="Navadensplet">
    <w:name w:val="Normal (Web)"/>
    <w:basedOn w:val="Navaden"/>
    <w:uiPriority w:val="99"/>
    <w:unhideWhenUsed/>
    <w:rsid w:val="0023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34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3438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1F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AF5CA98AFD7479A0AC0670AFF3F47" ma:contentTypeVersion="4" ma:contentTypeDescription="Create a new document." ma:contentTypeScope="" ma:versionID="fadc1e9485a7d256e6ad8b2570bf0b9c">
  <xsd:schema xmlns:xsd="http://www.w3.org/2001/XMLSchema" xmlns:xs="http://www.w3.org/2001/XMLSchema" xmlns:p="http://schemas.microsoft.com/office/2006/metadata/properties" xmlns:ns2="0d23b692-c712-4a6e-afa1-d545441e7c07" targetNamespace="http://schemas.microsoft.com/office/2006/metadata/properties" ma:root="true" ma:fieldsID="b94126ee39b7dc33b54f3d9d6aa60023" ns2:_="">
    <xsd:import namespace="0d23b692-c712-4a6e-afa1-d545441e7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3b692-c712-4a6e-afa1-d545441e7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6112D-D275-4DE7-AEF8-E30FAFC05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3b692-c712-4a6e-afa1-d545441e7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7DDBC-392F-4C1F-BEE7-1C58AD2927B8}">
  <ds:schemaRefs>
    <ds:schemaRef ds:uri="0d23b692-c712-4a6e-afa1-d545441e7c07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F311C4-E258-49AC-987B-723B5D02D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EB02BE-C481-45FD-8D1C-A3C6C7725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št. 1 (ki je vezana na navodila št. 10) – z glavo MVZI</vt:lpstr>
    </vt:vector>
  </TitlesOfParts>
  <Company/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št. 1 (ki je vezana na navodila št. 10) – z glavo MVZI</dc:title>
  <dc:subject/>
  <dc:creator>Sara Pernuš</dc:creator>
  <cp:keywords/>
  <dc:description/>
  <cp:lastModifiedBy>MVZI</cp:lastModifiedBy>
  <cp:revision>15</cp:revision>
  <dcterms:created xsi:type="dcterms:W3CDTF">2025-10-21T10:56:00Z</dcterms:created>
  <dcterms:modified xsi:type="dcterms:W3CDTF">2025-11-24T12:01:00Z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0x01010027CAF5CA98AFD7479A0AC0670AFF3F47</vt:lpwstr>
  </property>
</Properties>
</file>