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E9A9" w14:textId="77777777" w:rsidR="003C2BB1" w:rsidRPr="00833C1E" w:rsidRDefault="003C2BB1" w:rsidP="003C2BB1">
      <w:pPr>
        <w:pStyle w:val="podpisi"/>
        <w:jc w:val="both"/>
        <w:rPr>
          <w:rFonts w:cs="Arial"/>
          <w:b/>
          <w:szCs w:val="20"/>
          <w:lang w:val="sl-SI"/>
        </w:rPr>
      </w:pPr>
      <w:r w:rsidRPr="00833C1E">
        <w:rPr>
          <w:rFonts w:cs="Arial"/>
          <w:b/>
          <w:szCs w:val="20"/>
          <w:lang w:val="sl-SI"/>
        </w:rPr>
        <w:t>PRILOGA 2 (spremni dopis – 2. del) – podatki o izvedbi notranjih postopkov pred odločitvijo na seji vlade:</w:t>
      </w:r>
    </w:p>
    <w:p w14:paraId="7EA7CB7D" w14:textId="77777777" w:rsidR="003C2BB1" w:rsidRPr="00833C1E" w:rsidRDefault="003C2BB1" w:rsidP="003C2BB1">
      <w:pPr>
        <w:rPr>
          <w:rFonts w:cs="Arial"/>
          <w:szCs w:val="20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369"/>
        <w:gridCol w:w="2683"/>
        <w:gridCol w:w="2600"/>
      </w:tblGrid>
      <w:tr w:rsidR="003C2BB1" w:rsidRPr="00833C1E" w14:paraId="6FD1AFD2" w14:textId="77777777" w:rsidTr="00DA6942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651D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1. Zahteva predlagatelja za:</w:t>
            </w:r>
          </w:p>
        </w:tc>
      </w:tr>
      <w:tr w:rsidR="003C2BB1" w:rsidRPr="00833C1E" w14:paraId="057495FD" w14:textId="77777777" w:rsidTr="00DA6942">
        <w:tc>
          <w:tcPr>
            <w:tcW w:w="1448" w:type="dxa"/>
          </w:tcPr>
          <w:p w14:paraId="5A530486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52" w:type="dxa"/>
            <w:gridSpan w:val="2"/>
          </w:tcPr>
          <w:p w14:paraId="3DE15E9F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2600" w:type="dxa"/>
          </w:tcPr>
          <w:p w14:paraId="09F7E0B8" w14:textId="558F3943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NE</w:t>
            </w:r>
          </w:p>
        </w:tc>
      </w:tr>
      <w:tr w:rsidR="003C2BB1" w:rsidRPr="00833C1E" w14:paraId="01C3AF35" w14:textId="77777777" w:rsidTr="00DA6942">
        <w:tc>
          <w:tcPr>
            <w:tcW w:w="1448" w:type="dxa"/>
          </w:tcPr>
          <w:p w14:paraId="64AAC5A7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52" w:type="dxa"/>
            <w:gridSpan w:val="2"/>
          </w:tcPr>
          <w:p w14:paraId="066D8119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2600" w:type="dxa"/>
          </w:tcPr>
          <w:p w14:paraId="31FE3F00" w14:textId="7294B307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NE</w:t>
            </w:r>
          </w:p>
        </w:tc>
      </w:tr>
      <w:tr w:rsidR="003C2BB1" w:rsidRPr="00833C1E" w14:paraId="4D955670" w14:textId="77777777" w:rsidTr="00DA6942">
        <w:tc>
          <w:tcPr>
            <w:tcW w:w="1448" w:type="dxa"/>
          </w:tcPr>
          <w:p w14:paraId="4B252D50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52" w:type="dxa"/>
            <w:gridSpan w:val="2"/>
          </w:tcPr>
          <w:p w14:paraId="6C484495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2600" w:type="dxa"/>
          </w:tcPr>
          <w:p w14:paraId="2B7BF5E7" w14:textId="29E7EB43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</w:t>
            </w:r>
          </w:p>
        </w:tc>
      </w:tr>
      <w:tr w:rsidR="003C2BB1" w:rsidRPr="00833C1E" w14:paraId="331C2546" w14:textId="77777777" w:rsidTr="00DA6942">
        <w:tc>
          <w:tcPr>
            <w:tcW w:w="9100" w:type="dxa"/>
            <w:gridSpan w:val="4"/>
          </w:tcPr>
          <w:p w14:paraId="7521F760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2. Predlog za skrajšanje poslovniških rokov z obrazložitvijo razlogov:</w:t>
            </w:r>
          </w:p>
        </w:tc>
      </w:tr>
      <w:tr w:rsidR="003C2BB1" w:rsidRPr="00833C1E" w14:paraId="687383F3" w14:textId="77777777" w:rsidTr="00DA6942">
        <w:tc>
          <w:tcPr>
            <w:tcW w:w="9100" w:type="dxa"/>
            <w:gridSpan w:val="4"/>
          </w:tcPr>
          <w:p w14:paraId="59CEAA99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(Navedite razloge.)</w:t>
            </w:r>
          </w:p>
        </w:tc>
      </w:tr>
      <w:tr w:rsidR="003C2BB1" w:rsidRPr="00833C1E" w14:paraId="029489F0" w14:textId="77777777" w:rsidTr="00DA6942">
        <w:tc>
          <w:tcPr>
            <w:tcW w:w="6500" w:type="dxa"/>
            <w:gridSpan w:val="3"/>
          </w:tcPr>
          <w:p w14:paraId="3299EF59" w14:textId="77777777" w:rsidR="003C2BB1" w:rsidRPr="00833C1E" w:rsidRDefault="003C2BB1" w:rsidP="00DA6942">
            <w:pPr>
              <w:pStyle w:val="Vrstapredpisa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  <w:r w:rsidRPr="00833C1E">
              <w:rPr>
                <w:bCs w:val="0"/>
                <w:color w:val="auto"/>
                <w:spacing w:val="0"/>
                <w:sz w:val="20"/>
                <w:szCs w:val="20"/>
              </w:rPr>
              <w:t>3. Gradivo se sme objaviti na svetovnem spletu:</w:t>
            </w:r>
          </w:p>
        </w:tc>
        <w:tc>
          <w:tcPr>
            <w:tcW w:w="2600" w:type="dxa"/>
          </w:tcPr>
          <w:p w14:paraId="567FFCA7" w14:textId="4DCE7C58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</w:t>
            </w:r>
          </w:p>
          <w:p w14:paraId="070C6BE9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(Če je odgovor NE, navedite razlog, ki izhaja iz predpisov o dostopu do informacij javnega značaja.)</w:t>
            </w:r>
          </w:p>
        </w:tc>
      </w:tr>
      <w:tr w:rsidR="003C2BB1" w:rsidRPr="00833C1E" w14:paraId="51883C23" w14:textId="77777777" w:rsidTr="00DA6942"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69D2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4. Gradivo je lektorirano: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6886" w14:textId="00EC3DA3" w:rsidR="003C2BB1" w:rsidRPr="00833C1E" w:rsidRDefault="00F639D9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NE</w:t>
            </w:r>
          </w:p>
          <w:p w14:paraId="06284268" w14:textId="413926A2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C2BB1" w:rsidRPr="00833C1E" w14:paraId="7F95CA14" w14:textId="77777777" w:rsidTr="00DA6942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F8EE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5. Gradivo je pripravljeno na podlagi sklepa vlade št. … z dne …</w:t>
            </w:r>
          </w:p>
        </w:tc>
      </w:tr>
      <w:tr w:rsidR="003C2BB1" w:rsidRPr="00833C1E" w14:paraId="47389958" w14:textId="77777777" w:rsidTr="00DA6942">
        <w:tc>
          <w:tcPr>
            <w:tcW w:w="9100" w:type="dxa"/>
            <w:gridSpan w:val="4"/>
          </w:tcPr>
          <w:p w14:paraId="307658C7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6. Predstavitev medresorskega usklajevanja:</w:t>
            </w:r>
          </w:p>
        </w:tc>
      </w:tr>
      <w:tr w:rsidR="003C2BB1" w:rsidRPr="00833C1E" w14:paraId="1A62D753" w14:textId="77777777" w:rsidTr="00DA6942">
        <w:tc>
          <w:tcPr>
            <w:tcW w:w="9100" w:type="dxa"/>
            <w:gridSpan w:val="4"/>
          </w:tcPr>
          <w:p w14:paraId="615F90A5" w14:textId="3D1F5E58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Gradivo je bilo poslano v medresorsko usklajevanje:</w:t>
            </w:r>
            <w:r w:rsidR="00F639D9">
              <w:rPr>
                <w:sz w:val="20"/>
                <w:szCs w:val="20"/>
              </w:rPr>
              <w:t xml:space="preserve"> DA</w:t>
            </w:r>
          </w:p>
          <w:p w14:paraId="2A3CF551" w14:textId="5569105B" w:rsidR="003C2BB1" w:rsidRDefault="00F639D9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MDDSZEM</w:t>
            </w:r>
          </w:p>
          <w:p w14:paraId="7310BEE3" w14:textId="67C7994B" w:rsidR="00F639D9" w:rsidRDefault="00F639D9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MVI</w:t>
            </w:r>
          </w:p>
          <w:p w14:paraId="0581D2AF" w14:textId="196CB2FB" w:rsidR="00F639D9" w:rsidRPr="00833C1E" w:rsidRDefault="00F639D9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</w:t>
            </w:r>
          </w:p>
          <w:p w14:paraId="7F9BE310" w14:textId="223AE74A" w:rsidR="003C2BB1" w:rsidRPr="00833C1E" w:rsidRDefault="00F639D9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SVZ</w:t>
            </w:r>
          </w:p>
        </w:tc>
      </w:tr>
      <w:tr w:rsidR="003C2BB1" w:rsidRPr="00833C1E" w14:paraId="47B77932" w14:textId="77777777" w:rsidTr="00DA6942">
        <w:tc>
          <w:tcPr>
            <w:tcW w:w="9100" w:type="dxa"/>
            <w:gridSpan w:val="4"/>
          </w:tcPr>
          <w:p w14:paraId="5CEB3E07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(Datum pošiljanja:)</w:t>
            </w:r>
          </w:p>
        </w:tc>
      </w:tr>
      <w:tr w:rsidR="003C2BB1" w:rsidRPr="00833C1E" w14:paraId="2A2E7C30" w14:textId="77777777" w:rsidTr="00DA6942">
        <w:trPr>
          <w:trHeight w:val="225"/>
        </w:trPr>
        <w:tc>
          <w:tcPr>
            <w:tcW w:w="3817" w:type="dxa"/>
            <w:gridSpan w:val="2"/>
            <w:vMerge w:val="restart"/>
          </w:tcPr>
          <w:p w14:paraId="64B14728" w14:textId="5654715A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Gradivo je usklajeno:</w:t>
            </w:r>
            <w:r w:rsidR="00F639D9">
              <w:rPr>
                <w:sz w:val="20"/>
                <w:szCs w:val="20"/>
              </w:rPr>
              <w:t xml:space="preserve"> DA</w:t>
            </w:r>
            <w:r w:rsidR="000C1364">
              <w:rPr>
                <w:sz w:val="20"/>
                <w:szCs w:val="20"/>
              </w:rPr>
              <w:t xml:space="preserve"> (mnenja brez pripomb, priložena)</w:t>
            </w:r>
          </w:p>
        </w:tc>
        <w:tc>
          <w:tcPr>
            <w:tcW w:w="5283" w:type="dxa"/>
            <w:gridSpan w:val="2"/>
          </w:tcPr>
          <w:p w14:paraId="0003BB20" w14:textId="7CB60358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v celoti</w:t>
            </w:r>
          </w:p>
        </w:tc>
      </w:tr>
      <w:tr w:rsidR="003C2BB1" w:rsidRPr="00833C1E" w14:paraId="0754B5F4" w14:textId="77777777" w:rsidTr="00DA6942">
        <w:trPr>
          <w:trHeight w:val="323"/>
        </w:trPr>
        <w:tc>
          <w:tcPr>
            <w:tcW w:w="3817" w:type="dxa"/>
            <w:gridSpan w:val="2"/>
            <w:vMerge/>
          </w:tcPr>
          <w:p w14:paraId="545F14CE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EAE028E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Bistvena neusklajena vprašanja in razlogi za to:</w:t>
            </w:r>
          </w:p>
          <w:p w14:paraId="54A4F054" w14:textId="77777777" w:rsidR="003C2BB1" w:rsidRPr="00833C1E" w:rsidRDefault="003C2BB1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…</w:t>
            </w:r>
          </w:p>
          <w:p w14:paraId="56A4B230" w14:textId="77777777" w:rsidR="003C2BB1" w:rsidRPr="00833C1E" w:rsidRDefault="003C2BB1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…</w:t>
            </w:r>
          </w:p>
        </w:tc>
      </w:tr>
      <w:tr w:rsidR="003C2BB1" w:rsidRPr="00833C1E" w14:paraId="03A80FD1" w14:textId="77777777" w:rsidTr="00DA6942">
        <w:trPr>
          <w:trHeight w:val="322"/>
        </w:trPr>
        <w:tc>
          <w:tcPr>
            <w:tcW w:w="3817" w:type="dxa"/>
            <w:gridSpan w:val="2"/>
            <w:vMerge/>
          </w:tcPr>
          <w:p w14:paraId="57D5154D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249F05A3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Priložite mnenja organov, s katerimi gradivo ni usklajeno.)</w:t>
            </w:r>
          </w:p>
        </w:tc>
      </w:tr>
    </w:tbl>
    <w:p w14:paraId="617370FB" w14:textId="77777777" w:rsidR="003C2BB1" w:rsidRPr="00833C1E" w:rsidRDefault="003C2BB1" w:rsidP="003C2BB1">
      <w:pPr>
        <w:rPr>
          <w:rFonts w:cs="Arial"/>
          <w:szCs w:val="20"/>
        </w:rPr>
      </w:pPr>
    </w:p>
    <w:p w14:paraId="24C245E5" w14:textId="77777777" w:rsidR="003C2BB1" w:rsidRPr="00833C1E" w:rsidRDefault="003C2BB1" w:rsidP="003C2BB1">
      <w:pPr>
        <w:jc w:val="both"/>
        <w:rPr>
          <w:rFonts w:cs="Arial"/>
          <w:szCs w:val="20"/>
        </w:rPr>
      </w:pPr>
      <w:r w:rsidRPr="00833C1E">
        <w:rPr>
          <w:rFonts w:cs="Arial"/>
          <w:szCs w:val="20"/>
        </w:rPr>
        <w:t>PRILOGE:</w:t>
      </w:r>
    </w:p>
    <w:p w14:paraId="4C002D92" w14:textId="77777777" w:rsidR="003C2BB1" w:rsidRPr="00833C1E" w:rsidRDefault="003C2BB1" w:rsidP="003C2BB1">
      <w:pPr>
        <w:jc w:val="both"/>
        <w:rPr>
          <w:rFonts w:cs="Arial"/>
          <w:szCs w:val="20"/>
        </w:rPr>
      </w:pPr>
    </w:p>
    <w:p w14:paraId="3DE1098A" w14:textId="77777777" w:rsidR="003C2BB1" w:rsidRPr="00833C1E" w:rsidRDefault="003C2BB1" w:rsidP="003C2BB1">
      <w:pPr>
        <w:rPr>
          <w:rFonts w:cs="Arial"/>
          <w:b/>
          <w:szCs w:val="20"/>
        </w:rPr>
      </w:pPr>
      <w:r w:rsidRPr="00833C1E">
        <w:rPr>
          <w:rFonts w:cs="Arial"/>
          <w:b/>
          <w:iCs/>
          <w:szCs w:val="20"/>
        </w:rPr>
        <w:t>I. Mnenja:</w:t>
      </w:r>
    </w:p>
    <w:p w14:paraId="7D37C241" w14:textId="6D2B3A03" w:rsidR="003C2BB1" w:rsidRPr="005D1B55" w:rsidRDefault="005D1B55" w:rsidP="003C2BB1">
      <w:pPr>
        <w:rPr>
          <w:rFonts w:cs="Arial"/>
          <w:iCs/>
          <w:szCs w:val="20"/>
        </w:rPr>
      </w:pPr>
      <w:r w:rsidRPr="005D1B55">
        <w:rPr>
          <w:rFonts w:cs="Arial"/>
          <w:iCs/>
          <w:szCs w:val="20"/>
        </w:rPr>
        <w:t>- mnenje SVZ</w:t>
      </w:r>
    </w:p>
    <w:p w14:paraId="50295588" w14:textId="7879190A" w:rsidR="005D1B55" w:rsidRPr="005D1B55" w:rsidRDefault="005D1B55" w:rsidP="003C2BB1">
      <w:pPr>
        <w:rPr>
          <w:rFonts w:cs="Arial"/>
          <w:iCs/>
          <w:szCs w:val="20"/>
        </w:rPr>
      </w:pPr>
      <w:r w:rsidRPr="005D1B55">
        <w:rPr>
          <w:rFonts w:cs="Arial"/>
          <w:iCs/>
          <w:szCs w:val="20"/>
        </w:rPr>
        <w:t>- mnenje MZ</w:t>
      </w:r>
    </w:p>
    <w:p w14:paraId="04DAC880" w14:textId="47B88851" w:rsidR="005D1B55" w:rsidRPr="005D1B55" w:rsidRDefault="005D1B55" w:rsidP="003C2BB1">
      <w:pPr>
        <w:rPr>
          <w:rFonts w:cs="Arial"/>
          <w:szCs w:val="20"/>
        </w:rPr>
      </w:pPr>
      <w:r w:rsidRPr="005D1B55">
        <w:rPr>
          <w:rFonts w:cs="Arial"/>
          <w:szCs w:val="20"/>
        </w:rPr>
        <w:t>- mnenje MDDSZEM</w:t>
      </w:r>
    </w:p>
    <w:p w14:paraId="2BE7202E" w14:textId="30D59680" w:rsidR="005D1B55" w:rsidRPr="005D1B55" w:rsidRDefault="005D1B55" w:rsidP="003C2BB1">
      <w:pPr>
        <w:rPr>
          <w:rFonts w:cs="Arial"/>
          <w:szCs w:val="20"/>
        </w:rPr>
      </w:pPr>
      <w:r w:rsidRPr="005D1B55">
        <w:rPr>
          <w:rFonts w:cs="Arial"/>
          <w:szCs w:val="20"/>
        </w:rPr>
        <w:t>- mnenje MVI</w:t>
      </w:r>
    </w:p>
    <w:p w14:paraId="5F24309F" w14:textId="77777777" w:rsidR="003C2BB1" w:rsidRPr="00833C1E" w:rsidRDefault="003C2BB1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A6A2B17" w14:textId="77777777" w:rsidR="003C2BB1" w:rsidRPr="00833C1E" w:rsidRDefault="003C2BB1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FE97FBD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BD6283E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1D276F1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229B9AA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5C49EDA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30EE0D9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CD49B88" w14:textId="77777777" w:rsidR="00FB397B" w:rsidRDefault="00FB397B"/>
    <w:sectPr w:rsidR="00F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187845"/>
    <w:multiLevelType w:val="multilevel"/>
    <w:tmpl w:val="8B584BCC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2871376">
    <w:abstractNumId w:val="0"/>
  </w:num>
  <w:num w:numId="2" w16cid:durableId="912467857">
    <w:abstractNumId w:val="1"/>
  </w:num>
  <w:num w:numId="3" w16cid:durableId="8677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B1"/>
    <w:rsid w:val="000C1364"/>
    <w:rsid w:val="001973E4"/>
    <w:rsid w:val="001E1B7C"/>
    <w:rsid w:val="00321A64"/>
    <w:rsid w:val="003C2BB1"/>
    <w:rsid w:val="00584821"/>
    <w:rsid w:val="00597BDE"/>
    <w:rsid w:val="005D1B55"/>
    <w:rsid w:val="00695EC3"/>
    <w:rsid w:val="008F210F"/>
    <w:rsid w:val="00990888"/>
    <w:rsid w:val="00B379A0"/>
    <w:rsid w:val="00BC1355"/>
    <w:rsid w:val="00C24B2C"/>
    <w:rsid w:val="00C44C5F"/>
    <w:rsid w:val="00D31D69"/>
    <w:rsid w:val="00E91F32"/>
    <w:rsid w:val="00F639D9"/>
    <w:rsid w:val="00F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65DC"/>
  <w15:docId w15:val="{EC0B956D-74F3-4F69-8D6D-696294C7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2BB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rstapredpisa">
    <w:name w:val="Vrsta predpisa"/>
    <w:basedOn w:val="Navaden"/>
    <w:link w:val="VrstapredpisaZnak"/>
    <w:qFormat/>
    <w:rsid w:val="003C2BB1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3C2BB1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3C2BB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3C2BB1"/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C2BB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3C2BB1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3C2BB1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3C2BB1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C2BB1"/>
    <w:pPr>
      <w:numPr>
        <w:numId w:val="3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C2BB1"/>
    <w:rPr>
      <w:rFonts w:ascii="Arial" w:eastAsia="Times New Roman" w:hAnsi="Arial" w:cs="Arial"/>
      <w:lang w:eastAsia="sl-SI"/>
    </w:rPr>
  </w:style>
  <w:style w:type="paragraph" w:customStyle="1" w:styleId="podpisi">
    <w:name w:val="podpisi"/>
    <w:basedOn w:val="Navaden"/>
    <w:qFormat/>
    <w:rsid w:val="003C2BB1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Maja Čarni Pretnar</cp:lastModifiedBy>
  <cp:revision>2</cp:revision>
  <dcterms:created xsi:type="dcterms:W3CDTF">2025-10-09T11:28:00Z</dcterms:created>
  <dcterms:modified xsi:type="dcterms:W3CDTF">2025-10-09T11:28:00Z</dcterms:modified>
</cp:coreProperties>
</file>