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9DF6C" w14:textId="77777777" w:rsidR="007D75CF" w:rsidRPr="00076C70" w:rsidRDefault="007D75CF" w:rsidP="00371AD9">
      <w:pPr>
        <w:rPr>
          <w:lang w:val="sl-SI"/>
        </w:rPr>
      </w:pPr>
    </w:p>
    <w:p w14:paraId="1B4D172A" w14:textId="77777777" w:rsidR="00BE1017" w:rsidRPr="00076C70" w:rsidRDefault="00BE1017" w:rsidP="00BE1017">
      <w:pPr>
        <w:spacing w:after="200" w:line="276" w:lineRule="auto"/>
        <w:contextualSpacing/>
        <w:rPr>
          <w:rFonts w:cs="Arial"/>
          <w:b/>
          <w:szCs w:val="20"/>
          <w:lang w:val="sl-SI" w:eastAsia="sl-SI"/>
        </w:rPr>
      </w:pPr>
    </w:p>
    <w:tbl>
      <w:tblPr>
        <w:tblW w:w="91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28"/>
        <w:gridCol w:w="816"/>
        <w:gridCol w:w="2241"/>
      </w:tblGrid>
      <w:tr w:rsidR="00BE1017" w:rsidRPr="00076C70" w14:paraId="491F469C" w14:textId="77777777" w:rsidTr="00CC39A2">
        <w:trPr>
          <w:gridAfter w:val="2"/>
          <w:wAfter w:w="3057" w:type="dxa"/>
          <w:trHeight w:val="265"/>
        </w:trPr>
        <w:tc>
          <w:tcPr>
            <w:tcW w:w="6076" w:type="dxa"/>
            <w:gridSpan w:val="2"/>
          </w:tcPr>
          <w:p w14:paraId="777E736E" w14:textId="38631EA6" w:rsidR="00BE1017" w:rsidRPr="00076C70" w:rsidRDefault="00CD55B7" w:rsidP="003C25AC">
            <w:pPr>
              <w:overflowPunct w:val="0"/>
              <w:autoSpaceDE w:val="0"/>
              <w:autoSpaceDN w:val="0"/>
              <w:adjustRightInd w:val="0"/>
              <w:textAlignment w:val="baseline"/>
              <w:rPr>
                <w:rFonts w:cs="Arial"/>
                <w:szCs w:val="20"/>
                <w:lang w:val="sl-SI" w:eastAsia="sl-SI"/>
              </w:rPr>
            </w:pPr>
            <w:r w:rsidRPr="00076C70">
              <w:rPr>
                <w:rFonts w:cs="Arial"/>
                <w:szCs w:val="20"/>
                <w:lang w:val="sl-SI" w:eastAsia="sl-SI"/>
              </w:rPr>
              <w:t xml:space="preserve">Številka: </w:t>
            </w:r>
            <w:r w:rsidR="006B63B1">
              <w:rPr>
                <w:rFonts w:cs="Arial"/>
                <w:szCs w:val="20"/>
                <w:lang w:val="sl-SI" w:eastAsia="sl-SI"/>
              </w:rPr>
              <w:t>51140-2/2025/131</w:t>
            </w:r>
          </w:p>
        </w:tc>
      </w:tr>
      <w:tr w:rsidR="00BE1017" w:rsidRPr="00076C70" w14:paraId="12F631B2" w14:textId="77777777" w:rsidTr="00CC39A2">
        <w:trPr>
          <w:gridAfter w:val="2"/>
          <w:wAfter w:w="3057" w:type="dxa"/>
          <w:trHeight w:val="265"/>
        </w:trPr>
        <w:tc>
          <w:tcPr>
            <w:tcW w:w="6076" w:type="dxa"/>
            <w:gridSpan w:val="2"/>
          </w:tcPr>
          <w:p w14:paraId="4FE4AE0E" w14:textId="332A3B45" w:rsidR="00BE1017" w:rsidRPr="00076C70" w:rsidRDefault="00BE1017" w:rsidP="00804E0C">
            <w:pPr>
              <w:overflowPunct w:val="0"/>
              <w:autoSpaceDE w:val="0"/>
              <w:autoSpaceDN w:val="0"/>
              <w:adjustRightInd w:val="0"/>
              <w:textAlignment w:val="baseline"/>
              <w:rPr>
                <w:rFonts w:cs="Arial"/>
                <w:szCs w:val="20"/>
                <w:lang w:val="sl-SI" w:eastAsia="sl-SI"/>
              </w:rPr>
            </w:pPr>
            <w:r w:rsidRPr="00076C70">
              <w:rPr>
                <w:rFonts w:cs="Arial"/>
                <w:szCs w:val="20"/>
                <w:lang w:val="sl-SI" w:eastAsia="sl-SI"/>
              </w:rPr>
              <w:t xml:space="preserve">Ljubljana, </w:t>
            </w:r>
            <w:r w:rsidR="003421F1" w:rsidRPr="003421F1">
              <w:rPr>
                <w:rFonts w:cs="Arial"/>
                <w:szCs w:val="20"/>
                <w:lang w:val="sl-SI" w:eastAsia="sl-SI"/>
              </w:rPr>
              <w:t>1</w:t>
            </w:r>
            <w:r w:rsidR="006B63B1">
              <w:rPr>
                <w:rFonts w:cs="Arial"/>
                <w:szCs w:val="20"/>
                <w:lang w:val="sl-SI" w:eastAsia="sl-SI"/>
              </w:rPr>
              <w:t>8</w:t>
            </w:r>
            <w:r w:rsidR="003C25AC" w:rsidRPr="00076C70">
              <w:rPr>
                <w:rFonts w:cs="Arial"/>
                <w:szCs w:val="20"/>
                <w:lang w:val="sl-SI" w:eastAsia="sl-SI"/>
              </w:rPr>
              <w:t xml:space="preserve">. </w:t>
            </w:r>
            <w:r w:rsidR="003B490A" w:rsidRPr="00076C70">
              <w:rPr>
                <w:rFonts w:cs="Arial"/>
                <w:szCs w:val="20"/>
                <w:lang w:val="sl-SI" w:eastAsia="sl-SI"/>
              </w:rPr>
              <w:t>9</w:t>
            </w:r>
            <w:r w:rsidR="003C25AC" w:rsidRPr="00076C70">
              <w:rPr>
                <w:rFonts w:cs="Arial"/>
                <w:szCs w:val="20"/>
                <w:lang w:val="sl-SI" w:eastAsia="sl-SI"/>
              </w:rPr>
              <w:t>. 202</w:t>
            </w:r>
            <w:r w:rsidR="00BC27B2" w:rsidRPr="00076C70">
              <w:rPr>
                <w:rFonts w:cs="Arial"/>
                <w:szCs w:val="20"/>
                <w:lang w:val="sl-SI" w:eastAsia="sl-SI"/>
              </w:rPr>
              <w:t>5</w:t>
            </w:r>
          </w:p>
        </w:tc>
      </w:tr>
      <w:tr w:rsidR="00BE1017" w:rsidRPr="00076C70" w14:paraId="05530D2B" w14:textId="77777777" w:rsidTr="00CC39A2">
        <w:trPr>
          <w:gridAfter w:val="2"/>
          <w:wAfter w:w="3057" w:type="dxa"/>
          <w:trHeight w:val="265"/>
        </w:trPr>
        <w:tc>
          <w:tcPr>
            <w:tcW w:w="6076" w:type="dxa"/>
            <w:gridSpan w:val="2"/>
          </w:tcPr>
          <w:p w14:paraId="09DD2EA4" w14:textId="77777777" w:rsidR="00BE1017" w:rsidRPr="00076C70" w:rsidRDefault="00096ECA" w:rsidP="00096ECA">
            <w:pPr>
              <w:overflowPunct w:val="0"/>
              <w:autoSpaceDE w:val="0"/>
              <w:autoSpaceDN w:val="0"/>
              <w:adjustRightInd w:val="0"/>
              <w:textAlignment w:val="baseline"/>
              <w:rPr>
                <w:rFonts w:cs="Arial"/>
                <w:szCs w:val="20"/>
                <w:lang w:val="sl-SI" w:eastAsia="sl-SI"/>
              </w:rPr>
            </w:pPr>
            <w:r w:rsidRPr="00076C70">
              <w:rPr>
                <w:rFonts w:cs="Arial"/>
                <w:iCs/>
                <w:szCs w:val="20"/>
                <w:lang w:val="sl-SI" w:eastAsia="sl-SI"/>
              </w:rPr>
              <w:t>EVA: /</w:t>
            </w:r>
          </w:p>
        </w:tc>
      </w:tr>
      <w:tr w:rsidR="00BE1017" w:rsidRPr="00076C70" w14:paraId="186F93B9" w14:textId="77777777" w:rsidTr="00CC39A2">
        <w:trPr>
          <w:gridAfter w:val="2"/>
          <w:wAfter w:w="3057" w:type="dxa"/>
          <w:trHeight w:val="1046"/>
        </w:trPr>
        <w:tc>
          <w:tcPr>
            <w:tcW w:w="6076" w:type="dxa"/>
            <w:gridSpan w:val="2"/>
          </w:tcPr>
          <w:p w14:paraId="5E2CD7F4" w14:textId="77777777" w:rsidR="00BE1017" w:rsidRPr="00076C70" w:rsidRDefault="00BE1017" w:rsidP="00BE1017">
            <w:pPr>
              <w:rPr>
                <w:rFonts w:eastAsia="Calibri" w:cs="Arial"/>
                <w:szCs w:val="20"/>
                <w:lang w:val="sl-SI"/>
              </w:rPr>
            </w:pPr>
          </w:p>
          <w:p w14:paraId="7965815B" w14:textId="77777777" w:rsidR="00BE1017" w:rsidRPr="00076C70" w:rsidRDefault="00BE1017" w:rsidP="00BE1017">
            <w:pPr>
              <w:rPr>
                <w:rFonts w:eastAsia="Calibri" w:cs="Arial"/>
                <w:szCs w:val="20"/>
                <w:lang w:val="sl-SI"/>
              </w:rPr>
            </w:pPr>
            <w:r w:rsidRPr="00076C70">
              <w:rPr>
                <w:rFonts w:eastAsia="Calibri" w:cs="Arial"/>
                <w:szCs w:val="20"/>
                <w:lang w:val="sl-SI"/>
              </w:rPr>
              <w:t>GENERALNI SEKRETARIAT VLADE REPUBLIKE SLOVENIJE</w:t>
            </w:r>
          </w:p>
          <w:p w14:paraId="46207878" w14:textId="77777777" w:rsidR="00BE1017" w:rsidRPr="00076C70" w:rsidRDefault="00B55BC7" w:rsidP="00BE1017">
            <w:pPr>
              <w:rPr>
                <w:rFonts w:eastAsia="Calibri" w:cs="Arial"/>
                <w:szCs w:val="20"/>
                <w:lang w:val="sl-SI"/>
              </w:rPr>
            </w:pPr>
            <w:hyperlink r:id="rId8" w:history="1">
              <w:r w:rsidR="00BE1017" w:rsidRPr="00076C70">
                <w:rPr>
                  <w:rFonts w:eastAsia="Calibri" w:cs="Arial"/>
                  <w:color w:val="0000FF"/>
                  <w:szCs w:val="20"/>
                  <w:u w:val="single"/>
                  <w:lang w:val="sl-SI"/>
                </w:rPr>
                <w:t>Gp.gs@gov.si</w:t>
              </w:r>
            </w:hyperlink>
          </w:p>
          <w:p w14:paraId="66BA6989" w14:textId="77777777" w:rsidR="00BE1017" w:rsidRPr="00076C70" w:rsidRDefault="00BE1017" w:rsidP="00BE1017">
            <w:pPr>
              <w:rPr>
                <w:rFonts w:eastAsia="Calibri" w:cs="Arial"/>
                <w:szCs w:val="20"/>
                <w:lang w:val="sl-SI"/>
              </w:rPr>
            </w:pPr>
          </w:p>
        </w:tc>
      </w:tr>
      <w:tr w:rsidR="00BE1017" w:rsidRPr="00076C70" w14:paraId="384CCC3A" w14:textId="77777777" w:rsidTr="00CC39A2">
        <w:trPr>
          <w:trHeight w:val="265"/>
        </w:trPr>
        <w:tc>
          <w:tcPr>
            <w:tcW w:w="9133" w:type="dxa"/>
            <w:gridSpan w:val="4"/>
          </w:tcPr>
          <w:p w14:paraId="0B82E9B7" w14:textId="5DF89BC9" w:rsidR="00BE1017" w:rsidRPr="00076C70" w:rsidRDefault="00BE1017" w:rsidP="003C25AC">
            <w:pPr>
              <w:suppressAutoHyphens/>
              <w:overflowPunct w:val="0"/>
              <w:autoSpaceDE w:val="0"/>
              <w:autoSpaceDN w:val="0"/>
              <w:adjustRightInd w:val="0"/>
              <w:textAlignment w:val="baseline"/>
              <w:rPr>
                <w:rFonts w:cs="Arial"/>
                <w:b/>
                <w:szCs w:val="20"/>
                <w:lang w:val="sl-SI" w:eastAsia="sl-SI"/>
              </w:rPr>
            </w:pPr>
            <w:r w:rsidRPr="00076C70">
              <w:rPr>
                <w:rFonts w:cs="Arial"/>
                <w:b/>
                <w:szCs w:val="20"/>
                <w:lang w:val="sl-SI" w:eastAsia="sl-SI"/>
              </w:rPr>
              <w:t>ZADEVA:</w:t>
            </w:r>
            <w:r w:rsidR="00096ECA" w:rsidRPr="00076C70">
              <w:rPr>
                <w:rFonts w:cs="Arial"/>
                <w:b/>
                <w:szCs w:val="20"/>
                <w:lang w:val="sl-SI" w:eastAsia="sl-SI"/>
              </w:rPr>
              <w:t xml:space="preserve"> </w:t>
            </w:r>
            <w:r w:rsidR="003C25AC" w:rsidRPr="00076C70">
              <w:rPr>
                <w:rFonts w:cs="Arial"/>
                <w:b/>
                <w:szCs w:val="20"/>
                <w:lang w:val="sl-SI" w:eastAsia="sl-SI"/>
              </w:rPr>
              <w:t>Poročil</w:t>
            </w:r>
            <w:r w:rsidR="00913707" w:rsidRPr="00076C70">
              <w:rPr>
                <w:rFonts w:cs="Arial"/>
                <w:b/>
                <w:szCs w:val="20"/>
                <w:lang w:val="sl-SI" w:eastAsia="sl-SI"/>
              </w:rPr>
              <w:t>o</w:t>
            </w:r>
            <w:r w:rsidR="00096ECA" w:rsidRPr="00076C70">
              <w:rPr>
                <w:rFonts w:cs="Arial"/>
                <w:b/>
                <w:szCs w:val="20"/>
                <w:lang w:val="sl-SI" w:eastAsia="sl-SI"/>
              </w:rPr>
              <w:t xml:space="preserve"> o mednarodnem razvojnem sodelovanju Republike Slovenije za let</w:t>
            </w:r>
            <w:r w:rsidR="00913707" w:rsidRPr="00076C70">
              <w:rPr>
                <w:rFonts w:cs="Arial"/>
                <w:b/>
                <w:szCs w:val="20"/>
                <w:lang w:val="sl-SI" w:eastAsia="sl-SI"/>
              </w:rPr>
              <w:t>o 202</w:t>
            </w:r>
            <w:r w:rsidR="006E500D">
              <w:rPr>
                <w:rFonts w:cs="Arial"/>
                <w:b/>
                <w:szCs w:val="20"/>
                <w:lang w:val="sl-SI" w:eastAsia="sl-SI"/>
              </w:rPr>
              <w:t>4</w:t>
            </w:r>
            <w:r w:rsidR="00096ECA" w:rsidRPr="00076C70">
              <w:rPr>
                <w:rFonts w:cs="Arial"/>
                <w:b/>
                <w:szCs w:val="20"/>
                <w:lang w:val="sl-SI" w:eastAsia="sl-SI"/>
              </w:rPr>
              <w:t xml:space="preserve"> </w:t>
            </w:r>
            <w:r w:rsidRPr="00076C70">
              <w:rPr>
                <w:rFonts w:cs="Arial"/>
                <w:b/>
                <w:szCs w:val="20"/>
                <w:lang w:val="sl-SI" w:eastAsia="sl-SI"/>
              </w:rPr>
              <w:t xml:space="preserve">– predlog za obravnavo </w:t>
            </w:r>
          </w:p>
        </w:tc>
      </w:tr>
      <w:tr w:rsidR="00BE1017" w:rsidRPr="00076C70" w14:paraId="3BFD31A2" w14:textId="77777777" w:rsidTr="00CC39A2">
        <w:trPr>
          <w:trHeight w:val="265"/>
        </w:trPr>
        <w:tc>
          <w:tcPr>
            <w:tcW w:w="9133" w:type="dxa"/>
            <w:gridSpan w:val="4"/>
          </w:tcPr>
          <w:p w14:paraId="75439021" w14:textId="77777777" w:rsidR="00BE1017" w:rsidRPr="00076C70" w:rsidRDefault="00BE1017" w:rsidP="00BE1017">
            <w:pPr>
              <w:suppressAutoHyphens/>
              <w:overflowPunct w:val="0"/>
              <w:autoSpaceDE w:val="0"/>
              <w:autoSpaceDN w:val="0"/>
              <w:adjustRightInd w:val="0"/>
              <w:textAlignment w:val="baseline"/>
              <w:outlineLvl w:val="3"/>
              <w:rPr>
                <w:rFonts w:cs="Arial"/>
                <w:b/>
                <w:szCs w:val="20"/>
                <w:lang w:val="sl-SI" w:eastAsia="sl-SI"/>
              </w:rPr>
            </w:pPr>
            <w:r w:rsidRPr="00076C70">
              <w:rPr>
                <w:rFonts w:cs="Arial"/>
                <w:b/>
                <w:szCs w:val="20"/>
                <w:lang w:val="sl-SI" w:eastAsia="sl-SI"/>
              </w:rPr>
              <w:t>1. Predlog sklepov vlade:</w:t>
            </w:r>
          </w:p>
        </w:tc>
      </w:tr>
      <w:tr w:rsidR="00BE1017" w:rsidRPr="00076C70" w14:paraId="3E37134E" w14:textId="77777777" w:rsidTr="00CC39A2">
        <w:trPr>
          <w:trHeight w:val="3108"/>
        </w:trPr>
        <w:tc>
          <w:tcPr>
            <w:tcW w:w="9133" w:type="dxa"/>
            <w:gridSpan w:val="4"/>
          </w:tcPr>
          <w:p w14:paraId="7B65E033" w14:textId="1CB8318A" w:rsidR="00BE1017" w:rsidRPr="00076C70" w:rsidRDefault="00BE1017" w:rsidP="00BE1017">
            <w:pPr>
              <w:autoSpaceDE w:val="0"/>
              <w:autoSpaceDN w:val="0"/>
              <w:adjustRightInd w:val="0"/>
              <w:spacing w:line="240" w:lineRule="auto"/>
              <w:jc w:val="both"/>
              <w:rPr>
                <w:rFonts w:cs="Arial"/>
                <w:bCs/>
                <w:szCs w:val="20"/>
                <w:lang w:val="sl-SI"/>
              </w:rPr>
            </w:pPr>
            <w:r w:rsidRPr="00076C70">
              <w:rPr>
                <w:rFonts w:cs="Arial"/>
                <w:iCs/>
                <w:szCs w:val="20"/>
                <w:lang w:val="sl-SI" w:eastAsia="sl-SI"/>
              </w:rPr>
              <w:t xml:space="preserve">Na podlagi </w:t>
            </w:r>
            <w:r w:rsidR="006B4D5B" w:rsidRPr="00076C70">
              <w:rPr>
                <w:rFonts w:cs="Arial"/>
                <w:iCs/>
                <w:szCs w:val="20"/>
                <w:lang w:val="sl-SI" w:eastAsia="sl-SI"/>
              </w:rPr>
              <w:t>šestega odstavka 21. člena Zakona o Vladi Republike Slovenije (Uradni list RS, št. 24/05 – uradno prečiščeno besedilo, 109/08, 38/10 – ZUKN, 8/12, 21/13, 47/13 – ZDU-1G, 65/14, 55/17</w:t>
            </w:r>
            <w:r w:rsidR="00D212F7">
              <w:rPr>
                <w:rFonts w:cs="Arial"/>
                <w:iCs/>
                <w:szCs w:val="20"/>
                <w:lang w:val="sl-SI" w:eastAsia="sl-SI"/>
              </w:rPr>
              <w:t>,</w:t>
            </w:r>
            <w:r w:rsidR="006B4D5B" w:rsidRPr="00076C70">
              <w:rPr>
                <w:rFonts w:cs="Arial"/>
                <w:iCs/>
                <w:szCs w:val="20"/>
                <w:lang w:val="sl-SI" w:eastAsia="sl-SI"/>
              </w:rPr>
              <w:t xml:space="preserve"> 163/22</w:t>
            </w:r>
            <w:r w:rsidR="00D212F7">
              <w:rPr>
                <w:rFonts w:cs="Arial"/>
                <w:iCs/>
                <w:szCs w:val="20"/>
                <w:lang w:val="sl-SI" w:eastAsia="sl-SI"/>
              </w:rPr>
              <w:t xml:space="preserve"> in 57/25 – ZF</w:t>
            </w:r>
            <w:r w:rsidR="006B4D5B" w:rsidRPr="00076C70">
              <w:rPr>
                <w:rFonts w:cs="Arial"/>
                <w:iCs/>
                <w:szCs w:val="20"/>
                <w:lang w:val="sl-SI" w:eastAsia="sl-SI"/>
              </w:rPr>
              <w:t xml:space="preserve">) in </w:t>
            </w:r>
            <w:r w:rsidR="00096ECA" w:rsidRPr="00076C70">
              <w:rPr>
                <w:rFonts w:cs="Arial"/>
                <w:bCs/>
                <w:szCs w:val="20"/>
                <w:lang w:val="sl-SI"/>
              </w:rPr>
              <w:t xml:space="preserve">drugega odstavka 15. člena Zakona o mednarodnem razvojnem sodelovanju </w:t>
            </w:r>
            <w:r w:rsidR="00BF2D62" w:rsidRPr="00076C70">
              <w:rPr>
                <w:rFonts w:cs="Arial"/>
                <w:bCs/>
                <w:szCs w:val="20"/>
                <w:lang w:val="sl-SI"/>
              </w:rPr>
              <w:t xml:space="preserve">in humanitarni pomoči </w:t>
            </w:r>
            <w:r w:rsidR="00096ECA" w:rsidRPr="00076C70">
              <w:rPr>
                <w:rFonts w:cs="Arial"/>
                <w:bCs/>
                <w:szCs w:val="20"/>
                <w:lang w:val="sl-SI"/>
              </w:rPr>
              <w:t xml:space="preserve">Republike Slovenije (Uradni list RS, št. </w:t>
            </w:r>
            <w:r w:rsidR="00BF2D62" w:rsidRPr="00076C70">
              <w:rPr>
                <w:rFonts w:cs="Arial"/>
                <w:bCs/>
                <w:szCs w:val="20"/>
                <w:lang w:val="sl-SI"/>
              </w:rPr>
              <w:t>30</w:t>
            </w:r>
            <w:r w:rsidR="00096ECA" w:rsidRPr="00076C70">
              <w:rPr>
                <w:rFonts w:cs="Arial"/>
                <w:bCs/>
                <w:szCs w:val="20"/>
                <w:lang w:val="sl-SI"/>
              </w:rPr>
              <w:t>/</w:t>
            </w:r>
            <w:r w:rsidR="00BF2D62" w:rsidRPr="00076C70">
              <w:rPr>
                <w:rFonts w:cs="Arial"/>
                <w:bCs/>
                <w:szCs w:val="20"/>
                <w:lang w:val="sl-SI"/>
              </w:rPr>
              <w:t>18</w:t>
            </w:r>
            <w:r w:rsidR="00096ECA" w:rsidRPr="00076C70">
              <w:rPr>
                <w:rFonts w:cs="Arial"/>
                <w:bCs/>
                <w:szCs w:val="20"/>
                <w:lang w:val="sl-SI"/>
              </w:rPr>
              <w:t xml:space="preserve">) je </w:t>
            </w:r>
            <w:r w:rsidRPr="00076C70">
              <w:rPr>
                <w:rFonts w:cs="Arial"/>
                <w:bCs/>
                <w:szCs w:val="20"/>
                <w:lang w:val="sl-SI"/>
              </w:rPr>
              <w:t xml:space="preserve">Vlada Republike Slovenije na ... seji  dne ... </w:t>
            </w:r>
            <w:r w:rsidR="00EF7C81" w:rsidRPr="00076C70">
              <w:rPr>
                <w:rFonts w:cs="Arial"/>
                <w:bCs/>
                <w:szCs w:val="20"/>
                <w:lang w:val="sl-SI"/>
              </w:rPr>
              <w:t xml:space="preserve">pod točko… </w:t>
            </w:r>
            <w:r w:rsidRPr="00076C70">
              <w:rPr>
                <w:rFonts w:cs="Arial"/>
                <w:bCs/>
                <w:szCs w:val="20"/>
                <w:lang w:val="sl-SI"/>
              </w:rPr>
              <w:t>sprejela naslednji</w:t>
            </w:r>
          </w:p>
          <w:p w14:paraId="0E570841" w14:textId="77777777" w:rsidR="005E7FA1" w:rsidRPr="00076C70" w:rsidRDefault="005E7FA1" w:rsidP="00BE1017">
            <w:pPr>
              <w:autoSpaceDE w:val="0"/>
              <w:autoSpaceDN w:val="0"/>
              <w:adjustRightInd w:val="0"/>
              <w:spacing w:line="240" w:lineRule="auto"/>
              <w:jc w:val="both"/>
              <w:rPr>
                <w:rFonts w:cs="Arial"/>
                <w:bCs/>
                <w:szCs w:val="20"/>
                <w:lang w:val="sl-SI"/>
              </w:rPr>
            </w:pPr>
          </w:p>
          <w:p w14:paraId="3BE465AD" w14:textId="77777777" w:rsidR="005E7FA1" w:rsidRPr="00076C70" w:rsidRDefault="005E7FA1" w:rsidP="005E7FA1">
            <w:pPr>
              <w:autoSpaceDE w:val="0"/>
              <w:autoSpaceDN w:val="0"/>
              <w:adjustRightInd w:val="0"/>
              <w:spacing w:line="240" w:lineRule="auto"/>
              <w:jc w:val="center"/>
              <w:rPr>
                <w:rFonts w:cs="Arial"/>
                <w:b/>
                <w:bCs/>
                <w:color w:val="000000"/>
                <w:szCs w:val="20"/>
                <w:lang w:val="sl-SI" w:eastAsia="sl-SI"/>
              </w:rPr>
            </w:pPr>
            <w:r w:rsidRPr="00076C70">
              <w:rPr>
                <w:rFonts w:cs="Arial"/>
                <w:bCs/>
                <w:szCs w:val="20"/>
                <w:lang w:val="sl-SI"/>
              </w:rPr>
              <w:t>SKLEP:</w:t>
            </w:r>
          </w:p>
          <w:p w14:paraId="441D834D" w14:textId="77777777" w:rsidR="00096ECA" w:rsidRPr="00076C70" w:rsidRDefault="00096ECA" w:rsidP="00096ECA">
            <w:pPr>
              <w:spacing w:line="240" w:lineRule="atLeast"/>
              <w:ind w:left="360"/>
              <w:jc w:val="both"/>
              <w:rPr>
                <w:rFonts w:cs="Arial"/>
                <w:bCs/>
                <w:szCs w:val="20"/>
                <w:lang w:val="sl-SI"/>
              </w:rPr>
            </w:pPr>
          </w:p>
          <w:p w14:paraId="3B42F890" w14:textId="069D787F" w:rsidR="00096ECA" w:rsidRPr="00076C70" w:rsidRDefault="00096ECA" w:rsidP="005E7FA1">
            <w:pPr>
              <w:spacing w:line="240" w:lineRule="atLeast"/>
              <w:ind w:left="459" w:right="520"/>
              <w:jc w:val="both"/>
              <w:rPr>
                <w:rFonts w:cs="Arial"/>
                <w:bCs/>
                <w:szCs w:val="20"/>
                <w:lang w:val="sl-SI"/>
              </w:rPr>
            </w:pPr>
            <w:r w:rsidRPr="00076C70">
              <w:rPr>
                <w:rFonts w:cs="Arial"/>
                <w:bCs/>
                <w:szCs w:val="20"/>
                <w:lang w:val="sl-SI"/>
              </w:rPr>
              <w:t xml:space="preserve">Vlada Republike Slovenije </w:t>
            </w:r>
            <w:r w:rsidR="00EF7C81" w:rsidRPr="00076C70">
              <w:rPr>
                <w:rFonts w:cs="Arial"/>
                <w:bCs/>
                <w:szCs w:val="20"/>
                <w:lang w:val="sl-SI"/>
              </w:rPr>
              <w:t>je sprejela</w:t>
            </w:r>
            <w:r w:rsidR="005E7FA1" w:rsidRPr="00076C70">
              <w:rPr>
                <w:rFonts w:cs="Arial"/>
                <w:bCs/>
                <w:szCs w:val="20"/>
                <w:lang w:val="sl-SI"/>
              </w:rPr>
              <w:t xml:space="preserve"> </w:t>
            </w:r>
            <w:r w:rsidR="00D212F7">
              <w:rPr>
                <w:rFonts w:cs="Arial"/>
                <w:bCs/>
                <w:szCs w:val="20"/>
                <w:lang w:val="sl-SI"/>
              </w:rPr>
              <w:t>P</w:t>
            </w:r>
            <w:r w:rsidRPr="00076C70">
              <w:rPr>
                <w:rFonts w:cs="Arial"/>
                <w:bCs/>
                <w:szCs w:val="20"/>
                <w:lang w:val="sl-SI"/>
              </w:rPr>
              <w:t>oročil</w:t>
            </w:r>
            <w:r w:rsidR="00913707" w:rsidRPr="00076C70">
              <w:rPr>
                <w:rFonts w:cs="Arial"/>
                <w:bCs/>
                <w:szCs w:val="20"/>
                <w:lang w:val="sl-SI"/>
              </w:rPr>
              <w:t>o</w:t>
            </w:r>
            <w:r w:rsidRPr="00076C70">
              <w:rPr>
                <w:rFonts w:cs="Arial"/>
                <w:bCs/>
                <w:szCs w:val="20"/>
                <w:lang w:val="sl-SI"/>
              </w:rPr>
              <w:t xml:space="preserve"> o mednarodnem razvojnem sodelovanju Republike Slovenije za let</w:t>
            </w:r>
            <w:r w:rsidR="00913707" w:rsidRPr="00076C70">
              <w:rPr>
                <w:rFonts w:cs="Arial"/>
                <w:bCs/>
                <w:szCs w:val="20"/>
                <w:lang w:val="sl-SI"/>
              </w:rPr>
              <w:t>o</w:t>
            </w:r>
            <w:r w:rsidR="003C25AC" w:rsidRPr="00076C70">
              <w:rPr>
                <w:rFonts w:cs="Arial"/>
                <w:bCs/>
                <w:szCs w:val="20"/>
                <w:lang w:val="sl-SI"/>
              </w:rPr>
              <w:t xml:space="preserve"> 202</w:t>
            </w:r>
            <w:r w:rsidR="00BC27B2" w:rsidRPr="00076C70">
              <w:rPr>
                <w:rFonts w:cs="Arial"/>
                <w:bCs/>
                <w:szCs w:val="20"/>
                <w:lang w:val="sl-SI"/>
              </w:rPr>
              <w:t>4</w:t>
            </w:r>
            <w:r w:rsidR="005E7FA1" w:rsidRPr="00076C70">
              <w:rPr>
                <w:rFonts w:cs="Arial"/>
                <w:bCs/>
                <w:szCs w:val="20"/>
                <w:lang w:val="sl-SI"/>
              </w:rPr>
              <w:t xml:space="preserve"> in </w:t>
            </w:r>
            <w:r w:rsidR="00913707" w:rsidRPr="00076C70">
              <w:rPr>
                <w:rFonts w:cs="Arial"/>
                <w:bCs/>
                <w:szCs w:val="20"/>
                <w:lang w:val="sl-SI"/>
              </w:rPr>
              <w:t>ga</w:t>
            </w:r>
            <w:r w:rsidR="005E7FA1" w:rsidRPr="00076C70">
              <w:rPr>
                <w:rFonts w:cs="Arial"/>
                <w:bCs/>
                <w:szCs w:val="20"/>
                <w:lang w:val="sl-SI"/>
              </w:rPr>
              <w:t xml:space="preserve"> pošlje v seznanitev Državnemu zboru</w:t>
            </w:r>
            <w:r w:rsidRPr="00076C70">
              <w:rPr>
                <w:rFonts w:cs="Arial"/>
                <w:bCs/>
                <w:szCs w:val="20"/>
                <w:lang w:val="sl-SI"/>
              </w:rPr>
              <w:t>.</w:t>
            </w:r>
          </w:p>
          <w:p w14:paraId="1346931E" w14:textId="77777777" w:rsidR="00096ECA" w:rsidRPr="00076C70" w:rsidRDefault="00096ECA" w:rsidP="00096ECA">
            <w:pPr>
              <w:pStyle w:val="ListParagraph"/>
              <w:rPr>
                <w:rFonts w:cs="Arial"/>
                <w:bCs/>
                <w:szCs w:val="20"/>
                <w:lang w:val="sl-SI"/>
              </w:rPr>
            </w:pPr>
          </w:p>
          <w:p w14:paraId="45475EC0" w14:textId="77777777" w:rsidR="006B4D5B" w:rsidRPr="00076C70" w:rsidRDefault="006B4D5B" w:rsidP="006B4D5B">
            <w:pPr>
              <w:overflowPunct w:val="0"/>
              <w:autoSpaceDE w:val="0"/>
              <w:autoSpaceDN w:val="0"/>
              <w:adjustRightInd w:val="0"/>
              <w:jc w:val="center"/>
              <w:textAlignment w:val="baseline"/>
              <w:rPr>
                <w:rFonts w:cs="Arial"/>
                <w:iCs/>
                <w:szCs w:val="20"/>
                <w:lang w:val="sl-SI" w:eastAsia="sl-SI"/>
              </w:rPr>
            </w:pPr>
            <w:r w:rsidRPr="00076C70">
              <w:rPr>
                <w:rFonts w:cs="Arial"/>
                <w:iCs/>
                <w:szCs w:val="20"/>
                <w:lang w:val="sl-SI" w:eastAsia="sl-SI"/>
              </w:rPr>
              <w:t xml:space="preserve">                                                             Barbara Kolenko </w:t>
            </w:r>
            <w:proofErr w:type="spellStart"/>
            <w:r w:rsidRPr="00076C70">
              <w:rPr>
                <w:rFonts w:cs="Arial"/>
                <w:iCs/>
                <w:szCs w:val="20"/>
                <w:lang w:val="sl-SI" w:eastAsia="sl-SI"/>
              </w:rPr>
              <w:t>Helbl</w:t>
            </w:r>
            <w:proofErr w:type="spellEnd"/>
          </w:p>
          <w:p w14:paraId="5E0AC07E" w14:textId="77777777" w:rsidR="006B4D5B" w:rsidRPr="00076C70" w:rsidRDefault="006B4D5B" w:rsidP="006B4D5B">
            <w:pPr>
              <w:overflowPunct w:val="0"/>
              <w:autoSpaceDE w:val="0"/>
              <w:autoSpaceDN w:val="0"/>
              <w:adjustRightInd w:val="0"/>
              <w:ind w:left="720"/>
              <w:jc w:val="both"/>
              <w:textAlignment w:val="baseline"/>
              <w:rPr>
                <w:rFonts w:cs="Arial"/>
                <w:iCs/>
                <w:caps/>
                <w:szCs w:val="20"/>
                <w:lang w:val="sl-SI" w:eastAsia="sl-SI"/>
              </w:rPr>
            </w:pPr>
            <w:r w:rsidRPr="00076C70">
              <w:rPr>
                <w:rFonts w:cs="Arial"/>
                <w:iCs/>
                <w:szCs w:val="20"/>
                <w:lang w:val="sl-SI" w:eastAsia="sl-SI"/>
              </w:rPr>
              <w:t xml:space="preserve">                                                                            </w:t>
            </w:r>
            <w:r w:rsidRPr="00076C70">
              <w:rPr>
                <w:rFonts w:cs="Arial"/>
                <w:iCs/>
                <w:caps/>
                <w:szCs w:val="20"/>
                <w:lang w:val="sl-SI" w:eastAsia="sl-SI"/>
              </w:rPr>
              <w:t>generalna sekretarka</w:t>
            </w:r>
          </w:p>
          <w:p w14:paraId="1586A178" w14:textId="77777777" w:rsidR="00096ECA" w:rsidRPr="00076C70" w:rsidRDefault="00096ECA" w:rsidP="007B77A9">
            <w:pPr>
              <w:spacing w:line="240" w:lineRule="atLeast"/>
              <w:jc w:val="both"/>
              <w:rPr>
                <w:rFonts w:cs="Arial"/>
                <w:bCs/>
                <w:szCs w:val="20"/>
                <w:lang w:val="sl-SI"/>
              </w:rPr>
            </w:pPr>
          </w:p>
          <w:p w14:paraId="68ED3B94" w14:textId="7562666C" w:rsidR="007B77A9" w:rsidRPr="00076C70" w:rsidRDefault="003C25AC" w:rsidP="007B77A9">
            <w:pPr>
              <w:rPr>
                <w:rFonts w:eastAsia="Calibri" w:cs="Arial"/>
                <w:szCs w:val="20"/>
                <w:lang w:val="sl-SI"/>
              </w:rPr>
            </w:pPr>
            <w:r w:rsidRPr="00076C70">
              <w:rPr>
                <w:rFonts w:eastAsia="Calibri" w:cs="Arial"/>
                <w:szCs w:val="20"/>
                <w:lang w:val="sl-SI"/>
              </w:rPr>
              <w:t>Prilog</w:t>
            </w:r>
            <w:r w:rsidR="001033B9" w:rsidRPr="00076C70">
              <w:rPr>
                <w:rFonts w:eastAsia="Calibri" w:cs="Arial"/>
                <w:szCs w:val="20"/>
                <w:lang w:val="sl-SI"/>
              </w:rPr>
              <w:t>a</w:t>
            </w:r>
            <w:r w:rsidR="007B77A9" w:rsidRPr="00076C70">
              <w:rPr>
                <w:rFonts w:eastAsia="Calibri" w:cs="Arial"/>
                <w:szCs w:val="20"/>
                <w:lang w:val="sl-SI"/>
              </w:rPr>
              <w:t xml:space="preserve">: </w:t>
            </w:r>
          </w:p>
          <w:p w14:paraId="529560B4" w14:textId="2681C30E" w:rsidR="003C25AC" w:rsidRPr="00076C70" w:rsidRDefault="007B77A9" w:rsidP="00913707">
            <w:pPr>
              <w:numPr>
                <w:ilvl w:val="1"/>
                <w:numId w:val="21"/>
              </w:numPr>
              <w:ind w:left="426" w:hanging="426"/>
              <w:rPr>
                <w:rFonts w:eastAsia="Calibri" w:cs="Arial"/>
                <w:szCs w:val="20"/>
                <w:lang w:val="sl-SI"/>
              </w:rPr>
            </w:pPr>
            <w:r w:rsidRPr="00076C70">
              <w:rPr>
                <w:rFonts w:eastAsia="Calibri" w:cs="Arial"/>
                <w:szCs w:val="20"/>
                <w:lang w:val="sl-SI"/>
              </w:rPr>
              <w:t>Poročilo o mednarodnem razvojnem sodelovanju Republike Slovenije za leto 20</w:t>
            </w:r>
            <w:r w:rsidR="003C25AC" w:rsidRPr="00076C70">
              <w:rPr>
                <w:rFonts w:eastAsia="Calibri" w:cs="Arial"/>
                <w:szCs w:val="20"/>
                <w:lang w:val="sl-SI"/>
              </w:rPr>
              <w:t>2</w:t>
            </w:r>
            <w:r w:rsidR="00BC27B2" w:rsidRPr="00076C70">
              <w:rPr>
                <w:rFonts w:eastAsia="Calibri" w:cs="Arial"/>
                <w:szCs w:val="20"/>
                <w:lang w:val="sl-SI"/>
              </w:rPr>
              <w:t>4</w:t>
            </w:r>
          </w:p>
          <w:p w14:paraId="37F31060" w14:textId="77777777" w:rsidR="007B77A9" w:rsidRPr="00076C70" w:rsidRDefault="007B77A9" w:rsidP="007B77A9">
            <w:pPr>
              <w:spacing w:line="240" w:lineRule="atLeast"/>
              <w:jc w:val="both"/>
              <w:rPr>
                <w:rFonts w:cs="Arial"/>
                <w:bCs/>
                <w:szCs w:val="20"/>
                <w:lang w:val="sl-SI"/>
              </w:rPr>
            </w:pPr>
          </w:p>
          <w:p w14:paraId="02C801EE" w14:textId="280CEFAC" w:rsidR="00BE1017" w:rsidRPr="00076C70" w:rsidRDefault="00D212F7" w:rsidP="00BE1017">
            <w:pPr>
              <w:spacing w:line="240" w:lineRule="atLeast"/>
              <w:jc w:val="both"/>
              <w:rPr>
                <w:rFonts w:cs="Arial"/>
                <w:bCs/>
                <w:szCs w:val="20"/>
                <w:lang w:val="sl-SI"/>
              </w:rPr>
            </w:pPr>
            <w:r>
              <w:rPr>
                <w:rFonts w:cs="Arial"/>
                <w:bCs/>
                <w:szCs w:val="20"/>
                <w:lang w:val="sl-SI"/>
              </w:rPr>
              <w:t>P</w:t>
            </w:r>
            <w:r w:rsidR="00D2064F" w:rsidRPr="00076C70">
              <w:rPr>
                <w:rFonts w:cs="Arial"/>
                <w:bCs/>
                <w:szCs w:val="20"/>
                <w:lang w:val="sl-SI"/>
              </w:rPr>
              <w:t>rejme</w:t>
            </w:r>
            <w:r w:rsidR="00BE1017" w:rsidRPr="00076C70">
              <w:rPr>
                <w:rFonts w:cs="Arial"/>
                <w:bCs/>
                <w:szCs w:val="20"/>
                <w:lang w:val="sl-SI"/>
              </w:rPr>
              <w:t xml:space="preserve">: </w:t>
            </w:r>
          </w:p>
          <w:p w14:paraId="4DFEACC6" w14:textId="5A258FB7" w:rsidR="00BE1017" w:rsidRPr="00076C70" w:rsidRDefault="00BE1017" w:rsidP="005A1F60">
            <w:pPr>
              <w:pStyle w:val="ListParagraph"/>
              <w:numPr>
                <w:ilvl w:val="1"/>
                <w:numId w:val="21"/>
              </w:numPr>
              <w:spacing w:line="240" w:lineRule="atLeast"/>
              <w:ind w:left="484" w:hanging="484"/>
              <w:jc w:val="both"/>
              <w:rPr>
                <w:rFonts w:cs="Arial"/>
                <w:bCs/>
                <w:i/>
                <w:color w:val="FF0000"/>
                <w:szCs w:val="20"/>
                <w:lang w:val="sl-SI"/>
              </w:rPr>
            </w:pPr>
            <w:r w:rsidRPr="00076C70">
              <w:rPr>
                <w:rFonts w:cs="Arial"/>
                <w:bCs/>
                <w:szCs w:val="20"/>
                <w:lang w:val="sl-SI"/>
              </w:rPr>
              <w:t>Ministrstvo za zunanje</w:t>
            </w:r>
            <w:r w:rsidR="005A652C" w:rsidRPr="00076C70">
              <w:rPr>
                <w:rFonts w:cs="Arial"/>
                <w:bCs/>
                <w:szCs w:val="20"/>
                <w:lang w:val="sl-SI"/>
              </w:rPr>
              <w:t xml:space="preserve"> in evropske</w:t>
            </w:r>
            <w:r w:rsidRPr="00076C70">
              <w:rPr>
                <w:rFonts w:cs="Arial"/>
                <w:bCs/>
                <w:szCs w:val="20"/>
                <w:lang w:val="sl-SI"/>
              </w:rPr>
              <w:t xml:space="preserve"> zadeve</w:t>
            </w:r>
          </w:p>
        </w:tc>
      </w:tr>
      <w:tr w:rsidR="00B876EB" w:rsidRPr="00076C70" w14:paraId="461DA443" w14:textId="77777777" w:rsidTr="00CC39A2">
        <w:tc>
          <w:tcPr>
            <w:tcW w:w="9133" w:type="dxa"/>
            <w:gridSpan w:val="4"/>
          </w:tcPr>
          <w:p w14:paraId="61EC6CFA" w14:textId="77777777" w:rsidR="00B876EB" w:rsidRPr="00076C70" w:rsidRDefault="00B876EB" w:rsidP="00B876EB">
            <w:pPr>
              <w:overflowPunct w:val="0"/>
              <w:autoSpaceDE w:val="0"/>
              <w:autoSpaceDN w:val="0"/>
              <w:adjustRightInd w:val="0"/>
              <w:jc w:val="both"/>
              <w:textAlignment w:val="baseline"/>
              <w:rPr>
                <w:rFonts w:cs="Arial"/>
                <w:b/>
                <w:iCs/>
                <w:szCs w:val="20"/>
                <w:lang w:val="sl-SI" w:eastAsia="sl-SI"/>
              </w:rPr>
            </w:pPr>
            <w:r w:rsidRPr="00076C70">
              <w:rPr>
                <w:rFonts w:cs="Arial"/>
                <w:b/>
                <w:szCs w:val="20"/>
                <w:lang w:val="sl-SI" w:eastAsia="sl-SI"/>
              </w:rPr>
              <w:t>2. Predlog za obravnavo predloga zakona po nujnem ali skrajšanem postopku v državnem zboru z obrazložitvijo razlogov:</w:t>
            </w:r>
          </w:p>
        </w:tc>
      </w:tr>
      <w:tr w:rsidR="00B876EB" w:rsidRPr="00076C70" w14:paraId="239C0E20" w14:textId="77777777" w:rsidTr="00CC39A2">
        <w:tc>
          <w:tcPr>
            <w:tcW w:w="9133" w:type="dxa"/>
            <w:gridSpan w:val="4"/>
          </w:tcPr>
          <w:p w14:paraId="7A337853" w14:textId="77777777" w:rsidR="00B876EB" w:rsidRPr="00076C70" w:rsidRDefault="009A6758" w:rsidP="00B876EB">
            <w:p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w:t>
            </w:r>
          </w:p>
        </w:tc>
      </w:tr>
      <w:tr w:rsidR="00B876EB" w:rsidRPr="00076C70" w14:paraId="2B9524E8" w14:textId="77777777" w:rsidTr="00CC39A2">
        <w:tc>
          <w:tcPr>
            <w:tcW w:w="9133" w:type="dxa"/>
            <w:gridSpan w:val="4"/>
          </w:tcPr>
          <w:p w14:paraId="34D6B2C6" w14:textId="77777777" w:rsidR="00B876EB" w:rsidRPr="00076C70" w:rsidRDefault="00B876EB" w:rsidP="00B876EB">
            <w:pPr>
              <w:overflowPunct w:val="0"/>
              <w:autoSpaceDE w:val="0"/>
              <w:autoSpaceDN w:val="0"/>
              <w:adjustRightInd w:val="0"/>
              <w:jc w:val="both"/>
              <w:textAlignment w:val="baseline"/>
              <w:rPr>
                <w:rFonts w:cs="Arial"/>
                <w:b/>
                <w:iCs/>
                <w:szCs w:val="20"/>
                <w:lang w:val="sl-SI" w:eastAsia="sl-SI"/>
              </w:rPr>
            </w:pPr>
            <w:r w:rsidRPr="00076C70">
              <w:rPr>
                <w:rFonts w:cs="Arial"/>
                <w:b/>
                <w:szCs w:val="20"/>
                <w:lang w:val="sl-SI" w:eastAsia="sl-SI"/>
              </w:rPr>
              <w:t>3.a Osebe, odgovorne za strokovno pripravo in usklajenost gradiva:</w:t>
            </w:r>
          </w:p>
        </w:tc>
      </w:tr>
      <w:tr w:rsidR="00B876EB" w:rsidRPr="00C9363E" w14:paraId="7A8EA50B" w14:textId="77777777" w:rsidTr="00CC39A2">
        <w:tc>
          <w:tcPr>
            <w:tcW w:w="9133" w:type="dxa"/>
            <w:gridSpan w:val="4"/>
          </w:tcPr>
          <w:p w14:paraId="13B59CFE" w14:textId="7A540E1C" w:rsidR="00CD771F" w:rsidRPr="00076C70" w:rsidRDefault="003C25AC" w:rsidP="00CD771F">
            <w:pPr>
              <w:numPr>
                <w:ilvl w:val="0"/>
                <w:numId w:val="30"/>
              </w:numPr>
              <w:spacing w:line="240" w:lineRule="auto"/>
              <w:jc w:val="both"/>
              <w:rPr>
                <w:sz w:val="22"/>
                <w:szCs w:val="22"/>
                <w:lang w:val="sl-SI"/>
              </w:rPr>
            </w:pPr>
            <w:r w:rsidRPr="00076C70">
              <w:rPr>
                <w:lang w:val="sl-SI"/>
              </w:rPr>
              <w:t xml:space="preserve">Edvin </w:t>
            </w:r>
            <w:proofErr w:type="spellStart"/>
            <w:r w:rsidRPr="00076C70">
              <w:rPr>
                <w:lang w:val="sl-SI"/>
              </w:rPr>
              <w:t>Skrt</w:t>
            </w:r>
            <w:proofErr w:type="spellEnd"/>
            <w:r w:rsidR="00DE5E99" w:rsidRPr="00076C70">
              <w:rPr>
                <w:lang w:val="sl-SI"/>
              </w:rPr>
              <w:t xml:space="preserve">, </w:t>
            </w:r>
            <w:r w:rsidR="007B77A9" w:rsidRPr="00076C70">
              <w:rPr>
                <w:lang w:val="sl-SI"/>
              </w:rPr>
              <w:t>generaln</w:t>
            </w:r>
            <w:r w:rsidRPr="00076C70">
              <w:rPr>
                <w:lang w:val="sl-SI"/>
              </w:rPr>
              <w:t>i</w:t>
            </w:r>
            <w:r w:rsidR="00CD771F" w:rsidRPr="00076C70">
              <w:rPr>
                <w:lang w:val="sl-SI"/>
              </w:rPr>
              <w:t xml:space="preserve"> direktor Direktorata za razvojno sodelovanje</w:t>
            </w:r>
            <w:r w:rsidRPr="00076C70">
              <w:rPr>
                <w:lang w:val="sl-SI"/>
              </w:rPr>
              <w:t xml:space="preserve"> in humanitarno pomoč</w:t>
            </w:r>
            <w:r w:rsidR="00CD771F" w:rsidRPr="00076C70">
              <w:rPr>
                <w:lang w:val="sl-SI"/>
              </w:rPr>
              <w:t xml:space="preserve">, Ministrstvo za zunanje </w:t>
            </w:r>
            <w:r w:rsidRPr="00076C70">
              <w:rPr>
                <w:lang w:val="sl-SI"/>
              </w:rPr>
              <w:t xml:space="preserve">in evropske </w:t>
            </w:r>
            <w:r w:rsidR="00CD771F" w:rsidRPr="00076C70">
              <w:rPr>
                <w:lang w:val="sl-SI"/>
              </w:rPr>
              <w:t xml:space="preserve">zadeve, </w:t>
            </w:r>
          </w:p>
          <w:p w14:paraId="39548567" w14:textId="61023023" w:rsidR="009A6758" w:rsidRPr="00076C70" w:rsidRDefault="00A001F9" w:rsidP="003C25AC">
            <w:pPr>
              <w:numPr>
                <w:ilvl w:val="0"/>
                <w:numId w:val="30"/>
              </w:numPr>
              <w:spacing w:line="240" w:lineRule="auto"/>
              <w:jc w:val="both"/>
              <w:rPr>
                <w:sz w:val="22"/>
                <w:szCs w:val="22"/>
                <w:lang w:val="sl-SI"/>
              </w:rPr>
            </w:pPr>
            <w:r w:rsidRPr="00076C70">
              <w:rPr>
                <w:lang w:val="sl-SI"/>
              </w:rPr>
              <w:t>dr. Eva Nastav</w:t>
            </w:r>
            <w:r w:rsidR="00DE5E99" w:rsidRPr="00076C70">
              <w:rPr>
                <w:lang w:val="sl-SI"/>
              </w:rPr>
              <w:t xml:space="preserve">, </w:t>
            </w:r>
            <w:r w:rsidR="007B77A9" w:rsidRPr="00076C70">
              <w:rPr>
                <w:lang w:val="sl-SI"/>
              </w:rPr>
              <w:t>vodja</w:t>
            </w:r>
            <w:r w:rsidR="00CD771F" w:rsidRPr="00076C70">
              <w:rPr>
                <w:lang w:val="sl-SI"/>
              </w:rPr>
              <w:t xml:space="preserve"> Sektorja za </w:t>
            </w:r>
            <w:r w:rsidR="003C25AC" w:rsidRPr="00076C70">
              <w:rPr>
                <w:lang w:val="sl-SI"/>
              </w:rPr>
              <w:t xml:space="preserve">izvajanje mednarodnega </w:t>
            </w:r>
            <w:r w:rsidR="00CD771F" w:rsidRPr="00076C70">
              <w:rPr>
                <w:lang w:val="sl-SI"/>
              </w:rPr>
              <w:t>razvojn</w:t>
            </w:r>
            <w:r w:rsidR="003C25AC" w:rsidRPr="00076C70">
              <w:rPr>
                <w:lang w:val="sl-SI"/>
              </w:rPr>
              <w:t>ega</w:t>
            </w:r>
            <w:r w:rsidR="00CD771F" w:rsidRPr="00076C70">
              <w:rPr>
                <w:lang w:val="sl-SI"/>
              </w:rPr>
              <w:t xml:space="preserve"> sodelovanj</w:t>
            </w:r>
            <w:r w:rsidR="003C25AC" w:rsidRPr="00076C70">
              <w:rPr>
                <w:lang w:val="sl-SI"/>
              </w:rPr>
              <w:t>a</w:t>
            </w:r>
            <w:r w:rsidR="00CD771F" w:rsidRPr="00076C70">
              <w:rPr>
                <w:lang w:val="sl-SI"/>
              </w:rPr>
              <w:t xml:space="preserve"> in humanitarn</w:t>
            </w:r>
            <w:r w:rsidR="003C25AC" w:rsidRPr="00076C70">
              <w:rPr>
                <w:lang w:val="sl-SI"/>
              </w:rPr>
              <w:t>e</w:t>
            </w:r>
            <w:r w:rsidR="00CD771F" w:rsidRPr="00076C70">
              <w:rPr>
                <w:lang w:val="sl-SI"/>
              </w:rPr>
              <w:t xml:space="preserve"> pomoč</w:t>
            </w:r>
            <w:r w:rsidR="003C25AC" w:rsidRPr="00076C70">
              <w:rPr>
                <w:lang w:val="sl-SI"/>
              </w:rPr>
              <w:t>i</w:t>
            </w:r>
            <w:r w:rsidR="00CD771F" w:rsidRPr="00076C70">
              <w:rPr>
                <w:lang w:val="sl-SI"/>
              </w:rPr>
              <w:t xml:space="preserve">, Ministrstvo za zunanje </w:t>
            </w:r>
            <w:r w:rsidR="003C25AC" w:rsidRPr="00076C70">
              <w:rPr>
                <w:lang w:val="sl-SI"/>
              </w:rPr>
              <w:t xml:space="preserve">in evropske </w:t>
            </w:r>
            <w:r w:rsidR="00CD771F" w:rsidRPr="00076C70">
              <w:rPr>
                <w:lang w:val="sl-SI"/>
              </w:rPr>
              <w:t>zadeve.</w:t>
            </w:r>
          </w:p>
        </w:tc>
      </w:tr>
      <w:tr w:rsidR="00B876EB" w:rsidRPr="00076C70" w14:paraId="4087F51A" w14:textId="77777777" w:rsidTr="00CC39A2">
        <w:tc>
          <w:tcPr>
            <w:tcW w:w="9133" w:type="dxa"/>
            <w:gridSpan w:val="4"/>
          </w:tcPr>
          <w:p w14:paraId="4D5E9506" w14:textId="77777777" w:rsidR="00B876EB" w:rsidRPr="00076C70" w:rsidRDefault="00B876EB" w:rsidP="00B876EB">
            <w:pPr>
              <w:overflowPunct w:val="0"/>
              <w:autoSpaceDE w:val="0"/>
              <w:autoSpaceDN w:val="0"/>
              <w:adjustRightInd w:val="0"/>
              <w:jc w:val="both"/>
              <w:textAlignment w:val="baseline"/>
              <w:rPr>
                <w:rFonts w:cs="Arial"/>
                <w:b/>
                <w:iCs/>
                <w:szCs w:val="20"/>
                <w:lang w:val="sl-SI" w:eastAsia="sl-SI"/>
              </w:rPr>
            </w:pPr>
            <w:r w:rsidRPr="00076C70">
              <w:rPr>
                <w:rFonts w:cs="Arial"/>
                <w:b/>
                <w:iCs/>
                <w:szCs w:val="20"/>
                <w:lang w:val="sl-SI" w:eastAsia="sl-SI"/>
              </w:rPr>
              <w:t xml:space="preserve">3.b Zunanji strokovnjaki, ki so </w:t>
            </w:r>
            <w:r w:rsidRPr="00076C70">
              <w:rPr>
                <w:rFonts w:cs="Arial"/>
                <w:b/>
                <w:szCs w:val="20"/>
                <w:lang w:val="sl-SI" w:eastAsia="sl-SI"/>
              </w:rPr>
              <w:t>sodelovali pri pripravi dela ali celotnega gradiva:</w:t>
            </w:r>
          </w:p>
        </w:tc>
      </w:tr>
      <w:tr w:rsidR="00B876EB" w:rsidRPr="00076C70" w14:paraId="3F16C57F" w14:textId="77777777" w:rsidTr="00CC39A2">
        <w:tc>
          <w:tcPr>
            <w:tcW w:w="9133" w:type="dxa"/>
            <w:gridSpan w:val="4"/>
          </w:tcPr>
          <w:p w14:paraId="3AD2ABD4" w14:textId="77777777" w:rsidR="00B876EB" w:rsidRPr="00076C70" w:rsidRDefault="00CD771F" w:rsidP="00B876EB">
            <w:p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w:t>
            </w:r>
          </w:p>
        </w:tc>
      </w:tr>
      <w:tr w:rsidR="00B876EB" w:rsidRPr="00076C70" w14:paraId="064D7DAD" w14:textId="77777777" w:rsidTr="00CC39A2">
        <w:tc>
          <w:tcPr>
            <w:tcW w:w="9133" w:type="dxa"/>
            <w:gridSpan w:val="4"/>
          </w:tcPr>
          <w:p w14:paraId="67A37F09" w14:textId="77777777" w:rsidR="00B876EB" w:rsidRPr="00076C70" w:rsidRDefault="00B876EB" w:rsidP="00B876EB">
            <w:pPr>
              <w:overflowPunct w:val="0"/>
              <w:autoSpaceDE w:val="0"/>
              <w:autoSpaceDN w:val="0"/>
              <w:adjustRightInd w:val="0"/>
              <w:jc w:val="both"/>
              <w:textAlignment w:val="baseline"/>
              <w:rPr>
                <w:rFonts w:cs="Arial"/>
                <w:b/>
                <w:iCs/>
                <w:szCs w:val="20"/>
                <w:lang w:val="sl-SI" w:eastAsia="sl-SI"/>
              </w:rPr>
            </w:pPr>
            <w:r w:rsidRPr="00076C70">
              <w:rPr>
                <w:rFonts w:cs="Arial"/>
                <w:b/>
                <w:szCs w:val="20"/>
                <w:lang w:val="sl-SI" w:eastAsia="sl-SI"/>
              </w:rPr>
              <w:t>4. Predstavniki vlade, ki bodo sodelovali pri delu državnega zbora:</w:t>
            </w:r>
          </w:p>
        </w:tc>
      </w:tr>
      <w:tr w:rsidR="00B876EB" w:rsidRPr="00076C70" w14:paraId="06B26269" w14:textId="77777777" w:rsidTr="00CC39A2">
        <w:tc>
          <w:tcPr>
            <w:tcW w:w="9133" w:type="dxa"/>
            <w:gridSpan w:val="4"/>
          </w:tcPr>
          <w:p w14:paraId="65DAFD8F" w14:textId="79B37153" w:rsidR="00CD771F" w:rsidRPr="00076C70" w:rsidRDefault="003C25AC" w:rsidP="00CD771F">
            <w:pPr>
              <w:numPr>
                <w:ilvl w:val="0"/>
                <w:numId w:val="29"/>
              </w:numPr>
              <w:overflowPunct w:val="0"/>
              <w:autoSpaceDE w:val="0"/>
              <w:autoSpaceDN w:val="0"/>
              <w:adjustRightInd w:val="0"/>
              <w:spacing w:line="240" w:lineRule="auto"/>
              <w:jc w:val="both"/>
              <w:textAlignment w:val="baseline"/>
              <w:rPr>
                <w:rFonts w:cs="Arial"/>
                <w:szCs w:val="20"/>
                <w:lang w:val="sl-SI" w:eastAsia="sl-SI"/>
              </w:rPr>
            </w:pPr>
            <w:r w:rsidRPr="00076C70">
              <w:rPr>
                <w:rFonts w:cs="Arial"/>
                <w:szCs w:val="20"/>
                <w:lang w:val="sl-SI" w:eastAsia="sl-SI"/>
              </w:rPr>
              <w:t>Tanja Fajon</w:t>
            </w:r>
            <w:r w:rsidR="00BF2D62" w:rsidRPr="00076C70">
              <w:rPr>
                <w:rFonts w:cs="Arial"/>
                <w:szCs w:val="20"/>
                <w:lang w:val="sl-SI" w:eastAsia="sl-SI"/>
              </w:rPr>
              <w:t xml:space="preserve">, </w:t>
            </w:r>
            <w:r w:rsidR="00CD771F" w:rsidRPr="00076C70">
              <w:rPr>
                <w:rFonts w:cs="Arial"/>
                <w:szCs w:val="20"/>
                <w:lang w:val="sl-SI" w:eastAsia="sl-SI"/>
              </w:rPr>
              <w:t xml:space="preserve">minister za zunanje </w:t>
            </w:r>
            <w:r w:rsidR="0085505C" w:rsidRPr="00076C70">
              <w:rPr>
                <w:rFonts w:cs="Arial"/>
                <w:szCs w:val="20"/>
                <w:lang w:val="sl-SI" w:eastAsia="sl-SI"/>
              </w:rPr>
              <w:t xml:space="preserve">in evropske </w:t>
            </w:r>
            <w:r w:rsidR="00CD771F" w:rsidRPr="00076C70">
              <w:rPr>
                <w:rFonts w:cs="Arial"/>
                <w:szCs w:val="20"/>
                <w:lang w:val="sl-SI" w:eastAsia="sl-SI"/>
              </w:rPr>
              <w:t>zadeve;</w:t>
            </w:r>
          </w:p>
          <w:p w14:paraId="1D3E3B21" w14:textId="1926ABE0" w:rsidR="00CD771F" w:rsidRPr="00076C70" w:rsidRDefault="00913707" w:rsidP="00CD771F">
            <w:pPr>
              <w:numPr>
                <w:ilvl w:val="0"/>
                <w:numId w:val="29"/>
              </w:numPr>
              <w:overflowPunct w:val="0"/>
              <w:autoSpaceDE w:val="0"/>
              <w:autoSpaceDN w:val="0"/>
              <w:adjustRightInd w:val="0"/>
              <w:spacing w:line="240" w:lineRule="auto"/>
              <w:jc w:val="both"/>
              <w:textAlignment w:val="baseline"/>
              <w:rPr>
                <w:rFonts w:cs="Arial"/>
                <w:szCs w:val="20"/>
                <w:lang w:val="sl-SI" w:eastAsia="sl-SI"/>
              </w:rPr>
            </w:pPr>
            <w:r w:rsidRPr="00076C70">
              <w:rPr>
                <w:rFonts w:cs="Arial"/>
                <w:szCs w:val="20"/>
                <w:lang w:val="sl-SI" w:eastAsia="sl-SI"/>
              </w:rPr>
              <w:t>Dr. Melita Gabrič</w:t>
            </w:r>
            <w:r w:rsidR="0085505C" w:rsidRPr="00076C70">
              <w:rPr>
                <w:rFonts w:cs="Arial"/>
                <w:szCs w:val="20"/>
                <w:lang w:val="sl-SI" w:eastAsia="sl-SI"/>
              </w:rPr>
              <w:t>, državna sekretarka</w:t>
            </w:r>
            <w:r w:rsidR="00FF6B95" w:rsidRPr="00076C70">
              <w:rPr>
                <w:rFonts w:cs="Arial"/>
                <w:szCs w:val="20"/>
                <w:lang w:val="sl-SI" w:eastAsia="sl-SI"/>
              </w:rPr>
              <w:t xml:space="preserve">, </w:t>
            </w:r>
            <w:r w:rsidR="00CD771F" w:rsidRPr="00076C70">
              <w:rPr>
                <w:rFonts w:cs="Arial"/>
                <w:szCs w:val="20"/>
                <w:lang w:val="sl-SI" w:eastAsia="sl-SI"/>
              </w:rPr>
              <w:t xml:space="preserve">Ministrstvo za zunanje </w:t>
            </w:r>
            <w:r w:rsidR="0085505C" w:rsidRPr="00076C70">
              <w:rPr>
                <w:rFonts w:cs="Arial"/>
                <w:szCs w:val="20"/>
                <w:lang w:val="sl-SI" w:eastAsia="sl-SI"/>
              </w:rPr>
              <w:t xml:space="preserve">in evropske </w:t>
            </w:r>
            <w:r w:rsidR="00CD771F" w:rsidRPr="00076C70">
              <w:rPr>
                <w:rFonts w:cs="Arial"/>
                <w:szCs w:val="20"/>
                <w:lang w:val="sl-SI" w:eastAsia="sl-SI"/>
              </w:rPr>
              <w:t>zadeve;</w:t>
            </w:r>
          </w:p>
          <w:p w14:paraId="776F3534" w14:textId="69F36B56" w:rsidR="007B77A9" w:rsidRPr="00076C70" w:rsidRDefault="0085505C" w:rsidP="007B77A9">
            <w:pPr>
              <w:numPr>
                <w:ilvl w:val="0"/>
                <w:numId w:val="29"/>
              </w:numPr>
              <w:overflowPunct w:val="0"/>
              <w:autoSpaceDE w:val="0"/>
              <w:autoSpaceDN w:val="0"/>
              <w:adjustRightInd w:val="0"/>
              <w:spacing w:line="240" w:lineRule="auto"/>
              <w:jc w:val="both"/>
              <w:textAlignment w:val="baseline"/>
              <w:rPr>
                <w:rFonts w:cs="Arial"/>
                <w:szCs w:val="20"/>
                <w:lang w:val="sl-SI" w:eastAsia="sl-SI"/>
              </w:rPr>
            </w:pPr>
            <w:r w:rsidRPr="00076C70">
              <w:rPr>
                <w:rFonts w:cs="Arial"/>
                <w:szCs w:val="20"/>
                <w:lang w:val="sl-SI" w:eastAsia="sl-SI"/>
              </w:rPr>
              <w:t>mag. Marko Štucin</w:t>
            </w:r>
            <w:r w:rsidR="00DE5E99" w:rsidRPr="00076C70">
              <w:rPr>
                <w:rFonts w:cs="Arial"/>
                <w:szCs w:val="20"/>
                <w:lang w:val="sl-SI" w:eastAsia="sl-SI"/>
              </w:rPr>
              <w:t xml:space="preserve">, </w:t>
            </w:r>
            <w:r w:rsidR="00CD771F" w:rsidRPr="00076C70">
              <w:rPr>
                <w:rFonts w:cs="Arial"/>
                <w:szCs w:val="20"/>
                <w:lang w:val="sl-SI" w:eastAsia="sl-SI"/>
              </w:rPr>
              <w:t xml:space="preserve">državni sekretar, Ministrstvo za zunanje </w:t>
            </w:r>
            <w:r w:rsidRPr="00076C70">
              <w:rPr>
                <w:rFonts w:cs="Arial"/>
                <w:szCs w:val="20"/>
                <w:lang w:val="sl-SI" w:eastAsia="sl-SI"/>
              </w:rPr>
              <w:t xml:space="preserve">in evropske </w:t>
            </w:r>
            <w:r w:rsidR="00CD771F" w:rsidRPr="00076C70">
              <w:rPr>
                <w:rFonts w:cs="Arial"/>
                <w:szCs w:val="20"/>
                <w:lang w:val="sl-SI" w:eastAsia="sl-SI"/>
              </w:rPr>
              <w:t>zadeve;</w:t>
            </w:r>
          </w:p>
          <w:p w14:paraId="00591264" w14:textId="206118A8" w:rsidR="00CD771F" w:rsidRPr="00076C70" w:rsidRDefault="0085505C" w:rsidP="007B77A9">
            <w:pPr>
              <w:numPr>
                <w:ilvl w:val="0"/>
                <w:numId w:val="29"/>
              </w:numPr>
              <w:overflowPunct w:val="0"/>
              <w:autoSpaceDE w:val="0"/>
              <w:autoSpaceDN w:val="0"/>
              <w:adjustRightInd w:val="0"/>
              <w:spacing w:line="240" w:lineRule="auto"/>
              <w:jc w:val="both"/>
              <w:textAlignment w:val="baseline"/>
              <w:rPr>
                <w:rFonts w:cs="Arial"/>
                <w:szCs w:val="20"/>
                <w:lang w:val="sl-SI" w:eastAsia="sl-SI"/>
              </w:rPr>
            </w:pPr>
            <w:r w:rsidRPr="00076C70">
              <w:rPr>
                <w:lang w:val="sl-SI"/>
              </w:rPr>
              <w:t xml:space="preserve">Edvin </w:t>
            </w:r>
            <w:proofErr w:type="spellStart"/>
            <w:r w:rsidRPr="00076C70">
              <w:rPr>
                <w:lang w:val="sl-SI"/>
              </w:rPr>
              <w:t>Skrt</w:t>
            </w:r>
            <w:proofErr w:type="spellEnd"/>
            <w:r w:rsidRPr="00076C70">
              <w:rPr>
                <w:lang w:val="sl-SI"/>
              </w:rPr>
              <w:t>, generalni direktor Direktorata za razvojno sodelovanje in humanitarno pomoč, Ministrstvo za zunanje in evropske zadeve</w:t>
            </w:r>
            <w:r w:rsidR="00085735" w:rsidRPr="00076C70">
              <w:rPr>
                <w:lang w:val="sl-SI"/>
              </w:rPr>
              <w:t>;</w:t>
            </w:r>
            <w:r w:rsidR="00CD771F" w:rsidRPr="00076C70">
              <w:rPr>
                <w:lang w:val="sl-SI"/>
              </w:rPr>
              <w:t xml:space="preserve"> </w:t>
            </w:r>
          </w:p>
          <w:p w14:paraId="7E7DA687" w14:textId="1F5B8385" w:rsidR="0035685D" w:rsidRPr="00076C70" w:rsidRDefault="00A001F9" w:rsidP="007B77A9">
            <w:pPr>
              <w:numPr>
                <w:ilvl w:val="0"/>
                <w:numId w:val="29"/>
              </w:numPr>
              <w:overflowPunct w:val="0"/>
              <w:autoSpaceDE w:val="0"/>
              <w:autoSpaceDN w:val="0"/>
              <w:adjustRightInd w:val="0"/>
              <w:spacing w:line="240" w:lineRule="auto"/>
              <w:jc w:val="both"/>
              <w:textAlignment w:val="baseline"/>
              <w:rPr>
                <w:rFonts w:cs="Arial"/>
                <w:szCs w:val="20"/>
                <w:lang w:val="sl-SI" w:eastAsia="sl-SI"/>
              </w:rPr>
            </w:pPr>
            <w:r w:rsidRPr="00076C70">
              <w:rPr>
                <w:lang w:val="sl-SI"/>
              </w:rPr>
              <w:t>dr. Eva Nastav</w:t>
            </w:r>
            <w:r w:rsidR="003C25AC" w:rsidRPr="00076C70">
              <w:rPr>
                <w:lang w:val="sl-SI"/>
              </w:rPr>
              <w:t>, vodja Sektorja za izvajanje mednarodnega razvojnega sodelovanja in humanitarne pomoči, Ministrstvo za zunanje in evropske zadeve</w:t>
            </w:r>
            <w:r w:rsidR="0035685D" w:rsidRPr="00076C70">
              <w:rPr>
                <w:lang w:val="sl-SI"/>
              </w:rPr>
              <w:t>;</w:t>
            </w:r>
          </w:p>
          <w:p w14:paraId="74233B99" w14:textId="061C79AA" w:rsidR="00B01A4A" w:rsidRPr="00076C70" w:rsidRDefault="0035685D" w:rsidP="00B01A4A">
            <w:pPr>
              <w:numPr>
                <w:ilvl w:val="0"/>
                <w:numId w:val="29"/>
              </w:numPr>
              <w:overflowPunct w:val="0"/>
              <w:autoSpaceDE w:val="0"/>
              <w:autoSpaceDN w:val="0"/>
              <w:adjustRightInd w:val="0"/>
              <w:spacing w:line="240" w:lineRule="auto"/>
              <w:jc w:val="both"/>
              <w:textAlignment w:val="baseline"/>
              <w:rPr>
                <w:rFonts w:cs="Arial"/>
                <w:szCs w:val="20"/>
                <w:lang w:val="sl-SI" w:eastAsia="sl-SI"/>
              </w:rPr>
            </w:pPr>
            <w:r w:rsidRPr="00076C70">
              <w:rPr>
                <w:lang w:val="sl-SI"/>
              </w:rPr>
              <w:t>Helena Vodušek, vodja Sektorja za politike mednarodnega razvojnega sodelovanja in humanitarne pomoči, Ministrstvo za zunanje in evropske zadeve</w:t>
            </w:r>
            <w:r w:rsidR="00CD771F" w:rsidRPr="00076C70">
              <w:rPr>
                <w:lang w:val="sl-SI"/>
              </w:rPr>
              <w:t>.</w:t>
            </w:r>
          </w:p>
        </w:tc>
      </w:tr>
      <w:tr w:rsidR="00B876EB" w:rsidRPr="00076C70" w14:paraId="3E1FB8A9" w14:textId="77777777" w:rsidTr="00CC39A2">
        <w:tc>
          <w:tcPr>
            <w:tcW w:w="9133" w:type="dxa"/>
            <w:gridSpan w:val="4"/>
          </w:tcPr>
          <w:p w14:paraId="04760162" w14:textId="77777777" w:rsidR="00B876EB" w:rsidRPr="00076C70" w:rsidRDefault="00B876EB" w:rsidP="00B876EB">
            <w:pPr>
              <w:suppressAutoHyphens/>
              <w:overflowPunct w:val="0"/>
              <w:autoSpaceDE w:val="0"/>
              <w:autoSpaceDN w:val="0"/>
              <w:adjustRightInd w:val="0"/>
              <w:textAlignment w:val="baseline"/>
              <w:outlineLvl w:val="3"/>
              <w:rPr>
                <w:rFonts w:cs="Arial"/>
                <w:b/>
                <w:szCs w:val="20"/>
                <w:lang w:val="sl-SI" w:eastAsia="sl-SI"/>
              </w:rPr>
            </w:pPr>
            <w:r w:rsidRPr="00076C70">
              <w:rPr>
                <w:rFonts w:cs="Arial"/>
                <w:b/>
                <w:szCs w:val="20"/>
                <w:lang w:val="sl-SI" w:eastAsia="sl-SI"/>
              </w:rPr>
              <w:lastRenderedPageBreak/>
              <w:t>5. Kratek povzetek gradiva:</w:t>
            </w:r>
          </w:p>
        </w:tc>
      </w:tr>
      <w:tr w:rsidR="00B876EB" w:rsidRPr="00076C70" w14:paraId="30A45ABF" w14:textId="77777777" w:rsidTr="00CC39A2">
        <w:tc>
          <w:tcPr>
            <w:tcW w:w="9133" w:type="dxa"/>
            <w:gridSpan w:val="4"/>
          </w:tcPr>
          <w:p w14:paraId="6D34003E" w14:textId="130A0EEA" w:rsidR="001C270F" w:rsidRPr="00076C70" w:rsidRDefault="001C270F" w:rsidP="003E4AA9">
            <w:pPr>
              <w:pStyle w:val="NoSpacing"/>
              <w:jc w:val="both"/>
              <w:rPr>
                <w:rFonts w:ascii="Arial" w:hAnsi="Arial" w:cs="Arial"/>
                <w:sz w:val="20"/>
                <w:szCs w:val="20"/>
              </w:rPr>
            </w:pPr>
            <w:r w:rsidRPr="00076C70">
              <w:rPr>
                <w:rFonts w:ascii="Arial" w:hAnsi="Arial" w:cs="Arial"/>
                <w:sz w:val="20"/>
                <w:szCs w:val="20"/>
              </w:rPr>
              <w:t xml:space="preserve">Poročila o mednarodnem razvojnem sodelovanju Republike Slovenije se </w:t>
            </w:r>
            <w:r w:rsidR="0009206A" w:rsidRPr="00076C70">
              <w:rPr>
                <w:rFonts w:ascii="Arial" w:hAnsi="Arial" w:cs="Arial"/>
                <w:sz w:val="20"/>
                <w:szCs w:val="20"/>
              </w:rPr>
              <w:t xml:space="preserve">redno </w:t>
            </w:r>
            <w:r w:rsidRPr="00076C70">
              <w:rPr>
                <w:rFonts w:ascii="Arial" w:hAnsi="Arial" w:cs="Arial"/>
                <w:sz w:val="20"/>
                <w:szCs w:val="20"/>
              </w:rPr>
              <w:t>pripravljajo na podlagi Zakona o mednarodnem razvojnem sodelovanju in humanitarni pomoči Republike Slovenije (Uradni list RS, št. 30/18)</w:t>
            </w:r>
            <w:r w:rsidR="0009206A" w:rsidRPr="00076C70">
              <w:rPr>
                <w:rFonts w:ascii="Arial" w:hAnsi="Arial" w:cs="Arial"/>
                <w:sz w:val="20"/>
                <w:szCs w:val="20"/>
              </w:rPr>
              <w:t xml:space="preserve"> in Resolucije o mednarodnem razvojnem sodelovanju in humanitarni pomoči Republike Slovenije</w:t>
            </w:r>
            <w:r w:rsidR="0009206A" w:rsidRPr="00076C70">
              <w:t xml:space="preserve"> </w:t>
            </w:r>
            <w:r w:rsidR="00D212F7">
              <w:t>(</w:t>
            </w:r>
            <w:r w:rsidR="0009206A" w:rsidRPr="00076C70">
              <w:rPr>
                <w:rFonts w:ascii="Arial" w:hAnsi="Arial" w:cs="Arial"/>
                <w:sz w:val="20"/>
                <w:szCs w:val="20"/>
              </w:rPr>
              <w:t>Uradni list RS, št. 54/17</w:t>
            </w:r>
            <w:r w:rsidR="00D212F7">
              <w:rPr>
                <w:rFonts w:ascii="Arial" w:hAnsi="Arial" w:cs="Arial"/>
                <w:sz w:val="20"/>
                <w:szCs w:val="20"/>
              </w:rPr>
              <w:t xml:space="preserve">; v nadaljnjem besedilu: </w:t>
            </w:r>
            <w:proofErr w:type="spellStart"/>
            <w:r w:rsidR="00D212F7" w:rsidRPr="00076C70">
              <w:rPr>
                <w:rFonts w:ascii="Arial" w:hAnsi="Arial" w:cs="Arial"/>
                <w:sz w:val="20"/>
                <w:szCs w:val="20"/>
              </w:rPr>
              <w:t>ReMRSHP</w:t>
            </w:r>
            <w:proofErr w:type="spellEnd"/>
            <w:r w:rsidR="0009206A" w:rsidRPr="00076C70">
              <w:rPr>
                <w:rFonts w:ascii="Arial" w:hAnsi="Arial" w:cs="Arial"/>
                <w:sz w:val="20"/>
                <w:szCs w:val="20"/>
              </w:rPr>
              <w:t>)</w:t>
            </w:r>
            <w:r w:rsidRPr="00076C70">
              <w:rPr>
                <w:rFonts w:ascii="Arial" w:hAnsi="Arial" w:cs="Arial"/>
                <w:sz w:val="20"/>
                <w:szCs w:val="20"/>
              </w:rPr>
              <w:t>. Z njimi</w:t>
            </w:r>
            <w:r w:rsidR="0009206A" w:rsidRPr="00076C70">
              <w:rPr>
                <w:rFonts w:ascii="Arial" w:hAnsi="Arial" w:cs="Arial"/>
                <w:sz w:val="20"/>
                <w:szCs w:val="20"/>
              </w:rPr>
              <w:t xml:space="preserve"> </w:t>
            </w:r>
            <w:r w:rsidR="00DA4E60" w:rsidRPr="00076C70">
              <w:rPr>
                <w:rFonts w:ascii="Arial" w:hAnsi="Arial" w:cs="Arial"/>
                <w:sz w:val="20"/>
                <w:szCs w:val="20"/>
              </w:rPr>
              <w:t>ministrstvo</w:t>
            </w:r>
            <w:r w:rsidR="0009206A" w:rsidRPr="00076C70">
              <w:rPr>
                <w:rFonts w:ascii="Arial" w:hAnsi="Arial" w:cs="Arial"/>
                <w:sz w:val="20"/>
                <w:szCs w:val="20"/>
              </w:rPr>
              <w:t xml:space="preserve"> za zunanje in evropske zadeve vladi poroča o programih in projektih ter porabi sredstev za mednarodno razvojno sodelovanje, skupaj z oceno uspešnosti uresničevanja ciljev mednarodnega razvojnega sodelovanja. Vlada s poročilom seznani državni zbor.</w:t>
            </w:r>
            <w:r w:rsidRPr="00076C70">
              <w:rPr>
                <w:rFonts w:ascii="Arial" w:hAnsi="Arial" w:cs="Arial"/>
                <w:sz w:val="20"/>
                <w:szCs w:val="20"/>
              </w:rPr>
              <w:t xml:space="preserve"> Namen poročila je tudi ugotovi</w:t>
            </w:r>
            <w:r w:rsidR="00903928" w:rsidRPr="00076C70">
              <w:rPr>
                <w:rFonts w:ascii="Arial" w:hAnsi="Arial" w:cs="Arial"/>
                <w:sz w:val="20"/>
                <w:szCs w:val="20"/>
              </w:rPr>
              <w:t xml:space="preserve">tev skladnosti izvajanja </w:t>
            </w:r>
            <w:r w:rsidRPr="00076C70">
              <w:rPr>
                <w:rFonts w:ascii="Arial" w:hAnsi="Arial" w:cs="Arial"/>
                <w:sz w:val="20"/>
                <w:szCs w:val="20"/>
              </w:rPr>
              <w:t>mednarodn</w:t>
            </w:r>
            <w:r w:rsidR="00903928" w:rsidRPr="00076C70">
              <w:rPr>
                <w:rFonts w:ascii="Arial" w:hAnsi="Arial" w:cs="Arial"/>
                <w:sz w:val="20"/>
                <w:szCs w:val="20"/>
              </w:rPr>
              <w:t>ega</w:t>
            </w:r>
            <w:r w:rsidRPr="00076C70">
              <w:rPr>
                <w:rFonts w:ascii="Arial" w:hAnsi="Arial" w:cs="Arial"/>
                <w:sz w:val="20"/>
                <w:szCs w:val="20"/>
              </w:rPr>
              <w:t xml:space="preserve"> razvojn</w:t>
            </w:r>
            <w:r w:rsidR="00903928" w:rsidRPr="00076C70">
              <w:rPr>
                <w:rFonts w:ascii="Arial" w:hAnsi="Arial" w:cs="Arial"/>
                <w:sz w:val="20"/>
                <w:szCs w:val="20"/>
              </w:rPr>
              <w:t>ega</w:t>
            </w:r>
            <w:r w:rsidRPr="00076C70">
              <w:rPr>
                <w:rFonts w:ascii="Arial" w:hAnsi="Arial" w:cs="Arial"/>
                <w:sz w:val="20"/>
                <w:szCs w:val="20"/>
              </w:rPr>
              <w:t xml:space="preserve"> sodelovanj</w:t>
            </w:r>
            <w:r w:rsidR="00903928" w:rsidRPr="00076C70">
              <w:rPr>
                <w:rFonts w:ascii="Arial" w:hAnsi="Arial" w:cs="Arial"/>
                <w:sz w:val="20"/>
                <w:szCs w:val="20"/>
              </w:rPr>
              <w:t>a</w:t>
            </w:r>
            <w:r w:rsidRPr="00076C70">
              <w:rPr>
                <w:rFonts w:ascii="Arial" w:hAnsi="Arial" w:cs="Arial"/>
                <w:sz w:val="20"/>
                <w:szCs w:val="20"/>
              </w:rPr>
              <w:t xml:space="preserve"> Republike Slovenije z geografskimi in vsebinskimi usmeritvami, kot jih določata </w:t>
            </w:r>
            <w:proofErr w:type="spellStart"/>
            <w:r w:rsidR="00903928" w:rsidRPr="00076C70">
              <w:rPr>
                <w:rFonts w:ascii="Arial" w:hAnsi="Arial" w:cs="Arial"/>
                <w:sz w:val="20"/>
                <w:szCs w:val="20"/>
              </w:rPr>
              <w:t>ReMRSHP</w:t>
            </w:r>
            <w:proofErr w:type="spellEnd"/>
            <w:r w:rsidR="00903928" w:rsidRPr="00076C70">
              <w:rPr>
                <w:rFonts w:ascii="Arial" w:hAnsi="Arial" w:cs="Arial"/>
                <w:sz w:val="20"/>
                <w:szCs w:val="20"/>
              </w:rPr>
              <w:t xml:space="preserve"> in</w:t>
            </w:r>
            <w:r w:rsidRPr="00076C70">
              <w:rPr>
                <w:rFonts w:ascii="Arial" w:hAnsi="Arial" w:cs="Arial"/>
                <w:sz w:val="20"/>
                <w:szCs w:val="20"/>
              </w:rPr>
              <w:t xml:space="preserve"> Strategija o mednarodnem razvojnem sodelovanju in humanitarni pomoči Republike Slovenije do leta 2030. </w:t>
            </w:r>
          </w:p>
          <w:p w14:paraId="3A9F2126" w14:textId="05C77FF5" w:rsidR="008E596E" w:rsidRPr="00076C70" w:rsidRDefault="008E596E" w:rsidP="003E4AA9">
            <w:pPr>
              <w:pStyle w:val="NoSpacing"/>
              <w:jc w:val="both"/>
              <w:rPr>
                <w:rFonts w:ascii="Arial" w:hAnsi="Arial" w:cs="Arial"/>
                <w:sz w:val="20"/>
                <w:szCs w:val="20"/>
              </w:rPr>
            </w:pPr>
          </w:p>
          <w:p w14:paraId="69B2BC8B" w14:textId="1BD18100" w:rsidR="00913707" w:rsidRPr="00076C70" w:rsidRDefault="00BC27B2" w:rsidP="008E596E">
            <w:pPr>
              <w:pStyle w:val="NoSpacing"/>
              <w:jc w:val="both"/>
              <w:rPr>
                <w:rFonts w:ascii="Arial" w:hAnsi="Arial" w:cs="Arial"/>
                <w:sz w:val="20"/>
                <w:szCs w:val="20"/>
              </w:rPr>
            </w:pPr>
            <w:r w:rsidRPr="00076C70">
              <w:rPr>
                <w:rFonts w:ascii="Arial" w:hAnsi="Arial" w:cs="Arial"/>
                <w:sz w:val="20"/>
                <w:szCs w:val="20"/>
              </w:rPr>
              <w:t xml:space="preserve">Obseg sredstev za uradno razvojno pomoč Slovenije je v letu 2024 znašal 152,81 milijonov evrov, kar predstavlja 0,23 odstotka bruto nacionalnega dohodka (BND). Nominalno se je obseg v letu 2024 glede na leto prej povečal za 0,08 odstotka, v deležu BND za uradno razvojno pomoč pa znižal za 0,01 odstotne točke, z 0,24 na 0,23 odstotka. </w:t>
            </w:r>
          </w:p>
          <w:p w14:paraId="4F4E9845" w14:textId="77777777" w:rsidR="00BC27B2" w:rsidRPr="00076C70" w:rsidRDefault="00BC27B2" w:rsidP="008E596E">
            <w:pPr>
              <w:pStyle w:val="NoSpacing"/>
              <w:jc w:val="both"/>
              <w:rPr>
                <w:rFonts w:ascii="Arial" w:hAnsi="Arial" w:cs="Arial"/>
                <w:sz w:val="20"/>
                <w:szCs w:val="20"/>
              </w:rPr>
            </w:pPr>
          </w:p>
          <w:p w14:paraId="10B2BF8B" w14:textId="64DC89CF" w:rsidR="00913707" w:rsidRPr="00076C70" w:rsidRDefault="00BC27B2" w:rsidP="008E596E">
            <w:pPr>
              <w:pStyle w:val="NoSpacing"/>
              <w:jc w:val="both"/>
              <w:rPr>
                <w:rFonts w:ascii="Arial" w:hAnsi="Arial" w:cs="Arial"/>
                <w:sz w:val="20"/>
                <w:szCs w:val="20"/>
              </w:rPr>
            </w:pPr>
            <w:r w:rsidRPr="00076C70">
              <w:rPr>
                <w:rFonts w:ascii="Arial" w:hAnsi="Arial" w:cs="Arial"/>
                <w:sz w:val="20"/>
                <w:szCs w:val="20"/>
              </w:rPr>
              <w:t xml:space="preserve">Večstranska uradna razvojna pomoč je znašala 101,45 milijona evrov ali 66,4 odstotkov, za 13 milijona evrov več kot v letu 2023, in se je izvajala predvsem preko Evropske unije (EU), sistema Organizacije združenih narodov in Skupine Svetovne banke. Dvostranska razvojna pomoč je predstavljala 51,36 milijona evrov ali 33,6 odstotka, kar je 12,91 milijona evrov manj kot v letu 2023 – predvsem zaradi </w:t>
            </w:r>
            <w:r w:rsidR="009262FE">
              <w:rPr>
                <w:rFonts w:ascii="Arial" w:hAnsi="Arial" w:cs="Arial"/>
                <w:sz w:val="20"/>
                <w:szCs w:val="20"/>
              </w:rPr>
              <w:t>omejenega poročanja</w:t>
            </w:r>
            <w:r w:rsidRPr="00076C70">
              <w:rPr>
                <w:rFonts w:ascii="Arial" w:hAnsi="Arial" w:cs="Arial"/>
                <w:sz w:val="20"/>
                <w:szCs w:val="20"/>
              </w:rPr>
              <w:t xml:space="preserve"> stroškov oskrbe ukrajinskih beguncev in znižanja vsote oprostitev šolnin – in je vsebovala 32,12 milijon</w:t>
            </w:r>
            <w:r w:rsidR="003421F1">
              <w:rPr>
                <w:rFonts w:ascii="Arial" w:hAnsi="Arial" w:cs="Arial"/>
                <w:sz w:val="20"/>
                <w:szCs w:val="20"/>
              </w:rPr>
              <w:t>a</w:t>
            </w:r>
            <w:r w:rsidRPr="00076C70">
              <w:rPr>
                <w:rFonts w:ascii="Arial" w:hAnsi="Arial" w:cs="Arial"/>
                <w:sz w:val="20"/>
                <w:szCs w:val="20"/>
              </w:rPr>
              <w:t xml:space="preserve"> evrov ali 62,6 odstotka razvojne pomoči v ožjem pomenu, 14,39 milijona evrov ali 28 odstotkov humanitarne pomoči in 4,85 milijona evrov ali 9,4 odstotk</w:t>
            </w:r>
            <w:r w:rsidR="003421F1">
              <w:rPr>
                <w:rFonts w:ascii="Arial" w:hAnsi="Arial" w:cs="Arial"/>
                <w:sz w:val="20"/>
                <w:szCs w:val="20"/>
              </w:rPr>
              <w:t xml:space="preserve">a </w:t>
            </w:r>
            <w:r w:rsidRPr="00076C70">
              <w:rPr>
                <w:rFonts w:ascii="Arial" w:hAnsi="Arial" w:cs="Arial"/>
                <w:sz w:val="20"/>
                <w:szCs w:val="20"/>
              </w:rPr>
              <w:t>administrativnih stroškov.</w:t>
            </w:r>
          </w:p>
          <w:p w14:paraId="75961894" w14:textId="77777777" w:rsidR="00BC27B2" w:rsidRPr="00076C70" w:rsidRDefault="00BC27B2" w:rsidP="008E596E">
            <w:pPr>
              <w:pStyle w:val="NoSpacing"/>
              <w:jc w:val="both"/>
              <w:rPr>
                <w:rFonts w:ascii="Arial" w:hAnsi="Arial" w:cs="Arial"/>
                <w:sz w:val="20"/>
                <w:szCs w:val="20"/>
              </w:rPr>
            </w:pPr>
          </w:p>
          <w:p w14:paraId="3DF1E064" w14:textId="0CC3C820" w:rsidR="00913707" w:rsidRPr="00076C70" w:rsidRDefault="00BC27B2" w:rsidP="00913707">
            <w:pPr>
              <w:spacing w:line="240" w:lineRule="auto"/>
              <w:jc w:val="both"/>
              <w:rPr>
                <w:lang w:val="sl-SI"/>
              </w:rPr>
            </w:pPr>
            <w:r w:rsidRPr="00076C70">
              <w:rPr>
                <w:lang w:val="sl-SI"/>
              </w:rPr>
              <w:t xml:space="preserve">Največji delež dvostranske razvojne pomoči v ožjem pomenu je bil namenjen področju izobraževanja, in sicer predvsem preko šolanja in študija državljanov partnerskih držav v Sloveniji, drugi največji delež dosega pomoč projektne narave, tretji pripada namenskim prispevkom preko mednarodnih organizacij, medtem ko na četrtem mestu sledi delež namenjen oskrbi beguncev in migrantov. </w:t>
            </w:r>
          </w:p>
          <w:p w14:paraId="4DE12E98" w14:textId="77777777" w:rsidR="00BC27B2" w:rsidRPr="00076C70" w:rsidRDefault="00BC27B2" w:rsidP="00913707">
            <w:pPr>
              <w:spacing w:line="240" w:lineRule="auto"/>
              <w:jc w:val="both"/>
              <w:rPr>
                <w:lang w:val="sl-SI"/>
              </w:rPr>
            </w:pPr>
          </w:p>
          <w:p w14:paraId="6BFF0A05" w14:textId="6B54BECC" w:rsidR="003E4AA9" w:rsidRPr="00076C70" w:rsidRDefault="00BC27B2" w:rsidP="003E4AA9">
            <w:pPr>
              <w:spacing w:line="240" w:lineRule="auto"/>
              <w:jc w:val="both"/>
              <w:rPr>
                <w:lang w:val="sl-SI"/>
              </w:rPr>
            </w:pPr>
            <w:r w:rsidRPr="00076C70">
              <w:rPr>
                <w:lang w:val="sl-SI"/>
              </w:rPr>
              <w:t xml:space="preserve">Obseg dvostranske humanitarne pomoči je v letu 2024 znašal 14,39 milijona evrov, od tega </w:t>
            </w:r>
            <w:r w:rsidR="003421F1" w:rsidRPr="003421F1">
              <w:rPr>
                <w:lang w:val="sl-SI"/>
              </w:rPr>
              <w:t>7,9 odstotka za aktivnosti za zmanjšanje ranljivosti in tveganja za krize, preventivno delovanje ter krepitev odpornosti</w:t>
            </w:r>
            <w:r w:rsidRPr="00076C70">
              <w:rPr>
                <w:lang w:val="sl-SI"/>
              </w:rPr>
              <w:t>. Humanitarna pomoč je tudi v 2024 glede na leto 2023 zrasla, in sicer za skoraj 1 odstotek. Največji delež humanitarne pomoči (68 odstotkov) je bil namenjen nujni pomoči.</w:t>
            </w:r>
          </w:p>
          <w:p w14:paraId="46D33BA7" w14:textId="38609348" w:rsidR="00BC27B2" w:rsidRPr="00076C70" w:rsidRDefault="00BC27B2" w:rsidP="003E4AA9">
            <w:pPr>
              <w:spacing w:line="240" w:lineRule="auto"/>
              <w:jc w:val="both"/>
              <w:rPr>
                <w:rFonts w:cs="Arial"/>
                <w:iCs/>
                <w:szCs w:val="20"/>
                <w:lang w:val="sl-SI" w:eastAsia="sl-SI"/>
              </w:rPr>
            </w:pPr>
          </w:p>
        </w:tc>
      </w:tr>
      <w:tr w:rsidR="00B876EB" w:rsidRPr="00076C70" w14:paraId="4EC9FF8B" w14:textId="77777777" w:rsidTr="00CC39A2">
        <w:tc>
          <w:tcPr>
            <w:tcW w:w="9133" w:type="dxa"/>
            <w:gridSpan w:val="4"/>
          </w:tcPr>
          <w:p w14:paraId="2C3A2C80" w14:textId="77777777" w:rsidR="00B876EB" w:rsidRPr="00076C70" w:rsidRDefault="00B876EB" w:rsidP="00B876EB">
            <w:pPr>
              <w:suppressAutoHyphens/>
              <w:overflowPunct w:val="0"/>
              <w:autoSpaceDE w:val="0"/>
              <w:autoSpaceDN w:val="0"/>
              <w:adjustRightInd w:val="0"/>
              <w:textAlignment w:val="baseline"/>
              <w:outlineLvl w:val="3"/>
              <w:rPr>
                <w:rFonts w:cs="Arial"/>
                <w:b/>
                <w:szCs w:val="20"/>
                <w:lang w:val="sl-SI" w:eastAsia="sl-SI"/>
              </w:rPr>
            </w:pPr>
            <w:r w:rsidRPr="00076C70">
              <w:rPr>
                <w:rFonts w:cs="Arial"/>
                <w:b/>
                <w:szCs w:val="20"/>
                <w:lang w:val="sl-SI" w:eastAsia="sl-SI"/>
              </w:rPr>
              <w:t>6. Presoja posledic za:</w:t>
            </w:r>
          </w:p>
        </w:tc>
      </w:tr>
      <w:tr w:rsidR="00B876EB" w:rsidRPr="00076C70" w14:paraId="712B031B" w14:textId="77777777" w:rsidTr="00CC39A2">
        <w:tc>
          <w:tcPr>
            <w:tcW w:w="1448" w:type="dxa"/>
          </w:tcPr>
          <w:p w14:paraId="365D578E" w14:textId="77777777" w:rsidR="00B876EB" w:rsidRPr="00076C70" w:rsidRDefault="00B876EB" w:rsidP="00B876EB">
            <w:pPr>
              <w:overflowPunct w:val="0"/>
              <w:autoSpaceDE w:val="0"/>
              <w:autoSpaceDN w:val="0"/>
              <w:adjustRightInd w:val="0"/>
              <w:ind w:left="360"/>
              <w:jc w:val="both"/>
              <w:textAlignment w:val="baseline"/>
              <w:rPr>
                <w:rFonts w:cs="Arial"/>
                <w:iCs/>
                <w:szCs w:val="20"/>
                <w:lang w:val="sl-SI" w:eastAsia="sl-SI"/>
              </w:rPr>
            </w:pPr>
            <w:r w:rsidRPr="00076C70">
              <w:rPr>
                <w:rFonts w:cs="Arial"/>
                <w:iCs/>
                <w:szCs w:val="20"/>
                <w:lang w:val="sl-SI" w:eastAsia="sl-SI"/>
              </w:rPr>
              <w:t>a)</w:t>
            </w:r>
          </w:p>
        </w:tc>
        <w:tc>
          <w:tcPr>
            <w:tcW w:w="5444" w:type="dxa"/>
            <w:gridSpan w:val="2"/>
          </w:tcPr>
          <w:p w14:paraId="35F4B72E" w14:textId="77777777" w:rsidR="00B876EB" w:rsidRPr="00076C70" w:rsidRDefault="00B876EB" w:rsidP="00B876EB">
            <w:pPr>
              <w:overflowPunct w:val="0"/>
              <w:autoSpaceDE w:val="0"/>
              <w:autoSpaceDN w:val="0"/>
              <w:adjustRightInd w:val="0"/>
              <w:jc w:val="both"/>
              <w:textAlignment w:val="baseline"/>
              <w:rPr>
                <w:rFonts w:cs="Arial"/>
                <w:szCs w:val="20"/>
                <w:lang w:val="sl-SI" w:eastAsia="sl-SI"/>
              </w:rPr>
            </w:pPr>
            <w:r w:rsidRPr="00076C70">
              <w:rPr>
                <w:rFonts w:cs="Arial"/>
                <w:szCs w:val="20"/>
                <w:lang w:val="sl-SI" w:eastAsia="sl-SI"/>
              </w:rPr>
              <w:t>javnofinančna sredstva nad 40.000 EUR v tekočem in naslednjih treh letih</w:t>
            </w:r>
          </w:p>
        </w:tc>
        <w:tc>
          <w:tcPr>
            <w:tcW w:w="2241" w:type="dxa"/>
            <w:vAlign w:val="center"/>
          </w:tcPr>
          <w:p w14:paraId="08243C53" w14:textId="77777777" w:rsidR="00B876EB" w:rsidRPr="00076C70" w:rsidRDefault="00B876EB" w:rsidP="00B876EB">
            <w:pPr>
              <w:overflowPunct w:val="0"/>
              <w:autoSpaceDE w:val="0"/>
              <w:autoSpaceDN w:val="0"/>
              <w:adjustRightInd w:val="0"/>
              <w:jc w:val="center"/>
              <w:textAlignment w:val="baseline"/>
              <w:rPr>
                <w:rFonts w:cs="Arial"/>
                <w:iCs/>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3F5347DC" w14:textId="77777777" w:rsidTr="00CC39A2">
        <w:tc>
          <w:tcPr>
            <w:tcW w:w="1448" w:type="dxa"/>
          </w:tcPr>
          <w:p w14:paraId="1A23238A" w14:textId="77777777" w:rsidR="00B876EB" w:rsidRPr="00076C70" w:rsidRDefault="00B876EB" w:rsidP="00B876EB">
            <w:pPr>
              <w:overflowPunct w:val="0"/>
              <w:autoSpaceDE w:val="0"/>
              <w:autoSpaceDN w:val="0"/>
              <w:adjustRightInd w:val="0"/>
              <w:ind w:left="360"/>
              <w:jc w:val="both"/>
              <w:textAlignment w:val="baseline"/>
              <w:rPr>
                <w:rFonts w:cs="Arial"/>
                <w:iCs/>
                <w:szCs w:val="20"/>
                <w:lang w:val="sl-SI" w:eastAsia="sl-SI"/>
              </w:rPr>
            </w:pPr>
            <w:r w:rsidRPr="00076C70">
              <w:rPr>
                <w:rFonts w:cs="Arial"/>
                <w:iCs/>
                <w:szCs w:val="20"/>
                <w:lang w:val="sl-SI" w:eastAsia="sl-SI"/>
              </w:rPr>
              <w:t>b)</w:t>
            </w:r>
          </w:p>
        </w:tc>
        <w:tc>
          <w:tcPr>
            <w:tcW w:w="5444" w:type="dxa"/>
            <w:gridSpan w:val="2"/>
          </w:tcPr>
          <w:p w14:paraId="51171B01" w14:textId="77777777" w:rsidR="00B876EB" w:rsidRPr="00076C70" w:rsidRDefault="00B876EB" w:rsidP="00B876EB">
            <w:pPr>
              <w:overflowPunct w:val="0"/>
              <w:autoSpaceDE w:val="0"/>
              <w:autoSpaceDN w:val="0"/>
              <w:adjustRightInd w:val="0"/>
              <w:jc w:val="both"/>
              <w:textAlignment w:val="baseline"/>
              <w:rPr>
                <w:rFonts w:cs="Arial"/>
                <w:iCs/>
                <w:szCs w:val="20"/>
                <w:lang w:val="sl-SI" w:eastAsia="sl-SI"/>
              </w:rPr>
            </w:pPr>
            <w:r w:rsidRPr="00076C70">
              <w:rPr>
                <w:rFonts w:cs="Arial"/>
                <w:bCs/>
                <w:szCs w:val="20"/>
                <w:lang w:val="sl-SI" w:eastAsia="sl-SI"/>
              </w:rPr>
              <w:t>usklajenost slovenskega pravnega reda s pravnim redom Evropske unije</w:t>
            </w:r>
          </w:p>
        </w:tc>
        <w:tc>
          <w:tcPr>
            <w:tcW w:w="2241" w:type="dxa"/>
            <w:vAlign w:val="center"/>
          </w:tcPr>
          <w:p w14:paraId="7E73E634" w14:textId="77777777" w:rsidR="00B876EB" w:rsidRPr="00076C70" w:rsidRDefault="00B876EB" w:rsidP="00B876EB">
            <w:pPr>
              <w:overflowPunct w:val="0"/>
              <w:autoSpaceDE w:val="0"/>
              <w:autoSpaceDN w:val="0"/>
              <w:adjustRightInd w:val="0"/>
              <w:jc w:val="center"/>
              <w:textAlignment w:val="baseline"/>
              <w:rPr>
                <w:rFonts w:cs="Arial"/>
                <w:iCs/>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5A0384B3" w14:textId="77777777" w:rsidTr="00CC39A2">
        <w:tc>
          <w:tcPr>
            <w:tcW w:w="1448" w:type="dxa"/>
          </w:tcPr>
          <w:p w14:paraId="78F89D35" w14:textId="77777777" w:rsidR="00B876EB" w:rsidRPr="00076C70" w:rsidRDefault="00B876EB" w:rsidP="00B876EB">
            <w:pPr>
              <w:overflowPunct w:val="0"/>
              <w:autoSpaceDE w:val="0"/>
              <w:autoSpaceDN w:val="0"/>
              <w:adjustRightInd w:val="0"/>
              <w:ind w:left="360"/>
              <w:jc w:val="both"/>
              <w:textAlignment w:val="baseline"/>
              <w:rPr>
                <w:rFonts w:cs="Arial"/>
                <w:iCs/>
                <w:szCs w:val="20"/>
                <w:lang w:val="sl-SI" w:eastAsia="sl-SI"/>
              </w:rPr>
            </w:pPr>
            <w:r w:rsidRPr="00076C70">
              <w:rPr>
                <w:rFonts w:cs="Arial"/>
                <w:iCs/>
                <w:szCs w:val="20"/>
                <w:lang w:val="sl-SI" w:eastAsia="sl-SI"/>
              </w:rPr>
              <w:t>c)</w:t>
            </w:r>
          </w:p>
        </w:tc>
        <w:tc>
          <w:tcPr>
            <w:tcW w:w="5444" w:type="dxa"/>
            <w:gridSpan w:val="2"/>
          </w:tcPr>
          <w:p w14:paraId="74B3F5BC" w14:textId="77777777" w:rsidR="00B876EB" w:rsidRPr="00076C70" w:rsidRDefault="00B876EB" w:rsidP="00B876EB">
            <w:pPr>
              <w:overflowPunct w:val="0"/>
              <w:autoSpaceDE w:val="0"/>
              <w:autoSpaceDN w:val="0"/>
              <w:adjustRightInd w:val="0"/>
              <w:jc w:val="both"/>
              <w:textAlignment w:val="baseline"/>
              <w:rPr>
                <w:rFonts w:cs="Arial"/>
                <w:iCs/>
                <w:szCs w:val="20"/>
                <w:lang w:val="sl-SI" w:eastAsia="sl-SI"/>
              </w:rPr>
            </w:pPr>
            <w:r w:rsidRPr="00076C70">
              <w:rPr>
                <w:rFonts w:cs="Arial"/>
                <w:szCs w:val="20"/>
                <w:lang w:val="sl-SI" w:eastAsia="sl-SI"/>
              </w:rPr>
              <w:t>administrativne posledice</w:t>
            </w:r>
          </w:p>
        </w:tc>
        <w:tc>
          <w:tcPr>
            <w:tcW w:w="2241" w:type="dxa"/>
            <w:vAlign w:val="center"/>
          </w:tcPr>
          <w:p w14:paraId="36E71453" w14:textId="77777777" w:rsidR="00B876EB" w:rsidRPr="00076C70" w:rsidRDefault="00B876EB" w:rsidP="00B876EB">
            <w:pPr>
              <w:overflowPunct w:val="0"/>
              <w:autoSpaceDE w:val="0"/>
              <w:autoSpaceDN w:val="0"/>
              <w:adjustRightInd w:val="0"/>
              <w:jc w:val="center"/>
              <w:textAlignment w:val="baseline"/>
              <w:rPr>
                <w:rFonts w:cs="Arial"/>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64341B4F" w14:textId="77777777" w:rsidTr="00CC39A2">
        <w:tc>
          <w:tcPr>
            <w:tcW w:w="1448" w:type="dxa"/>
          </w:tcPr>
          <w:p w14:paraId="5406AAFB" w14:textId="77777777" w:rsidR="00B876EB" w:rsidRPr="00076C70" w:rsidRDefault="00B876EB" w:rsidP="00B876EB">
            <w:pPr>
              <w:overflowPunct w:val="0"/>
              <w:autoSpaceDE w:val="0"/>
              <w:autoSpaceDN w:val="0"/>
              <w:adjustRightInd w:val="0"/>
              <w:ind w:left="360"/>
              <w:jc w:val="both"/>
              <w:textAlignment w:val="baseline"/>
              <w:rPr>
                <w:rFonts w:cs="Arial"/>
                <w:iCs/>
                <w:szCs w:val="20"/>
                <w:lang w:val="sl-SI" w:eastAsia="sl-SI"/>
              </w:rPr>
            </w:pPr>
            <w:r w:rsidRPr="00076C70">
              <w:rPr>
                <w:rFonts w:cs="Arial"/>
                <w:iCs/>
                <w:szCs w:val="20"/>
                <w:lang w:val="sl-SI" w:eastAsia="sl-SI"/>
              </w:rPr>
              <w:t>č)</w:t>
            </w:r>
          </w:p>
        </w:tc>
        <w:tc>
          <w:tcPr>
            <w:tcW w:w="5444" w:type="dxa"/>
            <w:gridSpan w:val="2"/>
          </w:tcPr>
          <w:p w14:paraId="1EDA44DD" w14:textId="77777777" w:rsidR="00B876EB" w:rsidRPr="00076C70" w:rsidRDefault="00B876EB" w:rsidP="00B876EB">
            <w:pPr>
              <w:overflowPunct w:val="0"/>
              <w:autoSpaceDE w:val="0"/>
              <w:autoSpaceDN w:val="0"/>
              <w:adjustRightInd w:val="0"/>
              <w:jc w:val="both"/>
              <w:textAlignment w:val="baseline"/>
              <w:rPr>
                <w:rFonts w:cs="Arial"/>
                <w:bCs/>
                <w:szCs w:val="20"/>
                <w:lang w:val="sl-SI" w:eastAsia="sl-SI"/>
              </w:rPr>
            </w:pPr>
            <w:r w:rsidRPr="00076C70">
              <w:rPr>
                <w:rFonts w:cs="Arial"/>
                <w:szCs w:val="20"/>
                <w:lang w:val="sl-SI" w:eastAsia="sl-SI"/>
              </w:rPr>
              <w:t>gospodarstvo, zlasti</w:t>
            </w:r>
            <w:r w:rsidRPr="00076C70">
              <w:rPr>
                <w:rFonts w:cs="Arial"/>
                <w:bCs/>
                <w:szCs w:val="20"/>
                <w:lang w:val="sl-SI" w:eastAsia="sl-SI"/>
              </w:rPr>
              <w:t xml:space="preserve"> mala in srednja podjetja ter konkurenčnost podjetij</w:t>
            </w:r>
          </w:p>
        </w:tc>
        <w:tc>
          <w:tcPr>
            <w:tcW w:w="2241" w:type="dxa"/>
            <w:vAlign w:val="center"/>
          </w:tcPr>
          <w:p w14:paraId="3690986B" w14:textId="77777777" w:rsidR="00B876EB" w:rsidRPr="00076C70" w:rsidRDefault="00B876EB" w:rsidP="00B876EB">
            <w:pPr>
              <w:overflowPunct w:val="0"/>
              <w:autoSpaceDE w:val="0"/>
              <w:autoSpaceDN w:val="0"/>
              <w:adjustRightInd w:val="0"/>
              <w:jc w:val="center"/>
              <w:textAlignment w:val="baseline"/>
              <w:rPr>
                <w:rFonts w:cs="Arial"/>
                <w:iCs/>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5C64123C" w14:textId="77777777" w:rsidTr="00CC39A2">
        <w:tc>
          <w:tcPr>
            <w:tcW w:w="1448" w:type="dxa"/>
          </w:tcPr>
          <w:p w14:paraId="3E0888C1" w14:textId="77777777" w:rsidR="00B876EB" w:rsidRPr="00076C70" w:rsidRDefault="00B876EB" w:rsidP="00B876EB">
            <w:pPr>
              <w:overflowPunct w:val="0"/>
              <w:autoSpaceDE w:val="0"/>
              <w:autoSpaceDN w:val="0"/>
              <w:adjustRightInd w:val="0"/>
              <w:ind w:left="360"/>
              <w:jc w:val="both"/>
              <w:textAlignment w:val="baseline"/>
              <w:rPr>
                <w:rFonts w:cs="Arial"/>
                <w:iCs/>
                <w:szCs w:val="20"/>
                <w:lang w:val="sl-SI" w:eastAsia="sl-SI"/>
              </w:rPr>
            </w:pPr>
            <w:r w:rsidRPr="00076C70">
              <w:rPr>
                <w:rFonts w:cs="Arial"/>
                <w:iCs/>
                <w:szCs w:val="20"/>
                <w:lang w:val="sl-SI" w:eastAsia="sl-SI"/>
              </w:rPr>
              <w:t>d)</w:t>
            </w:r>
          </w:p>
        </w:tc>
        <w:tc>
          <w:tcPr>
            <w:tcW w:w="5444" w:type="dxa"/>
            <w:gridSpan w:val="2"/>
          </w:tcPr>
          <w:p w14:paraId="687332E5" w14:textId="77777777" w:rsidR="00B876EB" w:rsidRPr="00076C70" w:rsidRDefault="00B876EB" w:rsidP="00B876EB">
            <w:pPr>
              <w:overflowPunct w:val="0"/>
              <w:autoSpaceDE w:val="0"/>
              <w:autoSpaceDN w:val="0"/>
              <w:adjustRightInd w:val="0"/>
              <w:jc w:val="both"/>
              <w:textAlignment w:val="baseline"/>
              <w:rPr>
                <w:rFonts w:cs="Arial"/>
                <w:bCs/>
                <w:szCs w:val="20"/>
                <w:lang w:val="sl-SI" w:eastAsia="sl-SI"/>
              </w:rPr>
            </w:pPr>
            <w:r w:rsidRPr="00076C70">
              <w:rPr>
                <w:rFonts w:cs="Arial"/>
                <w:bCs/>
                <w:szCs w:val="20"/>
                <w:lang w:val="sl-SI" w:eastAsia="sl-SI"/>
              </w:rPr>
              <w:t>okolje, vključno s prostorskimi in varstvenimi vidiki</w:t>
            </w:r>
          </w:p>
        </w:tc>
        <w:tc>
          <w:tcPr>
            <w:tcW w:w="2241" w:type="dxa"/>
            <w:vAlign w:val="center"/>
          </w:tcPr>
          <w:p w14:paraId="267472C7" w14:textId="77777777" w:rsidR="00B876EB" w:rsidRPr="00076C70" w:rsidRDefault="00B876EB" w:rsidP="00B876EB">
            <w:pPr>
              <w:overflowPunct w:val="0"/>
              <w:autoSpaceDE w:val="0"/>
              <w:autoSpaceDN w:val="0"/>
              <w:adjustRightInd w:val="0"/>
              <w:jc w:val="center"/>
              <w:textAlignment w:val="baseline"/>
              <w:rPr>
                <w:rFonts w:cs="Arial"/>
                <w:iCs/>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7F864F44" w14:textId="77777777" w:rsidTr="00CC39A2">
        <w:tc>
          <w:tcPr>
            <w:tcW w:w="1448" w:type="dxa"/>
          </w:tcPr>
          <w:p w14:paraId="061C6EC1" w14:textId="77777777" w:rsidR="00B876EB" w:rsidRPr="00076C70" w:rsidRDefault="00B876EB" w:rsidP="00B876EB">
            <w:pPr>
              <w:overflowPunct w:val="0"/>
              <w:autoSpaceDE w:val="0"/>
              <w:autoSpaceDN w:val="0"/>
              <w:adjustRightInd w:val="0"/>
              <w:ind w:left="360"/>
              <w:jc w:val="both"/>
              <w:textAlignment w:val="baseline"/>
              <w:rPr>
                <w:rFonts w:cs="Arial"/>
                <w:iCs/>
                <w:szCs w:val="20"/>
                <w:lang w:val="sl-SI" w:eastAsia="sl-SI"/>
              </w:rPr>
            </w:pPr>
            <w:r w:rsidRPr="00076C70">
              <w:rPr>
                <w:rFonts w:cs="Arial"/>
                <w:iCs/>
                <w:szCs w:val="20"/>
                <w:lang w:val="sl-SI" w:eastAsia="sl-SI"/>
              </w:rPr>
              <w:t>e)</w:t>
            </w:r>
          </w:p>
        </w:tc>
        <w:tc>
          <w:tcPr>
            <w:tcW w:w="5444" w:type="dxa"/>
            <w:gridSpan w:val="2"/>
          </w:tcPr>
          <w:p w14:paraId="0BD18542" w14:textId="77777777" w:rsidR="00B876EB" w:rsidRPr="00076C70" w:rsidRDefault="00B876EB" w:rsidP="00B876EB">
            <w:pPr>
              <w:overflowPunct w:val="0"/>
              <w:autoSpaceDE w:val="0"/>
              <w:autoSpaceDN w:val="0"/>
              <w:adjustRightInd w:val="0"/>
              <w:jc w:val="both"/>
              <w:textAlignment w:val="baseline"/>
              <w:rPr>
                <w:rFonts w:cs="Arial"/>
                <w:bCs/>
                <w:szCs w:val="20"/>
                <w:lang w:val="sl-SI" w:eastAsia="sl-SI"/>
              </w:rPr>
            </w:pPr>
            <w:r w:rsidRPr="00076C70">
              <w:rPr>
                <w:rFonts w:cs="Arial"/>
                <w:bCs/>
                <w:szCs w:val="20"/>
                <w:lang w:val="sl-SI" w:eastAsia="sl-SI"/>
              </w:rPr>
              <w:t>socialno področje</w:t>
            </w:r>
          </w:p>
        </w:tc>
        <w:tc>
          <w:tcPr>
            <w:tcW w:w="2241" w:type="dxa"/>
            <w:vAlign w:val="center"/>
          </w:tcPr>
          <w:p w14:paraId="7FF1EFB7" w14:textId="77777777" w:rsidR="00B876EB" w:rsidRPr="00076C70" w:rsidRDefault="00B876EB" w:rsidP="00B876EB">
            <w:pPr>
              <w:overflowPunct w:val="0"/>
              <w:autoSpaceDE w:val="0"/>
              <w:autoSpaceDN w:val="0"/>
              <w:adjustRightInd w:val="0"/>
              <w:jc w:val="center"/>
              <w:textAlignment w:val="baseline"/>
              <w:rPr>
                <w:rFonts w:cs="Arial"/>
                <w:iCs/>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5FC4631F" w14:textId="77777777" w:rsidTr="00CC39A2">
        <w:tc>
          <w:tcPr>
            <w:tcW w:w="1448" w:type="dxa"/>
            <w:tcBorders>
              <w:bottom w:val="single" w:sz="4" w:space="0" w:color="auto"/>
            </w:tcBorders>
          </w:tcPr>
          <w:p w14:paraId="5E9BD36B" w14:textId="77777777" w:rsidR="00B876EB" w:rsidRPr="00076C70" w:rsidRDefault="00B876EB" w:rsidP="00B876EB">
            <w:pPr>
              <w:overflowPunct w:val="0"/>
              <w:autoSpaceDE w:val="0"/>
              <w:autoSpaceDN w:val="0"/>
              <w:adjustRightInd w:val="0"/>
              <w:ind w:left="360"/>
              <w:jc w:val="both"/>
              <w:textAlignment w:val="baseline"/>
              <w:rPr>
                <w:rFonts w:cs="Arial"/>
                <w:iCs/>
                <w:szCs w:val="20"/>
                <w:lang w:val="sl-SI" w:eastAsia="sl-SI"/>
              </w:rPr>
            </w:pPr>
            <w:r w:rsidRPr="00076C70">
              <w:rPr>
                <w:rFonts w:cs="Arial"/>
                <w:iCs/>
                <w:szCs w:val="20"/>
                <w:lang w:val="sl-SI" w:eastAsia="sl-SI"/>
              </w:rPr>
              <w:t>f)</w:t>
            </w:r>
          </w:p>
        </w:tc>
        <w:tc>
          <w:tcPr>
            <w:tcW w:w="5444" w:type="dxa"/>
            <w:gridSpan w:val="2"/>
            <w:tcBorders>
              <w:bottom w:val="single" w:sz="4" w:space="0" w:color="auto"/>
            </w:tcBorders>
          </w:tcPr>
          <w:p w14:paraId="1B0AA97B" w14:textId="77777777" w:rsidR="00B876EB" w:rsidRPr="00076C70" w:rsidRDefault="00B876EB" w:rsidP="00B876EB">
            <w:pPr>
              <w:overflowPunct w:val="0"/>
              <w:autoSpaceDE w:val="0"/>
              <w:autoSpaceDN w:val="0"/>
              <w:adjustRightInd w:val="0"/>
              <w:jc w:val="both"/>
              <w:textAlignment w:val="baseline"/>
              <w:rPr>
                <w:rFonts w:cs="Arial"/>
                <w:bCs/>
                <w:szCs w:val="20"/>
                <w:lang w:val="sl-SI" w:eastAsia="sl-SI"/>
              </w:rPr>
            </w:pPr>
            <w:r w:rsidRPr="00076C70">
              <w:rPr>
                <w:rFonts w:cs="Arial"/>
                <w:bCs/>
                <w:szCs w:val="20"/>
                <w:lang w:val="sl-SI" w:eastAsia="sl-SI"/>
              </w:rPr>
              <w:t>dokumente razvojnega načrtovanja:</w:t>
            </w:r>
          </w:p>
          <w:p w14:paraId="0314A5F5" w14:textId="77777777" w:rsidR="00B876EB" w:rsidRPr="00076C70" w:rsidRDefault="00B876EB" w:rsidP="00B876EB">
            <w:pPr>
              <w:numPr>
                <w:ilvl w:val="0"/>
                <w:numId w:val="20"/>
              </w:numPr>
              <w:overflowPunct w:val="0"/>
              <w:autoSpaceDE w:val="0"/>
              <w:autoSpaceDN w:val="0"/>
              <w:adjustRightInd w:val="0"/>
              <w:jc w:val="both"/>
              <w:textAlignment w:val="baseline"/>
              <w:rPr>
                <w:rFonts w:cs="Arial"/>
                <w:bCs/>
                <w:szCs w:val="20"/>
                <w:lang w:val="sl-SI" w:eastAsia="sl-SI"/>
              </w:rPr>
            </w:pPr>
            <w:r w:rsidRPr="00076C70">
              <w:rPr>
                <w:rFonts w:cs="Arial"/>
                <w:bCs/>
                <w:szCs w:val="20"/>
                <w:lang w:val="sl-SI" w:eastAsia="sl-SI"/>
              </w:rPr>
              <w:t>nacionalne dokumente razvojnega načrtovanja</w:t>
            </w:r>
          </w:p>
          <w:p w14:paraId="4A2F6C6A" w14:textId="77777777" w:rsidR="00B876EB" w:rsidRPr="00076C70" w:rsidRDefault="00B876EB" w:rsidP="00B876EB">
            <w:pPr>
              <w:numPr>
                <w:ilvl w:val="0"/>
                <w:numId w:val="20"/>
              </w:numPr>
              <w:overflowPunct w:val="0"/>
              <w:autoSpaceDE w:val="0"/>
              <w:autoSpaceDN w:val="0"/>
              <w:adjustRightInd w:val="0"/>
              <w:jc w:val="both"/>
              <w:textAlignment w:val="baseline"/>
              <w:rPr>
                <w:rFonts w:cs="Arial"/>
                <w:bCs/>
                <w:szCs w:val="20"/>
                <w:lang w:val="sl-SI" w:eastAsia="sl-SI"/>
              </w:rPr>
            </w:pPr>
            <w:r w:rsidRPr="00076C70">
              <w:rPr>
                <w:rFonts w:cs="Arial"/>
                <w:bCs/>
                <w:szCs w:val="20"/>
                <w:lang w:val="sl-SI" w:eastAsia="sl-SI"/>
              </w:rPr>
              <w:t>razvojne politike na ravni programov po strukturi razvojne klasifikacije programskega proračuna</w:t>
            </w:r>
          </w:p>
          <w:p w14:paraId="185EF222" w14:textId="77777777" w:rsidR="00B876EB" w:rsidRPr="00076C70" w:rsidRDefault="00B876EB" w:rsidP="00B876EB">
            <w:pPr>
              <w:numPr>
                <w:ilvl w:val="0"/>
                <w:numId w:val="20"/>
              </w:numPr>
              <w:overflowPunct w:val="0"/>
              <w:autoSpaceDE w:val="0"/>
              <w:autoSpaceDN w:val="0"/>
              <w:adjustRightInd w:val="0"/>
              <w:jc w:val="both"/>
              <w:textAlignment w:val="baseline"/>
              <w:rPr>
                <w:rFonts w:cs="Arial"/>
                <w:bCs/>
                <w:szCs w:val="20"/>
                <w:lang w:val="sl-SI" w:eastAsia="sl-SI"/>
              </w:rPr>
            </w:pPr>
            <w:r w:rsidRPr="00076C70">
              <w:rPr>
                <w:rFonts w:cs="Arial"/>
                <w:bCs/>
                <w:szCs w:val="20"/>
                <w:lang w:val="sl-SI" w:eastAsia="sl-SI"/>
              </w:rPr>
              <w:t>razvojne dokumente Evropske unije in mednarodnih organizacij</w:t>
            </w:r>
          </w:p>
        </w:tc>
        <w:tc>
          <w:tcPr>
            <w:tcW w:w="2241" w:type="dxa"/>
            <w:tcBorders>
              <w:bottom w:val="single" w:sz="4" w:space="0" w:color="auto"/>
            </w:tcBorders>
            <w:vAlign w:val="center"/>
          </w:tcPr>
          <w:p w14:paraId="0D7BC1BF" w14:textId="77777777" w:rsidR="00B876EB" w:rsidRPr="00076C70" w:rsidRDefault="00B876EB" w:rsidP="00B876EB">
            <w:pPr>
              <w:overflowPunct w:val="0"/>
              <w:autoSpaceDE w:val="0"/>
              <w:autoSpaceDN w:val="0"/>
              <w:adjustRightInd w:val="0"/>
              <w:jc w:val="center"/>
              <w:textAlignment w:val="baseline"/>
              <w:rPr>
                <w:rFonts w:cs="Arial"/>
                <w:iCs/>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0AE1D073" w14:textId="77777777" w:rsidTr="00CC39A2">
        <w:tc>
          <w:tcPr>
            <w:tcW w:w="9133" w:type="dxa"/>
            <w:gridSpan w:val="4"/>
            <w:tcBorders>
              <w:top w:val="single" w:sz="4" w:space="0" w:color="auto"/>
              <w:left w:val="single" w:sz="4" w:space="0" w:color="auto"/>
              <w:bottom w:val="single" w:sz="4" w:space="0" w:color="auto"/>
              <w:right w:val="single" w:sz="4" w:space="0" w:color="auto"/>
            </w:tcBorders>
          </w:tcPr>
          <w:p w14:paraId="0C1B98F2" w14:textId="77777777" w:rsidR="00B876EB" w:rsidRPr="00076C70" w:rsidRDefault="00B876EB" w:rsidP="00B876EB">
            <w:pPr>
              <w:widowControl w:val="0"/>
              <w:suppressAutoHyphens/>
              <w:overflowPunct w:val="0"/>
              <w:autoSpaceDE w:val="0"/>
              <w:autoSpaceDN w:val="0"/>
              <w:adjustRightInd w:val="0"/>
              <w:textAlignment w:val="baseline"/>
              <w:outlineLvl w:val="3"/>
              <w:rPr>
                <w:rFonts w:cs="Arial"/>
                <w:b/>
                <w:szCs w:val="20"/>
                <w:lang w:val="sl-SI" w:eastAsia="sl-SI"/>
              </w:rPr>
            </w:pPr>
            <w:r w:rsidRPr="00076C70">
              <w:rPr>
                <w:rFonts w:cs="Arial"/>
                <w:b/>
                <w:szCs w:val="20"/>
                <w:lang w:val="sl-SI" w:eastAsia="sl-SI"/>
              </w:rPr>
              <w:t>7.a Predstavitev ocene finančnih posledic nad 40.000 EUR:</w:t>
            </w:r>
          </w:p>
          <w:p w14:paraId="19C738FC" w14:textId="77777777" w:rsidR="00B876EB" w:rsidRPr="00076C70" w:rsidRDefault="00B876EB" w:rsidP="00B876EB">
            <w:pPr>
              <w:widowControl w:val="0"/>
              <w:suppressAutoHyphens/>
              <w:overflowPunct w:val="0"/>
              <w:autoSpaceDE w:val="0"/>
              <w:autoSpaceDN w:val="0"/>
              <w:adjustRightInd w:val="0"/>
              <w:textAlignment w:val="baseline"/>
              <w:outlineLvl w:val="3"/>
              <w:rPr>
                <w:rFonts w:cs="Arial"/>
                <w:szCs w:val="20"/>
                <w:lang w:val="sl-SI" w:eastAsia="sl-SI"/>
              </w:rPr>
            </w:pPr>
          </w:p>
        </w:tc>
      </w:tr>
    </w:tbl>
    <w:p w14:paraId="14068866" w14:textId="77777777" w:rsidR="00B876EB" w:rsidRPr="00076C70" w:rsidRDefault="00B876EB" w:rsidP="00B876EB">
      <w:pPr>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876EB" w:rsidRPr="00076C70" w14:paraId="1EEEEA92" w14:textId="77777777" w:rsidTr="00980CB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9AB6282" w14:textId="77777777" w:rsidR="00B876EB" w:rsidRPr="00076C70" w:rsidRDefault="00B876EB" w:rsidP="00B876EB">
            <w:pPr>
              <w:pageBreakBefore/>
              <w:widowControl w:val="0"/>
              <w:tabs>
                <w:tab w:val="left" w:pos="2340"/>
              </w:tabs>
              <w:ind w:left="142" w:hanging="142"/>
              <w:outlineLvl w:val="0"/>
              <w:rPr>
                <w:rFonts w:cs="Arial"/>
                <w:b/>
                <w:kern w:val="32"/>
                <w:szCs w:val="20"/>
                <w:lang w:val="sl-SI" w:eastAsia="sl-SI"/>
              </w:rPr>
            </w:pPr>
            <w:r w:rsidRPr="00076C70">
              <w:rPr>
                <w:rFonts w:cs="Arial"/>
                <w:b/>
                <w:kern w:val="32"/>
                <w:szCs w:val="20"/>
                <w:lang w:val="sl-SI" w:eastAsia="sl-SI"/>
              </w:rPr>
              <w:lastRenderedPageBreak/>
              <w:t>I. Ocena finančnih posledic, ki niso načrtovane v sprejetem proračunu</w:t>
            </w:r>
          </w:p>
        </w:tc>
      </w:tr>
      <w:tr w:rsidR="00B876EB" w:rsidRPr="00076C70" w14:paraId="3A5E27CA" w14:textId="77777777" w:rsidTr="00980CB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EA9B89B" w14:textId="77777777" w:rsidR="00B876EB" w:rsidRPr="00076C70" w:rsidRDefault="00B876EB" w:rsidP="00B876EB">
            <w:pPr>
              <w:widowControl w:val="0"/>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01BFCC8" w14:textId="77777777" w:rsidR="00B876EB" w:rsidRPr="00076C70" w:rsidRDefault="00B876EB" w:rsidP="00B876EB">
            <w:pPr>
              <w:widowControl w:val="0"/>
              <w:jc w:val="center"/>
              <w:rPr>
                <w:rFonts w:cs="Arial"/>
                <w:szCs w:val="20"/>
                <w:lang w:val="sl-SI"/>
              </w:rPr>
            </w:pPr>
            <w:r w:rsidRPr="00076C70">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CBD62C5" w14:textId="77777777" w:rsidR="00B876EB" w:rsidRPr="00076C70" w:rsidRDefault="00B876EB" w:rsidP="00B876EB">
            <w:pPr>
              <w:widowControl w:val="0"/>
              <w:jc w:val="center"/>
              <w:rPr>
                <w:rFonts w:cs="Arial"/>
                <w:szCs w:val="20"/>
                <w:lang w:val="sl-SI"/>
              </w:rPr>
            </w:pPr>
            <w:r w:rsidRPr="00076C70">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882D86F" w14:textId="77777777" w:rsidR="00B876EB" w:rsidRPr="00076C70" w:rsidRDefault="00B876EB" w:rsidP="00B876EB">
            <w:pPr>
              <w:widowControl w:val="0"/>
              <w:jc w:val="center"/>
              <w:rPr>
                <w:rFonts w:cs="Arial"/>
                <w:szCs w:val="20"/>
                <w:lang w:val="sl-SI"/>
              </w:rPr>
            </w:pPr>
            <w:r w:rsidRPr="00076C70">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4EB6155B" w14:textId="77777777" w:rsidR="00B876EB" w:rsidRPr="00076C70" w:rsidRDefault="00B876EB" w:rsidP="00B876EB">
            <w:pPr>
              <w:widowControl w:val="0"/>
              <w:jc w:val="center"/>
              <w:rPr>
                <w:rFonts w:cs="Arial"/>
                <w:szCs w:val="20"/>
                <w:lang w:val="sl-SI"/>
              </w:rPr>
            </w:pPr>
            <w:r w:rsidRPr="00076C70">
              <w:rPr>
                <w:rFonts w:cs="Arial"/>
                <w:szCs w:val="20"/>
                <w:lang w:val="sl-SI"/>
              </w:rPr>
              <w:t>t + 3</w:t>
            </w:r>
          </w:p>
        </w:tc>
      </w:tr>
      <w:tr w:rsidR="00B876EB" w:rsidRPr="00076C70" w14:paraId="1E7FE819"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294128" w14:textId="77777777" w:rsidR="00B876EB" w:rsidRPr="00076C70" w:rsidRDefault="00B876EB" w:rsidP="00B876EB">
            <w:pPr>
              <w:widowControl w:val="0"/>
              <w:rPr>
                <w:rFonts w:cs="Arial"/>
                <w:bCs/>
                <w:szCs w:val="20"/>
                <w:lang w:val="sl-SI"/>
              </w:rPr>
            </w:pPr>
            <w:r w:rsidRPr="00076C70">
              <w:rPr>
                <w:rFonts w:cs="Arial"/>
                <w:bCs/>
                <w:szCs w:val="20"/>
                <w:lang w:val="sl-SI"/>
              </w:rPr>
              <w:t>Predvideno povečanje (+) ali zmanjšanje (</w:t>
            </w:r>
            <w:r w:rsidRPr="00076C70">
              <w:rPr>
                <w:b/>
                <w:szCs w:val="20"/>
                <w:lang w:val="sl-SI"/>
              </w:rPr>
              <w:t>–</w:t>
            </w:r>
            <w:r w:rsidRPr="00076C70">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B56E07" w14:textId="77777777" w:rsidR="00B876EB" w:rsidRPr="00076C70"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14ADBDC" w14:textId="77777777" w:rsidR="00B876EB" w:rsidRPr="00076C70"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E14E2E" w14:textId="77777777" w:rsidR="00B876EB" w:rsidRPr="00076C70"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1810A96" w14:textId="77777777" w:rsidR="00B876EB" w:rsidRPr="00076C70" w:rsidRDefault="00B876EB" w:rsidP="00B876EB">
            <w:pPr>
              <w:widowControl w:val="0"/>
              <w:tabs>
                <w:tab w:val="left" w:pos="360"/>
              </w:tabs>
              <w:jc w:val="center"/>
              <w:outlineLvl w:val="0"/>
              <w:rPr>
                <w:rFonts w:cs="Arial"/>
                <w:kern w:val="32"/>
                <w:szCs w:val="20"/>
                <w:lang w:val="sl-SI" w:eastAsia="sl-SI"/>
              </w:rPr>
            </w:pPr>
          </w:p>
        </w:tc>
      </w:tr>
      <w:tr w:rsidR="00B876EB" w:rsidRPr="00076C70" w14:paraId="7B3C6911"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BF7C520" w14:textId="77777777" w:rsidR="00B876EB" w:rsidRPr="00076C70" w:rsidRDefault="00B876EB" w:rsidP="00B876EB">
            <w:pPr>
              <w:widowControl w:val="0"/>
              <w:rPr>
                <w:rFonts w:cs="Arial"/>
                <w:bCs/>
                <w:szCs w:val="20"/>
                <w:lang w:val="sl-SI"/>
              </w:rPr>
            </w:pPr>
            <w:r w:rsidRPr="00076C70">
              <w:rPr>
                <w:rFonts w:cs="Arial"/>
                <w:bCs/>
                <w:szCs w:val="20"/>
                <w:lang w:val="sl-SI"/>
              </w:rPr>
              <w:t>Predvideno povečanje (+) ali zmanjšanje (</w:t>
            </w:r>
            <w:r w:rsidRPr="00076C70">
              <w:rPr>
                <w:b/>
                <w:szCs w:val="20"/>
                <w:lang w:val="sl-SI"/>
              </w:rPr>
              <w:t>–</w:t>
            </w:r>
            <w:r w:rsidRPr="00076C70">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B521F63" w14:textId="77777777" w:rsidR="00B876EB" w:rsidRPr="00076C70"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88AECBB" w14:textId="77777777" w:rsidR="00B876EB" w:rsidRPr="00076C70"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4A8C4FD" w14:textId="77777777" w:rsidR="00B876EB" w:rsidRPr="00076C70"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999C58C" w14:textId="77777777" w:rsidR="00B876EB" w:rsidRPr="00076C70" w:rsidRDefault="00B876EB" w:rsidP="00B876EB">
            <w:pPr>
              <w:widowControl w:val="0"/>
              <w:tabs>
                <w:tab w:val="left" w:pos="360"/>
              </w:tabs>
              <w:jc w:val="center"/>
              <w:outlineLvl w:val="0"/>
              <w:rPr>
                <w:rFonts w:cs="Arial"/>
                <w:kern w:val="32"/>
                <w:szCs w:val="20"/>
                <w:lang w:val="sl-SI" w:eastAsia="sl-SI"/>
              </w:rPr>
            </w:pPr>
          </w:p>
        </w:tc>
      </w:tr>
      <w:tr w:rsidR="00B876EB" w:rsidRPr="00076C70" w14:paraId="472CD8FA"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797AFE1" w14:textId="77777777" w:rsidR="00B876EB" w:rsidRPr="00076C70" w:rsidRDefault="00B876EB" w:rsidP="00B876EB">
            <w:pPr>
              <w:widowControl w:val="0"/>
              <w:rPr>
                <w:rFonts w:cs="Arial"/>
                <w:bCs/>
                <w:szCs w:val="20"/>
                <w:lang w:val="sl-SI"/>
              </w:rPr>
            </w:pPr>
            <w:r w:rsidRPr="00076C70">
              <w:rPr>
                <w:rFonts w:cs="Arial"/>
                <w:bCs/>
                <w:szCs w:val="20"/>
                <w:lang w:val="sl-SI"/>
              </w:rPr>
              <w:t>Predvideno povečanje (+) ali zmanjšanje (</w:t>
            </w:r>
            <w:r w:rsidRPr="00076C70">
              <w:rPr>
                <w:b/>
                <w:szCs w:val="20"/>
                <w:lang w:val="sl-SI"/>
              </w:rPr>
              <w:t>–</w:t>
            </w:r>
            <w:r w:rsidRPr="00076C70">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432A92" w14:textId="77777777" w:rsidR="00B876EB" w:rsidRPr="00076C70"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38C50918" w14:textId="77777777" w:rsidR="00B876EB" w:rsidRPr="00076C70" w:rsidRDefault="00B876EB" w:rsidP="00B876EB">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9FAA07A" w14:textId="77777777" w:rsidR="00B876EB" w:rsidRPr="00076C70"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EEB6275" w14:textId="77777777" w:rsidR="00B876EB" w:rsidRPr="00076C70" w:rsidRDefault="00B876EB" w:rsidP="00B876EB">
            <w:pPr>
              <w:widowControl w:val="0"/>
              <w:jc w:val="center"/>
              <w:rPr>
                <w:rFonts w:cs="Arial"/>
                <w:szCs w:val="20"/>
                <w:lang w:val="sl-SI"/>
              </w:rPr>
            </w:pPr>
          </w:p>
        </w:tc>
      </w:tr>
      <w:tr w:rsidR="00B876EB" w:rsidRPr="00076C70" w14:paraId="77B4E3EF" w14:textId="77777777" w:rsidTr="00980CBD">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8CCAAF" w14:textId="77777777" w:rsidR="00B876EB" w:rsidRPr="00076C70" w:rsidRDefault="00B876EB" w:rsidP="00B876EB">
            <w:pPr>
              <w:widowControl w:val="0"/>
              <w:rPr>
                <w:rFonts w:cs="Arial"/>
                <w:bCs/>
                <w:szCs w:val="20"/>
                <w:lang w:val="sl-SI"/>
              </w:rPr>
            </w:pPr>
            <w:r w:rsidRPr="00076C70">
              <w:rPr>
                <w:rFonts w:cs="Arial"/>
                <w:bCs/>
                <w:szCs w:val="20"/>
                <w:lang w:val="sl-SI"/>
              </w:rPr>
              <w:t>Predvideno povečanje (+) ali zmanjšanje (</w:t>
            </w:r>
            <w:r w:rsidRPr="00076C70">
              <w:rPr>
                <w:b/>
                <w:szCs w:val="20"/>
                <w:lang w:val="sl-SI"/>
              </w:rPr>
              <w:t>–</w:t>
            </w:r>
            <w:r w:rsidRPr="00076C70">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A486994" w14:textId="77777777" w:rsidR="00B876EB" w:rsidRPr="00076C70" w:rsidRDefault="00B876EB" w:rsidP="00B876EB">
            <w:pPr>
              <w:widowControl w:val="0"/>
              <w:jc w:val="center"/>
              <w:rPr>
                <w:rFonts w:cs="Arial"/>
                <w:szCs w:val="20"/>
                <w:lang w:val="sl-SI"/>
              </w:rPr>
            </w:pPr>
          </w:p>
        </w:tc>
        <w:tc>
          <w:tcPr>
            <w:tcW w:w="913" w:type="dxa"/>
            <w:tcBorders>
              <w:top w:val="single" w:sz="4" w:space="0" w:color="auto"/>
              <w:left w:val="single" w:sz="4" w:space="0" w:color="auto"/>
              <w:bottom w:val="single" w:sz="4" w:space="0" w:color="auto"/>
              <w:right w:val="single" w:sz="4" w:space="0" w:color="auto"/>
            </w:tcBorders>
            <w:vAlign w:val="center"/>
          </w:tcPr>
          <w:p w14:paraId="6707099C" w14:textId="77777777" w:rsidR="00B876EB" w:rsidRPr="00076C70" w:rsidRDefault="00B876EB" w:rsidP="00B876EB">
            <w:pPr>
              <w:widowControl w:val="0"/>
              <w:jc w:val="center"/>
              <w:rPr>
                <w:rFonts w:cs="Arial"/>
                <w:szCs w:val="20"/>
                <w:lang w:val="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408A461" w14:textId="77777777" w:rsidR="00B876EB" w:rsidRPr="00076C70" w:rsidRDefault="00B876EB" w:rsidP="00B876EB">
            <w:pPr>
              <w:widowControl w:val="0"/>
              <w:jc w:val="center"/>
              <w:rPr>
                <w:rFonts w:cs="Arial"/>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2A96D6A3" w14:textId="77777777" w:rsidR="00B876EB" w:rsidRPr="00076C70" w:rsidRDefault="00B876EB" w:rsidP="00B876EB">
            <w:pPr>
              <w:widowControl w:val="0"/>
              <w:jc w:val="center"/>
              <w:rPr>
                <w:rFonts w:cs="Arial"/>
                <w:szCs w:val="20"/>
                <w:lang w:val="sl-SI"/>
              </w:rPr>
            </w:pPr>
          </w:p>
        </w:tc>
      </w:tr>
      <w:tr w:rsidR="00B876EB" w:rsidRPr="00076C70" w14:paraId="3A5A728C" w14:textId="77777777" w:rsidTr="00980CB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9934EB" w14:textId="77777777" w:rsidR="00B876EB" w:rsidRPr="00076C70" w:rsidRDefault="00B876EB" w:rsidP="00B876EB">
            <w:pPr>
              <w:widowControl w:val="0"/>
              <w:rPr>
                <w:rFonts w:cs="Arial"/>
                <w:bCs/>
                <w:szCs w:val="20"/>
                <w:lang w:val="sl-SI"/>
              </w:rPr>
            </w:pPr>
            <w:r w:rsidRPr="00076C70">
              <w:rPr>
                <w:rFonts w:cs="Arial"/>
                <w:bCs/>
                <w:szCs w:val="20"/>
                <w:lang w:val="sl-SI"/>
              </w:rPr>
              <w:t>Predvideno povečanje (+) ali zmanjšanje (</w:t>
            </w:r>
            <w:r w:rsidRPr="00076C70">
              <w:rPr>
                <w:b/>
                <w:szCs w:val="20"/>
                <w:lang w:val="sl-SI"/>
              </w:rPr>
              <w:t>–</w:t>
            </w:r>
            <w:r w:rsidRPr="00076C70">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D900732" w14:textId="77777777" w:rsidR="00B876EB" w:rsidRPr="00076C70" w:rsidRDefault="00B876EB" w:rsidP="00B876EB">
            <w:pPr>
              <w:widowControl w:val="0"/>
              <w:tabs>
                <w:tab w:val="left" w:pos="360"/>
              </w:tabs>
              <w:jc w:val="center"/>
              <w:outlineLvl w:val="0"/>
              <w:rPr>
                <w:rFonts w:cs="Arial"/>
                <w:bCs/>
                <w:kern w:val="32"/>
                <w:szCs w:val="20"/>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3970CB54" w14:textId="77777777" w:rsidR="00B876EB" w:rsidRPr="00076C70" w:rsidRDefault="00B876EB" w:rsidP="00B876EB">
            <w:pPr>
              <w:widowControl w:val="0"/>
              <w:tabs>
                <w:tab w:val="left" w:pos="360"/>
              </w:tabs>
              <w:jc w:val="center"/>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3517E7" w14:textId="77777777" w:rsidR="00B876EB" w:rsidRPr="00076C70" w:rsidRDefault="00B876EB" w:rsidP="00B876EB">
            <w:pPr>
              <w:widowControl w:val="0"/>
              <w:tabs>
                <w:tab w:val="left" w:pos="360"/>
              </w:tabs>
              <w:jc w:val="center"/>
              <w:outlineLvl w:val="0"/>
              <w:rPr>
                <w:rFonts w:cs="Arial"/>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AE2D037" w14:textId="77777777" w:rsidR="00B876EB" w:rsidRPr="00076C70" w:rsidRDefault="00B876EB" w:rsidP="00B876EB">
            <w:pPr>
              <w:widowControl w:val="0"/>
              <w:tabs>
                <w:tab w:val="left" w:pos="360"/>
              </w:tabs>
              <w:jc w:val="center"/>
              <w:outlineLvl w:val="0"/>
              <w:rPr>
                <w:rFonts w:cs="Arial"/>
                <w:kern w:val="32"/>
                <w:szCs w:val="20"/>
                <w:lang w:val="sl-SI" w:eastAsia="sl-SI"/>
              </w:rPr>
            </w:pPr>
          </w:p>
        </w:tc>
      </w:tr>
      <w:tr w:rsidR="00B876EB" w:rsidRPr="00076C70" w14:paraId="1F06427F" w14:textId="77777777"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E930EA" w14:textId="77777777" w:rsidR="00B876EB" w:rsidRPr="00076C70" w:rsidRDefault="00B876EB" w:rsidP="00B876EB">
            <w:pPr>
              <w:widowControl w:val="0"/>
              <w:tabs>
                <w:tab w:val="left" w:pos="2340"/>
              </w:tabs>
              <w:ind w:left="142" w:hanging="142"/>
              <w:outlineLvl w:val="0"/>
              <w:rPr>
                <w:rFonts w:cs="Arial"/>
                <w:b/>
                <w:kern w:val="32"/>
                <w:szCs w:val="20"/>
                <w:lang w:val="sl-SI" w:eastAsia="sl-SI"/>
              </w:rPr>
            </w:pPr>
            <w:r w:rsidRPr="00076C70">
              <w:rPr>
                <w:rFonts w:cs="Arial"/>
                <w:b/>
                <w:kern w:val="32"/>
                <w:szCs w:val="20"/>
                <w:lang w:val="sl-SI" w:eastAsia="sl-SI"/>
              </w:rPr>
              <w:t>II. Finančne posledice za državni proračun</w:t>
            </w:r>
          </w:p>
        </w:tc>
      </w:tr>
      <w:tr w:rsidR="00B876EB" w:rsidRPr="00076C70" w14:paraId="6866A7C9" w14:textId="77777777" w:rsidTr="00980CB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31D289" w14:textId="77777777" w:rsidR="00B876EB" w:rsidRPr="00076C70" w:rsidRDefault="00B876EB" w:rsidP="00B876EB">
            <w:pPr>
              <w:widowControl w:val="0"/>
              <w:tabs>
                <w:tab w:val="left" w:pos="2340"/>
              </w:tabs>
              <w:ind w:left="142" w:hanging="142"/>
              <w:outlineLvl w:val="0"/>
              <w:rPr>
                <w:rFonts w:cs="Arial"/>
                <w:b/>
                <w:kern w:val="32"/>
                <w:szCs w:val="20"/>
                <w:lang w:val="sl-SI" w:eastAsia="sl-SI"/>
              </w:rPr>
            </w:pPr>
            <w:proofErr w:type="spellStart"/>
            <w:r w:rsidRPr="00076C70">
              <w:rPr>
                <w:rFonts w:cs="Arial"/>
                <w:b/>
                <w:kern w:val="32"/>
                <w:szCs w:val="20"/>
                <w:lang w:val="sl-SI" w:eastAsia="sl-SI"/>
              </w:rPr>
              <w:t>II.a</w:t>
            </w:r>
            <w:proofErr w:type="spellEnd"/>
            <w:r w:rsidRPr="00076C70">
              <w:rPr>
                <w:rFonts w:cs="Arial"/>
                <w:b/>
                <w:kern w:val="32"/>
                <w:szCs w:val="20"/>
                <w:lang w:val="sl-SI" w:eastAsia="sl-SI"/>
              </w:rPr>
              <w:t xml:space="preserve"> Pravice porabe za izvedbo predlaganih rešitev so zagotovljene:</w:t>
            </w:r>
          </w:p>
        </w:tc>
      </w:tr>
      <w:tr w:rsidR="00B876EB" w:rsidRPr="00076C70" w14:paraId="3C32429A" w14:textId="77777777" w:rsidTr="00980CB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53FB7F0" w14:textId="77777777" w:rsidR="00B876EB" w:rsidRPr="00076C70" w:rsidRDefault="00B876EB" w:rsidP="00B876EB">
            <w:pPr>
              <w:widowControl w:val="0"/>
              <w:jc w:val="center"/>
              <w:rPr>
                <w:rFonts w:cs="Arial"/>
                <w:szCs w:val="20"/>
                <w:lang w:val="sl-SI"/>
              </w:rPr>
            </w:pPr>
            <w:r w:rsidRPr="00076C70">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805DEF" w14:textId="77777777" w:rsidR="00B876EB" w:rsidRPr="00076C70" w:rsidRDefault="00B876EB" w:rsidP="00B876EB">
            <w:pPr>
              <w:widowControl w:val="0"/>
              <w:jc w:val="center"/>
              <w:rPr>
                <w:rFonts w:cs="Arial"/>
                <w:szCs w:val="20"/>
                <w:lang w:val="sl-SI"/>
              </w:rPr>
            </w:pPr>
            <w:r w:rsidRPr="00076C7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FA07B4F" w14:textId="77777777" w:rsidR="00B876EB" w:rsidRPr="00076C70" w:rsidRDefault="00B876EB" w:rsidP="00B876EB">
            <w:pPr>
              <w:widowControl w:val="0"/>
              <w:jc w:val="center"/>
              <w:rPr>
                <w:rFonts w:cs="Arial"/>
                <w:szCs w:val="20"/>
                <w:lang w:val="sl-SI"/>
              </w:rPr>
            </w:pPr>
            <w:r w:rsidRPr="00076C70">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A7453D" w14:textId="77777777" w:rsidR="00B876EB" w:rsidRPr="00076C70" w:rsidRDefault="00B876EB" w:rsidP="00B876EB">
            <w:pPr>
              <w:widowControl w:val="0"/>
              <w:jc w:val="center"/>
              <w:rPr>
                <w:rFonts w:cs="Arial"/>
                <w:szCs w:val="20"/>
                <w:lang w:val="sl-SI"/>
              </w:rPr>
            </w:pPr>
            <w:r w:rsidRPr="00076C70">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E181033" w14:textId="77777777" w:rsidR="00B876EB" w:rsidRPr="00076C70" w:rsidRDefault="00B876EB" w:rsidP="00B876EB">
            <w:pPr>
              <w:widowControl w:val="0"/>
              <w:jc w:val="center"/>
              <w:rPr>
                <w:rFonts w:cs="Arial"/>
                <w:szCs w:val="20"/>
                <w:lang w:val="sl-SI"/>
              </w:rPr>
            </w:pPr>
            <w:r w:rsidRPr="00076C70">
              <w:rPr>
                <w:rFonts w:cs="Arial"/>
                <w:szCs w:val="20"/>
                <w:lang w:val="sl-SI"/>
              </w:rPr>
              <w:t>Znesek za t + 1</w:t>
            </w:r>
          </w:p>
        </w:tc>
      </w:tr>
      <w:tr w:rsidR="00B876EB" w:rsidRPr="00076C70" w14:paraId="0F85372E" w14:textId="77777777" w:rsidTr="00980CB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6F31F21F"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2289D8"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A0F039A"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D0A0682"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4A881B8" w14:textId="77777777" w:rsidR="00B876EB" w:rsidRPr="00076C70" w:rsidRDefault="00B876EB" w:rsidP="00B876EB">
            <w:pPr>
              <w:widowControl w:val="0"/>
              <w:tabs>
                <w:tab w:val="left" w:pos="360"/>
              </w:tabs>
              <w:outlineLvl w:val="0"/>
              <w:rPr>
                <w:rFonts w:cs="Arial"/>
                <w:bCs/>
                <w:kern w:val="32"/>
                <w:szCs w:val="20"/>
                <w:lang w:val="sl-SI" w:eastAsia="sl-SI"/>
              </w:rPr>
            </w:pPr>
          </w:p>
        </w:tc>
      </w:tr>
      <w:tr w:rsidR="00B876EB" w:rsidRPr="00076C70" w14:paraId="64E16E13"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4A29032"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B826F48"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5F401F0"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FB1380"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72801FF" w14:textId="77777777" w:rsidR="00B876EB" w:rsidRPr="00076C70" w:rsidRDefault="00B876EB" w:rsidP="00B876EB">
            <w:pPr>
              <w:widowControl w:val="0"/>
              <w:tabs>
                <w:tab w:val="left" w:pos="360"/>
              </w:tabs>
              <w:outlineLvl w:val="0"/>
              <w:rPr>
                <w:rFonts w:cs="Arial"/>
                <w:bCs/>
                <w:kern w:val="32"/>
                <w:szCs w:val="20"/>
                <w:lang w:val="sl-SI" w:eastAsia="sl-SI"/>
              </w:rPr>
            </w:pPr>
          </w:p>
        </w:tc>
      </w:tr>
      <w:tr w:rsidR="00B876EB" w:rsidRPr="00076C70" w14:paraId="40B18040" w14:textId="77777777" w:rsidTr="00980CB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748B1F5" w14:textId="77777777" w:rsidR="00B876EB" w:rsidRPr="00076C70" w:rsidRDefault="00B876EB" w:rsidP="00B876EB">
            <w:pPr>
              <w:widowControl w:val="0"/>
              <w:tabs>
                <w:tab w:val="left" w:pos="360"/>
              </w:tabs>
              <w:outlineLvl w:val="0"/>
              <w:rPr>
                <w:rFonts w:cs="Arial"/>
                <w:b/>
                <w:kern w:val="32"/>
                <w:szCs w:val="20"/>
                <w:lang w:val="sl-SI" w:eastAsia="sl-SI"/>
              </w:rPr>
            </w:pPr>
            <w:r w:rsidRPr="00076C70">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ADFE2C9" w14:textId="77777777" w:rsidR="00B876EB" w:rsidRPr="00076C70" w:rsidRDefault="00B876EB" w:rsidP="00B876EB">
            <w:pPr>
              <w:widowControl w:val="0"/>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0C309A" w14:textId="77777777" w:rsidR="00B876EB" w:rsidRPr="00076C70" w:rsidRDefault="00B876EB" w:rsidP="00B876EB">
            <w:pPr>
              <w:widowControl w:val="0"/>
              <w:tabs>
                <w:tab w:val="left" w:pos="360"/>
              </w:tabs>
              <w:outlineLvl w:val="0"/>
              <w:rPr>
                <w:rFonts w:cs="Arial"/>
                <w:b/>
                <w:kern w:val="32"/>
                <w:szCs w:val="20"/>
                <w:lang w:val="sl-SI" w:eastAsia="sl-SI"/>
              </w:rPr>
            </w:pPr>
          </w:p>
        </w:tc>
      </w:tr>
      <w:tr w:rsidR="00B876EB" w:rsidRPr="00076C70" w14:paraId="1FD4BA45" w14:textId="77777777" w:rsidTr="00980CB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491FE46" w14:textId="77777777" w:rsidR="00B876EB" w:rsidRPr="00076C70" w:rsidRDefault="00B876EB" w:rsidP="00B876EB">
            <w:pPr>
              <w:widowControl w:val="0"/>
              <w:tabs>
                <w:tab w:val="left" w:pos="2340"/>
              </w:tabs>
              <w:outlineLvl w:val="0"/>
              <w:rPr>
                <w:rFonts w:cs="Arial"/>
                <w:b/>
                <w:kern w:val="32"/>
                <w:szCs w:val="20"/>
                <w:lang w:val="sl-SI" w:eastAsia="sl-SI"/>
              </w:rPr>
            </w:pPr>
            <w:proofErr w:type="spellStart"/>
            <w:r w:rsidRPr="00076C70">
              <w:rPr>
                <w:rFonts w:cs="Arial"/>
                <w:b/>
                <w:kern w:val="32"/>
                <w:szCs w:val="20"/>
                <w:lang w:val="sl-SI" w:eastAsia="sl-SI"/>
              </w:rPr>
              <w:t>II.b</w:t>
            </w:r>
            <w:proofErr w:type="spellEnd"/>
            <w:r w:rsidRPr="00076C70">
              <w:rPr>
                <w:rFonts w:cs="Arial"/>
                <w:b/>
                <w:kern w:val="32"/>
                <w:szCs w:val="20"/>
                <w:lang w:val="sl-SI" w:eastAsia="sl-SI"/>
              </w:rPr>
              <w:t xml:space="preserve"> Manjkajoče pravice porabe bodo zagotovljene s prerazporeditvijo:</w:t>
            </w:r>
          </w:p>
        </w:tc>
      </w:tr>
      <w:tr w:rsidR="00B876EB" w:rsidRPr="00076C70" w14:paraId="596275A5" w14:textId="77777777" w:rsidTr="00980CB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EFA9FD7" w14:textId="77777777" w:rsidR="00B876EB" w:rsidRPr="00076C70" w:rsidRDefault="00B876EB" w:rsidP="00B876EB">
            <w:pPr>
              <w:widowControl w:val="0"/>
              <w:jc w:val="center"/>
              <w:rPr>
                <w:rFonts w:cs="Arial"/>
                <w:szCs w:val="20"/>
                <w:lang w:val="sl-SI"/>
              </w:rPr>
            </w:pPr>
            <w:r w:rsidRPr="00076C70">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FD2CC7B" w14:textId="77777777" w:rsidR="00B876EB" w:rsidRPr="00076C70" w:rsidRDefault="00B876EB" w:rsidP="00B876EB">
            <w:pPr>
              <w:widowControl w:val="0"/>
              <w:jc w:val="center"/>
              <w:rPr>
                <w:rFonts w:cs="Arial"/>
                <w:szCs w:val="20"/>
                <w:lang w:val="sl-SI"/>
              </w:rPr>
            </w:pPr>
            <w:r w:rsidRPr="00076C70">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4FB4833" w14:textId="77777777" w:rsidR="00B876EB" w:rsidRPr="00076C70" w:rsidRDefault="00B876EB" w:rsidP="00B876EB">
            <w:pPr>
              <w:widowControl w:val="0"/>
              <w:jc w:val="center"/>
              <w:rPr>
                <w:rFonts w:cs="Arial"/>
                <w:szCs w:val="20"/>
                <w:lang w:val="sl-SI"/>
              </w:rPr>
            </w:pPr>
            <w:r w:rsidRPr="00076C70">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0DAB3C" w14:textId="77777777" w:rsidR="00B876EB" w:rsidRPr="00076C70" w:rsidRDefault="00B876EB" w:rsidP="00B876EB">
            <w:pPr>
              <w:widowControl w:val="0"/>
              <w:jc w:val="center"/>
              <w:rPr>
                <w:rFonts w:cs="Arial"/>
                <w:szCs w:val="20"/>
                <w:lang w:val="sl-SI"/>
              </w:rPr>
            </w:pPr>
            <w:r w:rsidRPr="00076C70">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26F0D6A" w14:textId="77777777" w:rsidR="00B876EB" w:rsidRPr="00076C70" w:rsidRDefault="00B876EB" w:rsidP="00B876EB">
            <w:pPr>
              <w:widowControl w:val="0"/>
              <w:jc w:val="center"/>
              <w:rPr>
                <w:rFonts w:cs="Arial"/>
                <w:szCs w:val="20"/>
                <w:lang w:val="sl-SI"/>
              </w:rPr>
            </w:pPr>
            <w:r w:rsidRPr="00076C70">
              <w:rPr>
                <w:rFonts w:cs="Arial"/>
                <w:szCs w:val="20"/>
                <w:lang w:val="sl-SI"/>
              </w:rPr>
              <w:t xml:space="preserve">Znesek za t + 1 </w:t>
            </w:r>
          </w:p>
        </w:tc>
      </w:tr>
      <w:tr w:rsidR="00B876EB" w:rsidRPr="00076C70" w14:paraId="355BAE6D"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148287D"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460C51"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2534F26"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11048D7"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8C70019" w14:textId="77777777" w:rsidR="00B876EB" w:rsidRPr="00076C70" w:rsidRDefault="00B876EB" w:rsidP="00B876EB">
            <w:pPr>
              <w:widowControl w:val="0"/>
              <w:tabs>
                <w:tab w:val="left" w:pos="360"/>
              </w:tabs>
              <w:outlineLvl w:val="0"/>
              <w:rPr>
                <w:rFonts w:cs="Arial"/>
                <w:bCs/>
                <w:kern w:val="32"/>
                <w:szCs w:val="20"/>
                <w:lang w:val="sl-SI" w:eastAsia="sl-SI"/>
              </w:rPr>
            </w:pPr>
          </w:p>
        </w:tc>
      </w:tr>
      <w:tr w:rsidR="00B876EB" w:rsidRPr="00076C70" w14:paraId="1202204F" w14:textId="77777777" w:rsidTr="00980CB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93F6DC2"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1625D01"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96CBAD"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5107D4C"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04A39119" w14:textId="77777777" w:rsidR="00B876EB" w:rsidRPr="00076C70" w:rsidRDefault="00B876EB" w:rsidP="00B876EB">
            <w:pPr>
              <w:widowControl w:val="0"/>
              <w:tabs>
                <w:tab w:val="left" w:pos="360"/>
              </w:tabs>
              <w:outlineLvl w:val="0"/>
              <w:rPr>
                <w:rFonts w:cs="Arial"/>
                <w:bCs/>
                <w:kern w:val="32"/>
                <w:szCs w:val="20"/>
                <w:lang w:val="sl-SI" w:eastAsia="sl-SI"/>
              </w:rPr>
            </w:pPr>
          </w:p>
        </w:tc>
      </w:tr>
      <w:tr w:rsidR="00B876EB" w:rsidRPr="00076C70" w14:paraId="126DE502" w14:textId="77777777" w:rsidTr="00980CB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769E4153" w14:textId="77777777" w:rsidR="00B876EB" w:rsidRPr="00076C70" w:rsidRDefault="00B876EB" w:rsidP="00B876EB">
            <w:pPr>
              <w:widowControl w:val="0"/>
              <w:tabs>
                <w:tab w:val="left" w:pos="360"/>
              </w:tabs>
              <w:outlineLvl w:val="0"/>
              <w:rPr>
                <w:rFonts w:cs="Arial"/>
                <w:b/>
                <w:kern w:val="32"/>
                <w:szCs w:val="20"/>
                <w:lang w:val="sl-SI" w:eastAsia="sl-SI"/>
              </w:rPr>
            </w:pPr>
            <w:r w:rsidRPr="00076C70">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3D0A0F" w14:textId="77777777" w:rsidR="00B876EB" w:rsidRPr="00076C70" w:rsidRDefault="00B876EB" w:rsidP="00B876EB">
            <w:pPr>
              <w:widowControl w:val="0"/>
              <w:tabs>
                <w:tab w:val="left" w:pos="360"/>
              </w:tabs>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0B7B37F" w14:textId="77777777" w:rsidR="00B876EB" w:rsidRPr="00076C70" w:rsidRDefault="00B876EB" w:rsidP="00B876EB">
            <w:pPr>
              <w:widowControl w:val="0"/>
              <w:tabs>
                <w:tab w:val="left" w:pos="360"/>
              </w:tabs>
              <w:outlineLvl w:val="0"/>
              <w:rPr>
                <w:rFonts w:cs="Arial"/>
                <w:b/>
                <w:kern w:val="32"/>
                <w:szCs w:val="20"/>
                <w:lang w:val="sl-SI" w:eastAsia="sl-SI"/>
              </w:rPr>
            </w:pPr>
          </w:p>
        </w:tc>
      </w:tr>
      <w:tr w:rsidR="00B876EB" w:rsidRPr="00076C70" w14:paraId="53131EF5" w14:textId="77777777" w:rsidTr="00980CB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CF73759" w14:textId="77777777" w:rsidR="00B876EB" w:rsidRPr="00076C70" w:rsidRDefault="00B876EB" w:rsidP="00B876EB">
            <w:pPr>
              <w:widowControl w:val="0"/>
              <w:tabs>
                <w:tab w:val="left" w:pos="2340"/>
              </w:tabs>
              <w:outlineLvl w:val="0"/>
              <w:rPr>
                <w:rFonts w:cs="Arial"/>
                <w:b/>
                <w:kern w:val="32"/>
                <w:szCs w:val="20"/>
                <w:lang w:val="sl-SI" w:eastAsia="sl-SI"/>
              </w:rPr>
            </w:pPr>
            <w:proofErr w:type="spellStart"/>
            <w:r w:rsidRPr="00076C70">
              <w:rPr>
                <w:rFonts w:cs="Arial"/>
                <w:b/>
                <w:kern w:val="32"/>
                <w:szCs w:val="20"/>
                <w:lang w:val="sl-SI" w:eastAsia="sl-SI"/>
              </w:rPr>
              <w:t>II.c</w:t>
            </w:r>
            <w:proofErr w:type="spellEnd"/>
            <w:r w:rsidRPr="00076C70">
              <w:rPr>
                <w:rFonts w:cs="Arial"/>
                <w:b/>
                <w:kern w:val="32"/>
                <w:szCs w:val="20"/>
                <w:lang w:val="sl-SI" w:eastAsia="sl-SI"/>
              </w:rPr>
              <w:t xml:space="preserve"> Načrtovana nadomestitev zmanjšanih prihodkov in povečanih odhodkov proračuna:</w:t>
            </w:r>
          </w:p>
        </w:tc>
      </w:tr>
      <w:tr w:rsidR="00B876EB" w:rsidRPr="00076C70" w14:paraId="0C70207A" w14:textId="77777777" w:rsidTr="00980CB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977DBD" w14:textId="77777777" w:rsidR="00B876EB" w:rsidRPr="00076C70" w:rsidRDefault="00B876EB" w:rsidP="00B876EB">
            <w:pPr>
              <w:widowControl w:val="0"/>
              <w:ind w:left="-122" w:right="-112"/>
              <w:jc w:val="center"/>
              <w:rPr>
                <w:rFonts w:cs="Arial"/>
                <w:szCs w:val="20"/>
                <w:lang w:val="sl-SI"/>
              </w:rPr>
            </w:pPr>
            <w:r w:rsidRPr="00076C70">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BF823F" w14:textId="77777777" w:rsidR="00B876EB" w:rsidRPr="00076C70" w:rsidRDefault="00B876EB" w:rsidP="00B876EB">
            <w:pPr>
              <w:widowControl w:val="0"/>
              <w:ind w:left="-122" w:right="-112"/>
              <w:jc w:val="center"/>
              <w:rPr>
                <w:rFonts w:cs="Arial"/>
                <w:szCs w:val="20"/>
                <w:lang w:val="sl-SI"/>
              </w:rPr>
            </w:pPr>
            <w:r w:rsidRPr="00076C70">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F46268" w14:textId="77777777" w:rsidR="00B876EB" w:rsidRPr="00076C70" w:rsidRDefault="00B876EB" w:rsidP="00B876EB">
            <w:pPr>
              <w:widowControl w:val="0"/>
              <w:ind w:left="-122" w:right="-112"/>
              <w:jc w:val="center"/>
              <w:rPr>
                <w:rFonts w:cs="Arial"/>
                <w:szCs w:val="20"/>
                <w:lang w:val="sl-SI"/>
              </w:rPr>
            </w:pPr>
            <w:r w:rsidRPr="00076C70">
              <w:rPr>
                <w:rFonts w:cs="Arial"/>
                <w:szCs w:val="20"/>
                <w:lang w:val="sl-SI"/>
              </w:rPr>
              <w:t>Znesek za t + 1</w:t>
            </w:r>
          </w:p>
        </w:tc>
      </w:tr>
      <w:tr w:rsidR="00B876EB" w:rsidRPr="00076C70" w14:paraId="2CABBA20"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49AA2FD"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6BA65D"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BDA318C" w14:textId="77777777" w:rsidR="00B876EB" w:rsidRPr="00076C70" w:rsidRDefault="00B876EB" w:rsidP="00B876EB">
            <w:pPr>
              <w:widowControl w:val="0"/>
              <w:tabs>
                <w:tab w:val="left" w:pos="360"/>
              </w:tabs>
              <w:outlineLvl w:val="0"/>
              <w:rPr>
                <w:rFonts w:cs="Arial"/>
                <w:bCs/>
                <w:kern w:val="32"/>
                <w:szCs w:val="20"/>
                <w:lang w:val="sl-SI" w:eastAsia="sl-SI"/>
              </w:rPr>
            </w:pPr>
          </w:p>
        </w:tc>
      </w:tr>
      <w:tr w:rsidR="00B876EB" w:rsidRPr="00076C70" w14:paraId="7280E954"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310379D"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03261A5"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7D8C817" w14:textId="77777777" w:rsidR="00B876EB" w:rsidRPr="00076C70" w:rsidRDefault="00B876EB" w:rsidP="00B876EB">
            <w:pPr>
              <w:widowControl w:val="0"/>
              <w:tabs>
                <w:tab w:val="left" w:pos="360"/>
              </w:tabs>
              <w:outlineLvl w:val="0"/>
              <w:rPr>
                <w:rFonts w:cs="Arial"/>
                <w:bCs/>
                <w:kern w:val="32"/>
                <w:szCs w:val="20"/>
                <w:lang w:val="sl-SI" w:eastAsia="sl-SI"/>
              </w:rPr>
            </w:pPr>
          </w:p>
        </w:tc>
      </w:tr>
      <w:tr w:rsidR="00B876EB" w:rsidRPr="00076C70" w14:paraId="7A4836E7"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6842696"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C93810" w14:textId="77777777" w:rsidR="00B876EB" w:rsidRPr="00076C70" w:rsidRDefault="00B876EB" w:rsidP="00B876EB">
            <w:pPr>
              <w:widowControl w:val="0"/>
              <w:tabs>
                <w:tab w:val="left" w:pos="360"/>
              </w:tabs>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78830D" w14:textId="77777777" w:rsidR="00B876EB" w:rsidRPr="00076C70" w:rsidRDefault="00B876EB" w:rsidP="00B876EB">
            <w:pPr>
              <w:widowControl w:val="0"/>
              <w:tabs>
                <w:tab w:val="left" w:pos="360"/>
              </w:tabs>
              <w:outlineLvl w:val="0"/>
              <w:rPr>
                <w:rFonts w:cs="Arial"/>
                <w:bCs/>
                <w:kern w:val="32"/>
                <w:szCs w:val="20"/>
                <w:lang w:val="sl-SI" w:eastAsia="sl-SI"/>
              </w:rPr>
            </w:pPr>
          </w:p>
        </w:tc>
      </w:tr>
      <w:tr w:rsidR="00B876EB" w:rsidRPr="00076C70" w14:paraId="3D93F31F" w14:textId="77777777" w:rsidTr="00980CB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F6F2A10" w14:textId="77777777" w:rsidR="00B876EB" w:rsidRPr="00076C70" w:rsidRDefault="00B876EB" w:rsidP="00B876EB">
            <w:pPr>
              <w:widowControl w:val="0"/>
              <w:tabs>
                <w:tab w:val="left" w:pos="360"/>
              </w:tabs>
              <w:outlineLvl w:val="0"/>
              <w:rPr>
                <w:rFonts w:cs="Arial"/>
                <w:b/>
                <w:kern w:val="32"/>
                <w:szCs w:val="20"/>
                <w:lang w:val="sl-SI" w:eastAsia="sl-SI"/>
              </w:rPr>
            </w:pPr>
            <w:r w:rsidRPr="00076C70">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6AD8241" w14:textId="77777777" w:rsidR="00B876EB" w:rsidRPr="00076C70" w:rsidRDefault="00B876EB" w:rsidP="00B876EB">
            <w:pPr>
              <w:widowControl w:val="0"/>
              <w:tabs>
                <w:tab w:val="left" w:pos="360"/>
              </w:tabs>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6AB44E" w14:textId="77777777" w:rsidR="00B876EB" w:rsidRPr="00076C70" w:rsidRDefault="00B876EB" w:rsidP="00B876EB">
            <w:pPr>
              <w:widowControl w:val="0"/>
              <w:tabs>
                <w:tab w:val="left" w:pos="360"/>
              </w:tabs>
              <w:outlineLvl w:val="0"/>
              <w:rPr>
                <w:rFonts w:cs="Arial"/>
                <w:b/>
                <w:kern w:val="32"/>
                <w:szCs w:val="20"/>
                <w:lang w:val="sl-SI" w:eastAsia="sl-SI"/>
              </w:rPr>
            </w:pPr>
          </w:p>
        </w:tc>
      </w:tr>
      <w:tr w:rsidR="00B876EB" w:rsidRPr="00C9363E" w14:paraId="3C928763"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FE2BD7B" w14:textId="77777777" w:rsidR="00B876EB" w:rsidRPr="00076C70" w:rsidRDefault="00B876EB" w:rsidP="00B876EB">
            <w:pPr>
              <w:widowControl w:val="0"/>
              <w:rPr>
                <w:rFonts w:cs="Arial"/>
                <w:b/>
                <w:szCs w:val="20"/>
                <w:lang w:val="sl-SI"/>
              </w:rPr>
            </w:pPr>
          </w:p>
          <w:p w14:paraId="688C13FD" w14:textId="77777777" w:rsidR="00B876EB" w:rsidRPr="00076C70" w:rsidRDefault="00B876EB" w:rsidP="00B876EB">
            <w:pPr>
              <w:widowControl w:val="0"/>
              <w:rPr>
                <w:rFonts w:cs="Arial"/>
                <w:b/>
                <w:szCs w:val="20"/>
                <w:lang w:val="sl-SI"/>
              </w:rPr>
            </w:pPr>
            <w:r w:rsidRPr="00076C70">
              <w:rPr>
                <w:rFonts w:cs="Arial"/>
                <w:b/>
                <w:szCs w:val="20"/>
                <w:lang w:val="sl-SI"/>
              </w:rPr>
              <w:t>OBRAZLOŽITEV:</w:t>
            </w:r>
          </w:p>
          <w:p w14:paraId="60E7B7EF" w14:textId="77777777" w:rsidR="00B876EB" w:rsidRPr="00076C70" w:rsidRDefault="00B876EB" w:rsidP="00B876EB">
            <w:pPr>
              <w:widowControl w:val="0"/>
              <w:numPr>
                <w:ilvl w:val="0"/>
                <w:numId w:val="6"/>
              </w:numPr>
              <w:suppressAutoHyphens/>
              <w:ind w:left="284" w:hanging="284"/>
              <w:jc w:val="both"/>
              <w:rPr>
                <w:rFonts w:cs="Arial"/>
                <w:b/>
                <w:szCs w:val="20"/>
                <w:lang w:val="sl-SI" w:eastAsia="sl-SI"/>
              </w:rPr>
            </w:pPr>
            <w:r w:rsidRPr="00076C70">
              <w:rPr>
                <w:rFonts w:cs="Arial"/>
                <w:b/>
                <w:szCs w:val="20"/>
                <w:lang w:val="sl-SI" w:eastAsia="sl-SI"/>
              </w:rPr>
              <w:t>Ocena finančnih posledic, ki niso načrtovane v sprejetem proračunu</w:t>
            </w:r>
          </w:p>
          <w:p w14:paraId="348842A9" w14:textId="77777777" w:rsidR="00B876EB" w:rsidRPr="00076C70" w:rsidRDefault="00B876EB" w:rsidP="00B876EB">
            <w:pPr>
              <w:widowControl w:val="0"/>
              <w:ind w:left="360" w:hanging="76"/>
              <w:jc w:val="both"/>
              <w:rPr>
                <w:rFonts w:cs="Arial"/>
                <w:szCs w:val="20"/>
                <w:lang w:val="sl-SI" w:eastAsia="sl-SI"/>
              </w:rPr>
            </w:pPr>
            <w:r w:rsidRPr="00076C70">
              <w:rPr>
                <w:rFonts w:cs="Arial"/>
                <w:szCs w:val="20"/>
                <w:lang w:val="sl-SI" w:eastAsia="sl-SI"/>
              </w:rPr>
              <w:t>V zvezi s predlaganim vladnim gradivom se navedejo predvidene spremembe (povečanje, zmanjšanje):</w:t>
            </w:r>
          </w:p>
          <w:p w14:paraId="6A722A61" w14:textId="77777777" w:rsidR="00B876EB" w:rsidRPr="00076C70" w:rsidRDefault="00B876EB" w:rsidP="00B876EB">
            <w:pPr>
              <w:widowControl w:val="0"/>
              <w:numPr>
                <w:ilvl w:val="0"/>
                <w:numId w:val="21"/>
              </w:numPr>
              <w:suppressAutoHyphens/>
              <w:jc w:val="both"/>
              <w:rPr>
                <w:rFonts w:cs="Arial"/>
                <w:szCs w:val="20"/>
                <w:lang w:val="sl-SI"/>
              </w:rPr>
            </w:pPr>
            <w:r w:rsidRPr="00076C70">
              <w:rPr>
                <w:rFonts w:cs="Arial"/>
                <w:szCs w:val="20"/>
                <w:lang w:val="sl-SI" w:eastAsia="sl-SI"/>
              </w:rPr>
              <w:t>prihodkov državnega proračuna in občinskih proračunov,</w:t>
            </w:r>
          </w:p>
          <w:p w14:paraId="38D0B50A" w14:textId="77777777" w:rsidR="00B876EB" w:rsidRPr="00076C70" w:rsidRDefault="00B876EB" w:rsidP="00B876EB">
            <w:pPr>
              <w:widowControl w:val="0"/>
              <w:numPr>
                <w:ilvl w:val="0"/>
                <w:numId w:val="21"/>
              </w:numPr>
              <w:suppressAutoHyphens/>
              <w:jc w:val="both"/>
              <w:rPr>
                <w:rFonts w:cs="Arial"/>
                <w:szCs w:val="20"/>
                <w:lang w:val="sl-SI"/>
              </w:rPr>
            </w:pPr>
            <w:r w:rsidRPr="00076C70">
              <w:rPr>
                <w:rFonts w:cs="Arial"/>
                <w:szCs w:val="20"/>
                <w:lang w:val="sl-SI" w:eastAsia="sl-SI"/>
              </w:rPr>
              <w:t>odhodkov državnega proračuna, ki niso načrtovani na ukrepih oziroma projektih sprejetih proračunov,</w:t>
            </w:r>
          </w:p>
          <w:p w14:paraId="39BE0664" w14:textId="77777777" w:rsidR="00B876EB" w:rsidRPr="00076C70" w:rsidRDefault="00B876EB" w:rsidP="00B876EB">
            <w:pPr>
              <w:widowControl w:val="0"/>
              <w:numPr>
                <w:ilvl w:val="0"/>
                <w:numId w:val="21"/>
              </w:numPr>
              <w:suppressAutoHyphens/>
              <w:jc w:val="both"/>
              <w:rPr>
                <w:rFonts w:cs="Arial"/>
                <w:szCs w:val="20"/>
                <w:lang w:val="sl-SI"/>
              </w:rPr>
            </w:pPr>
            <w:r w:rsidRPr="00076C70">
              <w:rPr>
                <w:rFonts w:cs="Arial"/>
                <w:szCs w:val="20"/>
                <w:lang w:val="sl-SI" w:eastAsia="sl-SI"/>
              </w:rPr>
              <w:lastRenderedPageBreak/>
              <w:t>obveznosti za druga javnofinančna sredstva (drugi viri), ki niso načrtovana na ukrepih oziroma projektih sprejetih proračunov.</w:t>
            </w:r>
          </w:p>
          <w:p w14:paraId="4A08084A" w14:textId="77777777" w:rsidR="00B876EB" w:rsidRPr="00076C70" w:rsidRDefault="00B876EB" w:rsidP="00B876EB">
            <w:pPr>
              <w:widowControl w:val="0"/>
              <w:ind w:left="284"/>
              <w:rPr>
                <w:rFonts w:cs="Arial"/>
                <w:szCs w:val="20"/>
                <w:lang w:val="sl-SI" w:eastAsia="sl-SI"/>
              </w:rPr>
            </w:pPr>
          </w:p>
          <w:p w14:paraId="3132D02E" w14:textId="77777777" w:rsidR="00B876EB" w:rsidRPr="00076C70" w:rsidRDefault="00B876EB" w:rsidP="00B876EB">
            <w:pPr>
              <w:widowControl w:val="0"/>
              <w:numPr>
                <w:ilvl w:val="0"/>
                <w:numId w:val="6"/>
              </w:numPr>
              <w:suppressAutoHyphens/>
              <w:ind w:left="284" w:hanging="284"/>
              <w:jc w:val="both"/>
              <w:rPr>
                <w:rFonts w:cs="Arial"/>
                <w:b/>
                <w:szCs w:val="20"/>
                <w:lang w:val="sl-SI" w:eastAsia="sl-SI"/>
              </w:rPr>
            </w:pPr>
            <w:r w:rsidRPr="00076C70">
              <w:rPr>
                <w:rFonts w:cs="Arial"/>
                <w:b/>
                <w:szCs w:val="20"/>
                <w:lang w:val="sl-SI" w:eastAsia="sl-SI"/>
              </w:rPr>
              <w:t>Finančne posledice za državni proračun</w:t>
            </w:r>
          </w:p>
          <w:p w14:paraId="056951A0" w14:textId="77777777" w:rsidR="00B876EB" w:rsidRPr="00076C70" w:rsidRDefault="00B876EB" w:rsidP="00B876EB">
            <w:pPr>
              <w:widowControl w:val="0"/>
              <w:ind w:left="284"/>
              <w:jc w:val="both"/>
              <w:rPr>
                <w:rFonts w:cs="Arial"/>
                <w:szCs w:val="20"/>
                <w:lang w:val="sl-SI" w:eastAsia="sl-SI"/>
              </w:rPr>
            </w:pPr>
            <w:r w:rsidRPr="00076C70">
              <w:rPr>
                <w:rFonts w:cs="Arial"/>
                <w:szCs w:val="20"/>
                <w:lang w:val="sl-SI" w:eastAsia="sl-SI"/>
              </w:rPr>
              <w:t>Prikazane morajo biti finančne posledice za državni proračun, ki so na proračunskih postavkah načrtovane v dinamiki projektov oziroma ukrepov:</w:t>
            </w:r>
          </w:p>
          <w:p w14:paraId="346D2398" w14:textId="77777777" w:rsidR="00B876EB" w:rsidRPr="00076C70" w:rsidRDefault="00B876EB" w:rsidP="00B876EB">
            <w:pPr>
              <w:widowControl w:val="0"/>
              <w:suppressAutoHyphens/>
              <w:ind w:left="720"/>
              <w:jc w:val="both"/>
              <w:rPr>
                <w:rFonts w:cs="Arial"/>
                <w:b/>
                <w:szCs w:val="20"/>
                <w:lang w:val="sl-SI" w:eastAsia="sl-SI"/>
              </w:rPr>
            </w:pPr>
            <w:proofErr w:type="spellStart"/>
            <w:r w:rsidRPr="00076C70">
              <w:rPr>
                <w:rFonts w:cs="Arial"/>
                <w:b/>
                <w:szCs w:val="20"/>
                <w:lang w:val="sl-SI" w:eastAsia="sl-SI"/>
              </w:rPr>
              <w:t>II.a</w:t>
            </w:r>
            <w:proofErr w:type="spellEnd"/>
            <w:r w:rsidRPr="00076C70">
              <w:rPr>
                <w:rFonts w:cs="Arial"/>
                <w:b/>
                <w:szCs w:val="20"/>
                <w:lang w:val="sl-SI" w:eastAsia="sl-SI"/>
              </w:rPr>
              <w:t xml:space="preserve"> Pravice porabe za izvedbo predlaganih rešitev so zagotovljene:</w:t>
            </w:r>
          </w:p>
          <w:p w14:paraId="59FB4819" w14:textId="77777777" w:rsidR="00B876EB" w:rsidRPr="00076C70" w:rsidRDefault="00B876EB" w:rsidP="00B876EB">
            <w:pPr>
              <w:widowControl w:val="0"/>
              <w:ind w:left="284"/>
              <w:jc w:val="both"/>
              <w:rPr>
                <w:rFonts w:cs="Arial"/>
                <w:szCs w:val="20"/>
                <w:lang w:val="sl-SI" w:eastAsia="sl-SI"/>
              </w:rPr>
            </w:pPr>
            <w:r w:rsidRPr="00076C70">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076C70">
              <w:rPr>
                <w:rFonts w:cs="Arial"/>
                <w:szCs w:val="20"/>
                <w:lang w:val="sl-SI" w:eastAsia="sl-SI"/>
              </w:rPr>
              <w:t>II.b</w:t>
            </w:r>
            <w:proofErr w:type="spellEnd"/>
            <w:r w:rsidRPr="00076C70">
              <w:rPr>
                <w:rFonts w:cs="Arial"/>
                <w:szCs w:val="20"/>
                <w:lang w:val="sl-SI" w:eastAsia="sl-SI"/>
              </w:rPr>
              <w:t>). Pri uvrstitvi novega projekta oziroma ukrepa v načrt razvojnih programov se navedejo:</w:t>
            </w:r>
          </w:p>
          <w:p w14:paraId="1809C4AC" w14:textId="77777777" w:rsidR="00B876EB" w:rsidRPr="00076C70" w:rsidRDefault="00B876EB" w:rsidP="00B876EB">
            <w:pPr>
              <w:widowControl w:val="0"/>
              <w:numPr>
                <w:ilvl w:val="0"/>
                <w:numId w:val="22"/>
              </w:numPr>
              <w:suppressAutoHyphens/>
              <w:jc w:val="both"/>
              <w:rPr>
                <w:rFonts w:cs="Arial"/>
                <w:szCs w:val="20"/>
                <w:lang w:val="sl-SI" w:eastAsia="sl-SI"/>
              </w:rPr>
            </w:pPr>
            <w:r w:rsidRPr="00076C70">
              <w:rPr>
                <w:rFonts w:cs="Arial"/>
                <w:szCs w:val="20"/>
                <w:lang w:val="sl-SI" w:eastAsia="sl-SI"/>
              </w:rPr>
              <w:t>proračunski uporabnik, ki bo financiral novi projekt oziroma ukrep,</w:t>
            </w:r>
          </w:p>
          <w:p w14:paraId="49CAA8F1" w14:textId="77777777" w:rsidR="00B876EB" w:rsidRPr="00076C70" w:rsidRDefault="00B876EB" w:rsidP="00B876EB">
            <w:pPr>
              <w:widowControl w:val="0"/>
              <w:numPr>
                <w:ilvl w:val="0"/>
                <w:numId w:val="22"/>
              </w:numPr>
              <w:suppressAutoHyphens/>
              <w:jc w:val="both"/>
              <w:rPr>
                <w:rFonts w:cs="Arial"/>
                <w:szCs w:val="20"/>
                <w:lang w:val="sl-SI" w:eastAsia="sl-SI"/>
              </w:rPr>
            </w:pPr>
            <w:r w:rsidRPr="00076C70">
              <w:rPr>
                <w:rFonts w:cs="Arial"/>
                <w:szCs w:val="20"/>
                <w:lang w:val="sl-SI" w:eastAsia="sl-SI"/>
              </w:rPr>
              <w:t xml:space="preserve">projekt oziroma ukrep, s katerim se bodo dosegli cilji vladnega gradiva, in </w:t>
            </w:r>
          </w:p>
          <w:p w14:paraId="7EBFF0B3" w14:textId="77777777" w:rsidR="00B876EB" w:rsidRPr="00076C70" w:rsidRDefault="00B876EB" w:rsidP="00B876EB">
            <w:pPr>
              <w:widowControl w:val="0"/>
              <w:numPr>
                <w:ilvl w:val="0"/>
                <w:numId w:val="22"/>
              </w:numPr>
              <w:suppressAutoHyphens/>
              <w:jc w:val="both"/>
              <w:rPr>
                <w:rFonts w:cs="Arial"/>
                <w:szCs w:val="20"/>
                <w:lang w:val="sl-SI" w:eastAsia="sl-SI"/>
              </w:rPr>
            </w:pPr>
            <w:r w:rsidRPr="00076C70">
              <w:rPr>
                <w:rFonts w:cs="Arial"/>
                <w:szCs w:val="20"/>
                <w:lang w:val="sl-SI" w:eastAsia="sl-SI"/>
              </w:rPr>
              <w:t>proračunske postavke.</w:t>
            </w:r>
          </w:p>
          <w:p w14:paraId="24820A5A" w14:textId="77777777" w:rsidR="00B876EB" w:rsidRPr="00076C70" w:rsidRDefault="00B876EB" w:rsidP="00B876EB">
            <w:pPr>
              <w:widowControl w:val="0"/>
              <w:ind w:left="284"/>
              <w:jc w:val="both"/>
              <w:rPr>
                <w:rFonts w:cs="Arial"/>
                <w:szCs w:val="20"/>
                <w:lang w:val="sl-SI" w:eastAsia="sl-SI"/>
              </w:rPr>
            </w:pPr>
            <w:r w:rsidRPr="00076C70">
              <w:rPr>
                <w:rFonts w:cs="Arial"/>
                <w:szCs w:val="20"/>
                <w:lang w:val="sl-SI" w:eastAsia="sl-SI"/>
              </w:rPr>
              <w:t xml:space="preserve">Za zagotovitev pravic porabe na proračunskih postavkah, s katerih se bo financiral novi projekt oziroma ukrep, je treba izpolniti tudi točko </w:t>
            </w:r>
            <w:proofErr w:type="spellStart"/>
            <w:r w:rsidRPr="00076C70">
              <w:rPr>
                <w:rFonts w:cs="Arial"/>
                <w:szCs w:val="20"/>
                <w:lang w:val="sl-SI" w:eastAsia="sl-SI"/>
              </w:rPr>
              <w:t>II.b</w:t>
            </w:r>
            <w:proofErr w:type="spellEnd"/>
            <w:r w:rsidRPr="00076C70">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2BD3D3F9" w14:textId="77777777" w:rsidR="00B876EB" w:rsidRPr="00076C70" w:rsidRDefault="00B876EB" w:rsidP="00B876EB">
            <w:pPr>
              <w:widowControl w:val="0"/>
              <w:suppressAutoHyphens/>
              <w:ind w:left="714"/>
              <w:jc w:val="both"/>
              <w:rPr>
                <w:rFonts w:cs="Arial"/>
                <w:b/>
                <w:szCs w:val="20"/>
                <w:lang w:val="sl-SI" w:eastAsia="sl-SI"/>
              </w:rPr>
            </w:pPr>
            <w:proofErr w:type="spellStart"/>
            <w:r w:rsidRPr="00076C70">
              <w:rPr>
                <w:rFonts w:cs="Arial"/>
                <w:b/>
                <w:szCs w:val="20"/>
                <w:lang w:val="sl-SI" w:eastAsia="sl-SI"/>
              </w:rPr>
              <w:t>II.b</w:t>
            </w:r>
            <w:proofErr w:type="spellEnd"/>
            <w:r w:rsidRPr="00076C70">
              <w:rPr>
                <w:rFonts w:cs="Arial"/>
                <w:b/>
                <w:szCs w:val="20"/>
                <w:lang w:val="sl-SI" w:eastAsia="sl-SI"/>
              </w:rPr>
              <w:t xml:space="preserve"> Manjkajoče pravice porabe bodo zagotovljene s prerazporeditvijo:</w:t>
            </w:r>
          </w:p>
          <w:p w14:paraId="7877B08D" w14:textId="77777777" w:rsidR="00B876EB" w:rsidRPr="00076C70" w:rsidRDefault="00B876EB" w:rsidP="00B876EB">
            <w:pPr>
              <w:widowControl w:val="0"/>
              <w:ind w:left="284"/>
              <w:jc w:val="both"/>
              <w:rPr>
                <w:rFonts w:cs="Arial"/>
                <w:szCs w:val="20"/>
                <w:lang w:val="sl-SI" w:eastAsia="sl-SI"/>
              </w:rPr>
            </w:pPr>
            <w:r w:rsidRPr="00076C70">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076C70">
              <w:rPr>
                <w:rFonts w:cs="Arial"/>
                <w:szCs w:val="20"/>
                <w:lang w:val="sl-SI" w:eastAsia="sl-SI"/>
              </w:rPr>
              <w:t>II.a</w:t>
            </w:r>
            <w:proofErr w:type="spellEnd"/>
            <w:r w:rsidRPr="00076C70">
              <w:rPr>
                <w:rFonts w:cs="Arial"/>
                <w:szCs w:val="20"/>
                <w:lang w:val="sl-SI" w:eastAsia="sl-SI"/>
              </w:rPr>
              <w:t>.</w:t>
            </w:r>
          </w:p>
          <w:p w14:paraId="22BCFACC" w14:textId="77777777" w:rsidR="00B876EB" w:rsidRPr="00076C70" w:rsidRDefault="00B876EB" w:rsidP="00B876EB">
            <w:pPr>
              <w:widowControl w:val="0"/>
              <w:suppressAutoHyphens/>
              <w:ind w:left="714"/>
              <w:jc w:val="both"/>
              <w:rPr>
                <w:rFonts w:cs="Arial"/>
                <w:b/>
                <w:szCs w:val="20"/>
                <w:lang w:val="sl-SI" w:eastAsia="sl-SI"/>
              </w:rPr>
            </w:pPr>
            <w:proofErr w:type="spellStart"/>
            <w:r w:rsidRPr="00076C70">
              <w:rPr>
                <w:rFonts w:cs="Arial"/>
                <w:b/>
                <w:szCs w:val="20"/>
                <w:lang w:val="sl-SI" w:eastAsia="sl-SI"/>
              </w:rPr>
              <w:t>II.c</w:t>
            </w:r>
            <w:proofErr w:type="spellEnd"/>
            <w:r w:rsidRPr="00076C70">
              <w:rPr>
                <w:rFonts w:cs="Arial"/>
                <w:b/>
                <w:szCs w:val="20"/>
                <w:lang w:val="sl-SI" w:eastAsia="sl-SI"/>
              </w:rPr>
              <w:t xml:space="preserve"> Načrtovana nadomestitev zmanjšanih prihodkov in povečanih odhodkov proračuna:</w:t>
            </w:r>
          </w:p>
          <w:p w14:paraId="46EE3B67" w14:textId="77777777" w:rsidR="00B876EB" w:rsidRPr="00076C70" w:rsidRDefault="00B876EB" w:rsidP="00B876EB">
            <w:pPr>
              <w:widowControl w:val="0"/>
              <w:ind w:left="284"/>
              <w:jc w:val="both"/>
              <w:rPr>
                <w:rFonts w:cs="Arial"/>
                <w:szCs w:val="20"/>
                <w:lang w:val="sl-SI" w:eastAsia="sl-SI"/>
              </w:rPr>
            </w:pPr>
            <w:r w:rsidRPr="00076C70">
              <w:rPr>
                <w:rFonts w:cs="Arial"/>
                <w:szCs w:val="20"/>
                <w:lang w:val="sl-SI" w:eastAsia="sl-SI"/>
              </w:rPr>
              <w:t xml:space="preserve">Če se povečani odhodki (pravice porabe) ne bodo zagotovili tako, kot je določeno v točkah </w:t>
            </w:r>
            <w:proofErr w:type="spellStart"/>
            <w:r w:rsidRPr="00076C70">
              <w:rPr>
                <w:rFonts w:cs="Arial"/>
                <w:szCs w:val="20"/>
                <w:lang w:val="sl-SI" w:eastAsia="sl-SI"/>
              </w:rPr>
              <w:t>II.a</w:t>
            </w:r>
            <w:proofErr w:type="spellEnd"/>
            <w:r w:rsidRPr="00076C70">
              <w:rPr>
                <w:rFonts w:cs="Arial"/>
                <w:szCs w:val="20"/>
                <w:lang w:val="sl-SI" w:eastAsia="sl-SI"/>
              </w:rPr>
              <w:t xml:space="preserve"> in </w:t>
            </w:r>
            <w:proofErr w:type="spellStart"/>
            <w:r w:rsidRPr="00076C70">
              <w:rPr>
                <w:rFonts w:cs="Arial"/>
                <w:szCs w:val="20"/>
                <w:lang w:val="sl-SI" w:eastAsia="sl-SI"/>
              </w:rPr>
              <w:t>II.b</w:t>
            </w:r>
            <w:proofErr w:type="spellEnd"/>
            <w:r w:rsidRPr="00076C70">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C69A959" w14:textId="77777777" w:rsidR="00B876EB" w:rsidRPr="00076C70" w:rsidRDefault="00B876EB" w:rsidP="00B876EB">
            <w:pPr>
              <w:widowControl w:val="0"/>
              <w:suppressAutoHyphens/>
              <w:overflowPunct w:val="0"/>
              <w:autoSpaceDE w:val="0"/>
              <w:autoSpaceDN w:val="0"/>
              <w:adjustRightInd w:val="0"/>
              <w:jc w:val="both"/>
              <w:textAlignment w:val="baseline"/>
              <w:rPr>
                <w:rFonts w:cs="Arial"/>
                <w:b/>
                <w:bCs/>
                <w:spacing w:val="40"/>
                <w:szCs w:val="20"/>
                <w:lang w:val="sl-SI" w:eastAsia="sl-SI"/>
              </w:rPr>
            </w:pPr>
          </w:p>
        </w:tc>
      </w:tr>
      <w:tr w:rsidR="00B876EB" w:rsidRPr="00076C70" w14:paraId="25E9FFBB"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C60A273" w14:textId="77777777" w:rsidR="00B876EB" w:rsidRPr="00076C70" w:rsidRDefault="00B876EB" w:rsidP="00B876EB">
            <w:pPr>
              <w:rPr>
                <w:rFonts w:cs="Arial"/>
                <w:b/>
                <w:szCs w:val="20"/>
                <w:lang w:val="sl-SI"/>
              </w:rPr>
            </w:pPr>
            <w:r w:rsidRPr="00076C70">
              <w:rPr>
                <w:rFonts w:cs="Arial"/>
                <w:b/>
                <w:szCs w:val="20"/>
                <w:lang w:val="sl-SI"/>
              </w:rPr>
              <w:lastRenderedPageBreak/>
              <w:t>7.b Predstavitev ocene finančnih posledic pod 40.000 EUR:</w:t>
            </w:r>
            <w:r w:rsidR="00E94110" w:rsidRPr="00076C70">
              <w:rPr>
                <w:rFonts w:cs="Arial"/>
                <w:b/>
                <w:szCs w:val="20"/>
                <w:lang w:val="sl-SI"/>
              </w:rPr>
              <w:t xml:space="preserve"> /</w:t>
            </w:r>
          </w:p>
          <w:p w14:paraId="02450C8B" w14:textId="77777777" w:rsidR="00E94110" w:rsidRPr="00076C70" w:rsidRDefault="00E94110" w:rsidP="00CD771F">
            <w:pPr>
              <w:rPr>
                <w:rFonts w:cs="Arial"/>
                <w:b/>
                <w:szCs w:val="20"/>
                <w:lang w:val="sl-SI"/>
              </w:rPr>
            </w:pPr>
          </w:p>
          <w:p w14:paraId="2DFEE027" w14:textId="77777777" w:rsidR="00B876EB" w:rsidRPr="00076C70" w:rsidRDefault="00E94110" w:rsidP="00E758E2">
            <w:pPr>
              <w:rPr>
                <w:rFonts w:cs="Arial"/>
                <w:b/>
                <w:szCs w:val="20"/>
                <w:lang w:val="sl-SI"/>
              </w:rPr>
            </w:pPr>
            <w:r w:rsidRPr="00076C70">
              <w:rPr>
                <w:rFonts w:cs="Arial"/>
                <w:b/>
                <w:szCs w:val="20"/>
                <w:lang w:val="sl-SI"/>
              </w:rPr>
              <w:t>Kratka obrazložitev:</w:t>
            </w:r>
            <w:r w:rsidRPr="00076C70">
              <w:rPr>
                <w:rFonts w:cs="Arial"/>
                <w:szCs w:val="20"/>
                <w:lang w:val="sl-SI"/>
              </w:rPr>
              <w:t xml:space="preserve"> </w:t>
            </w:r>
            <w:r w:rsidR="00E758E2" w:rsidRPr="00076C70">
              <w:rPr>
                <w:rFonts w:cs="Arial"/>
                <w:szCs w:val="20"/>
                <w:lang w:val="sl-SI"/>
              </w:rPr>
              <w:t>obravnava in sprejetje</w:t>
            </w:r>
            <w:r w:rsidRPr="00076C70">
              <w:rPr>
                <w:rFonts w:cs="Arial"/>
                <w:szCs w:val="20"/>
                <w:lang w:val="sl-SI"/>
              </w:rPr>
              <w:t xml:space="preserve"> poročila nimata nobenih finančnih posledic</w:t>
            </w:r>
            <w:r w:rsidR="001267B5" w:rsidRPr="00076C70">
              <w:rPr>
                <w:rFonts w:cs="Arial"/>
                <w:szCs w:val="20"/>
                <w:lang w:val="sl-SI"/>
              </w:rPr>
              <w:t>.</w:t>
            </w:r>
          </w:p>
        </w:tc>
      </w:tr>
      <w:tr w:rsidR="00B876EB" w:rsidRPr="00076C70" w14:paraId="4BBBB56B"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D045EF6" w14:textId="77777777" w:rsidR="00B876EB" w:rsidRPr="00076C70" w:rsidRDefault="00B876EB" w:rsidP="00B876EB">
            <w:pPr>
              <w:rPr>
                <w:rFonts w:cs="Arial"/>
                <w:b/>
                <w:szCs w:val="20"/>
                <w:lang w:val="sl-SI"/>
              </w:rPr>
            </w:pPr>
            <w:r w:rsidRPr="00076C70">
              <w:rPr>
                <w:rFonts w:cs="Arial"/>
                <w:b/>
                <w:szCs w:val="20"/>
                <w:lang w:val="sl-SI"/>
              </w:rPr>
              <w:t>8. Predstavitev sodelovanja z združenji občin:</w:t>
            </w:r>
          </w:p>
        </w:tc>
      </w:tr>
      <w:tr w:rsidR="00B876EB" w:rsidRPr="00076C70" w14:paraId="7CDAAE52"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B2BB098"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Vsebina predloženega gradiva (predpisa) vpliva na:</w:t>
            </w:r>
          </w:p>
          <w:p w14:paraId="5622B88B" w14:textId="77777777" w:rsidR="00B876EB" w:rsidRPr="00076C70"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pristojnosti občin,</w:t>
            </w:r>
          </w:p>
          <w:p w14:paraId="0D0E9A1F" w14:textId="77777777" w:rsidR="00B876EB" w:rsidRPr="00076C70"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delovanje občin,</w:t>
            </w:r>
          </w:p>
          <w:p w14:paraId="043B40C7" w14:textId="77777777" w:rsidR="00B876EB" w:rsidRPr="00076C70" w:rsidRDefault="00B876EB" w:rsidP="00B876EB">
            <w:pPr>
              <w:widowControl w:val="0"/>
              <w:numPr>
                <w:ilvl w:val="1"/>
                <w:numId w:val="21"/>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financiranje občin.</w:t>
            </w:r>
          </w:p>
          <w:p w14:paraId="7030B788" w14:textId="77777777" w:rsidR="00B876EB" w:rsidRPr="00076C70" w:rsidRDefault="00B876EB" w:rsidP="00B876EB">
            <w:pPr>
              <w:widowControl w:val="0"/>
              <w:overflowPunct w:val="0"/>
              <w:autoSpaceDE w:val="0"/>
              <w:autoSpaceDN w:val="0"/>
              <w:adjustRightInd w:val="0"/>
              <w:ind w:left="1440"/>
              <w:jc w:val="both"/>
              <w:textAlignment w:val="baseline"/>
              <w:rPr>
                <w:rFonts w:cs="Arial"/>
                <w:iCs/>
                <w:szCs w:val="20"/>
                <w:lang w:val="sl-SI" w:eastAsia="sl-SI"/>
              </w:rPr>
            </w:pPr>
          </w:p>
        </w:tc>
        <w:tc>
          <w:tcPr>
            <w:tcW w:w="2431" w:type="dxa"/>
            <w:gridSpan w:val="2"/>
          </w:tcPr>
          <w:p w14:paraId="17FDC0D0" w14:textId="77777777" w:rsidR="00B876EB" w:rsidRPr="00076C70" w:rsidRDefault="00B876EB" w:rsidP="00B876EB">
            <w:pPr>
              <w:widowControl w:val="0"/>
              <w:overflowPunct w:val="0"/>
              <w:autoSpaceDE w:val="0"/>
              <w:autoSpaceDN w:val="0"/>
              <w:adjustRightInd w:val="0"/>
              <w:jc w:val="center"/>
              <w:textAlignment w:val="baseline"/>
              <w:rPr>
                <w:rFonts w:cs="Arial"/>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56A31523"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C5E79EB"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 xml:space="preserve">Gradivo (predpis) je bilo poslano v mnenje: </w:t>
            </w:r>
          </w:p>
          <w:p w14:paraId="7F782F91" w14:textId="77777777" w:rsidR="00B876EB" w:rsidRPr="00076C70" w:rsidRDefault="00B876EB" w:rsidP="00B876EB">
            <w:pPr>
              <w:widowControl w:val="0"/>
              <w:numPr>
                <w:ilvl w:val="0"/>
                <w:numId w:val="23"/>
              </w:numPr>
              <w:overflowPunct w:val="0"/>
              <w:autoSpaceDE w:val="0"/>
              <w:autoSpaceDN w:val="0"/>
              <w:adjustRightInd w:val="0"/>
              <w:jc w:val="both"/>
              <w:textAlignment w:val="baseline"/>
              <w:rPr>
                <w:rFonts w:cs="Arial"/>
                <w:b/>
                <w:iCs/>
                <w:szCs w:val="20"/>
                <w:lang w:val="sl-SI" w:eastAsia="sl-SI"/>
              </w:rPr>
            </w:pPr>
            <w:r w:rsidRPr="00076C70">
              <w:rPr>
                <w:rFonts w:cs="Arial"/>
                <w:iCs/>
                <w:szCs w:val="20"/>
                <w:lang w:val="sl-SI" w:eastAsia="sl-SI"/>
              </w:rPr>
              <w:t>Skupnosti občin Slovenije SOS: DA/</w:t>
            </w:r>
            <w:r w:rsidRPr="00076C70">
              <w:rPr>
                <w:rFonts w:cs="Arial"/>
                <w:b/>
                <w:iCs/>
                <w:szCs w:val="20"/>
                <w:lang w:val="sl-SI" w:eastAsia="sl-SI"/>
              </w:rPr>
              <w:t>NE</w:t>
            </w:r>
          </w:p>
          <w:p w14:paraId="40C5CFFA" w14:textId="77777777" w:rsidR="00B876EB" w:rsidRPr="00076C70" w:rsidRDefault="00B876EB" w:rsidP="00B876EB">
            <w:pPr>
              <w:widowControl w:val="0"/>
              <w:numPr>
                <w:ilvl w:val="0"/>
                <w:numId w:val="23"/>
              </w:numPr>
              <w:overflowPunct w:val="0"/>
              <w:autoSpaceDE w:val="0"/>
              <w:autoSpaceDN w:val="0"/>
              <w:adjustRightInd w:val="0"/>
              <w:jc w:val="both"/>
              <w:textAlignment w:val="baseline"/>
              <w:rPr>
                <w:rFonts w:cs="Arial"/>
                <w:b/>
                <w:iCs/>
                <w:szCs w:val="20"/>
                <w:lang w:val="sl-SI" w:eastAsia="sl-SI"/>
              </w:rPr>
            </w:pPr>
            <w:r w:rsidRPr="00076C70">
              <w:rPr>
                <w:rFonts w:cs="Arial"/>
                <w:iCs/>
                <w:szCs w:val="20"/>
                <w:lang w:val="sl-SI" w:eastAsia="sl-SI"/>
              </w:rPr>
              <w:t>Združenju občin Slovenije ZOS: DA/</w:t>
            </w:r>
            <w:r w:rsidRPr="00076C70">
              <w:rPr>
                <w:rFonts w:cs="Arial"/>
                <w:b/>
                <w:iCs/>
                <w:szCs w:val="20"/>
                <w:lang w:val="sl-SI" w:eastAsia="sl-SI"/>
              </w:rPr>
              <w:t>NE</w:t>
            </w:r>
          </w:p>
          <w:p w14:paraId="7FC87EDC" w14:textId="77777777" w:rsidR="00B876EB" w:rsidRPr="00076C70" w:rsidRDefault="00B876EB" w:rsidP="00B876EB">
            <w:pPr>
              <w:widowControl w:val="0"/>
              <w:numPr>
                <w:ilvl w:val="0"/>
                <w:numId w:val="23"/>
              </w:numPr>
              <w:overflowPunct w:val="0"/>
              <w:autoSpaceDE w:val="0"/>
              <w:autoSpaceDN w:val="0"/>
              <w:adjustRightInd w:val="0"/>
              <w:jc w:val="both"/>
              <w:textAlignment w:val="baseline"/>
              <w:rPr>
                <w:rFonts w:cs="Arial"/>
                <w:b/>
                <w:iCs/>
                <w:szCs w:val="20"/>
                <w:lang w:val="sl-SI" w:eastAsia="sl-SI"/>
              </w:rPr>
            </w:pPr>
            <w:r w:rsidRPr="00076C70">
              <w:rPr>
                <w:rFonts w:cs="Arial"/>
                <w:iCs/>
                <w:szCs w:val="20"/>
                <w:lang w:val="sl-SI" w:eastAsia="sl-SI"/>
              </w:rPr>
              <w:t>Združenju mestnih občin Slovenije ZMOS: DA/</w:t>
            </w:r>
            <w:r w:rsidRPr="00076C70">
              <w:rPr>
                <w:rFonts w:cs="Arial"/>
                <w:b/>
                <w:iCs/>
                <w:szCs w:val="20"/>
                <w:lang w:val="sl-SI" w:eastAsia="sl-SI"/>
              </w:rPr>
              <w:t>NE</w:t>
            </w:r>
          </w:p>
          <w:p w14:paraId="49B7C458"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p>
          <w:p w14:paraId="29F438B7"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Predlogi in pripombe združenj so bili upoštevani:</w:t>
            </w:r>
          </w:p>
          <w:p w14:paraId="193088AB" w14:textId="77777777" w:rsidR="00B876EB" w:rsidRPr="00076C7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v celoti,</w:t>
            </w:r>
          </w:p>
          <w:p w14:paraId="75F7C6D5" w14:textId="77777777" w:rsidR="00B876EB" w:rsidRPr="00076C7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večinoma,</w:t>
            </w:r>
          </w:p>
          <w:p w14:paraId="3D93DADB" w14:textId="77777777" w:rsidR="00B876EB" w:rsidRPr="00076C7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delno,</w:t>
            </w:r>
          </w:p>
          <w:p w14:paraId="6C3FD89A" w14:textId="77777777" w:rsidR="00B876EB" w:rsidRPr="00076C7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niso bili upoštevani.</w:t>
            </w:r>
          </w:p>
          <w:p w14:paraId="68656C00" w14:textId="77777777" w:rsidR="00B876EB" w:rsidRPr="00076C70" w:rsidRDefault="00B876EB" w:rsidP="00B876EB">
            <w:pPr>
              <w:widowControl w:val="0"/>
              <w:overflowPunct w:val="0"/>
              <w:autoSpaceDE w:val="0"/>
              <w:autoSpaceDN w:val="0"/>
              <w:adjustRightInd w:val="0"/>
              <w:ind w:left="360"/>
              <w:jc w:val="both"/>
              <w:textAlignment w:val="baseline"/>
              <w:rPr>
                <w:rFonts w:cs="Arial"/>
                <w:iCs/>
                <w:szCs w:val="20"/>
                <w:lang w:val="sl-SI" w:eastAsia="sl-SI"/>
              </w:rPr>
            </w:pPr>
          </w:p>
          <w:p w14:paraId="15ED371C"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Bistveni predlogi in pripombe, ki niso bili upoštevani.</w:t>
            </w:r>
          </w:p>
          <w:p w14:paraId="4867F15B"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076C70" w14:paraId="38022C0F"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496EBAD4" w14:textId="77777777" w:rsidR="00B876EB" w:rsidRPr="00076C70" w:rsidRDefault="00B876EB" w:rsidP="00B876EB">
            <w:pPr>
              <w:widowControl w:val="0"/>
              <w:overflowPunct w:val="0"/>
              <w:autoSpaceDE w:val="0"/>
              <w:autoSpaceDN w:val="0"/>
              <w:adjustRightInd w:val="0"/>
              <w:textAlignment w:val="baseline"/>
              <w:rPr>
                <w:rFonts w:cs="Arial"/>
                <w:b/>
                <w:szCs w:val="20"/>
                <w:lang w:val="sl-SI" w:eastAsia="sl-SI"/>
              </w:rPr>
            </w:pPr>
            <w:r w:rsidRPr="00076C70">
              <w:rPr>
                <w:rFonts w:cs="Arial"/>
                <w:b/>
                <w:szCs w:val="20"/>
                <w:lang w:val="sl-SI" w:eastAsia="sl-SI"/>
              </w:rPr>
              <w:lastRenderedPageBreak/>
              <w:t>9. Predstavitev sodelovanja javnosti:</w:t>
            </w:r>
          </w:p>
        </w:tc>
      </w:tr>
      <w:tr w:rsidR="00B876EB" w:rsidRPr="00076C70" w14:paraId="59D03AE6"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6611B82" w14:textId="77777777" w:rsidR="00B876EB" w:rsidRPr="00076C70" w:rsidRDefault="00B876EB" w:rsidP="00B876EB">
            <w:pPr>
              <w:widowControl w:val="0"/>
              <w:overflowPunct w:val="0"/>
              <w:autoSpaceDE w:val="0"/>
              <w:autoSpaceDN w:val="0"/>
              <w:adjustRightInd w:val="0"/>
              <w:jc w:val="both"/>
              <w:textAlignment w:val="baseline"/>
              <w:rPr>
                <w:rFonts w:cs="Arial"/>
                <w:szCs w:val="20"/>
                <w:lang w:val="sl-SI" w:eastAsia="sl-SI"/>
              </w:rPr>
            </w:pPr>
            <w:r w:rsidRPr="00076C70">
              <w:rPr>
                <w:rFonts w:cs="Arial"/>
                <w:iCs/>
                <w:szCs w:val="20"/>
                <w:lang w:val="sl-SI" w:eastAsia="sl-SI"/>
              </w:rPr>
              <w:t>Gradivo je bilo predhodno objavljeno na spletni strani predlagatelja:</w:t>
            </w:r>
          </w:p>
        </w:tc>
        <w:tc>
          <w:tcPr>
            <w:tcW w:w="2431" w:type="dxa"/>
            <w:gridSpan w:val="2"/>
          </w:tcPr>
          <w:p w14:paraId="16691ED3" w14:textId="77777777" w:rsidR="00B876EB" w:rsidRPr="00076C70" w:rsidRDefault="00B876EB" w:rsidP="00B876EB">
            <w:pPr>
              <w:widowControl w:val="0"/>
              <w:overflowPunct w:val="0"/>
              <w:autoSpaceDE w:val="0"/>
              <w:autoSpaceDN w:val="0"/>
              <w:adjustRightInd w:val="0"/>
              <w:jc w:val="center"/>
              <w:textAlignment w:val="baseline"/>
              <w:rPr>
                <w:rFonts w:cs="Arial"/>
                <w:iCs/>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098D49BE"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47076E1" w14:textId="77777777" w:rsidR="00B876EB" w:rsidRPr="00076C70" w:rsidRDefault="00E94110"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 xml:space="preserve">Narava gradiva ne zahteva predhodnega sodelovanja javnosti. </w:t>
            </w:r>
          </w:p>
        </w:tc>
      </w:tr>
      <w:tr w:rsidR="00B876EB" w:rsidRPr="00C9363E" w14:paraId="4618513B"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C52B3C0"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(Če je odgovor DA, navedite:</w:t>
            </w:r>
          </w:p>
          <w:p w14:paraId="5BC6894A"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Datum objave: ………</w:t>
            </w:r>
          </w:p>
          <w:p w14:paraId="6A8DD317"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 xml:space="preserve">V razpravo so bili vključeni: </w:t>
            </w:r>
          </w:p>
          <w:p w14:paraId="5DE8192E" w14:textId="77777777" w:rsidR="00B876EB" w:rsidRPr="00076C70"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 xml:space="preserve">nevladne organizacije, </w:t>
            </w:r>
          </w:p>
          <w:p w14:paraId="2C1AF545" w14:textId="77777777" w:rsidR="00B876EB" w:rsidRPr="00076C70"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predstavniki zainteresirane javnosti,</w:t>
            </w:r>
          </w:p>
          <w:p w14:paraId="21401FB3" w14:textId="77777777" w:rsidR="00B876EB" w:rsidRPr="00076C70"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predstavniki strokovne javnosti.</w:t>
            </w:r>
          </w:p>
          <w:p w14:paraId="340CE261" w14:textId="77777777" w:rsidR="00B876EB" w:rsidRPr="00076C70" w:rsidRDefault="00B876EB" w:rsidP="00B876EB">
            <w:pPr>
              <w:widowControl w:val="0"/>
              <w:numPr>
                <w:ilvl w:val="0"/>
                <w:numId w:val="23"/>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w:t>
            </w:r>
          </w:p>
          <w:p w14:paraId="6D558099"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 xml:space="preserve">Mnenja, predlogi in pripombe z navedbo predlagateljev </w:t>
            </w:r>
            <w:r w:rsidRPr="00076C70">
              <w:rPr>
                <w:rFonts w:cs="Arial"/>
                <w:color w:val="000000"/>
                <w:szCs w:val="20"/>
                <w:lang w:val="sl-SI" w:eastAsia="sl-SI"/>
              </w:rPr>
              <w:t>(imen in priimkov fizičnih oseb, ki niso poslovni subjekti, ne navajajte</w:t>
            </w:r>
            <w:r w:rsidRPr="00076C70">
              <w:rPr>
                <w:rFonts w:cs="Arial"/>
                <w:iCs/>
                <w:szCs w:val="20"/>
                <w:lang w:val="sl-SI" w:eastAsia="sl-SI"/>
              </w:rPr>
              <w:t>):</w:t>
            </w:r>
          </w:p>
          <w:p w14:paraId="043353DD"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p>
          <w:p w14:paraId="4024F683"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p>
          <w:p w14:paraId="6511E664"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Upoštevani so bili:</w:t>
            </w:r>
          </w:p>
          <w:p w14:paraId="7AC06C42" w14:textId="77777777" w:rsidR="00B876EB" w:rsidRPr="00076C7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v celoti,</w:t>
            </w:r>
          </w:p>
          <w:p w14:paraId="43060953" w14:textId="77777777" w:rsidR="00B876EB" w:rsidRPr="00076C7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večinoma,</w:t>
            </w:r>
          </w:p>
          <w:p w14:paraId="59A09DFA" w14:textId="77777777" w:rsidR="00B876EB" w:rsidRPr="00076C7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delno,</w:t>
            </w:r>
          </w:p>
          <w:p w14:paraId="01D95E16" w14:textId="77777777" w:rsidR="00B876EB" w:rsidRPr="00076C70" w:rsidRDefault="00B876EB" w:rsidP="00B876EB">
            <w:pPr>
              <w:widowControl w:val="0"/>
              <w:numPr>
                <w:ilvl w:val="0"/>
                <w:numId w:val="24"/>
              </w:numPr>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niso bili upoštevani.</w:t>
            </w:r>
          </w:p>
          <w:p w14:paraId="0AFB1271"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p>
          <w:p w14:paraId="5CFF1F1E"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Bistvena mnenja, predlogi in pripombe, ki niso bili upoštevani, ter razlogi za neupoštevanje:</w:t>
            </w:r>
          </w:p>
          <w:p w14:paraId="425996DC"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p>
          <w:p w14:paraId="01FD3FBB"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Poročilo je bilo dano ……………..</w:t>
            </w:r>
          </w:p>
          <w:p w14:paraId="6B82992F"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p>
          <w:p w14:paraId="0C3B9F62"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r w:rsidRPr="00076C70">
              <w:rPr>
                <w:rFonts w:cs="Arial"/>
                <w:iCs/>
                <w:szCs w:val="20"/>
                <w:lang w:val="sl-SI" w:eastAsia="sl-SI"/>
              </w:rPr>
              <w:t>Javnost je bila vključena v pripravo gradiva v skladu z Zakonom o …, kar je navedeno v predlogu predpisa.)</w:t>
            </w:r>
          </w:p>
          <w:p w14:paraId="665E2E05" w14:textId="77777777" w:rsidR="00B876EB" w:rsidRPr="00076C70" w:rsidRDefault="00B876EB" w:rsidP="00B876EB">
            <w:pPr>
              <w:widowControl w:val="0"/>
              <w:overflowPunct w:val="0"/>
              <w:autoSpaceDE w:val="0"/>
              <w:autoSpaceDN w:val="0"/>
              <w:adjustRightInd w:val="0"/>
              <w:jc w:val="both"/>
              <w:textAlignment w:val="baseline"/>
              <w:rPr>
                <w:rFonts w:cs="Arial"/>
                <w:iCs/>
                <w:szCs w:val="20"/>
                <w:lang w:val="sl-SI" w:eastAsia="sl-SI"/>
              </w:rPr>
            </w:pPr>
          </w:p>
        </w:tc>
      </w:tr>
      <w:tr w:rsidR="00B876EB" w:rsidRPr="00076C70" w14:paraId="7F9C9E23"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DF10EFD" w14:textId="77777777" w:rsidR="00B876EB" w:rsidRPr="00076C70" w:rsidRDefault="00B876EB" w:rsidP="00B876EB">
            <w:pPr>
              <w:widowControl w:val="0"/>
              <w:overflowPunct w:val="0"/>
              <w:autoSpaceDE w:val="0"/>
              <w:autoSpaceDN w:val="0"/>
              <w:adjustRightInd w:val="0"/>
              <w:textAlignment w:val="baseline"/>
              <w:rPr>
                <w:rFonts w:cs="Arial"/>
                <w:szCs w:val="20"/>
                <w:lang w:val="sl-SI" w:eastAsia="sl-SI"/>
              </w:rPr>
            </w:pPr>
            <w:r w:rsidRPr="00076C70">
              <w:rPr>
                <w:rFonts w:cs="Arial"/>
                <w:b/>
                <w:szCs w:val="20"/>
                <w:lang w:val="sl-SI" w:eastAsia="sl-SI"/>
              </w:rPr>
              <w:t>10. Pri pripravi gradiva so bile upoštevane zahteve iz Resolucije o normativni dejavnosti:</w:t>
            </w:r>
          </w:p>
        </w:tc>
        <w:tc>
          <w:tcPr>
            <w:tcW w:w="2431" w:type="dxa"/>
            <w:gridSpan w:val="2"/>
            <w:vAlign w:val="center"/>
          </w:tcPr>
          <w:p w14:paraId="13D8CF7D" w14:textId="77777777" w:rsidR="00B876EB" w:rsidRPr="00076C70" w:rsidRDefault="00B876EB" w:rsidP="00B876EB">
            <w:pPr>
              <w:widowControl w:val="0"/>
              <w:overflowPunct w:val="0"/>
              <w:autoSpaceDE w:val="0"/>
              <w:autoSpaceDN w:val="0"/>
              <w:adjustRightInd w:val="0"/>
              <w:jc w:val="center"/>
              <w:textAlignment w:val="baseline"/>
              <w:rPr>
                <w:rFonts w:cs="Arial"/>
                <w:iCs/>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1FE712E6"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366B999B" w14:textId="77777777" w:rsidR="00B876EB" w:rsidRPr="00076C70" w:rsidRDefault="00B876EB" w:rsidP="00B876EB">
            <w:pPr>
              <w:widowControl w:val="0"/>
              <w:overflowPunct w:val="0"/>
              <w:autoSpaceDE w:val="0"/>
              <w:autoSpaceDN w:val="0"/>
              <w:adjustRightInd w:val="0"/>
              <w:textAlignment w:val="baseline"/>
              <w:rPr>
                <w:rFonts w:cs="Arial"/>
                <w:b/>
                <w:szCs w:val="20"/>
                <w:lang w:val="sl-SI" w:eastAsia="sl-SI"/>
              </w:rPr>
            </w:pPr>
            <w:r w:rsidRPr="00076C70">
              <w:rPr>
                <w:rFonts w:cs="Arial"/>
                <w:b/>
                <w:szCs w:val="20"/>
                <w:lang w:val="sl-SI" w:eastAsia="sl-SI"/>
              </w:rPr>
              <w:t>11. Gradivo je uvrščeno v delovni program vlade:</w:t>
            </w:r>
          </w:p>
        </w:tc>
        <w:tc>
          <w:tcPr>
            <w:tcW w:w="2431" w:type="dxa"/>
            <w:gridSpan w:val="2"/>
            <w:vAlign w:val="center"/>
          </w:tcPr>
          <w:p w14:paraId="58F09092" w14:textId="77777777" w:rsidR="00B876EB" w:rsidRPr="00076C70" w:rsidRDefault="00B876EB" w:rsidP="00B876EB">
            <w:pPr>
              <w:widowControl w:val="0"/>
              <w:overflowPunct w:val="0"/>
              <w:autoSpaceDE w:val="0"/>
              <w:autoSpaceDN w:val="0"/>
              <w:adjustRightInd w:val="0"/>
              <w:jc w:val="center"/>
              <w:textAlignment w:val="baseline"/>
              <w:rPr>
                <w:rFonts w:cs="Arial"/>
                <w:szCs w:val="20"/>
                <w:lang w:val="sl-SI" w:eastAsia="sl-SI"/>
              </w:rPr>
            </w:pPr>
            <w:r w:rsidRPr="00076C70">
              <w:rPr>
                <w:rFonts w:cs="Arial"/>
                <w:szCs w:val="20"/>
                <w:lang w:val="sl-SI" w:eastAsia="sl-SI"/>
              </w:rPr>
              <w:t>DA/</w:t>
            </w:r>
            <w:r w:rsidRPr="00076C70">
              <w:rPr>
                <w:rFonts w:cs="Arial"/>
                <w:b/>
                <w:szCs w:val="20"/>
                <w:lang w:val="sl-SI" w:eastAsia="sl-SI"/>
              </w:rPr>
              <w:t>NE</w:t>
            </w:r>
          </w:p>
        </w:tc>
      </w:tr>
      <w:tr w:rsidR="00B876EB" w:rsidRPr="00076C70" w14:paraId="1D4CC7A3" w14:textId="77777777" w:rsidTr="00980CB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7ECCBD92" w14:textId="77777777" w:rsidR="00B876EB" w:rsidRPr="00076C70" w:rsidRDefault="00B876EB" w:rsidP="00B876EB">
            <w:pPr>
              <w:widowControl w:val="0"/>
              <w:overflowPunct w:val="0"/>
              <w:autoSpaceDE w:val="0"/>
              <w:autoSpaceDN w:val="0"/>
              <w:adjustRightInd w:val="0"/>
              <w:jc w:val="center"/>
              <w:textAlignment w:val="baseline"/>
              <w:rPr>
                <w:rFonts w:cs="Arial"/>
                <w:szCs w:val="20"/>
                <w:lang w:val="sl-SI" w:eastAsia="sl-SI"/>
              </w:rPr>
            </w:pPr>
          </w:p>
          <w:p w14:paraId="0F9176D7" w14:textId="77777777" w:rsidR="00B876EB" w:rsidRPr="00076C70" w:rsidRDefault="00B876EB" w:rsidP="00B876EB">
            <w:pPr>
              <w:widowControl w:val="0"/>
              <w:overflowPunct w:val="0"/>
              <w:autoSpaceDE w:val="0"/>
              <w:autoSpaceDN w:val="0"/>
              <w:adjustRightInd w:val="0"/>
              <w:jc w:val="center"/>
              <w:textAlignment w:val="baseline"/>
              <w:rPr>
                <w:rFonts w:cs="Arial"/>
                <w:szCs w:val="20"/>
                <w:lang w:val="sl-SI" w:eastAsia="sl-SI"/>
              </w:rPr>
            </w:pPr>
          </w:p>
          <w:p w14:paraId="5A88BFB0" w14:textId="77777777" w:rsidR="00B876EB" w:rsidRPr="00076C70" w:rsidRDefault="00B876EB" w:rsidP="00B876EB">
            <w:pPr>
              <w:widowControl w:val="0"/>
              <w:overflowPunct w:val="0"/>
              <w:autoSpaceDE w:val="0"/>
              <w:autoSpaceDN w:val="0"/>
              <w:adjustRightInd w:val="0"/>
              <w:jc w:val="center"/>
              <w:textAlignment w:val="baseline"/>
              <w:rPr>
                <w:rFonts w:cs="Arial"/>
                <w:szCs w:val="20"/>
                <w:lang w:val="sl-SI" w:eastAsia="sl-SI"/>
              </w:rPr>
            </w:pPr>
          </w:p>
          <w:p w14:paraId="106F220C" w14:textId="7AA7C7DA" w:rsidR="00B55BC7" w:rsidRDefault="00E106FB" w:rsidP="00B55BC7">
            <w:pPr>
              <w:widowControl w:val="0"/>
              <w:overflowPunct w:val="0"/>
              <w:autoSpaceDE w:val="0"/>
              <w:autoSpaceDN w:val="0"/>
              <w:adjustRightInd w:val="0"/>
              <w:jc w:val="center"/>
              <w:textAlignment w:val="baseline"/>
              <w:rPr>
                <w:rFonts w:cs="Arial"/>
                <w:b/>
                <w:szCs w:val="20"/>
                <w:lang w:val="sl-SI" w:eastAsia="sl-SI"/>
              </w:rPr>
            </w:pPr>
            <w:r w:rsidRPr="00076C70">
              <w:rPr>
                <w:rFonts w:cs="Arial"/>
                <w:b/>
                <w:szCs w:val="20"/>
                <w:lang w:val="sl-SI" w:eastAsia="sl-SI"/>
              </w:rPr>
              <w:t xml:space="preserve">                                                              </w:t>
            </w:r>
            <w:r w:rsidR="001C270F" w:rsidRPr="00076C70">
              <w:rPr>
                <w:rFonts w:cs="Arial"/>
                <w:b/>
                <w:szCs w:val="20"/>
                <w:lang w:val="sl-SI" w:eastAsia="sl-SI"/>
              </w:rPr>
              <w:t xml:space="preserve"> </w:t>
            </w:r>
            <w:r w:rsidRPr="00076C70">
              <w:rPr>
                <w:rFonts w:cs="Arial"/>
                <w:b/>
                <w:szCs w:val="20"/>
                <w:lang w:val="sl-SI" w:eastAsia="sl-SI"/>
              </w:rPr>
              <w:t xml:space="preserve"> </w:t>
            </w:r>
            <w:r w:rsidR="00B55BC7">
              <w:rPr>
                <w:rFonts w:cs="Arial"/>
                <w:b/>
                <w:szCs w:val="20"/>
                <w:lang w:val="sl-SI" w:eastAsia="sl-SI"/>
              </w:rPr>
              <w:t>Neva Grašič</w:t>
            </w:r>
          </w:p>
          <w:p w14:paraId="11AAE6D1" w14:textId="2A789615" w:rsidR="00B55BC7" w:rsidRPr="00076C70" w:rsidRDefault="00B55BC7" w:rsidP="00B55BC7">
            <w:pPr>
              <w:widowControl w:val="0"/>
              <w:overflowPunct w:val="0"/>
              <w:autoSpaceDE w:val="0"/>
              <w:autoSpaceDN w:val="0"/>
              <w:adjustRightInd w:val="0"/>
              <w:jc w:val="center"/>
              <w:textAlignment w:val="baseline"/>
              <w:rPr>
                <w:rFonts w:cs="Arial"/>
                <w:szCs w:val="20"/>
                <w:lang w:val="sl-SI" w:eastAsia="sl-SI"/>
              </w:rPr>
            </w:pPr>
            <w:r>
              <w:rPr>
                <w:rFonts w:cs="Arial"/>
                <w:b/>
                <w:szCs w:val="20"/>
                <w:lang w:val="sl-SI" w:eastAsia="sl-SI"/>
              </w:rPr>
              <w:t xml:space="preserve">                                                              </w:t>
            </w:r>
            <w:bookmarkStart w:id="0" w:name="_GoBack"/>
            <w:bookmarkEnd w:id="0"/>
            <w:r>
              <w:rPr>
                <w:rFonts w:cs="Arial"/>
                <w:b/>
                <w:szCs w:val="20"/>
                <w:lang w:val="sl-SI" w:eastAsia="sl-SI"/>
              </w:rPr>
              <w:t>DRŽAVNA SEKRETARKA</w:t>
            </w:r>
          </w:p>
          <w:p w14:paraId="66CB38BE" w14:textId="148EE65E" w:rsidR="001945E0" w:rsidRPr="00076C70" w:rsidRDefault="001945E0" w:rsidP="001945E0">
            <w:pPr>
              <w:widowControl w:val="0"/>
              <w:overflowPunct w:val="0"/>
              <w:autoSpaceDE w:val="0"/>
              <w:autoSpaceDN w:val="0"/>
              <w:adjustRightInd w:val="0"/>
              <w:jc w:val="center"/>
              <w:textAlignment w:val="baseline"/>
              <w:rPr>
                <w:rFonts w:cs="Arial"/>
                <w:szCs w:val="20"/>
                <w:lang w:val="sl-SI" w:eastAsia="sl-SI"/>
              </w:rPr>
            </w:pPr>
          </w:p>
        </w:tc>
      </w:tr>
    </w:tbl>
    <w:p w14:paraId="2593804C" w14:textId="77777777" w:rsidR="00BE1017" w:rsidRPr="00076C70" w:rsidRDefault="00BE1017" w:rsidP="00BE1017">
      <w:pPr>
        <w:rPr>
          <w:rFonts w:cs="Arial"/>
          <w:b/>
          <w:szCs w:val="20"/>
          <w:lang w:val="sl-SI"/>
        </w:rPr>
      </w:pPr>
    </w:p>
    <w:p w14:paraId="26ADB369" w14:textId="77777777" w:rsidR="00BE1017" w:rsidRPr="00076C70" w:rsidRDefault="00BE1017" w:rsidP="00BE1017">
      <w:pPr>
        <w:tabs>
          <w:tab w:val="left" w:pos="708"/>
        </w:tabs>
        <w:rPr>
          <w:rFonts w:eastAsia="Calibri" w:cs="Arial"/>
          <w:b/>
          <w:szCs w:val="20"/>
          <w:lang w:val="sl-SI"/>
        </w:rPr>
      </w:pPr>
    </w:p>
    <w:p w14:paraId="70C887C7" w14:textId="77777777" w:rsidR="00E94110" w:rsidRPr="00076C70" w:rsidRDefault="00E94110" w:rsidP="00BE1017">
      <w:pPr>
        <w:tabs>
          <w:tab w:val="left" w:pos="708"/>
        </w:tabs>
        <w:rPr>
          <w:rFonts w:eastAsia="Calibri" w:cs="Arial"/>
          <w:b/>
          <w:szCs w:val="20"/>
          <w:lang w:val="sl-SI"/>
        </w:rPr>
      </w:pPr>
    </w:p>
    <w:p w14:paraId="580DC5D1" w14:textId="77777777" w:rsidR="00BE1017" w:rsidRPr="00076C70" w:rsidRDefault="00BE1017" w:rsidP="00BE1017">
      <w:pPr>
        <w:rPr>
          <w:rFonts w:eastAsia="Calibri" w:cs="Arial"/>
          <w:szCs w:val="20"/>
          <w:lang w:val="sl-SI"/>
        </w:rPr>
      </w:pPr>
    </w:p>
    <w:p w14:paraId="236ACBC1" w14:textId="05D80AD5" w:rsidR="00E94110" w:rsidRPr="00076C70" w:rsidRDefault="00E94110" w:rsidP="00E94110">
      <w:pPr>
        <w:rPr>
          <w:rFonts w:eastAsia="Calibri" w:cs="Arial"/>
          <w:szCs w:val="20"/>
          <w:lang w:val="sl-SI"/>
        </w:rPr>
      </w:pPr>
      <w:r w:rsidRPr="00076C70">
        <w:rPr>
          <w:rFonts w:eastAsia="Calibri" w:cs="Arial"/>
          <w:szCs w:val="20"/>
          <w:lang w:val="sl-SI"/>
        </w:rPr>
        <w:t>Prilog</w:t>
      </w:r>
      <w:r w:rsidR="00D1272A" w:rsidRPr="00076C70">
        <w:rPr>
          <w:rFonts w:eastAsia="Calibri" w:cs="Arial"/>
          <w:szCs w:val="20"/>
          <w:lang w:val="sl-SI"/>
        </w:rPr>
        <w:t>a</w:t>
      </w:r>
      <w:r w:rsidRPr="00076C70">
        <w:rPr>
          <w:rFonts w:eastAsia="Calibri" w:cs="Arial"/>
          <w:szCs w:val="20"/>
          <w:lang w:val="sl-SI"/>
        </w:rPr>
        <w:t xml:space="preserve">: </w:t>
      </w:r>
    </w:p>
    <w:p w14:paraId="1717AC02" w14:textId="7E529E23" w:rsidR="00C70576" w:rsidRPr="00076C70" w:rsidRDefault="00E94110" w:rsidP="00C70576">
      <w:pPr>
        <w:numPr>
          <w:ilvl w:val="1"/>
          <w:numId w:val="21"/>
        </w:numPr>
        <w:ind w:left="426" w:hanging="426"/>
        <w:rPr>
          <w:rFonts w:eastAsia="Calibri" w:cs="Arial"/>
          <w:szCs w:val="20"/>
          <w:lang w:val="sl-SI"/>
        </w:rPr>
      </w:pPr>
      <w:r w:rsidRPr="00076C70">
        <w:rPr>
          <w:rFonts w:eastAsia="Calibri" w:cs="Arial"/>
          <w:szCs w:val="20"/>
          <w:lang w:val="sl-SI"/>
        </w:rPr>
        <w:t xml:space="preserve">Poročilo o mednarodnem razvojnem sodelovanju </w:t>
      </w:r>
      <w:r w:rsidR="007B77A9" w:rsidRPr="00076C70">
        <w:rPr>
          <w:rFonts w:eastAsia="Calibri" w:cs="Arial"/>
          <w:szCs w:val="20"/>
          <w:lang w:val="sl-SI"/>
        </w:rPr>
        <w:t>Republike Slovenije za leto 20</w:t>
      </w:r>
      <w:r w:rsidR="00856308" w:rsidRPr="00076C70">
        <w:rPr>
          <w:rFonts w:eastAsia="Calibri" w:cs="Arial"/>
          <w:szCs w:val="20"/>
          <w:lang w:val="sl-SI"/>
        </w:rPr>
        <w:t>2</w:t>
      </w:r>
      <w:r w:rsidR="00BC27B2" w:rsidRPr="00076C70">
        <w:rPr>
          <w:rFonts w:eastAsia="Calibri" w:cs="Arial"/>
          <w:szCs w:val="20"/>
          <w:lang w:val="sl-SI"/>
        </w:rPr>
        <w:t>4</w:t>
      </w:r>
    </w:p>
    <w:p w14:paraId="4CCBC900" w14:textId="77777777" w:rsidR="00D1272A" w:rsidRPr="00076C70" w:rsidRDefault="00D1272A" w:rsidP="00D1272A">
      <w:pPr>
        <w:ind w:left="426"/>
        <w:rPr>
          <w:rFonts w:eastAsia="Calibri" w:cs="Arial"/>
          <w:szCs w:val="20"/>
          <w:lang w:val="sl-SI"/>
        </w:rPr>
      </w:pPr>
    </w:p>
    <w:p w14:paraId="4F0EA9A7" w14:textId="008F5194" w:rsidR="00C70576" w:rsidRPr="00076C70" w:rsidRDefault="00C70576" w:rsidP="00C70576">
      <w:pPr>
        <w:rPr>
          <w:rFonts w:eastAsia="Calibri" w:cs="Arial"/>
          <w:szCs w:val="20"/>
          <w:lang w:val="sl-SI"/>
        </w:rPr>
      </w:pPr>
    </w:p>
    <w:p w14:paraId="15394015" w14:textId="505C2AA3" w:rsidR="00C70576" w:rsidRPr="00076C70" w:rsidRDefault="00C70576" w:rsidP="00C70576">
      <w:pPr>
        <w:rPr>
          <w:rFonts w:eastAsia="Calibri" w:cs="Arial"/>
          <w:szCs w:val="20"/>
          <w:lang w:val="sl-SI"/>
        </w:rPr>
      </w:pPr>
    </w:p>
    <w:p w14:paraId="7ADC9FB7" w14:textId="7CE83899" w:rsidR="00C70576" w:rsidRPr="00076C70" w:rsidRDefault="00C70576" w:rsidP="00C70576">
      <w:pPr>
        <w:rPr>
          <w:rFonts w:eastAsia="Calibri" w:cs="Arial"/>
          <w:szCs w:val="20"/>
          <w:lang w:val="sl-SI"/>
        </w:rPr>
      </w:pPr>
    </w:p>
    <w:p w14:paraId="73D02F01" w14:textId="14A82916" w:rsidR="00C70576" w:rsidRPr="00076C70" w:rsidRDefault="00C70576" w:rsidP="00C70576">
      <w:pPr>
        <w:rPr>
          <w:rFonts w:eastAsia="Calibri" w:cs="Arial"/>
          <w:szCs w:val="20"/>
          <w:lang w:val="sl-SI"/>
        </w:rPr>
      </w:pPr>
    </w:p>
    <w:p w14:paraId="123CDDE1" w14:textId="4418ACA5" w:rsidR="00C70576" w:rsidRPr="00076C70" w:rsidRDefault="00C70576" w:rsidP="00C70576">
      <w:pPr>
        <w:rPr>
          <w:rFonts w:eastAsia="Calibri" w:cs="Arial"/>
          <w:szCs w:val="20"/>
          <w:lang w:val="sl-SI"/>
        </w:rPr>
      </w:pPr>
    </w:p>
    <w:p w14:paraId="01A420B8" w14:textId="1087E01B" w:rsidR="00C70576" w:rsidRPr="00076C70" w:rsidRDefault="00C70576" w:rsidP="00C70576">
      <w:pPr>
        <w:rPr>
          <w:rFonts w:eastAsia="Calibri" w:cs="Arial"/>
          <w:szCs w:val="20"/>
          <w:lang w:val="sl-SI"/>
        </w:rPr>
      </w:pPr>
    </w:p>
    <w:p w14:paraId="47AD1432" w14:textId="55ECA3D5" w:rsidR="00C70576" w:rsidRPr="00076C70" w:rsidRDefault="00C70576" w:rsidP="00C70576">
      <w:pPr>
        <w:rPr>
          <w:rFonts w:eastAsia="Calibri" w:cs="Arial"/>
          <w:szCs w:val="20"/>
          <w:lang w:val="sl-SI"/>
        </w:rPr>
      </w:pPr>
    </w:p>
    <w:p w14:paraId="039BB13C" w14:textId="3BDEEBA7" w:rsidR="00C70576" w:rsidRPr="00076C70" w:rsidRDefault="00C70576" w:rsidP="00C70576">
      <w:pPr>
        <w:jc w:val="both"/>
        <w:rPr>
          <w:rFonts w:eastAsia="Calibri" w:cs="Arial"/>
          <w:b/>
          <w:szCs w:val="20"/>
          <w:lang w:val="sl-SI"/>
        </w:rPr>
      </w:pPr>
      <w:r w:rsidRPr="00076C70">
        <w:rPr>
          <w:rFonts w:eastAsia="Calibri" w:cs="Arial"/>
          <w:b/>
          <w:szCs w:val="20"/>
          <w:lang w:val="sl-SI"/>
        </w:rPr>
        <w:lastRenderedPageBreak/>
        <w:t>OBRAZLOŽITEV: POROČIL</w:t>
      </w:r>
      <w:r w:rsidR="00D1272A" w:rsidRPr="00076C70">
        <w:rPr>
          <w:rFonts w:eastAsia="Calibri" w:cs="Arial"/>
          <w:b/>
          <w:szCs w:val="20"/>
          <w:lang w:val="sl-SI"/>
        </w:rPr>
        <w:t>O</w:t>
      </w:r>
      <w:r w:rsidRPr="00076C70">
        <w:rPr>
          <w:rFonts w:eastAsia="Calibri" w:cs="Arial"/>
          <w:b/>
          <w:szCs w:val="20"/>
          <w:lang w:val="sl-SI"/>
        </w:rPr>
        <w:t xml:space="preserve"> O MEDNARODNEM RAZVOJNEM SODELOVANJU REPUBLIKE SLOVENIJE ZA </w:t>
      </w:r>
      <w:r w:rsidR="00D1272A" w:rsidRPr="00076C70">
        <w:rPr>
          <w:rFonts w:eastAsia="Calibri" w:cs="Arial"/>
          <w:b/>
          <w:szCs w:val="20"/>
          <w:lang w:val="sl-SI"/>
        </w:rPr>
        <w:t xml:space="preserve">LETO </w:t>
      </w:r>
      <w:r w:rsidR="00A001F9" w:rsidRPr="00076C70">
        <w:rPr>
          <w:rFonts w:eastAsia="Calibri" w:cs="Arial"/>
          <w:b/>
          <w:szCs w:val="20"/>
          <w:lang w:val="sl-SI"/>
        </w:rPr>
        <w:t>2024</w:t>
      </w:r>
    </w:p>
    <w:p w14:paraId="1CD44716" w14:textId="77777777" w:rsidR="00C70576" w:rsidRPr="00076C70" w:rsidRDefault="00C70576" w:rsidP="00C70576">
      <w:pPr>
        <w:jc w:val="both"/>
        <w:rPr>
          <w:rFonts w:eastAsia="Calibri" w:cs="Arial"/>
          <w:szCs w:val="20"/>
          <w:lang w:val="sl-SI"/>
        </w:rPr>
      </w:pPr>
    </w:p>
    <w:p w14:paraId="50AFCEC1" w14:textId="77777777" w:rsidR="00C70576" w:rsidRPr="00076C70" w:rsidRDefault="00C70576" w:rsidP="00C70576">
      <w:pPr>
        <w:jc w:val="both"/>
        <w:rPr>
          <w:rFonts w:eastAsia="Calibri" w:cs="Arial"/>
          <w:szCs w:val="20"/>
          <w:lang w:val="sl-SI"/>
        </w:rPr>
      </w:pPr>
    </w:p>
    <w:p w14:paraId="778D6BE2" w14:textId="57947B62" w:rsidR="003421F1" w:rsidRPr="003421F1" w:rsidRDefault="003421F1" w:rsidP="003421F1">
      <w:pPr>
        <w:spacing w:line="240" w:lineRule="auto"/>
        <w:jc w:val="both"/>
        <w:rPr>
          <w:rFonts w:cs="Arial"/>
          <w:szCs w:val="20"/>
          <w:lang w:val="sl-SI"/>
        </w:rPr>
      </w:pPr>
      <w:r w:rsidRPr="003421F1">
        <w:rPr>
          <w:rFonts w:cs="Arial"/>
          <w:szCs w:val="20"/>
          <w:lang w:val="sl-SI"/>
        </w:rPr>
        <w:t>Obseg sredstev za uradno razvojno pomoč Slovenije je v letu 2024 znašal 152,81 milijonov evrov, kar predstavlja 0,23 odstotka bruto nacionalnega dohodka (BND). Nominalno se je obseg v letu 2024 glede na leto prej povečal za 0,08 odstotka, v deležu BND za uradno razvojno pomoč pa znižal za 0,01 odstotne točke, z 0,24 na 0,23 odstotka. Večstranska uradna razvojna pomoč je znašala 101,45 milijona evrov ali 66,4 odstotk</w:t>
      </w:r>
      <w:r w:rsidR="006B63B1">
        <w:rPr>
          <w:rFonts w:cs="Arial"/>
          <w:szCs w:val="20"/>
          <w:lang w:val="sl-SI"/>
        </w:rPr>
        <w:t>a</w:t>
      </w:r>
      <w:r w:rsidRPr="003421F1">
        <w:rPr>
          <w:rFonts w:cs="Arial"/>
          <w:szCs w:val="20"/>
          <w:lang w:val="sl-SI"/>
        </w:rPr>
        <w:t xml:space="preserve">, za 13 milijona evrov več kot v letu 2023, in se je izvajala predvsem preko Evropske unije (EU), sistema Organizacije združenih narodov in Skupine Svetovne banke. Dvostranska razvojna pomoč je predstavljala 51,36 milijona evrov ali 33,6 odstotka, kar je 12,91 milijona evrov manj kot v letu 2023 – predvsem zaradi </w:t>
      </w:r>
      <w:r w:rsidR="009262FE">
        <w:rPr>
          <w:rFonts w:cs="Arial"/>
          <w:szCs w:val="20"/>
          <w:lang w:val="sl-SI"/>
        </w:rPr>
        <w:t>omejenega poročanja</w:t>
      </w:r>
      <w:r w:rsidR="009262FE">
        <w:rPr>
          <w:rStyle w:val="FootnoteReference"/>
          <w:rFonts w:cs="Arial"/>
          <w:szCs w:val="20"/>
          <w:lang w:val="sl-SI"/>
        </w:rPr>
        <w:footnoteReference w:id="1"/>
      </w:r>
      <w:r w:rsidRPr="003421F1">
        <w:rPr>
          <w:rFonts w:cs="Arial"/>
          <w:szCs w:val="20"/>
          <w:lang w:val="sl-SI"/>
        </w:rPr>
        <w:t xml:space="preserve"> stroškov oskrbe ukrajinskih beguncev in znižanja vsote oprostitev šolnin – in je obsegala 32,12 milijona evrov ali 62,6 odstotka razvojne pomoči v ožjem pomenu,</w:t>
      </w:r>
      <w:r w:rsidRPr="003421F1">
        <w:rPr>
          <w:rStyle w:val="FootnoteReference"/>
          <w:rFonts w:cs="Arial"/>
          <w:szCs w:val="20"/>
          <w:lang w:val="sl-SI"/>
        </w:rPr>
        <w:footnoteReference w:id="2"/>
      </w:r>
      <w:r w:rsidRPr="003421F1">
        <w:rPr>
          <w:rFonts w:cs="Arial"/>
          <w:szCs w:val="20"/>
          <w:lang w:val="sl-SI"/>
        </w:rPr>
        <w:t xml:space="preserve"> 14,39 milijona evrov ali 28 odstotkov humanitarne pomoči in 4,85 milijona evrov ali 9,4 odstotka administrativnih stroškov.</w:t>
      </w:r>
      <w:r w:rsidRPr="003421F1">
        <w:rPr>
          <w:rStyle w:val="FootnoteReference"/>
          <w:rFonts w:cs="Arial"/>
          <w:szCs w:val="20"/>
          <w:lang w:val="sl-SI"/>
        </w:rPr>
        <w:footnoteReference w:id="3"/>
      </w:r>
      <w:r w:rsidRPr="003421F1">
        <w:rPr>
          <w:rFonts w:cs="Arial"/>
          <w:szCs w:val="20"/>
          <w:lang w:val="sl-SI"/>
        </w:rPr>
        <w:t xml:space="preserve"> </w:t>
      </w:r>
    </w:p>
    <w:p w14:paraId="0770B6F0" w14:textId="77777777" w:rsidR="003421F1" w:rsidRPr="003421F1" w:rsidRDefault="003421F1" w:rsidP="003421F1">
      <w:pPr>
        <w:spacing w:line="240" w:lineRule="auto"/>
        <w:jc w:val="both"/>
        <w:rPr>
          <w:rFonts w:cs="Arial"/>
          <w:szCs w:val="20"/>
          <w:lang w:val="sl-SI"/>
        </w:rPr>
      </w:pPr>
    </w:p>
    <w:p w14:paraId="0A26D627" w14:textId="77777777" w:rsidR="003421F1" w:rsidRPr="003421F1" w:rsidRDefault="003421F1" w:rsidP="003421F1">
      <w:pPr>
        <w:spacing w:line="240" w:lineRule="auto"/>
        <w:jc w:val="both"/>
        <w:rPr>
          <w:rFonts w:cs="Arial"/>
          <w:szCs w:val="20"/>
          <w:lang w:val="sl-SI"/>
        </w:rPr>
      </w:pPr>
      <w:r w:rsidRPr="003421F1">
        <w:rPr>
          <w:rFonts w:cs="Arial"/>
          <w:szCs w:val="20"/>
          <w:lang w:val="sl-SI"/>
        </w:rPr>
        <w:t xml:space="preserve">Slovenija je v letu 2024 ohranila hitro in fleksibilno odzivanje na dodatne potrebe, ki so nastale zaradi novih kriz (zlasti posledic zaostrovanja vojne v Ukrajini in posledične prehranske krize, naravnih nesreč ter konflikta v Gazi in zaostrovanja že obstoječih humanitarnih kriz), kot je razvidno iz natančnega pregleda in razreza aktivnosti v tem poročilu. </w:t>
      </w:r>
    </w:p>
    <w:p w14:paraId="0EF25C28" w14:textId="77777777" w:rsidR="003421F1" w:rsidRPr="003421F1" w:rsidRDefault="003421F1" w:rsidP="003421F1">
      <w:pPr>
        <w:spacing w:line="240" w:lineRule="auto"/>
        <w:jc w:val="both"/>
        <w:rPr>
          <w:rFonts w:cs="Arial"/>
          <w:szCs w:val="20"/>
          <w:lang w:val="sl-SI"/>
        </w:rPr>
      </w:pPr>
    </w:p>
    <w:p w14:paraId="02C610AC" w14:textId="2A3780C2" w:rsidR="003421F1" w:rsidRPr="003421F1" w:rsidRDefault="003421F1" w:rsidP="003421F1">
      <w:pPr>
        <w:spacing w:line="240" w:lineRule="auto"/>
        <w:jc w:val="both"/>
        <w:rPr>
          <w:rFonts w:cs="Arial"/>
          <w:szCs w:val="20"/>
          <w:lang w:val="sl-SI"/>
        </w:rPr>
      </w:pPr>
      <w:r w:rsidRPr="003421F1">
        <w:rPr>
          <w:rFonts w:cs="Arial"/>
          <w:szCs w:val="20"/>
          <w:lang w:val="sl-SI"/>
        </w:rPr>
        <w:t>V okviru razpoložljive dvostranske uradne razvojne pomoči</w:t>
      </w:r>
      <w:r w:rsidRPr="003421F1">
        <w:rPr>
          <w:rStyle w:val="FootnoteReference"/>
          <w:rFonts w:cs="Arial"/>
          <w:szCs w:val="20"/>
          <w:lang w:val="sl-SI"/>
        </w:rPr>
        <w:footnoteReference w:id="4"/>
      </w:r>
      <w:r w:rsidRPr="003421F1">
        <w:rPr>
          <w:rFonts w:cs="Arial"/>
          <w:szCs w:val="20"/>
          <w:lang w:val="sl-SI"/>
        </w:rPr>
        <w:t xml:space="preserve">, </w:t>
      </w:r>
      <w:r w:rsidR="009262FE">
        <w:rPr>
          <w:rFonts w:cs="Arial"/>
          <w:szCs w:val="20"/>
          <w:lang w:val="sl-SI"/>
        </w:rPr>
        <w:t xml:space="preserve">ki znaša </w:t>
      </w:r>
      <w:r w:rsidRPr="003421F1">
        <w:rPr>
          <w:rFonts w:cs="Arial"/>
          <w:szCs w:val="20"/>
          <w:lang w:val="sl-SI"/>
        </w:rPr>
        <w:t xml:space="preserve">46,51 milijona evrov, največji delež tvorijo oprostitve šolnin in pomoč projektne narave, skupaj </w:t>
      </w:r>
      <w:r w:rsidR="009262FE">
        <w:rPr>
          <w:rFonts w:cs="Arial"/>
          <w:szCs w:val="20"/>
          <w:lang w:val="sl-SI"/>
        </w:rPr>
        <w:t>nekaj nad</w:t>
      </w:r>
      <w:r w:rsidRPr="003421F1">
        <w:rPr>
          <w:rFonts w:cs="Arial"/>
          <w:szCs w:val="20"/>
          <w:lang w:val="sl-SI"/>
        </w:rPr>
        <w:t xml:space="preserve"> 60,4 odstotk</w:t>
      </w:r>
      <w:r w:rsidR="006B63B1">
        <w:rPr>
          <w:rFonts w:cs="Arial"/>
          <w:szCs w:val="20"/>
          <w:lang w:val="sl-SI"/>
        </w:rPr>
        <w:t>a</w:t>
      </w:r>
      <w:r w:rsidRPr="003421F1">
        <w:rPr>
          <w:rFonts w:cs="Arial"/>
          <w:szCs w:val="20"/>
          <w:lang w:val="sl-SI"/>
        </w:rPr>
        <w:t>. Stroški za oprostitev šolnin in štipendije so dosegli 15,73 milijona evrov ali 33,8 odstotk</w:t>
      </w:r>
      <w:r w:rsidR="006B63B1">
        <w:rPr>
          <w:rFonts w:cs="Arial"/>
          <w:szCs w:val="20"/>
          <w:lang w:val="sl-SI"/>
        </w:rPr>
        <w:t>a</w:t>
      </w:r>
      <w:r w:rsidRPr="003421F1">
        <w:rPr>
          <w:rFonts w:cs="Arial"/>
          <w:szCs w:val="20"/>
          <w:lang w:val="sl-SI"/>
        </w:rPr>
        <w:t xml:space="preserve"> dvostranske uradne pomoči. Pomoč projektne narave se je v letu 2024 povečala za skoraj 3,19 milijona evrov in je znašala 12,35 milijona evrov ali 26,6 odstotk</w:t>
      </w:r>
      <w:r w:rsidR="006B63B1">
        <w:rPr>
          <w:rFonts w:cs="Arial"/>
          <w:szCs w:val="20"/>
          <w:lang w:val="sl-SI"/>
        </w:rPr>
        <w:t>a</w:t>
      </w:r>
      <w:r w:rsidRPr="003421F1">
        <w:rPr>
          <w:rFonts w:cs="Arial"/>
          <w:szCs w:val="20"/>
          <w:lang w:val="sl-SI"/>
        </w:rPr>
        <w:t xml:space="preserve"> dvostranske pomoči. Namenski prispevki preko mednarodnih organizacij, tj. 8,70 milijonov evrov ali 18,7 odstotk</w:t>
      </w:r>
      <w:r w:rsidR="006B63B1">
        <w:rPr>
          <w:rFonts w:cs="Arial"/>
          <w:szCs w:val="20"/>
          <w:lang w:val="sl-SI"/>
        </w:rPr>
        <w:t>a</w:t>
      </w:r>
      <w:r w:rsidRPr="003421F1">
        <w:rPr>
          <w:rFonts w:cs="Arial"/>
          <w:szCs w:val="20"/>
          <w:lang w:val="sl-SI"/>
        </w:rPr>
        <w:t xml:space="preserve"> dvostranske razvojne pomoči, pa so se znižali za 1,94 milijon</w:t>
      </w:r>
      <w:r w:rsidR="00E46FCE">
        <w:rPr>
          <w:rFonts w:cs="Arial"/>
          <w:szCs w:val="20"/>
          <w:lang w:val="sl-SI"/>
        </w:rPr>
        <w:t>a</w:t>
      </w:r>
      <w:r w:rsidRPr="003421F1">
        <w:rPr>
          <w:rFonts w:cs="Arial"/>
          <w:szCs w:val="20"/>
          <w:lang w:val="sl-SI"/>
        </w:rPr>
        <w:t xml:space="preserve"> evrov. Za oskrbo beguncev in migrantov je bilo namenjenih 6,39 milijona evrov ali 13,7 odstotk</w:t>
      </w:r>
      <w:r w:rsidR="006B63B1">
        <w:rPr>
          <w:rFonts w:cs="Arial"/>
          <w:szCs w:val="20"/>
          <w:lang w:val="sl-SI"/>
        </w:rPr>
        <w:t>a</w:t>
      </w:r>
      <w:r w:rsidRPr="003421F1">
        <w:rPr>
          <w:rFonts w:cs="Arial"/>
          <w:szCs w:val="20"/>
          <w:lang w:val="sl-SI"/>
        </w:rPr>
        <w:t xml:space="preserve"> dvostranske razvojne pomoči ali 11,42 milijona evrov manj kot leto poprej. Vse ostale kategorije (tehnična pomoč, podpora delovanju nevladnih organizacij, ozaveščanje) predstavljajo vsaka po manj kot 5 odstotkov razpoložljive dvostranske razvojne pomoči oziroma skupaj 3,34 milijona evrov ali 7,2 odstotka. </w:t>
      </w:r>
    </w:p>
    <w:p w14:paraId="037A5B6C" w14:textId="77777777" w:rsidR="003421F1" w:rsidRPr="003421F1" w:rsidRDefault="003421F1" w:rsidP="003421F1">
      <w:pPr>
        <w:pStyle w:val="Caption"/>
        <w:rPr>
          <w:rFonts w:ascii="Arial" w:hAnsi="Arial" w:cs="Arial"/>
          <w:bCs w:val="0"/>
          <w:sz w:val="20"/>
          <w:szCs w:val="20"/>
        </w:rPr>
      </w:pPr>
    </w:p>
    <w:p w14:paraId="0811F5EA" w14:textId="30CF0057" w:rsidR="003421F1" w:rsidRPr="003421F1" w:rsidRDefault="003421F1" w:rsidP="003421F1">
      <w:pPr>
        <w:spacing w:line="240" w:lineRule="auto"/>
        <w:jc w:val="both"/>
        <w:rPr>
          <w:rFonts w:cs="Arial"/>
          <w:i/>
          <w:iCs/>
          <w:szCs w:val="20"/>
          <w:lang w:val="sl-SI"/>
        </w:rPr>
      </w:pPr>
      <w:r w:rsidRPr="003421F1">
        <w:rPr>
          <w:rFonts w:cs="Arial"/>
          <w:szCs w:val="20"/>
          <w:lang w:val="sl-SI"/>
        </w:rPr>
        <w:t xml:space="preserve">Slovenija je v letu 2024 največji delež, tj. 46,7 odstotka razpoložljive dvostranske razvojne pomoči, namenila državam Zahodnega Balkana (največ Severni Makedoniji, Bosni in Hercegovini in Srbiji). Državam Evropskega sosedstva je namenila 25,7 odstotka dvostranske razvojne pomoči, državam Podsaharske Afrike pa 7,7 odstotka. Poleg tega je Slovenija 17,3 odstotka razpoložljive dvostranske razvojne pomoči v kategoriji </w:t>
      </w:r>
      <w:r w:rsidR="008E2931">
        <w:rPr>
          <w:rFonts w:cs="Arial"/>
          <w:szCs w:val="20"/>
          <w:lang w:val="sl-SI"/>
        </w:rPr>
        <w:t>regionalnih aktivnosti in aktivnosti v državi donatorici</w:t>
      </w:r>
      <w:r w:rsidRPr="003421F1">
        <w:rPr>
          <w:rFonts w:cs="Arial"/>
          <w:szCs w:val="20"/>
          <w:lang w:val="sl-SI"/>
        </w:rPr>
        <w:t xml:space="preserve"> namenila državam v razvoju (največji del predstavljajo stroški oskrbe beguncev) ter 2,7 odstotka ostalim državam.</w:t>
      </w:r>
    </w:p>
    <w:p w14:paraId="3413B48B" w14:textId="77777777" w:rsidR="003421F1" w:rsidRPr="003421F1" w:rsidRDefault="003421F1" w:rsidP="003421F1">
      <w:pPr>
        <w:spacing w:line="240" w:lineRule="auto"/>
        <w:jc w:val="both"/>
        <w:rPr>
          <w:rFonts w:cs="Arial"/>
          <w:szCs w:val="20"/>
          <w:lang w:val="sl-SI"/>
        </w:rPr>
      </w:pPr>
    </w:p>
    <w:p w14:paraId="2844FB4F" w14:textId="77777777" w:rsidR="003421F1" w:rsidRPr="003421F1" w:rsidRDefault="003421F1" w:rsidP="003421F1">
      <w:pPr>
        <w:spacing w:line="240" w:lineRule="auto"/>
        <w:jc w:val="both"/>
        <w:rPr>
          <w:rFonts w:cs="Arial"/>
          <w:szCs w:val="20"/>
          <w:lang w:val="sl-SI"/>
        </w:rPr>
      </w:pPr>
      <w:r w:rsidRPr="003421F1">
        <w:rPr>
          <w:rFonts w:cs="Arial"/>
          <w:szCs w:val="20"/>
          <w:lang w:val="sl-SI"/>
        </w:rPr>
        <w:t xml:space="preserve">Obseg dvostranske humanitarne pomoči je v letu 2024 znašal 14,39 milijona evrov, od tega 7,9 odstotka za aktivnosti za zmanjšanje ranljivosti in tveganja za krize, preventivno delovanje ter krepitev odpornosti, s čimer smo se približali zastavljenemu cilju (namenitev vsaj 10 odstotkov humanitarne pomoči za preventivno delovanje) po Strategiji mednarodnega razvojnega sodelovanja in humanitarni pomoči. Humanitarna pomoč je tudi v 2024 glede na leto 2023 zrasla, in sicer za skoraj 1 odstotek. Največji delež humanitarne pomoči (68 odstotkov) je bil namenjen nujni pomoči in se je financiral pretežno iz sredstev MZEZ preko namenskih prispevkov mednarodnim organizacijam. V letu 2024 je bilo 14,6 odstotka humanitarne pomoči namenjene prehranski varnosti, predvsem preko Svetovnega programa za hrano (zlasti posledica finančnega </w:t>
      </w:r>
      <w:r w:rsidRPr="003421F1">
        <w:rPr>
          <w:rFonts w:cs="Arial"/>
          <w:szCs w:val="20"/>
          <w:lang w:val="sl-SI"/>
        </w:rPr>
        <w:lastRenderedPageBreak/>
        <w:t>prispevka Svetovnemu programu za hrano za pobudo "Žito iz Ukrajine"</w:t>
      </w:r>
      <w:r w:rsidRPr="003421F1">
        <w:rPr>
          <w:rStyle w:val="FootnoteReference"/>
          <w:rFonts w:cs="Arial"/>
          <w:szCs w:val="20"/>
          <w:lang w:val="sl-SI"/>
        </w:rPr>
        <w:footnoteReference w:id="5"/>
      </w:r>
      <w:r w:rsidRPr="003421F1">
        <w:rPr>
          <w:rFonts w:cs="Arial"/>
          <w:szCs w:val="20"/>
          <w:lang w:val="sl-SI"/>
        </w:rPr>
        <w:t xml:space="preserve"> v višini 1 milijona evrov ter pomoči za hrano prebivalcem Gaze v višini 1 milijona evrov). </w:t>
      </w:r>
    </w:p>
    <w:p w14:paraId="7969BD98" w14:textId="77777777" w:rsidR="003421F1" w:rsidRPr="003421F1" w:rsidRDefault="003421F1" w:rsidP="003421F1">
      <w:pPr>
        <w:spacing w:line="240" w:lineRule="auto"/>
        <w:jc w:val="both"/>
        <w:rPr>
          <w:rFonts w:cs="Arial"/>
          <w:szCs w:val="20"/>
          <w:lang w:val="sl-SI"/>
        </w:rPr>
      </w:pPr>
    </w:p>
    <w:p w14:paraId="4C995D50" w14:textId="4C6A1924" w:rsidR="003421F1" w:rsidRPr="003421F1" w:rsidRDefault="003421F1" w:rsidP="003421F1">
      <w:pPr>
        <w:spacing w:line="240" w:lineRule="auto"/>
        <w:jc w:val="both"/>
        <w:rPr>
          <w:rFonts w:cs="Arial"/>
          <w:szCs w:val="20"/>
          <w:lang w:val="sl-SI"/>
        </w:rPr>
      </w:pPr>
      <w:r w:rsidRPr="003421F1">
        <w:rPr>
          <w:rFonts w:cs="Arial"/>
          <w:szCs w:val="20"/>
          <w:lang w:val="sl-SI"/>
        </w:rPr>
        <w:t>Za podnebno financiranje je Slovenija v letu 2024 namenila skupno skoraj 7,7 milijona evrov, kar predstavlja 17 odstotno rast glede na leto prej, predvsem na račun vsebinske osredotočenosti na 13. cilj trajnostnega razvoja za aktivnosti prilagajanja in blaženja podnebnih sprememb.</w:t>
      </w:r>
    </w:p>
    <w:p w14:paraId="329DA419" w14:textId="77777777" w:rsidR="003421F1" w:rsidRPr="003421F1" w:rsidRDefault="003421F1" w:rsidP="003421F1">
      <w:pPr>
        <w:spacing w:line="240" w:lineRule="auto"/>
        <w:jc w:val="both"/>
        <w:rPr>
          <w:rFonts w:cs="Arial"/>
          <w:szCs w:val="20"/>
          <w:lang w:val="sl-SI"/>
        </w:rPr>
      </w:pPr>
    </w:p>
    <w:p w14:paraId="64AD2B58" w14:textId="77777777" w:rsidR="003421F1" w:rsidRPr="003421F1" w:rsidRDefault="003421F1" w:rsidP="003421F1">
      <w:pPr>
        <w:spacing w:line="240" w:lineRule="auto"/>
        <w:jc w:val="both"/>
        <w:rPr>
          <w:rFonts w:cs="Arial"/>
          <w:szCs w:val="20"/>
          <w:lang w:val="sl-SI"/>
        </w:rPr>
      </w:pPr>
      <w:r w:rsidRPr="003421F1">
        <w:rPr>
          <w:rFonts w:cs="Arial"/>
          <w:szCs w:val="20"/>
          <w:lang w:val="sl-SI"/>
        </w:rPr>
        <w:t>Na področju enakosti spolov se je, glede na leto 2023, število aktivnosti povečalo za 22, skupna vrednost realizacije pa se je povečala za skoraj 78 odstotkov na skoraj 5 milijonov evrov. Delež dvostranske programske pomoči, ki vključuje vidik spola, je v letu 2023 znašal le 26,4 odstotka, a se je v letu 2024 povečal na 37,9 odstotka. V primerjavi z izhodiščnimi 20 odstotki v letu 2017, ta odstotek predstavlja nadaljnje povečanje. Slovenija se je tako po negativnem trendu v preteklosti zelo približala vmesnemu cilju 40 odstotkov za leto 2022.</w:t>
      </w:r>
    </w:p>
    <w:p w14:paraId="6264CE1F" w14:textId="77777777" w:rsidR="003421F1" w:rsidRPr="003421F1" w:rsidRDefault="003421F1" w:rsidP="003421F1">
      <w:pPr>
        <w:spacing w:line="240" w:lineRule="auto"/>
        <w:jc w:val="both"/>
        <w:rPr>
          <w:rFonts w:cs="Arial"/>
          <w:szCs w:val="20"/>
          <w:lang w:val="sl-SI"/>
        </w:rPr>
      </w:pPr>
    </w:p>
    <w:p w14:paraId="50445E77" w14:textId="77777777" w:rsidR="003421F1" w:rsidRPr="003421F1" w:rsidRDefault="003421F1" w:rsidP="003421F1">
      <w:pPr>
        <w:spacing w:line="240" w:lineRule="auto"/>
        <w:jc w:val="both"/>
        <w:rPr>
          <w:rFonts w:cs="Arial"/>
          <w:szCs w:val="20"/>
          <w:lang w:val="sl-SI"/>
        </w:rPr>
      </w:pPr>
      <w:r w:rsidRPr="003421F1">
        <w:rPr>
          <w:rFonts w:cs="Arial"/>
          <w:szCs w:val="20"/>
          <w:lang w:val="sl-SI"/>
        </w:rPr>
        <w:t>Število aktivnosti za varovanje okolja se je, glede na leto 2023, povečalo za dve na 56, medtem ko se je skupna nominalna vrednost projektov povečala za 39 odstotkov, na več kot 5,7 milijona evrov. Glede na nominalno povišanje je delež dvostranske programske pomoči, ki vključuje vidik varovanja okolja, v letu 2024 znašal 53,7 odstotka, s čimer smo presegli vmesni cilj 50 odstotkov za leto 2022.</w:t>
      </w:r>
    </w:p>
    <w:p w14:paraId="69E8E7F3" w14:textId="77777777" w:rsidR="003421F1" w:rsidRPr="003421F1" w:rsidRDefault="003421F1" w:rsidP="003421F1">
      <w:pPr>
        <w:spacing w:line="240" w:lineRule="auto"/>
        <w:jc w:val="both"/>
        <w:rPr>
          <w:rFonts w:cs="Arial"/>
          <w:szCs w:val="20"/>
          <w:lang w:val="sl-SI"/>
        </w:rPr>
      </w:pPr>
    </w:p>
    <w:p w14:paraId="2717449F" w14:textId="67EC021B" w:rsidR="003421F1" w:rsidRPr="003421F1" w:rsidRDefault="003421F1" w:rsidP="003421F1">
      <w:pPr>
        <w:spacing w:line="240" w:lineRule="auto"/>
        <w:jc w:val="both"/>
        <w:rPr>
          <w:rFonts w:cs="Arial"/>
          <w:szCs w:val="20"/>
          <w:lang w:val="sl-SI"/>
        </w:rPr>
      </w:pPr>
      <w:r w:rsidRPr="003421F1">
        <w:rPr>
          <w:rFonts w:cs="Arial"/>
          <w:szCs w:val="20"/>
          <w:lang w:val="sl-SI"/>
        </w:rPr>
        <w:t xml:space="preserve">Prav tako je MZEZ okrepilo dejavnosti razvojnega sodelovanja preko razpisa </w:t>
      </w:r>
      <w:proofErr w:type="spellStart"/>
      <w:r w:rsidRPr="003421F1">
        <w:rPr>
          <w:rFonts w:cs="Arial"/>
          <w:szCs w:val="20"/>
          <w:lang w:val="sl-SI"/>
        </w:rPr>
        <w:t>t.i</w:t>
      </w:r>
      <w:proofErr w:type="spellEnd"/>
      <w:r w:rsidRPr="003421F1">
        <w:rPr>
          <w:rFonts w:cs="Arial"/>
          <w:szCs w:val="20"/>
          <w:lang w:val="sl-SI"/>
        </w:rPr>
        <w:t>. Razvojnega sklada za projekte v državah upravičenkah preko diplomatskih predstavništev in konzulatov</w:t>
      </w:r>
      <w:r w:rsidR="00EA1CDE">
        <w:rPr>
          <w:rFonts w:cs="Arial"/>
          <w:szCs w:val="20"/>
          <w:lang w:val="sl-SI"/>
        </w:rPr>
        <w:t xml:space="preserve"> Republike Slovenije</w:t>
      </w:r>
      <w:r w:rsidRPr="003421F1">
        <w:rPr>
          <w:rFonts w:cs="Arial"/>
          <w:szCs w:val="20"/>
          <w:lang w:val="sl-SI"/>
        </w:rPr>
        <w:t>. Tako so lokalne organizacije v letu 2024 uspešno izvajale 15 projektov v osmih partnerskih državah</w:t>
      </w:r>
      <w:r w:rsidR="009262FE">
        <w:rPr>
          <w:rFonts w:cs="Arial"/>
          <w:szCs w:val="20"/>
          <w:lang w:val="sl-SI"/>
        </w:rPr>
        <w:t xml:space="preserve"> v skupni vrednosti skoraj 0,4 milijona evrov</w:t>
      </w:r>
      <w:r w:rsidRPr="003421F1">
        <w:rPr>
          <w:rFonts w:cs="Arial"/>
          <w:szCs w:val="20"/>
          <w:lang w:val="sl-SI"/>
        </w:rPr>
        <w:t>.</w:t>
      </w:r>
    </w:p>
    <w:p w14:paraId="42B05E74" w14:textId="77777777" w:rsidR="003421F1" w:rsidRPr="003421F1" w:rsidRDefault="003421F1" w:rsidP="003421F1">
      <w:pPr>
        <w:spacing w:line="240" w:lineRule="auto"/>
        <w:jc w:val="both"/>
        <w:rPr>
          <w:rFonts w:cs="Arial"/>
          <w:szCs w:val="20"/>
          <w:lang w:val="sl-SI"/>
        </w:rPr>
      </w:pPr>
    </w:p>
    <w:p w14:paraId="0324680E" w14:textId="77777777" w:rsidR="003421F1" w:rsidRPr="003421F1" w:rsidRDefault="003421F1" w:rsidP="003421F1">
      <w:pPr>
        <w:spacing w:line="240" w:lineRule="auto"/>
        <w:jc w:val="both"/>
        <w:rPr>
          <w:rFonts w:cs="Arial"/>
          <w:szCs w:val="20"/>
          <w:lang w:val="sl-SI"/>
        </w:rPr>
      </w:pPr>
      <w:r w:rsidRPr="003421F1">
        <w:rPr>
          <w:rFonts w:cs="Arial"/>
          <w:szCs w:val="20"/>
          <w:lang w:val="sl-SI"/>
        </w:rPr>
        <w:t>MZEZ je okrepilo medresorsko koordinacijo, predvsem na ravni Stalne koordinacijske skupine za mednarodno razvojno sodelovanje in humanitarno pomoč in v letu 2024 prenovilo sestavo Strokovnega sveta za mednarodno razvojno sodelovanje in humanitarno pomoč ter tako vzpostavilo celovit institucionalni okvir delovanja MZEZ kot nacionalnega koordinatorja.</w:t>
      </w:r>
    </w:p>
    <w:p w14:paraId="26B88162" w14:textId="77777777" w:rsidR="003421F1" w:rsidRPr="003421F1" w:rsidRDefault="003421F1" w:rsidP="003421F1">
      <w:pPr>
        <w:spacing w:line="240" w:lineRule="auto"/>
        <w:jc w:val="both"/>
        <w:rPr>
          <w:rFonts w:cs="Arial"/>
          <w:szCs w:val="20"/>
          <w:lang w:val="sl-SI"/>
        </w:rPr>
      </w:pPr>
    </w:p>
    <w:p w14:paraId="0F484B19" w14:textId="7AE8FF3B" w:rsidR="003421F1" w:rsidRPr="003421F1" w:rsidRDefault="003421F1" w:rsidP="003421F1">
      <w:pPr>
        <w:spacing w:line="240" w:lineRule="auto"/>
        <w:jc w:val="both"/>
        <w:rPr>
          <w:rFonts w:cs="Arial"/>
          <w:szCs w:val="20"/>
          <w:lang w:val="sl-SI"/>
        </w:rPr>
      </w:pPr>
      <w:r w:rsidRPr="003421F1">
        <w:rPr>
          <w:rFonts w:cs="Arial"/>
          <w:szCs w:val="20"/>
          <w:lang w:val="sl-SI"/>
        </w:rPr>
        <w:t>MZEZ je med 15. in 22. oktobrom 2024 izvedlo 12. slovenske razvojne dneve in drugi humanitarni forum</w:t>
      </w:r>
      <w:r w:rsidR="009262FE">
        <w:rPr>
          <w:rFonts w:cs="Arial"/>
          <w:szCs w:val="20"/>
          <w:lang w:val="sl-SI"/>
        </w:rPr>
        <w:t xml:space="preserve"> z naslovom</w:t>
      </w:r>
      <w:r w:rsidRPr="003421F1">
        <w:rPr>
          <w:rFonts w:cs="Arial"/>
          <w:szCs w:val="20"/>
          <w:lang w:val="sl-SI"/>
        </w:rPr>
        <w:t xml:space="preserve"> "Za svet brez lakote", ki sta poudarila potrebo po višjih in stabilnejših investicijah v razvojno sodelovanje, preprečevanje konfliktov in hitrejšem odzivu na humanitarne krize. </w:t>
      </w:r>
      <w:bookmarkStart w:id="1" w:name="_Hlk208307061"/>
      <w:r w:rsidRPr="003421F1">
        <w:rPr>
          <w:rFonts w:cs="Arial"/>
          <w:szCs w:val="20"/>
          <w:lang w:val="sl-SI"/>
        </w:rPr>
        <w:t>MZEZ je pripravil tudi "Nacionalni posvet o mednarodnem razvojnem sodelovanju in humanitarni pomoči: 20 let gradimo partnerstva", namenjen pregledu dosedanjih dosežkov in razpravi o novih priložnostih za izboljšanje učinkovitosti in vidnosti Slovenije kot donatorice razvojne pomoči.</w:t>
      </w:r>
      <w:bookmarkEnd w:id="1"/>
    </w:p>
    <w:p w14:paraId="6375B4ED" w14:textId="77777777" w:rsidR="003421F1" w:rsidRPr="003421F1" w:rsidRDefault="003421F1" w:rsidP="003421F1">
      <w:pPr>
        <w:spacing w:line="240" w:lineRule="auto"/>
        <w:jc w:val="both"/>
        <w:rPr>
          <w:rFonts w:cs="Arial"/>
          <w:szCs w:val="20"/>
          <w:lang w:val="sl-SI"/>
        </w:rPr>
      </w:pPr>
    </w:p>
    <w:p w14:paraId="35AAE6CD" w14:textId="03E9E9E5" w:rsidR="003421F1" w:rsidRPr="003421F1" w:rsidRDefault="003421F1" w:rsidP="003421F1">
      <w:pPr>
        <w:spacing w:line="240" w:lineRule="auto"/>
        <w:jc w:val="both"/>
        <w:rPr>
          <w:rFonts w:cs="Arial"/>
          <w:szCs w:val="20"/>
          <w:lang w:val="sl-SI"/>
        </w:rPr>
      </w:pPr>
      <w:r w:rsidRPr="003421F1">
        <w:rPr>
          <w:rFonts w:cs="Arial"/>
          <w:szCs w:val="20"/>
          <w:lang w:val="sl-SI"/>
        </w:rPr>
        <w:t>Slovenija je bila v letu 2024 predmet Medsebojnega strokovnega pregleda politik in izvajanja mednarodnega razvojnega sodelovanja Republike Slovenije, ki ga je izvedel OECD DAC v sodelovanju z državama pregledovalkama, Švico in Dansko. Na podlagi pregleda, ki se je zaključil junija 2024</w:t>
      </w:r>
      <w:r w:rsidR="006B63B1">
        <w:rPr>
          <w:rFonts w:cs="Arial"/>
          <w:szCs w:val="20"/>
          <w:lang w:val="sl-SI"/>
        </w:rPr>
        <w:t>,</w:t>
      </w:r>
      <w:r w:rsidRPr="003421F1">
        <w:rPr>
          <w:rFonts w:cs="Arial"/>
          <w:szCs w:val="20"/>
          <w:lang w:val="sl-SI"/>
        </w:rPr>
        <w:t xml:space="preserve"> je Slovenija prejela 10 priporočil za učinkovitejše delovanje v prihodnje.</w:t>
      </w:r>
      <w:r w:rsidRPr="003421F1">
        <w:rPr>
          <w:rStyle w:val="FootnoteReference"/>
          <w:rFonts w:cs="Arial"/>
          <w:szCs w:val="20"/>
          <w:lang w:val="sl-SI"/>
        </w:rPr>
        <w:footnoteReference w:id="6"/>
      </w:r>
    </w:p>
    <w:p w14:paraId="7865263A" w14:textId="77777777" w:rsidR="003421F1" w:rsidRPr="003421F1" w:rsidRDefault="003421F1" w:rsidP="003421F1">
      <w:pPr>
        <w:spacing w:line="240" w:lineRule="auto"/>
        <w:jc w:val="both"/>
        <w:rPr>
          <w:rFonts w:cs="Arial"/>
          <w:szCs w:val="20"/>
          <w:lang w:val="sl-SI"/>
        </w:rPr>
      </w:pPr>
    </w:p>
    <w:p w14:paraId="5B788484" w14:textId="77777777" w:rsidR="003421F1" w:rsidRPr="003421F1" w:rsidRDefault="003421F1" w:rsidP="003421F1">
      <w:pPr>
        <w:spacing w:line="240" w:lineRule="auto"/>
        <w:jc w:val="both"/>
        <w:rPr>
          <w:rFonts w:cs="Arial"/>
          <w:szCs w:val="20"/>
          <w:lang w:val="sl-SI"/>
        </w:rPr>
      </w:pPr>
      <w:r w:rsidRPr="003421F1">
        <w:rPr>
          <w:rFonts w:cs="Arial"/>
          <w:szCs w:val="20"/>
          <w:lang w:val="sl-SI"/>
        </w:rPr>
        <w:t xml:space="preserve">Slovenija se je kot država članica EU v okviru pogajanj za novo razvojno agendo leta 2015 in z Resolucijo o mednarodnem razvojnem sodelovanju in humanitarni pomoči Republike Slovenije zavezala, da si bo prizadevala za povišanje uradne razvojne pomoči na 0,33 odstotka BND do leta 2030. V letu 2024 je Slovenija dosegla delež uradne razvojne pomoči v BND v višini 0,23 odstotka in tako zabeležila padec za 0,01 odstotne točke v primerjavi s predhodnim letom. </w:t>
      </w:r>
    </w:p>
    <w:p w14:paraId="3FC8F428" w14:textId="65FFEA02" w:rsidR="008E596E" w:rsidRPr="003421F1" w:rsidRDefault="008E596E" w:rsidP="00BC27B2">
      <w:pPr>
        <w:spacing w:line="240" w:lineRule="auto"/>
        <w:jc w:val="both"/>
        <w:rPr>
          <w:rFonts w:eastAsia="Calibri" w:cs="Arial"/>
          <w:szCs w:val="20"/>
          <w:lang w:val="sl-SI"/>
        </w:rPr>
      </w:pPr>
    </w:p>
    <w:p w14:paraId="1EEF04E1" w14:textId="1717557F" w:rsidR="00C70576" w:rsidRPr="003421F1" w:rsidRDefault="00C70576" w:rsidP="00C70576">
      <w:pPr>
        <w:rPr>
          <w:rFonts w:eastAsia="Calibri" w:cs="Arial"/>
          <w:szCs w:val="20"/>
          <w:lang w:val="sl-SI"/>
        </w:rPr>
      </w:pPr>
    </w:p>
    <w:sectPr w:rsidR="00C70576" w:rsidRPr="003421F1" w:rsidSect="003867D6">
      <w:headerReference w:type="default" r:id="rId9"/>
      <w:headerReference w:type="first" r:id="rId10"/>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CF5EE7" w14:textId="77777777" w:rsidR="009D12EF" w:rsidRDefault="009D12EF">
      <w:r>
        <w:separator/>
      </w:r>
    </w:p>
  </w:endnote>
  <w:endnote w:type="continuationSeparator" w:id="0">
    <w:p w14:paraId="7179F675" w14:textId="77777777" w:rsidR="009D12EF" w:rsidRDefault="009D1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2C60F" w14:textId="77777777" w:rsidR="009D12EF" w:rsidRDefault="009D12EF">
      <w:r>
        <w:separator/>
      </w:r>
    </w:p>
  </w:footnote>
  <w:footnote w:type="continuationSeparator" w:id="0">
    <w:p w14:paraId="35617BB8" w14:textId="77777777" w:rsidR="009D12EF" w:rsidRDefault="009D12EF">
      <w:r>
        <w:continuationSeparator/>
      </w:r>
    </w:p>
  </w:footnote>
  <w:footnote w:id="1">
    <w:p w14:paraId="764E4FAA" w14:textId="37B901B3" w:rsidR="009262FE" w:rsidRPr="009262FE" w:rsidRDefault="009262FE" w:rsidP="009262FE">
      <w:pPr>
        <w:pStyle w:val="FootnoteText"/>
        <w:ind w:left="0"/>
        <w:jc w:val="both"/>
        <w:rPr>
          <w:rStyle w:val="FootnoteReference"/>
          <w:rFonts w:asciiTheme="minorHAnsi" w:hAnsiTheme="minorHAnsi" w:cstheme="minorHAnsi"/>
          <w:color w:val="auto"/>
          <w:sz w:val="18"/>
          <w:szCs w:val="18"/>
          <w:lang w:val="sl-SI"/>
        </w:rPr>
      </w:pPr>
      <w:r w:rsidRPr="009262FE">
        <w:rPr>
          <w:rStyle w:val="FootnoteReference"/>
          <w:rFonts w:asciiTheme="minorHAnsi" w:hAnsiTheme="minorHAnsi" w:cstheme="minorHAnsi"/>
          <w:color w:val="auto"/>
          <w:sz w:val="18"/>
          <w:szCs w:val="18"/>
          <w:lang w:val="sl-SI"/>
        </w:rPr>
        <w:footnoteRef/>
      </w:r>
      <w:r w:rsidRPr="009262FE">
        <w:rPr>
          <w:rStyle w:val="FootnoteReference"/>
          <w:rFonts w:asciiTheme="minorHAnsi" w:hAnsiTheme="minorHAnsi" w:cstheme="minorHAnsi"/>
          <w:color w:val="auto"/>
          <w:sz w:val="18"/>
          <w:szCs w:val="18"/>
          <w:lang w:val="sl-SI"/>
        </w:rPr>
        <w:t xml:space="preserve"> </w:t>
      </w:r>
      <w:r>
        <w:rPr>
          <w:rFonts w:asciiTheme="minorHAnsi" w:hAnsiTheme="minorHAnsi" w:cstheme="minorHAnsi"/>
          <w:color w:val="auto"/>
          <w:sz w:val="18"/>
          <w:szCs w:val="18"/>
          <w:lang w:val="sl-SI"/>
        </w:rPr>
        <w:t xml:space="preserve">Po metodologiji OECD DAC se </w:t>
      </w:r>
      <w:r w:rsidR="00163A30">
        <w:rPr>
          <w:rFonts w:asciiTheme="minorHAnsi" w:hAnsiTheme="minorHAnsi" w:cstheme="minorHAnsi"/>
          <w:color w:val="auto"/>
          <w:sz w:val="18"/>
          <w:szCs w:val="18"/>
          <w:lang w:val="sl-SI"/>
        </w:rPr>
        <w:t xml:space="preserve">poročajo </w:t>
      </w:r>
      <w:r>
        <w:rPr>
          <w:rFonts w:asciiTheme="minorHAnsi" w:hAnsiTheme="minorHAnsi" w:cstheme="minorHAnsi"/>
          <w:color w:val="auto"/>
          <w:sz w:val="18"/>
          <w:szCs w:val="18"/>
          <w:lang w:val="sl-SI"/>
        </w:rPr>
        <w:t xml:space="preserve">stroški oskrbe beguncev v državi donatorici </w:t>
      </w:r>
      <w:r w:rsidR="00163A30">
        <w:rPr>
          <w:rFonts w:asciiTheme="minorHAnsi" w:hAnsiTheme="minorHAnsi" w:cstheme="minorHAnsi"/>
          <w:color w:val="auto"/>
          <w:sz w:val="18"/>
          <w:szCs w:val="18"/>
          <w:lang w:val="sl-SI"/>
        </w:rPr>
        <w:t>v času bivanja v državi do dvanajst mesecev.</w:t>
      </w:r>
    </w:p>
  </w:footnote>
  <w:footnote w:id="2">
    <w:p w14:paraId="3980A920" w14:textId="77777777" w:rsidR="003421F1" w:rsidRPr="009262FE" w:rsidRDefault="003421F1" w:rsidP="009262FE">
      <w:pPr>
        <w:pStyle w:val="FootnoteText"/>
        <w:ind w:left="0"/>
        <w:jc w:val="both"/>
        <w:rPr>
          <w:rStyle w:val="FootnoteReference"/>
          <w:rFonts w:asciiTheme="minorHAnsi" w:hAnsiTheme="minorHAnsi" w:cstheme="minorHAnsi"/>
          <w:color w:val="auto"/>
          <w:sz w:val="18"/>
          <w:szCs w:val="18"/>
          <w:lang w:val="sl-SI"/>
        </w:rPr>
      </w:pPr>
      <w:r w:rsidRPr="009262FE">
        <w:rPr>
          <w:rStyle w:val="FootnoteReference"/>
          <w:rFonts w:asciiTheme="minorHAnsi" w:hAnsiTheme="minorHAnsi" w:cstheme="minorHAnsi"/>
          <w:color w:val="auto"/>
          <w:sz w:val="18"/>
          <w:szCs w:val="18"/>
          <w:lang w:val="sl-SI"/>
        </w:rPr>
        <w:footnoteRef/>
      </w:r>
      <w:r w:rsidRPr="009262FE">
        <w:rPr>
          <w:rStyle w:val="FootnoteReference"/>
          <w:rFonts w:asciiTheme="minorHAnsi" w:hAnsiTheme="minorHAnsi" w:cstheme="minorHAnsi"/>
          <w:color w:val="auto"/>
          <w:sz w:val="18"/>
          <w:szCs w:val="18"/>
          <w:lang w:val="sl-SI"/>
        </w:rPr>
        <w:t xml:space="preserve"> </w:t>
      </w:r>
      <w:r w:rsidRPr="009262FE">
        <w:rPr>
          <w:rStyle w:val="FootnoteReference"/>
          <w:rFonts w:asciiTheme="minorHAnsi" w:hAnsiTheme="minorHAnsi" w:cstheme="minorHAnsi"/>
          <w:color w:val="auto"/>
          <w:sz w:val="18"/>
          <w:szCs w:val="18"/>
          <w:vertAlign w:val="baseline"/>
          <w:lang w:val="sl-SI"/>
        </w:rPr>
        <w:t>Dvostranska razvojna pomoč v ožjem pomenu ne vključuje administrativnih stroškov in dvostranske humanitarne pomoči.</w:t>
      </w:r>
    </w:p>
  </w:footnote>
  <w:footnote w:id="3">
    <w:p w14:paraId="17E4FD0E" w14:textId="77777777" w:rsidR="003421F1" w:rsidRPr="006B63B1" w:rsidRDefault="003421F1" w:rsidP="003421F1">
      <w:pPr>
        <w:pStyle w:val="FootnoteText"/>
        <w:ind w:left="0"/>
        <w:jc w:val="both"/>
        <w:rPr>
          <w:rStyle w:val="FootnoteReference"/>
          <w:rFonts w:asciiTheme="minorHAnsi" w:hAnsiTheme="minorHAnsi" w:cstheme="minorHAnsi"/>
          <w:color w:val="auto"/>
          <w:sz w:val="18"/>
          <w:szCs w:val="18"/>
          <w:vertAlign w:val="baseline"/>
          <w:lang w:val="sl-SI"/>
        </w:rPr>
      </w:pPr>
      <w:r w:rsidRPr="006B63B1">
        <w:rPr>
          <w:rStyle w:val="FootnoteReference"/>
          <w:rFonts w:asciiTheme="minorHAnsi" w:hAnsiTheme="minorHAnsi" w:cstheme="minorHAnsi"/>
          <w:color w:val="auto"/>
          <w:sz w:val="18"/>
          <w:szCs w:val="18"/>
          <w:lang w:val="sl-SI"/>
        </w:rPr>
        <w:footnoteRef/>
      </w:r>
      <w:r w:rsidRPr="006B63B1">
        <w:rPr>
          <w:rStyle w:val="FootnoteReference"/>
          <w:rFonts w:asciiTheme="minorHAnsi" w:hAnsiTheme="minorHAnsi" w:cstheme="minorHAnsi"/>
          <w:color w:val="auto"/>
          <w:sz w:val="18"/>
          <w:szCs w:val="18"/>
          <w:lang w:val="sl-SI"/>
        </w:rPr>
        <w:t xml:space="preserve"> </w:t>
      </w:r>
      <w:r w:rsidRPr="006B63B1">
        <w:rPr>
          <w:rStyle w:val="FootnoteReference"/>
          <w:rFonts w:asciiTheme="minorHAnsi" w:hAnsiTheme="minorHAnsi" w:cstheme="minorHAnsi"/>
          <w:color w:val="auto"/>
          <w:sz w:val="18"/>
          <w:szCs w:val="18"/>
          <w:vertAlign w:val="baseline"/>
          <w:lang w:val="sl-SI"/>
        </w:rPr>
        <w:t>Zaradi zaokroževanja na najbližjo celo vrednost, so lahko vsote neskladne.</w:t>
      </w:r>
    </w:p>
  </w:footnote>
  <w:footnote w:id="4">
    <w:p w14:paraId="46CCC00D" w14:textId="77777777" w:rsidR="003421F1" w:rsidRPr="00B43DE0" w:rsidRDefault="003421F1" w:rsidP="003421F1">
      <w:pPr>
        <w:pStyle w:val="FootnoteText"/>
        <w:spacing w:line="240" w:lineRule="auto"/>
        <w:ind w:left="0"/>
        <w:jc w:val="both"/>
        <w:rPr>
          <w:rFonts w:asciiTheme="minorHAnsi" w:hAnsiTheme="minorHAnsi" w:cstheme="minorHAnsi"/>
          <w:color w:val="auto"/>
          <w:sz w:val="18"/>
          <w:szCs w:val="18"/>
          <w:lang w:val="sl-SI"/>
        </w:rPr>
      </w:pPr>
      <w:r w:rsidRPr="00B43DE0">
        <w:rPr>
          <w:rStyle w:val="FootnoteReference"/>
          <w:rFonts w:asciiTheme="minorHAnsi" w:hAnsiTheme="minorHAnsi" w:cstheme="minorHAnsi"/>
          <w:color w:val="auto"/>
          <w:sz w:val="18"/>
          <w:szCs w:val="18"/>
        </w:rPr>
        <w:footnoteRef/>
      </w:r>
      <w:r w:rsidRPr="00B43DE0">
        <w:rPr>
          <w:rFonts w:asciiTheme="minorHAnsi" w:hAnsiTheme="minorHAnsi" w:cstheme="minorHAnsi"/>
          <w:color w:val="auto"/>
          <w:sz w:val="18"/>
          <w:szCs w:val="18"/>
          <w:lang w:val="sl-SI"/>
        </w:rPr>
        <w:t xml:space="preserve"> </w:t>
      </w:r>
      <w:r w:rsidRPr="00B43DE0">
        <w:rPr>
          <w:rFonts w:asciiTheme="minorHAnsi" w:hAnsiTheme="minorHAnsi" w:cstheme="minorHAnsi"/>
          <w:color w:val="auto"/>
          <w:sz w:val="18"/>
          <w:szCs w:val="18"/>
          <w:lang w:val="sl-SI"/>
        </w:rPr>
        <w:t>Razpoložljiva dvostranska razvojna pomoč je dvostranska razvojna pomoč brez administrativnih stroškov.</w:t>
      </w:r>
    </w:p>
  </w:footnote>
  <w:footnote w:id="5">
    <w:p w14:paraId="37F094E1" w14:textId="77777777" w:rsidR="003421F1" w:rsidRPr="00B43DE0" w:rsidRDefault="003421F1" w:rsidP="003421F1">
      <w:pPr>
        <w:pStyle w:val="FootnoteText"/>
        <w:spacing w:line="240" w:lineRule="auto"/>
        <w:ind w:left="0"/>
        <w:jc w:val="both"/>
        <w:rPr>
          <w:rStyle w:val="FootnoteReference"/>
          <w:rFonts w:asciiTheme="minorHAnsi" w:hAnsiTheme="minorHAnsi" w:cstheme="minorHAnsi"/>
          <w:color w:val="auto"/>
          <w:sz w:val="18"/>
          <w:szCs w:val="18"/>
        </w:rPr>
      </w:pPr>
      <w:r w:rsidRPr="00B43DE0">
        <w:rPr>
          <w:rStyle w:val="FootnoteReference"/>
          <w:rFonts w:asciiTheme="minorHAnsi" w:hAnsiTheme="minorHAnsi" w:cstheme="minorHAnsi"/>
          <w:color w:val="auto"/>
          <w:sz w:val="18"/>
          <w:szCs w:val="18"/>
        </w:rPr>
        <w:footnoteRef/>
      </w:r>
      <w:r w:rsidRPr="00B43DE0">
        <w:rPr>
          <w:rStyle w:val="FootnoteReference"/>
          <w:rFonts w:asciiTheme="minorHAnsi" w:hAnsiTheme="minorHAnsi" w:cstheme="minorHAnsi"/>
          <w:color w:val="auto"/>
          <w:sz w:val="18"/>
          <w:szCs w:val="18"/>
        </w:rPr>
        <w:t xml:space="preserve"> »</w:t>
      </w:r>
      <w:r w:rsidRPr="00B43DE0">
        <w:rPr>
          <w:rFonts w:asciiTheme="minorHAnsi" w:eastAsia="Calibri" w:hAnsiTheme="minorHAnsi" w:cstheme="minorHAnsi"/>
          <w:color w:val="auto"/>
          <w:sz w:val="18"/>
          <w:szCs w:val="18"/>
          <w:lang w:val="sl-SI" w:eastAsia="en-US"/>
        </w:rPr>
        <w:t xml:space="preserve">Žito iz Ukrajine« je humanitarni prehranski program, za katerega je 26. novembra 2022 dal pobudo ukrajinski predsednik </w:t>
      </w:r>
      <w:proofErr w:type="spellStart"/>
      <w:r w:rsidRPr="00B43DE0">
        <w:rPr>
          <w:rFonts w:asciiTheme="minorHAnsi" w:eastAsia="Calibri" w:hAnsiTheme="minorHAnsi" w:cstheme="minorHAnsi"/>
          <w:color w:val="auto"/>
          <w:sz w:val="18"/>
          <w:szCs w:val="18"/>
          <w:lang w:val="sl-SI" w:eastAsia="en-US"/>
        </w:rPr>
        <w:t>Volodimir</w:t>
      </w:r>
      <w:proofErr w:type="spellEnd"/>
      <w:r w:rsidRPr="00B43DE0">
        <w:rPr>
          <w:rFonts w:asciiTheme="minorHAnsi" w:eastAsia="Calibri" w:hAnsiTheme="minorHAnsi" w:cstheme="minorHAnsi"/>
          <w:color w:val="auto"/>
          <w:sz w:val="18"/>
          <w:szCs w:val="18"/>
          <w:lang w:val="sl-SI" w:eastAsia="en-US"/>
        </w:rPr>
        <w:t xml:space="preserve"> </w:t>
      </w:r>
      <w:proofErr w:type="spellStart"/>
      <w:r w:rsidRPr="00B43DE0">
        <w:rPr>
          <w:rFonts w:asciiTheme="minorHAnsi" w:eastAsia="Calibri" w:hAnsiTheme="minorHAnsi" w:cstheme="minorHAnsi"/>
          <w:color w:val="auto"/>
          <w:sz w:val="18"/>
          <w:szCs w:val="18"/>
          <w:lang w:val="sl-SI" w:eastAsia="en-US"/>
        </w:rPr>
        <w:t>Zelenski</w:t>
      </w:r>
      <w:proofErr w:type="spellEnd"/>
      <w:r w:rsidRPr="00B43DE0">
        <w:rPr>
          <w:rFonts w:asciiTheme="minorHAnsi" w:eastAsia="Calibri" w:hAnsiTheme="minorHAnsi" w:cstheme="minorHAnsi"/>
          <w:color w:val="auto"/>
          <w:sz w:val="18"/>
          <w:szCs w:val="18"/>
          <w:lang w:val="sl-SI" w:eastAsia="en-US"/>
        </w:rPr>
        <w:t>. Skladno s pobudo donatorice financirajo prevoz žita, ki ga podari Ukrajina, do držav Afrike in Azije, ki jih je prehranska kriza najbolj prizadela.</w:t>
      </w:r>
    </w:p>
  </w:footnote>
  <w:footnote w:id="6">
    <w:p w14:paraId="238C53A2" w14:textId="4612037A" w:rsidR="003421F1" w:rsidRPr="00B43DE0" w:rsidRDefault="003421F1" w:rsidP="003421F1">
      <w:pPr>
        <w:pStyle w:val="FootnoteText"/>
        <w:ind w:left="0"/>
        <w:rPr>
          <w:rFonts w:asciiTheme="minorHAnsi" w:hAnsiTheme="minorHAnsi" w:cstheme="minorHAnsi"/>
          <w:sz w:val="18"/>
          <w:szCs w:val="18"/>
          <w:lang w:val="sl-SI"/>
        </w:rPr>
      </w:pPr>
      <w:r w:rsidRPr="00B43DE0">
        <w:rPr>
          <w:rStyle w:val="FootnoteReference"/>
          <w:rFonts w:asciiTheme="minorHAnsi" w:hAnsiTheme="minorHAnsi" w:cstheme="minorHAnsi"/>
          <w:sz w:val="18"/>
          <w:szCs w:val="18"/>
        </w:rPr>
        <w:footnoteRef/>
      </w:r>
      <w:r w:rsidRPr="00B43DE0">
        <w:rPr>
          <w:rFonts w:asciiTheme="minorHAnsi" w:hAnsiTheme="minorHAnsi" w:cstheme="minorHAnsi"/>
          <w:sz w:val="18"/>
          <w:szCs w:val="18"/>
          <w:lang w:val="sl-SI"/>
        </w:rPr>
        <w:t xml:space="preserve"> </w:t>
      </w:r>
      <w:hyperlink r:id="rId1" w:history="1">
        <w:r w:rsidRPr="005E6AF2">
          <w:rPr>
            <w:rStyle w:val="Hyperlink"/>
            <w:rFonts w:asciiTheme="minorHAnsi" w:hAnsiTheme="minorHAnsi" w:cstheme="minorHAnsi"/>
            <w:sz w:val="18"/>
            <w:szCs w:val="18"/>
            <w:lang w:val="sl-SI"/>
          </w:rPr>
          <w:t>https://www.oecd.org/en/publications/oecd-development-co-operation-peer-reviews-slovenia-2024_79368eab-en.html</w:t>
        </w:r>
      </w:hyperlink>
      <w:r w:rsidRPr="00B43DE0">
        <w:rPr>
          <w:rStyle w:val="Hyperlink"/>
          <w:rFonts w:asciiTheme="minorHAnsi" w:hAnsiTheme="minorHAnsi" w:cstheme="minorHAnsi"/>
          <w:sz w:val="18"/>
          <w:szCs w:val="18"/>
          <w:lang w:val="sl-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FE78" w14:textId="77777777" w:rsidR="00BF6EB5" w:rsidRPr="00110CBD" w:rsidRDefault="00BF6EB5" w:rsidP="007D75CF">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BF6EB5" w:rsidRPr="008F3500" w14:paraId="1A40A3B7" w14:textId="77777777">
      <w:trPr>
        <w:cantSplit/>
        <w:trHeight w:hRule="exact" w:val="847"/>
      </w:trPr>
      <w:tc>
        <w:tcPr>
          <w:tcW w:w="567" w:type="dxa"/>
        </w:tcPr>
        <w:p w14:paraId="09BFB2F2" w14:textId="77777777" w:rsidR="00BF6EB5" w:rsidRPr="008F3500" w:rsidRDefault="00BF6EB5"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4294967295" distB="4294967295" distL="114300" distR="114300" simplePos="0" relativeHeight="251657216" behindDoc="0" locked="0" layoutInCell="0" allowOverlap="1" wp14:anchorId="20545643" wp14:editId="5E7E1AAF">
                    <wp:simplePos x="0" y="0"/>
                    <wp:positionH relativeFrom="column">
                      <wp:posOffset>29845</wp:posOffset>
                    </wp:positionH>
                    <wp:positionV relativeFrom="page">
                      <wp:posOffset>3600449</wp:posOffset>
                    </wp:positionV>
                    <wp:extent cx="215900" cy="0"/>
                    <wp:effectExtent l="0" t="0" r="1270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6D2A759"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" o:allowincell="f" strokecolor="#529dba" strokeweight=".5pt">
                    <w10:wrap anchory="page"/>
                  </v:shape>
                </w:pict>
              </mc:Fallback>
            </mc:AlternateContent>
          </w:r>
        </w:p>
      </w:tc>
    </w:tr>
  </w:tbl>
  <w:p w14:paraId="3CD566FE" w14:textId="39F05BB4" w:rsidR="00BF6EB5" w:rsidRPr="008F3500" w:rsidRDefault="00BF6EB5" w:rsidP="00CE5238">
    <w:pPr>
      <w:pStyle w:val="Header"/>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1" locked="0" layoutInCell="1" allowOverlap="1" wp14:anchorId="7A8CD07F" wp14:editId="7FFF2175">
          <wp:simplePos x="0" y="0"/>
          <wp:positionH relativeFrom="page">
            <wp:posOffset>476250</wp:posOffset>
          </wp:positionH>
          <wp:positionV relativeFrom="page">
            <wp:posOffset>400050</wp:posOffset>
          </wp:positionV>
          <wp:extent cx="2491200" cy="532800"/>
          <wp:effectExtent l="0" t="0" r="444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1200" cy="532800"/>
                  </a:xfrm>
                  <a:prstGeom prst="rect">
                    <a:avLst/>
                  </a:prstGeom>
                  <a:noFill/>
                </pic:spPr>
              </pic:pic>
            </a:graphicData>
          </a:graphic>
          <wp14:sizeRelH relativeFrom="margin">
            <wp14:pctWidth>0</wp14:pctWidth>
          </wp14:sizeRelH>
          <wp14:sizeRelV relativeFrom="margin">
            <wp14:pctHeight>0</wp14:pctHeight>
          </wp14:sizeRelV>
        </wp:anchor>
      </w:drawing>
    </w:r>
    <w:r>
      <w:rPr>
        <w:rFonts w:cs="Arial"/>
        <w:sz w:val="16"/>
        <w:lang w:val="sl-SI"/>
      </w:rPr>
      <w:t>Prešernova cesta 25</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01 478 2000</w:t>
    </w:r>
  </w:p>
  <w:p w14:paraId="61DCEB00" w14:textId="77777777" w:rsidR="00BF6EB5" w:rsidRPr="008F3500" w:rsidRDefault="00BF6EB5"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01 478 2340, 01 478 2341</w:t>
    </w:r>
    <w:r w:rsidRPr="008F3500">
      <w:rPr>
        <w:rFonts w:cs="Arial"/>
        <w:sz w:val="16"/>
        <w:lang w:val="sl-SI"/>
      </w:rPr>
      <w:t xml:space="preserve"> </w:t>
    </w:r>
  </w:p>
  <w:p w14:paraId="733038D6" w14:textId="77777777" w:rsidR="00BF6EB5" w:rsidRPr="008F3500" w:rsidRDefault="00BF6EB5"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gp.mzz@gov.si</w:t>
    </w:r>
  </w:p>
  <w:p w14:paraId="1C0161C8" w14:textId="77777777" w:rsidR="00BF6EB5" w:rsidRPr="008F3500" w:rsidRDefault="00BF6EB5" w:rsidP="00A770A6">
    <w:pPr>
      <w:pStyle w:val="Header"/>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www.mzz.gov.si</w:t>
    </w:r>
  </w:p>
  <w:p w14:paraId="7C10E8D4" w14:textId="77777777" w:rsidR="00BF6EB5" w:rsidRPr="008F3500" w:rsidRDefault="00BF6EB5" w:rsidP="007D75CF">
    <w:pPr>
      <w:pStyle w:val="Header"/>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0E8653AD"/>
    <w:multiLevelType w:val="hybridMultilevel"/>
    <w:tmpl w:val="6B96D7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9" w15:restartNumberingAfterBreak="0">
    <w:nsid w:val="1FE01185"/>
    <w:multiLevelType w:val="hybridMultilevel"/>
    <w:tmpl w:val="B7DC04C4"/>
    <w:lvl w:ilvl="0" w:tplc="8D50DF1C">
      <w:start w:val="2"/>
      <w:numFmt w:val="bullet"/>
      <w:lvlText w:val="-"/>
      <w:lvlJc w:val="left"/>
      <w:pPr>
        <w:ind w:left="720"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0E4229"/>
    <w:multiLevelType w:val="hybridMultilevel"/>
    <w:tmpl w:val="CDBAF37A"/>
    <w:lvl w:ilvl="0" w:tplc="76AC1A70">
      <w:start w:val="49"/>
      <w:numFmt w:val="bullet"/>
      <w:lvlText w:val=""/>
      <w:lvlJc w:val="left"/>
      <w:pPr>
        <w:ind w:left="720" w:hanging="360"/>
      </w:pPr>
      <w:rPr>
        <w:rFonts w:ascii="Symbol" w:eastAsia="Times New Roman" w:hAnsi="Symbol"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02D5BD1"/>
    <w:multiLevelType w:val="hybridMultilevel"/>
    <w:tmpl w:val="1B609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3FD63B8D"/>
    <w:multiLevelType w:val="hybridMultilevel"/>
    <w:tmpl w:val="02F856E6"/>
    <w:lvl w:ilvl="0" w:tplc="40DA57F8">
      <w:start w:val="3"/>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08A270B"/>
    <w:multiLevelType w:val="hybridMultilevel"/>
    <w:tmpl w:val="5BB468C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4D94783C"/>
    <w:multiLevelType w:val="multilevel"/>
    <w:tmpl w:val="E75A1B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4F1775BE"/>
    <w:multiLevelType w:val="hybridMultilevel"/>
    <w:tmpl w:val="220211E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241FEA"/>
    <w:multiLevelType w:val="hybridMultilevel"/>
    <w:tmpl w:val="19FC28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66855C3A"/>
    <w:multiLevelType w:val="hybridMultilevel"/>
    <w:tmpl w:val="8FF07E9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7C300D9"/>
    <w:multiLevelType w:val="hybridMultilevel"/>
    <w:tmpl w:val="A2066498"/>
    <w:lvl w:ilvl="0" w:tplc="76AC1A70">
      <w:start w:val="49"/>
      <w:numFmt w:val="bullet"/>
      <w:lvlText w:val=""/>
      <w:lvlJc w:val="left"/>
      <w:pPr>
        <w:ind w:left="720" w:hanging="360"/>
      </w:pPr>
      <w:rPr>
        <w:rFonts w:ascii="Symbol" w:eastAsia="Times New Roman" w:hAnsi="Symbol" w:cs="Times New Roman" w:hint="default"/>
      </w:rPr>
    </w:lvl>
    <w:lvl w:ilvl="1" w:tplc="AEE2B02C">
      <w:numFmt w:val="bullet"/>
      <w:lvlText w:val="-"/>
      <w:lvlJc w:val="left"/>
      <w:pPr>
        <w:ind w:left="1440" w:hanging="360"/>
      </w:pPr>
      <w:rPr>
        <w:rFonts w:ascii="Arial" w:eastAsia="Times New Roman" w:hAnsi="Arial" w:cs="Arial" w:hint="default"/>
        <w:b w:val="0"/>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19"/>
  </w:num>
  <w:num w:numId="4">
    <w:abstractNumId w:val="1"/>
  </w:num>
  <w:num w:numId="5">
    <w:abstractNumId w:val="6"/>
  </w:num>
  <w:num w:numId="6">
    <w:abstractNumId w:val="7"/>
  </w:num>
  <w:num w:numId="7">
    <w:abstractNumId w:val="0"/>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num>
  <w:num w:numId="11">
    <w:abstractNumId w:val="24"/>
  </w:num>
  <w:num w:numId="12">
    <w:abstractNumId w:val="15"/>
  </w:num>
  <w:num w:numId="13">
    <w:abstractNumId w:val="4"/>
  </w:num>
  <w:num w:numId="14">
    <w:abstractNumId w:val="26"/>
  </w:num>
  <w:num w:numId="15">
    <w:abstractNumId w:val="8"/>
  </w:num>
  <w:num w:numId="16">
    <w:abstractNumId w:val="2"/>
  </w:num>
  <w:num w:numId="17">
    <w:abstractNumId w:val="23"/>
  </w:num>
  <w:num w:numId="18">
    <w:abstractNumId w:val="5"/>
  </w:num>
  <w:num w:numId="19">
    <w:abstractNumId w:val="27"/>
  </w:num>
  <w:num w:numId="20">
    <w:abstractNumId w:val="25"/>
  </w:num>
  <w:num w:numId="21">
    <w:abstractNumId w:val="30"/>
  </w:num>
  <w:num w:numId="22">
    <w:abstractNumId w:val="31"/>
  </w:num>
  <w:num w:numId="23">
    <w:abstractNumId w:val="18"/>
  </w:num>
  <w:num w:numId="24">
    <w:abstractNumId w:val="11"/>
  </w:num>
  <w:num w:numId="25">
    <w:abstractNumId w:val="22"/>
  </w:num>
  <w:num w:numId="26">
    <w:abstractNumId w:val="29"/>
  </w:num>
  <w:num w:numId="27">
    <w:abstractNumId w:val="10"/>
  </w:num>
  <w:num w:numId="28">
    <w:abstractNumId w:val="21"/>
  </w:num>
  <w:num w:numId="29">
    <w:abstractNumId w:val="16"/>
  </w:num>
  <w:num w:numId="30">
    <w:abstractNumId w:val="9"/>
  </w:num>
  <w:num w:numId="31">
    <w:abstractNumId w:val="13"/>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ECA"/>
    <w:rsid w:val="00001B18"/>
    <w:rsid w:val="000050DE"/>
    <w:rsid w:val="00020B93"/>
    <w:rsid w:val="00023A88"/>
    <w:rsid w:val="0003753F"/>
    <w:rsid w:val="00040BB0"/>
    <w:rsid w:val="00076C70"/>
    <w:rsid w:val="00085735"/>
    <w:rsid w:val="000873EA"/>
    <w:rsid w:val="0009206A"/>
    <w:rsid w:val="00096ECA"/>
    <w:rsid w:val="000A7238"/>
    <w:rsid w:val="000B12D9"/>
    <w:rsid w:val="000D5938"/>
    <w:rsid w:val="000E456E"/>
    <w:rsid w:val="00101022"/>
    <w:rsid w:val="001033B9"/>
    <w:rsid w:val="00110C3E"/>
    <w:rsid w:val="001267B5"/>
    <w:rsid w:val="001357B2"/>
    <w:rsid w:val="00163A30"/>
    <w:rsid w:val="0017478F"/>
    <w:rsid w:val="00180A4E"/>
    <w:rsid w:val="001945E0"/>
    <w:rsid w:val="001A236D"/>
    <w:rsid w:val="001A29A8"/>
    <w:rsid w:val="001C270F"/>
    <w:rsid w:val="001C29FE"/>
    <w:rsid w:val="001D1F3B"/>
    <w:rsid w:val="00202A77"/>
    <w:rsid w:val="00226842"/>
    <w:rsid w:val="0026442F"/>
    <w:rsid w:val="00271CE5"/>
    <w:rsid w:val="00282020"/>
    <w:rsid w:val="00287316"/>
    <w:rsid w:val="00297CB5"/>
    <w:rsid w:val="002A07B6"/>
    <w:rsid w:val="002A2B69"/>
    <w:rsid w:val="002A3B3D"/>
    <w:rsid w:val="002E716B"/>
    <w:rsid w:val="00320B02"/>
    <w:rsid w:val="003421F1"/>
    <w:rsid w:val="0035685D"/>
    <w:rsid w:val="003636BF"/>
    <w:rsid w:val="00371442"/>
    <w:rsid w:val="00371AD9"/>
    <w:rsid w:val="003845B4"/>
    <w:rsid w:val="003867D6"/>
    <w:rsid w:val="00387B1A"/>
    <w:rsid w:val="0039007E"/>
    <w:rsid w:val="0039140C"/>
    <w:rsid w:val="00395CCC"/>
    <w:rsid w:val="003A53F9"/>
    <w:rsid w:val="003B490A"/>
    <w:rsid w:val="003C25AC"/>
    <w:rsid w:val="003C5EE5"/>
    <w:rsid w:val="003E1C74"/>
    <w:rsid w:val="003E4AA9"/>
    <w:rsid w:val="004056B6"/>
    <w:rsid w:val="004101BC"/>
    <w:rsid w:val="00437EC4"/>
    <w:rsid w:val="00440355"/>
    <w:rsid w:val="00447F70"/>
    <w:rsid w:val="004657EE"/>
    <w:rsid w:val="00476DAB"/>
    <w:rsid w:val="0048483F"/>
    <w:rsid w:val="004A7484"/>
    <w:rsid w:val="004B2031"/>
    <w:rsid w:val="004C60EC"/>
    <w:rsid w:val="004C780B"/>
    <w:rsid w:val="00500548"/>
    <w:rsid w:val="0051680F"/>
    <w:rsid w:val="00526246"/>
    <w:rsid w:val="00534FDC"/>
    <w:rsid w:val="00535452"/>
    <w:rsid w:val="005511C1"/>
    <w:rsid w:val="00564340"/>
    <w:rsid w:val="00567106"/>
    <w:rsid w:val="005A1F60"/>
    <w:rsid w:val="005A652C"/>
    <w:rsid w:val="005C6AAD"/>
    <w:rsid w:val="005D4391"/>
    <w:rsid w:val="005E1D3C"/>
    <w:rsid w:val="005E511D"/>
    <w:rsid w:val="005E7FA1"/>
    <w:rsid w:val="0060681D"/>
    <w:rsid w:val="006128F0"/>
    <w:rsid w:val="00615E8A"/>
    <w:rsid w:val="00625AE6"/>
    <w:rsid w:val="0062630A"/>
    <w:rsid w:val="00632253"/>
    <w:rsid w:val="0063335B"/>
    <w:rsid w:val="00642714"/>
    <w:rsid w:val="00643545"/>
    <w:rsid w:val="006455CE"/>
    <w:rsid w:val="00655841"/>
    <w:rsid w:val="006661CF"/>
    <w:rsid w:val="00686F8C"/>
    <w:rsid w:val="00693ADD"/>
    <w:rsid w:val="006A34C7"/>
    <w:rsid w:val="006B4D5B"/>
    <w:rsid w:val="006B63B1"/>
    <w:rsid w:val="006C0F35"/>
    <w:rsid w:val="006D1410"/>
    <w:rsid w:val="006D1E40"/>
    <w:rsid w:val="006E500D"/>
    <w:rsid w:val="006F0714"/>
    <w:rsid w:val="00701A38"/>
    <w:rsid w:val="007125BA"/>
    <w:rsid w:val="00733017"/>
    <w:rsid w:val="00737FA3"/>
    <w:rsid w:val="00766191"/>
    <w:rsid w:val="00771FD3"/>
    <w:rsid w:val="007830FE"/>
    <w:rsid w:val="00783310"/>
    <w:rsid w:val="00785ED4"/>
    <w:rsid w:val="007908F6"/>
    <w:rsid w:val="007922BB"/>
    <w:rsid w:val="007A4A6D"/>
    <w:rsid w:val="007B343E"/>
    <w:rsid w:val="007B77A9"/>
    <w:rsid w:val="007C16D7"/>
    <w:rsid w:val="007D1BCF"/>
    <w:rsid w:val="007D4501"/>
    <w:rsid w:val="007D45DD"/>
    <w:rsid w:val="007D75CF"/>
    <w:rsid w:val="007E0440"/>
    <w:rsid w:val="007E6DC5"/>
    <w:rsid w:val="00804E0C"/>
    <w:rsid w:val="00814854"/>
    <w:rsid w:val="008337E5"/>
    <w:rsid w:val="008479BF"/>
    <w:rsid w:val="0085505C"/>
    <w:rsid w:val="00856308"/>
    <w:rsid w:val="008601A1"/>
    <w:rsid w:val="0086141F"/>
    <w:rsid w:val="0088043C"/>
    <w:rsid w:val="00884889"/>
    <w:rsid w:val="008906C9"/>
    <w:rsid w:val="008A4FE3"/>
    <w:rsid w:val="008C1702"/>
    <w:rsid w:val="008C5738"/>
    <w:rsid w:val="008D04F0"/>
    <w:rsid w:val="008E2931"/>
    <w:rsid w:val="008E596E"/>
    <w:rsid w:val="008F3500"/>
    <w:rsid w:val="00903928"/>
    <w:rsid w:val="00913707"/>
    <w:rsid w:val="00924E3C"/>
    <w:rsid w:val="009262FE"/>
    <w:rsid w:val="00956B8F"/>
    <w:rsid w:val="00957095"/>
    <w:rsid w:val="009612BB"/>
    <w:rsid w:val="00961697"/>
    <w:rsid w:val="00973235"/>
    <w:rsid w:val="00980CBD"/>
    <w:rsid w:val="00990EF8"/>
    <w:rsid w:val="009A6758"/>
    <w:rsid w:val="009C740A"/>
    <w:rsid w:val="009D12EF"/>
    <w:rsid w:val="009F2605"/>
    <w:rsid w:val="00A001F9"/>
    <w:rsid w:val="00A014A9"/>
    <w:rsid w:val="00A044FD"/>
    <w:rsid w:val="00A125C5"/>
    <w:rsid w:val="00A2451C"/>
    <w:rsid w:val="00A32F24"/>
    <w:rsid w:val="00A35932"/>
    <w:rsid w:val="00A65953"/>
    <w:rsid w:val="00A65EE7"/>
    <w:rsid w:val="00A70133"/>
    <w:rsid w:val="00A770A6"/>
    <w:rsid w:val="00A813B1"/>
    <w:rsid w:val="00AA2691"/>
    <w:rsid w:val="00AB36C4"/>
    <w:rsid w:val="00AC32B2"/>
    <w:rsid w:val="00AE20D0"/>
    <w:rsid w:val="00B01A4A"/>
    <w:rsid w:val="00B04461"/>
    <w:rsid w:val="00B17141"/>
    <w:rsid w:val="00B31575"/>
    <w:rsid w:val="00B406A7"/>
    <w:rsid w:val="00B541F9"/>
    <w:rsid w:val="00B5513A"/>
    <w:rsid w:val="00B55BC7"/>
    <w:rsid w:val="00B80B1D"/>
    <w:rsid w:val="00B8547D"/>
    <w:rsid w:val="00B876EB"/>
    <w:rsid w:val="00B90F44"/>
    <w:rsid w:val="00BB2A27"/>
    <w:rsid w:val="00BC27B2"/>
    <w:rsid w:val="00BE1017"/>
    <w:rsid w:val="00BE6BA2"/>
    <w:rsid w:val="00BF2D62"/>
    <w:rsid w:val="00BF609A"/>
    <w:rsid w:val="00BF6EB5"/>
    <w:rsid w:val="00C11C39"/>
    <w:rsid w:val="00C250D5"/>
    <w:rsid w:val="00C35666"/>
    <w:rsid w:val="00C70576"/>
    <w:rsid w:val="00C744F8"/>
    <w:rsid w:val="00C92898"/>
    <w:rsid w:val="00C9363E"/>
    <w:rsid w:val="00CA4340"/>
    <w:rsid w:val="00CC39A2"/>
    <w:rsid w:val="00CD0E7B"/>
    <w:rsid w:val="00CD55B7"/>
    <w:rsid w:val="00CD771F"/>
    <w:rsid w:val="00CE1C41"/>
    <w:rsid w:val="00CE2F65"/>
    <w:rsid w:val="00CE5238"/>
    <w:rsid w:val="00CE7514"/>
    <w:rsid w:val="00D04A03"/>
    <w:rsid w:val="00D1272A"/>
    <w:rsid w:val="00D14841"/>
    <w:rsid w:val="00D173C7"/>
    <w:rsid w:val="00D2064F"/>
    <w:rsid w:val="00D212F7"/>
    <w:rsid w:val="00D248DE"/>
    <w:rsid w:val="00D44F46"/>
    <w:rsid w:val="00D8542D"/>
    <w:rsid w:val="00D86B3C"/>
    <w:rsid w:val="00DA4E60"/>
    <w:rsid w:val="00DC6A71"/>
    <w:rsid w:val="00DE5E99"/>
    <w:rsid w:val="00DE7384"/>
    <w:rsid w:val="00DE7E80"/>
    <w:rsid w:val="00E0357D"/>
    <w:rsid w:val="00E106FB"/>
    <w:rsid w:val="00E46FCE"/>
    <w:rsid w:val="00E47802"/>
    <w:rsid w:val="00E57693"/>
    <w:rsid w:val="00E758E2"/>
    <w:rsid w:val="00E94110"/>
    <w:rsid w:val="00EA1CDE"/>
    <w:rsid w:val="00ED1C3E"/>
    <w:rsid w:val="00EF7C81"/>
    <w:rsid w:val="00F011ED"/>
    <w:rsid w:val="00F03697"/>
    <w:rsid w:val="00F16834"/>
    <w:rsid w:val="00F172BC"/>
    <w:rsid w:val="00F240BB"/>
    <w:rsid w:val="00F25AA3"/>
    <w:rsid w:val="00F43BC8"/>
    <w:rsid w:val="00F45B17"/>
    <w:rsid w:val="00F46C3A"/>
    <w:rsid w:val="00F52F59"/>
    <w:rsid w:val="00F53F7B"/>
    <w:rsid w:val="00F57FED"/>
    <w:rsid w:val="00F6580B"/>
    <w:rsid w:val="00FE06FF"/>
    <w:rsid w:val="00FE500C"/>
    <w:rsid w:val="00FF0555"/>
    <w:rsid w:val="00FF68BC"/>
    <w:rsid w:val="00FF6B95"/>
    <w:rsid w:val="00FF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AFA975B"/>
  <w15:docId w15:val="{A57C74D6-493F-4E10-AE8D-5D1FA1AB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D9"/>
    <w:pPr>
      <w:spacing w:line="260" w:lineRule="exact"/>
    </w:pPr>
    <w:rPr>
      <w:rFonts w:ascii="Arial" w:hAnsi="Arial"/>
      <w:szCs w:val="24"/>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val="sl-SI" w:eastAsia="sl-SI"/>
    </w:rPr>
  </w:style>
  <w:style w:type="paragraph" w:styleId="Heading3">
    <w:name w:val="heading 3"/>
    <w:basedOn w:val="Normal"/>
    <w:next w:val="Normal"/>
    <w:qFormat/>
    <w:rsid w:val="00CE2F65"/>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DocumentMapChar"/>
    <w:rsid w:val="00B31575"/>
    <w:rPr>
      <w:rFonts w:ascii="Tahoma" w:hAnsi="Tahoma"/>
      <w:sz w:val="16"/>
      <w:szCs w:val="16"/>
    </w:rPr>
  </w:style>
  <w:style w:type="character" w:customStyle="1" w:styleId="DocumentMapChar">
    <w:name w:val="Document Map Char"/>
    <w:link w:val="DocumentMap"/>
    <w:rsid w:val="00B31575"/>
    <w:rPr>
      <w:rFonts w:ascii="Tahoma" w:hAnsi="Tahoma" w:cs="Tahoma"/>
      <w:sz w:val="16"/>
      <w:szCs w:val="16"/>
      <w:lang w:val="en-US" w:eastAsia="en-US"/>
    </w:rPr>
  </w:style>
  <w:style w:type="table" w:styleId="TableGrid">
    <w:name w:val="Table Grid"/>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ja-JP"/>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customStyle="1" w:styleId="Vrstapredpisa">
    <w:name w:val="Vrsta predpisa"/>
    <w:basedOn w:val="Normal"/>
    <w:link w:val="VrstapredpisaZnak"/>
    <w:qFormat/>
    <w:rsid w:val="00371AD9"/>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371AD9"/>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371AD9"/>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371AD9"/>
    <w:rPr>
      <w:rFonts w:ascii="Arial" w:hAnsi="Arial" w:cs="Arial"/>
      <w:b/>
      <w:sz w:val="22"/>
      <w:szCs w:val="22"/>
      <w:lang w:val="sl-SI" w:eastAsia="sl-SI" w:bidi="ar-SA"/>
    </w:rPr>
  </w:style>
  <w:style w:type="paragraph" w:customStyle="1" w:styleId="Poglavje">
    <w:name w:val="Poglavje"/>
    <w:basedOn w:val="Normal"/>
    <w:qFormat/>
    <w:rsid w:val="00371AD9"/>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ormal"/>
    <w:link w:val="NeotevilenodstavekZnak"/>
    <w:qFormat/>
    <w:rsid w:val="00371AD9"/>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371AD9"/>
    <w:rPr>
      <w:rFonts w:ascii="Arial" w:hAnsi="Arial" w:cs="Arial"/>
      <w:sz w:val="22"/>
      <w:szCs w:val="22"/>
      <w:lang w:val="sl-SI" w:eastAsia="sl-SI" w:bidi="ar-SA"/>
    </w:rPr>
  </w:style>
  <w:style w:type="paragraph" w:customStyle="1" w:styleId="Oddelek">
    <w:name w:val="Oddelek"/>
    <w:basedOn w:val="Normal"/>
    <w:link w:val="OddelekZnak1"/>
    <w:qFormat/>
    <w:rsid w:val="00371AD9"/>
    <w:pPr>
      <w:numPr>
        <w:numId w:val="10"/>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371AD9"/>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371AD9"/>
    <w:pPr>
      <w:overflowPunct w:val="0"/>
      <w:autoSpaceDE w:val="0"/>
      <w:autoSpaceDN w:val="0"/>
      <w:adjustRightInd w:val="0"/>
      <w:spacing w:line="200" w:lineRule="exact"/>
      <w:jc w:val="both"/>
      <w:textAlignment w:val="baseline"/>
    </w:pPr>
    <w:rPr>
      <w:rFonts w:cs="Arial"/>
      <w:sz w:val="22"/>
      <w:szCs w:val="22"/>
      <w:lang w:val="sl-SI" w:eastAsia="sl-SI"/>
    </w:rPr>
  </w:style>
  <w:style w:type="character" w:customStyle="1" w:styleId="AlineazaodstavkomZnak">
    <w:name w:val="Alinea za odstavkom Znak"/>
    <w:link w:val="Alineazaodstavkom"/>
    <w:rsid w:val="00371AD9"/>
    <w:rPr>
      <w:rFonts w:ascii="Arial" w:hAnsi="Arial" w:cs="Arial"/>
      <w:sz w:val="22"/>
      <w:szCs w:val="22"/>
      <w:lang w:val="sl-SI" w:eastAsia="sl-SI" w:bidi="ar-SA"/>
    </w:rPr>
  </w:style>
  <w:style w:type="paragraph" w:customStyle="1" w:styleId="Odstavekseznama1">
    <w:name w:val="Odstavek seznama1"/>
    <w:basedOn w:val="Normal"/>
    <w:qFormat/>
    <w:rsid w:val="00371AD9"/>
    <w:pPr>
      <w:spacing w:line="240" w:lineRule="auto"/>
      <w:ind w:left="720"/>
      <w:contextualSpacing/>
    </w:pPr>
    <w:rPr>
      <w:rFonts w:ascii="Times New Roman" w:hAnsi="Times New Roman"/>
      <w:sz w:val="24"/>
      <w:lang w:val="sl-SI" w:eastAsia="sl-SI"/>
    </w:rPr>
  </w:style>
  <w:style w:type="paragraph" w:styleId="BodyTextIndent">
    <w:name w:val="Body Text Indent"/>
    <w:basedOn w:val="Normal"/>
    <w:rsid w:val="00CE2F65"/>
    <w:pPr>
      <w:tabs>
        <w:tab w:val="left" w:pos="5812"/>
      </w:tabs>
      <w:spacing w:line="240" w:lineRule="auto"/>
      <w:ind w:left="360"/>
      <w:jc w:val="both"/>
    </w:pPr>
    <w:rPr>
      <w:rFonts w:ascii="Times New Roman" w:hAnsi="Times New Roman"/>
      <w:bCs/>
      <w:i/>
      <w:iCs/>
      <w:sz w:val="24"/>
      <w:szCs w:val="20"/>
      <w:lang w:val="sl-SI"/>
    </w:rPr>
  </w:style>
  <w:style w:type="paragraph" w:styleId="BalloonText">
    <w:name w:val="Balloon Text"/>
    <w:basedOn w:val="Normal"/>
    <w:link w:val="BalloonTextChar"/>
    <w:rsid w:val="005D4391"/>
    <w:pPr>
      <w:spacing w:line="240" w:lineRule="auto"/>
    </w:pPr>
    <w:rPr>
      <w:rFonts w:ascii="Tahoma" w:hAnsi="Tahoma"/>
      <w:sz w:val="16"/>
      <w:szCs w:val="16"/>
    </w:rPr>
  </w:style>
  <w:style w:type="character" w:customStyle="1" w:styleId="BalloonTextChar">
    <w:name w:val="Balloon Text Char"/>
    <w:link w:val="BalloonText"/>
    <w:rsid w:val="005D4391"/>
    <w:rPr>
      <w:rFonts w:ascii="Tahoma" w:hAnsi="Tahoma" w:cs="Tahoma"/>
      <w:sz w:val="16"/>
      <w:szCs w:val="16"/>
      <w:lang w:val="en-US" w:eastAsia="en-US"/>
    </w:rPr>
  </w:style>
  <w:style w:type="paragraph" w:styleId="ListParagraph">
    <w:name w:val="List Paragraph"/>
    <w:basedOn w:val="Normal"/>
    <w:uiPriority w:val="34"/>
    <w:qFormat/>
    <w:rsid w:val="00096ECA"/>
    <w:pPr>
      <w:ind w:left="708"/>
    </w:pPr>
  </w:style>
  <w:style w:type="paragraph" w:styleId="NoSpacing">
    <w:name w:val="No Spacing"/>
    <w:uiPriority w:val="1"/>
    <w:qFormat/>
    <w:rsid w:val="001C270F"/>
    <w:rPr>
      <w:rFonts w:asciiTheme="minorHAnsi" w:eastAsiaTheme="minorHAnsi" w:hAnsiTheme="minorHAnsi" w:cstheme="minorBidi"/>
      <w:sz w:val="22"/>
      <w:szCs w:val="22"/>
      <w:lang w:val="sl-SI"/>
    </w:rPr>
  </w:style>
  <w:style w:type="character" w:styleId="CommentReference">
    <w:name w:val="annotation reference"/>
    <w:basedOn w:val="DefaultParagraphFont"/>
    <w:semiHidden/>
    <w:unhideWhenUsed/>
    <w:rsid w:val="0026442F"/>
    <w:rPr>
      <w:sz w:val="16"/>
      <w:szCs w:val="16"/>
    </w:rPr>
  </w:style>
  <w:style w:type="paragraph" w:styleId="CommentText">
    <w:name w:val="annotation text"/>
    <w:basedOn w:val="Normal"/>
    <w:link w:val="CommentTextChar"/>
    <w:unhideWhenUsed/>
    <w:rsid w:val="0026442F"/>
    <w:pPr>
      <w:spacing w:line="240" w:lineRule="auto"/>
    </w:pPr>
    <w:rPr>
      <w:szCs w:val="20"/>
    </w:rPr>
  </w:style>
  <w:style w:type="character" w:customStyle="1" w:styleId="CommentTextChar">
    <w:name w:val="Comment Text Char"/>
    <w:basedOn w:val="DefaultParagraphFont"/>
    <w:link w:val="CommentText"/>
    <w:rsid w:val="0026442F"/>
    <w:rPr>
      <w:rFonts w:ascii="Arial" w:hAnsi="Arial"/>
    </w:rPr>
  </w:style>
  <w:style w:type="paragraph" w:styleId="CommentSubject">
    <w:name w:val="annotation subject"/>
    <w:basedOn w:val="CommentText"/>
    <w:next w:val="CommentText"/>
    <w:link w:val="CommentSubjectChar"/>
    <w:semiHidden/>
    <w:unhideWhenUsed/>
    <w:rsid w:val="0026442F"/>
    <w:rPr>
      <w:b/>
      <w:bCs/>
    </w:rPr>
  </w:style>
  <w:style w:type="character" w:customStyle="1" w:styleId="CommentSubjectChar">
    <w:name w:val="Comment Subject Char"/>
    <w:basedOn w:val="CommentTextChar"/>
    <w:link w:val="CommentSubject"/>
    <w:semiHidden/>
    <w:rsid w:val="0026442F"/>
    <w:rPr>
      <w:rFonts w:ascii="Arial" w:hAnsi="Arial"/>
      <w:b/>
      <w:bCs/>
    </w:rPr>
  </w:style>
  <w:style w:type="paragraph" w:styleId="FootnoteText">
    <w:name w:val="footnote text"/>
    <w:aliases w:val="single space"/>
    <w:basedOn w:val="Normal"/>
    <w:link w:val="FootnoteTextChar"/>
    <w:rsid w:val="00913707"/>
    <w:pPr>
      <w:spacing w:line="260" w:lineRule="atLeast"/>
      <w:ind w:left="2160"/>
    </w:pPr>
    <w:rPr>
      <w:color w:val="5A5A5A"/>
      <w:szCs w:val="20"/>
      <w:lang w:eastAsia="sl-SI"/>
    </w:rPr>
  </w:style>
  <w:style w:type="character" w:customStyle="1" w:styleId="FootnoteTextChar">
    <w:name w:val="Footnote Text Char"/>
    <w:aliases w:val="single space Char"/>
    <w:basedOn w:val="DefaultParagraphFont"/>
    <w:link w:val="FootnoteText"/>
    <w:rsid w:val="00913707"/>
    <w:rPr>
      <w:rFonts w:ascii="Arial" w:hAnsi="Arial"/>
      <w:color w:val="5A5A5A"/>
      <w:lang w:eastAsia="sl-SI"/>
    </w:rPr>
  </w:style>
  <w:style w:type="character" w:styleId="FootnoteReference">
    <w:name w:val="footnote reference"/>
    <w:aliases w:val="BVI fnr, BVI fnr"/>
    <w:rsid w:val="00913707"/>
    <w:rPr>
      <w:vertAlign w:val="superscript"/>
    </w:rPr>
  </w:style>
  <w:style w:type="paragraph" w:styleId="Caption">
    <w:name w:val="caption"/>
    <w:basedOn w:val="Normal"/>
    <w:next w:val="Normal"/>
    <w:link w:val="CaptionChar"/>
    <w:autoRedefine/>
    <w:uiPriority w:val="35"/>
    <w:unhideWhenUsed/>
    <w:qFormat/>
    <w:rsid w:val="00D1272A"/>
    <w:pPr>
      <w:spacing w:line="240" w:lineRule="auto"/>
      <w:jc w:val="both"/>
    </w:pPr>
    <w:rPr>
      <w:rFonts w:asciiTheme="minorHAnsi" w:eastAsia="Calibri" w:hAnsiTheme="minorHAnsi"/>
      <w:bCs/>
      <w:sz w:val="22"/>
      <w:szCs w:val="22"/>
      <w:lang w:val="sl-SI" w:eastAsia="sl-SI"/>
    </w:rPr>
  </w:style>
  <w:style w:type="character" w:customStyle="1" w:styleId="CaptionChar">
    <w:name w:val="Caption Char"/>
    <w:basedOn w:val="DefaultParagraphFont"/>
    <w:link w:val="Caption"/>
    <w:uiPriority w:val="35"/>
    <w:rsid w:val="00D1272A"/>
    <w:rPr>
      <w:rFonts w:asciiTheme="minorHAnsi" w:eastAsia="Calibri" w:hAnsiTheme="minorHAnsi"/>
      <w:bCs/>
      <w:sz w:val="22"/>
      <w:szCs w:val="22"/>
      <w:lang w:val="sl-SI" w:eastAsia="sl-SI"/>
    </w:rPr>
  </w:style>
  <w:style w:type="paragraph" w:styleId="Revision">
    <w:name w:val="Revision"/>
    <w:hidden/>
    <w:uiPriority w:val="99"/>
    <w:semiHidden/>
    <w:rsid w:val="00F03697"/>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oecd.org/en/publications/oecd-development-co-operation-peer-reviews-slovenia-2024_79368eab-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31BE-99EA-4F86-80FF-4DB2770F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16375</Characters>
  <Application>Microsoft Office Word</Application>
  <DocSecurity>0</DocSecurity>
  <Lines>136</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18996</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Polonca Mrvar</dc:creator>
  <cp:lastModifiedBy>Katka Škof</cp:lastModifiedBy>
  <cp:revision>2</cp:revision>
  <cp:lastPrinted>2024-09-23T10:07:00Z</cp:lastPrinted>
  <dcterms:created xsi:type="dcterms:W3CDTF">2025-09-22T10:36:00Z</dcterms:created>
  <dcterms:modified xsi:type="dcterms:W3CDTF">2025-09-22T10:36:00Z</dcterms:modified>
</cp:coreProperties>
</file>