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AD" w:rsidRPr="006267F4" w:rsidRDefault="006267F4" w:rsidP="00E20EAD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67F4">
        <w:rPr>
          <w:rFonts w:ascii="Arial" w:hAnsi="Arial" w:cs="Arial"/>
          <w:b/>
          <w:sz w:val="20"/>
          <w:szCs w:val="20"/>
        </w:rPr>
        <w:t>Podatki za vnos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IZJAVA O SKLADNOSTI PREDLOGA ZAKONA ALI DRUGEGA SPLOŠNEGA AKTA S PREDPISI EVROPSKE UNIJE</w:t>
      </w:r>
    </w:p>
    <w:p w:rsidR="00E20EAD" w:rsidRDefault="00E20EAD" w:rsidP="00E20EAD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1) Naslov predloga akta: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2) Skladnost predloga akta z določbami Evropskega sporazuma o pridružitvi: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 xml:space="preserve">a) navedba določb Evropskega sporazuma o pridružitvi, ki se nanašajo na </w:t>
      </w:r>
      <w:r w:rsidR="00613128">
        <w:rPr>
          <w:rFonts w:ascii="Arial" w:hAnsi="Arial" w:cs="Arial"/>
          <w:sz w:val="20"/>
          <w:szCs w:val="20"/>
        </w:rPr>
        <w:t xml:space="preserve">predloženo gradivo </w:t>
      </w:r>
    </w:p>
    <w:p w:rsidR="00613128" w:rsidRPr="00E20EAD" w:rsidRDefault="00613128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 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b) v kakšnem obsegu so izpolnjene iz sporazuma izhajajoče obveznosti,</w:t>
      </w:r>
    </w:p>
    <w:p w:rsidR="00613128" w:rsidRPr="00E20EAD" w:rsidRDefault="00613128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c) razlogi za neizpolnitev obveznosti.</w:t>
      </w:r>
    </w:p>
    <w:p w:rsidR="00613128" w:rsidRDefault="00613128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3) Skladnost predloga akta s predpisi EU:</w:t>
      </w:r>
    </w:p>
    <w:p w:rsidR="00613128" w:rsidRPr="00E20EAD" w:rsidRDefault="00613128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a) direktive oziroma drugi sekundarni viri prava EU, ki se</w:t>
      </w:r>
      <w:r>
        <w:rPr>
          <w:rFonts w:ascii="Arial" w:hAnsi="Arial" w:cs="Arial"/>
          <w:sz w:val="20"/>
          <w:szCs w:val="20"/>
        </w:rPr>
        <w:t xml:space="preserve"> </w:t>
      </w:r>
      <w:r w:rsidRPr="00E20EAD">
        <w:rPr>
          <w:rFonts w:ascii="Arial" w:hAnsi="Arial" w:cs="Arial"/>
          <w:sz w:val="20"/>
          <w:szCs w:val="20"/>
        </w:rPr>
        <w:t xml:space="preserve">nanašajo na predlog akta z navedbo usklajenosti (v </w:t>
      </w:r>
      <w:r w:rsidRPr="00A05E8A">
        <w:rPr>
          <w:rFonts w:ascii="Arial" w:hAnsi="Arial" w:cs="Arial"/>
          <w:b/>
          <w:sz w:val="20"/>
          <w:szCs w:val="20"/>
        </w:rPr>
        <w:t>celoti usklajeno</w:t>
      </w:r>
      <w:r w:rsidRPr="00E20EAD">
        <w:rPr>
          <w:rFonts w:ascii="Arial" w:hAnsi="Arial" w:cs="Arial"/>
          <w:sz w:val="20"/>
          <w:szCs w:val="20"/>
        </w:rPr>
        <w:t>, delno usklajeno, neuskla</w:t>
      </w:r>
      <w:r w:rsidR="00613128">
        <w:rPr>
          <w:rFonts w:ascii="Arial" w:hAnsi="Arial" w:cs="Arial"/>
          <w:sz w:val="20"/>
          <w:szCs w:val="20"/>
        </w:rPr>
        <w:t>jeno)</w:t>
      </w:r>
    </w:p>
    <w:p w:rsidR="00080E03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13128" w:rsidRDefault="00080E03" w:rsidP="00E20EAD">
      <w:pPr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F523A3">
        <w:rPr>
          <w:rFonts w:ascii="Arial" w:hAnsi="Arial" w:cs="Arial"/>
          <w:sz w:val="20"/>
        </w:rPr>
        <w:t>Direktiva 2014/55/EU Evropskega parlamenta in Sveta z dne 16. aprila 2014 o izdajanju elektronskih računov pri javnem naročanju (UL L št. 133 z dne 6. 5. 2014</w:t>
      </w:r>
      <w:r>
        <w:rPr>
          <w:rFonts w:ascii="Arial" w:hAnsi="Arial" w:cs="Arial"/>
          <w:sz w:val="20"/>
        </w:rPr>
        <w:t>);</w:t>
      </w:r>
    </w:p>
    <w:p w:rsidR="00080E03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- točka</w:t>
      </w:r>
      <w:r w:rsidRPr="00F523A3">
        <w:rPr>
          <w:rFonts w:ascii="Arial" w:hAnsi="Arial" w:cs="Arial"/>
          <w:sz w:val="20"/>
        </w:rPr>
        <w:t xml:space="preserve"> »f« prvega odstavka 1. člena </w:t>
      </w:r>
      <w:r w:rsidRPr="00F523A3">
        <w:rPr>
          <w:rFonts w:ascii="Arial" w:hAnsi="Arial" w:cs="Arial"/>
          <w:sz w:val="20"/>
          <w:shd w:val="clear" w:color="auto" w:fill="FFFFFF"/>
        </w:rPr>
        <w:t>Direktive (EU) 2015/2366 Evropskega parlamenta in Sveta z dne 25. novembra 2015 o plačilnih storitvah na notranjem trgu, spremembah direktiv 2002/65/ES, 2009/110/ES ter 2013/36/EU in Uredbe (EU) št. 1093/2010 ter razveljavitvi Direktive 2007/64/ES (UL L št.</w:t>
      </w:r>
      <w:r>
        <w:rPr>
          <w:rFonts w:ascii="Arial" w:hAnsi="Arial" w:cs="Arial"/>
          <w:sz w:val="20"/>
          <w:shd w:val="clear" w:color="auto" w:fill="FFFFFF"/>
        </w:rPr>
        <w:t xml:space="preserve"> 337 z dne 23. 12. 2015)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b) ali je predlog akta u</w:t>
      </w:r>
      <w:r w:rsidR="00613128">
        <w:rPr>
          <w:rFonts w:ascii="Arial" w:hAnsi="Arial" w:cs="Arial"/>
          <w:sz w:val="20"/>
          <w:szCs w:val="20"/>
        </w:rPr>
        <w:t>sklajen z drugimi viri prava EU. /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c) razlogi za delno usklajenost oziroma neusklajenost.</w:t>
      </w:r>
      <w:r w:rsidR="00613128">
        <w:rPr>
          <w:rFonts w:ascii="Arial" w:hAnsi="Arial" w:cs="Arial"/>
          <w:sz w:val="20"/>
          <w:szCs w:val="20"/>
        </w:rPr>
        <w:t>/</w:t>
      </w: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4) Navedba roka predvidene popolne uskladitve akta z navedenimi pravnimi viri EU (leto)</w:t>
      </w:r>
    </w:p>
    <w:p w:rsidR="00080E03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5) Ali so navedeni pravni viri EU prevedeni v slovenščino?</w:t>
      </w:r>
    </w:p>
    <w:p w:rsidR="00E20EAD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6) Ali je predlog akta preveden in v kateri jezik?</w:t>
      </w:r>
    </w:p>
    <w:p w:rsidR="00E20EAD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080E03" w:rsidRPr="00E20EAD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080E03">
      <w:pPr>
        <w:spacing w:line="260" w:lineRule="exact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7) Sodelovanje neodvisnih strokovnjakov (PHARE, TAIEX, Komisija ES, države članice ES, SIGMA, OECD, Univerza...):</w:t>
      </w:r>
    </w:p>
    <w:p w:rsidR="00E20EAD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8) Povezava z Državnim programom za prevzem pravnega reda EU in upoštevanje roka za uskladitev:</w:t>
      </w:r>
    </w:p>
    <w:p w:rsidR="00E20EAD" w:rsidRDefault="00080E03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 xml:space="preserve">Ime in priimek ter podpis 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vodje pravne službe:</w:t>
      </w:r>
    </w:p>
    <w:p w:rsidR="00E20EAD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lastRenderedPageBreak/>
        <w:t xml:space="preserve">Podpis ministra oziroma </w:t>
      </w:r>
    </w:p>
    <w:p w:rsidR="00612FE5" w:rsidRPr="00E20EAD" w:rsidRDefault="00E20EAD" w:rsidP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20EAD">
        <w:rPr>
          <w:rFonts w:ascii="Arial" w:hAnsi="Arial" w:cs="Arial"/>
          <w:sz w:val="20"/>
          <w:szCs w:val="20"/>
        </w:rPr>
        <w:t>predstojnika organa</w:t>
      </w:r>
    </w:p>
    <w:p w:rsidR="00E20EAD" w:rsidRPr="00E20EAD" w:rsidRDefault="00E20EA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E20EAD" w:rsidRPr="00E2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D"/>
    <w:rsid w:val="00080E03"/>
    <w:rsid w:val="00460A58"/>
    <w:rsid w:val="00612FE5"/>
    <w:rsid w:val="00613128"/>
    <w:rsid w:val="006267F4"/>
    <w:rsid w:val="008C2991"/>
    <w:rsid w:val="00A05E8A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6098-17E7-4220-BBA7-CDAFD51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240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Juvančič Ermenc</dc:creator>
  <cp:keywords/>
  <dc:description/>
  <cp:lastModifiedBy>Dževad Smajić</cp:lastModifiedBy>
  <cp:revision>2</cp:revision>
  <dcterms:created xsi:type="dcterms:W3CDTF">2025-05-16T13:15:00Z</dcterms:created>
  <dcterms:modified xsi:type="dcterms:W3CDTF">2025-05-16T13:15:00Z</dcterms:modified>
</cp:coreProperties>
</file>